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rawings/drawing1.xml" ContentType="application/vnd.openxmlformats-officedocument.drawingml.chartshapes+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theme/themeOverride1.xml" ContentType="application/vnd.openxmlformats-officedocument.themeOverride+xml"/>
  <Override PartName="/word/charts/chart6.xml" ContentType="application/vnd.openxmlformats-officedocument.drawingml.chart+xml"/>
  <Override PartName="/word/theme/themeOverride2.xml" ContentType="application/vnd.openxmlformats-officedocument.themeOverride+xml"/>
  <Override PartName="/word/charts/chart7.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3.xml" ContentType="application/vnd.openxmlformats-officedocument.themeOverride+xml"/>
  <Override PartName="/word/charts/chart8.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4.xml" ContentType="application/vnd.openxmlformats-officedocument.themeOverride+xml"/>
  <Override PartName="/word/charts/chart9.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5.xml" ContentType="application/vnd.openxmlformats-officedocument.themeOverride+xml"/>
  <Override PartName="/word/charts/chart10.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6.xml" ContentType="application/vnd.openxmlformats-officedocument.themeOverride+xml"/>
  <Override PartName="/word/charts/chart11.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7.xml" ContentType="application/vnd.openxmlformats-officedocument.themeOverride+xml"/>
  <Override PartName="/word/charts/chart12.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8.xml" ContentType="application/vnd.openxmlformats-officedocument.themeOverride+xml"/>
  <Override PartName="/word/charts/chart13.xml" ContentType="application/vnd.openxmlformats-officedocument.drawingml.chart+xml"/>
  <Override PartName="/word/charts/style11.xml" ContentType="application/vnd.ms-office.chartstyle+xml"/>
  <Override PartName="/word/charts/colors11.xml" ContentType="application/vnd.ms-office.chartcolorstyle+xml"/>
  <Override PartName="/word/theme/themeOverride9.xml" ContentType="application/vnd.openxmlformats-officedocument.themeOverride+xml"/>
  <Override PartName="/word/charts/chart14.xml" ContentType="application/vnd.openxmlformats-officedocument.drawingml.chart+xml"/>
  <Override PartName="/word/charts/style12.xml" ContentType="application/vnd.ms-office.chartstyle+xml"/>
  <Override PartName="/word/charts/colors12.xml" ContentType="application/vnd.ms-office.chartcolorstyle+xml"/>
  <Override PartName="/word/theme/themeOverride10.xml" ContentType="application/vnd.openxmlformats-officedocument.themeOverride+xml"/>
  <Override PartName="/word/charts/chart15.xml" ContentType="application/vnd.openxmlformats-officedocument.drawingml.chart+xml"/>
  <Override PartName="/word/charts/style13.xml" ContentType="application/vnd.ms-office.chartstyle+xml"/>
  <Override PartName="/word/charts/colors13.xml" ContentType="application/vnd.ms-office.chartcolorstyle+xml"/>
  <Override PartName="/word/theme/themeOverride11.xml" ContentType="application/vnd.openxmlformats-officedocument.themeOverride+xml"/>
  <Override PartName="/word/charts/chart16.xml" ContentType="application/vnd.openxmlformats-officedocument.drawingml.chart+xml"/>
  <Override PartName="/word/charts/style14.xml" ContentType="application/vnd.ms-office.chartstyle+xml"/>
  <Override PartName="/word/charts/colors1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Calibri" w:eastAsiaTheme="majorEastAsia" w:hAnsi="Calibri" w:cstheme="majorBidi"/>
          <w:b/>
          <w:caps/>
          <w:highlight w:val="yellow"/>
          <w:lang w:eastAsia="en-US"/>
        </w:rPr>
        <w:id w:val="584655442"/>
        <w:docPartObj>
          <w:docPartGallery w:val="Cover Pages"/>
          <w:docPartUnique/>
        </w:docPartObj>
      </w:sdtPr>
      <w:sdtEndPr>
        <w:rPr>
          <w:rFonts w:asciiTheme="minorHAnsi" w:eastAsia="Calibri" w:hAnsiTheme="minorHAnsi" w:cs="Times New Roman"/>
          <w:caps w:val="0"/>
        </w:rPr>
      </w:sdtEndPr>
      <w:sdtContent>
        <w:tbl>
          <w:tblPr>
            <w:tblW w:w="5000" w:type="pct"/>
            <w:jc w:val="center"/>
            <w:tblLook w:val="04A0" w:firstRow="1" w:lastRow="0" w:firstColumn="1" w:lastColumn="0" w:noHBand="0" w:noVBand="1"/>
          </w:tblPr>
          <w:tblGrid>
            <w:gridCol w:w="9922"/>
          </w:tblGrid>
          <w:tr w:rsidR="00A569F9" w:rsidRPr="00B23690" w:rsidTr="00943F68">
            <w:trPr>
              <w:trHeight w:val="4105"/>
              <w:jc w:val="center"/>
            </w:trPr>
            <w:tc>
              <w:tcPr>
                <w:tcW w:w="5000" w:type="pct"/>
              </w:tcPr>
              <w:p w:rsidR="00A569F9" w:rsidRPr="00B23690" w:rsidRDefault="00A569F9" w:rsidP="009B7289">
                <w:pPr>
                  <w:pStyle w:val="AralkYok"/>
                  <w:jc w:val="both"/>
                  <w:rPr>
                    <w:rFonts w:eastAsiaTheme="majorEastAsia" w:cstheme="majorBidi"/>
                    <w:b/>
                    <w:caps/>
                    <w:highlight w:val="yellow"/>
                  </w:rPr>
                </w:pPr>
              </w:p>
              <w:p w:rsidR="00A569F9" w:rsidRPr="00B23690" w:rsidRDefault="00A569F9" w:rsidP="009B7289">
                <w:pPr>
                  <w:pStyle w:val="AralkYok"/>
                  <w:jc w:val="both"/>
                  <w:rPr>
                    <w:rFonts w:eastAsiaTheme="majorEastAsia" w:cstheme="majorBidi"/>
                    <w:b/>
                    <w:caps/>
                    <w:highlight w:val="yellow"/>
                  </w:rPr>
                </w:pPr>
              </w:p>
              <w:p w:rsidR="00A569F9" w:rsidRPr="00B23690" w:rsidRDefault="00A569F9" w:rsidP="009B7289">
                <w:pPr>
                  <w:pStyle w:val="AralkYok"/>
                  <w:jc w:val="both"/>
                  <w:rPr>
                    <w:rFonts w:eastAsiaTheme="majorEastAsia" w:cstheme="majorBidi"/>
                    <w:b/>
                    <w:caps/>
                    <w:highlight w:val="yellow"/>
                  </w:rPr>
                </w:pPr>
              </w:p>
              <w:p w:rsidR="00A569F9" w:rsidRPr="00B23690" w:rsidRDefault="00A569F9" w:rsidP="009B7289">
                <w:pPr>
                  <w:pStyle w:val="AralkYok"/>
                  <w:jc w:val="both"/>
                  <w:rPr>
                    <w:rFonts w:eastAsiaTheme="majorEastAsia" w:cstheme="majorBidi"/>
                    <w:b/>
                    <w:caps/>
                    <w:highlight w:val="yellow"/>
                  </w:rPr>
                </w:pPr>
              </w:p>
              <w:p w:rsidR="00A569F9" w:rsidRPr="00B23690" w:rsidRDefault="00A569F9" w:rsidP="009B7289">
                <w:pPr>
                  <w:pStyle w:val="AralkYok"/>
                  <w:jc w:val="both"/>
                  <w:rPr>
                    <w:rFonts w:eastAsiaTheme="majorEastAsia" w:cstheme="majorBidi"/>
                    <w:b/>
                    <w:caps/>
                    <w:highlight w:val="yellow"/>
                  </w:rPr>
                </w:pPr>
              </w:p>
              <w:p w:rsidR="00A569F9" w:rsidRPr="00B23690" w:rsidRDefault="00A569F9" w:rsidP="009B7289">
                <w:pPr>
                  <w:pStyle w:val="AralkYok"/>
                  <w:jc w:val="both"/>
                  <w:rPr>
                    <w:rFonts w:eastAsiaTheme="majorEastAsia" w:cstheme="majorBidi"/>
                    <w:b/>
                    <w:caps/>
                    <w:highlight w:val="yellow"/>
                  </w:rPr>
                </w:pPr>
              </w:p>
              <w:p w:rsidR="00A569F9" w:rsidRPr="00B23690" w:rsidRDefault="00A569F9" w:rsidP="009B7289">
                <w:pPr>
                  <w:pStyle w:val="AralkYok"/>
                  <w:jc w:val="both"/>
                  <w:rPr>
                    <w:rFonts w:eastAsiaTheme="majorEastAsia" w:cstheme="majorBidi"/>
                    <w:b/>
                    <w:caps/>
                    <w:highlight w:val="yellow"/>
                  </w:rPr>
                </w:pPr>
              </w:p>
              <w:p w:rsidR="00A569F9" w:rsidRPr="00B23690" w:rsidRDefault="00A569F9" w:rsidP="009B7289">
                <w:pPr>
                  <w:pStyle w:val="AralkYok"/>
                  <w:jc w:val="both"/>
                  <w:rPr>
                    <w:rFonts w:eastAsiaTheme="majorEastAsia" w:cstheme="majorBidi"/>
                    <w:b/>
                    <w:caps/>
                    <w:highlight w:val="yellow"/>
                  </w:rPr>
                </w:pPr>
              </w:p>
              <w:p w:rsidR="00A569F9" w:rsidRPr="00B23690" w:rsidRDefault="00A569F9" w:rsidP="009B7289">
                <w:pPr>
                  <w:pStyle w:val="AralkYok"/>
                  <w:jc w:val="both"/>
                  <w:rPr>
                    <w:rFonts w:eastAsiaTheme="majorEastAsia" w:cstheme="majorBidi"/>
                    <w:b/>
                    <w:caps/>
                    <w:highlight w:val="yellow"/>
                  </w:rPr>
                </w:pPr>
              </w:p>
              <w:p w:rsidR="00A569F9" w:rsidRPr="00B23690" w:rsidRDefault="00A569F9" w:rsidP="009B7289">
                <w:pPr>
                  <w:pStyle w:val="AralkYok"/>
                  <w:jc w:val="both"/>
                  <w:rPr>
                    <w:rFonts w:eastAsiaTheme="majorEastAsia" w:cstheme="majorBidi"/>
                    <w:b/>
                    <w:caps/>
                    <w:highlight w:val="yellow"/>
                  </w:rPr>
                </w:pPr>
              </w:p>
              <w:p w:rsidR="00A569F9" w:rsidRPr="00B23690" w:rsidRDefault="00A569F9" w:rsidP="009B7289">
                <w:pPr>
                  <w:pStyle w:val="AralkYok"/>
                  <w:jc w:val="both"/>
                  <w:rPr>
                    <w:rFonts w:eastAsiaTheme="majorEastAsia" w:cstheme="majorBidi"/>
                    <w:b/>
                    <w:caps/>
                    <w:highlight w:val="yellow"/>
                  </w:rPr>
                </w:pPr>
              </w:p>
              <w:p w:rsidR="00A569F9" w:rsidRPr="00B23690" w:rsidRDefault="00A569F9" w:rsidP="009B7289">
                <w:pPr>
                  <w:pStyle w:val="AralkYok"/>
                  <w:jc w:val="both"/>
                  <w:rPr>
                    <w:rFonts w:eastAsiaTheme="majorEastAsia" w:cstheme="majorBidi"/>
                    <w:b/>
                    <w:caps/>
                    <w:highlight w:val="yellow"/>
                  </w:rPr>
                </w:pPr>
              </w:p>
              <w:p w:rsidR="00A569F9" w:rsidRPr="00B23690" w:rsidRDefault="00A569F9" w:rsidP="009B7289">
                <w:pPr>
                  <w:pStyle w:val="AralkYok"/>
                  <w:jc w:val="both"/>
                  <w:rPr>
                    <w:rFonts w:eastAsiaTheme="majorEastAsia" w:cstheme="majorBidi"/>
                    <w:b/>
                    <w:caps/>
                    <w:highlight w:val="yellow"/>
                  </w:rPr>
                </w:pPr>
              </w:p>
            </w:tc>
          </w:tr>
          <w:tr w:rsidR="00A569F9" w:rsidRPr="00B23690">
            <w:trPr>
              <w:trHeight w:val="1440"/>
              <w:jc w:val="center"/>
            </w:trPr>
            <w:sdt>
              <w:sdtPr>
                <w:rPr>
                  <w:rFonts w:eastAsiaTheme="majorEastAsia" w:cs="Times New Roman"/>
                  <w:sz w:val="96"/>
                  <w:szCs w:val="96"/>
                </w:rPr>
                <w:alias w:val="Başlık"/>
                <w:id w:val="15524250"/>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rsidR="00A569F9" w:rsidRPr="008354F9" w:rsidRDefault="00867BFD" w:rsidP="009B7289">
                    <w:pPr>
                      <w:pStyle w:val="AralkYok"/>
                      <w:jc w:val="center"/>
                      <w:rPr>
                        <w:rFonts w:eastAsiaTheme="majorEastAsia" w:cs="Times New Roman"/>
                        <w:sz w:val="96"/>
                        <w:szCs w:val="96"/>
                      </w:rPr>
                    </w:pPr>
                    <w:r>
                      <w:rPr>
                        <w:rFonts w:eastAsiaTheme="majorEastAsia" w:cs="Times New Roman"/>
                        <w:sz w:val="96"/>
                        <w:szCs w:val="96"/>
                      </w:rPr>
                      <w:t>ENERJİ PİYASASI DÜZENLEME KURUMU</w:t>
                    </w:r>
                  </w:p>
                </w:tc>
              </w:sdtContent>
            </w:sdt>
          </w:tr>
          <w:tr w:rsidR="00A569F9" w:rsidRPr="00B23690" w:rsidTr="00943F68">
            <w:trPr>
              <w:trHeight w:val="2333"/>
              <w:jc w:val="center"/>
            </w:trPr>
            <w:sdt>
              <w:sdtPr>
                <w:rPr>
                  <w:rFonts w:eastAsia="Times New Roman" w:cs="Times New Roman"/>
                  <w:sz w:val="96"/>
                  <w:szCs w:val="96"/>
                </w:rPr>
                <w:alias w:val="Alt Başlık"/>
                <w:id w:val="15524255"/>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F81BD" w:themeColor="accent1"/>
                    </w:tcBorders>
                    <w:vAlign w:val="center"/>
                  </w:tcPr>
                  <w:p w:rsidR="00A569F9" w:rsidRPr="008354F9" w:rsidRDefault="00867BFD" w:rsidP="00BB75E8">
                    <w:pPr>
                      <w:pStyle w:val="AralkYok"/>
                      <w:jc w:val="center"/>
                      <w:rPr>
                        <w:rFonts w:eastAsiaTheme="majorEastAsia" w:cs="Times New Roman"/>
                        <w:sz w:val="96"/>
                        <w:szCs w:val="96"/>
                      </w:rPr>
                    </w:pPr>
                    <w:r>
                      <w:rPr>
                        <w:rFonts w:eastAsia="Times New Roman" w:cs="Times New Roman"/>
                        <w:sz w:val="96"/>
                        <w:szCs w:val="96"/>
                      </w:rPr>
                      <w:t>2022 YILI FAALİYET RAPORU</w:t>
                    </w:r>
                  </w:p>
                </w:tc>
              </w:sdtContent>
            </w:sdt>
          </w:tr>
          <w:tr w:rsidR="00A569F9" w:rsidRPr="00B23690">
            <w:trPr>
              <w:trHeight w:val="360"/>
              <w:jc w:val="center"/>
            </w:trPr>
            <w:tc>
              <w:tcPr>
                <w:tcW w:w="5000" w:type="pct"/>
                <w:vAlign w:val="center"/>
              </w:tcPr>
              <w:p w:rsidR="00A569F9" w:rsidRPr="00B23690" w:rsidRDefault="00A569F9" w:rsidP="009B7289">
                <w:pPr>
                  <w:pStyle w:val="AralkYok"/>
                  <w:jc w:val="both"/>
                  <w:rPr>
                    <w:highlight w:val="yellow"/>
                  </w:rPr>
                </w:pPr>
              </w:p>
            </w:tc>
          </w:tr>
          <w:tr w:rsidR="00A569F9" w:rsidRPr="00B23690">
            <w:trPr>
              <w:trHeight w:val="360"/>
              <w:jc w:val="center"/>
            </w:trPr>
            <w:tc>
              <w:tcPr>
                <w:tcW w:w="5000" w:type="pct"/>
                <w:vAlign w:val="center"/>
              </w:tcPr>
              <w:p w:rsidR="00A569F9" w:rsidRPr="00B23690" w:rsidRDefault="00A569F9" w:rsidP="009B7289">
                <w:pPr>
                  <w:pStyle w:val="AralkYok"/>
                  <w:jc w:val="both"/>
                  <w:rPr>
                    <w:b/>
                    <w:bCs/>
                    <w:highlight w:val="yellow"/>
                  </w:rPr>
                </w:pPr>
              </w:p>
            </w:tc>
          </w:tr>
          <w:tr w:rsidR="00A569F9" w:rsidRPr="00B23690">
            <w:trPr>
              <w:trHeight w:val="360"/>
              <w:jc w:val="center"/>
            </w:trPr>
            <w:tc>
              <w:tcPr>
                <w:tcW w:w="5000" w:type="pct"/>
                <w:vAlign w:val="center"/>
              </w:tcPr>
              <w:p w:rsidR="00A569F9" w:rsidRPr="00B23690" w:rsidRDefault="00A569F9" w:rsidP="009B7289">
                <w:pPr>
                  <w:pStyle w:val="AralkYok"/>
                  <w:jc w:val="both"/>
                  <w:rPr>
                    <w:b/>
                    <w:bCs/>
                    <w:highlight w:val="yellow"/>
                  </w:rPr>
                </w:pPr>
              </w:p>
            </w:tc>
          </w:tr>
        </w:tbl>
        <w:p w:rsidR="00A569F9" w:rsidRPr="00B23690" w:rsidRDefault="00A569F9" w:rsidP="009B7289">
          <w:pPr>
            <w:rPr>
              <w:highlight w:val="yellow"/>
            </w:rPr>
          </w:pPr>
        </w:p>
        <w:p w:rsidR="00A569F9" w:rsidRPr="00B23690" w:rsidRDefault="00A569F9" w:rsidP="009B7289">
          <w:pPr>
            <w:rPr>
              <w:highlight w:val="yellow"/>
            </w:rPr>
          </w:pPr>
        </w:p>
        <w:p w:rsidR="008354F9" w:rsidRDefault="008354F9">
          <w:pPr>
            <w:rPr>
              <w:rFonts w:eastAsiaTheme="minorHAnsi" w:cstheme="minorBidi"/>
              <w:b/>
              <w:color w:val="000000"/>
              <w:highlight w:val="yellow"/>
            </w:rPr>
          </w:pPr>
          <w:r>
            <w:rPr>
              <w:rFonts w:eastAsiaTheme="minorHAnsi" w:cstheme="minorBidi"/>
              <w:b/>
              <w:color w:val="000000"/>
              <w:highlight w:val="yellow"/>
            </w:rPr>
            <w:br w:type="page"/>
          </w:r>
        </w:p>
      </w:sdtContent>
    </w:sdt>
    <w:p w:rsidR="00E65EAD" w:rsidRPr="00B23690" w:rsidRDefault="00E65EAD" w:rsidP="00711603">
      <w:pPr>
        <w:jc w:val="center"/>
        <w:rPr>
          <w:b/>
          <w:highlight w:val="yellow"/>
        </w:rPr>
        <w:sectPr w:rsidR="00E65EAD" w:rsidRPr="00B23690" w:rsidSect="00A92DB0">
          <w:footerReference w:type="default" r:id="rId9"/>
          <w:footerReference w:type="first" r:id="rId10"/>
          <w:pgSz w:w="11906" w:h="16838"/>
          <w:pgMar w:top="1418" w:right="566" w:bottom="1418" w:left="1418" w:header="709" w:footer="709" w:gutter="0"/>
          <w:pgNumType w:start="1"/>
          <w:cols w:space="708"/>
          <w:titlePg/>
          <w:docGrid w:linePitch="360"/>
        </w:sectPr>
      </w:pPr>
    </w:p>
    <w:p w:rsidR="007675C6" w:rsidRPr="006C1255" w:rsidRDefault="007675C6" w:rsidP="008C40F5">
      <w:pPr>
        <w:jc w:val="center"/>
        <w:rPr>
          <w:b/>
        </w:rPr>
      </w:pPr>
      <w:r w:rsidRPr="00FA1354">
        <w:rPr>
          <w:b/>
        </w:rPr>
        <w:lastRenderedPageBreak/>
        <w:t>İÇİNDEKİLER</w:t>
      </w:r>
    </w:p>
    <w:p w:rsidR="00DB7855" w:rsidRDefault="00364BDD">
      <w:pPr>
        <w:pStyle w:val="T1"/>
        <w:rPr>
          <w:rFonts w:eastAsiaTheme="minorEastAsia" w:cstheme="minorBidi"/>
          <w:b w:val="0"/>
          <w:noProof/>
          <w:lang w:val="en-US"/>
        </w:rPr>
      </w:pPr>
      <w:r w:rsidRPr="006C1255">
        <w:fldChar w:fldCharType="begin"/>
      </w:r>
      <w:r w:rsidR="00B74979" w:rsidRPr="006C1255">
        <w:instrText xml:space="preserve"> TOC \o "1-4" \h \z \u </w:instrText>
      </w:r>
      <w:r w:rsidRPr="006C1255">
        <w:fldChar w:fldCharType="separate"/>
      </w:r>
      <w:hyperlink w:anchor="_Toc132713746" w:history="1">
        <w:r w:rsidR="00DB7855" w:rsidRPr="00E95718">
          <w:rPr>
            <w:rStyle w:val="Kpr"/>
            <w:bCs/>
            <w:smallCaps/>
            <w:noProof/>
          </w:rPr>
          <w:t>BİRİNCİ BÖLÜM</w:t>
        </w:r>
        <w:r w:rsidR="00DB7855">
          <w:rPr>
            <w:noProof/>
            <w:webHidden/>
          </w:rPr>
          <w:tab/>
        </w:r>
        <w:r w:rsidR="00DB7855">
          <w:rPr>
            <w:noProof/>
            <w:webHidden/>
          </w:rPr>
          <w:fldChar w:fldCharType="begin"/>
        </w:r>
        <w:r w:rsidR="00DB7855">
          <w:rPr>
            <w:noProof/>
            <w:webHidden/>
          </w:rPr>
          <w:instrText xml:space="preserve"> PAGEREF _Toc132713746 \h </w:instrText>
        </w:r>
        <w:r w:rsidR="00DB7855">
          <w:rPr>
            <w:noProof/>
            <w:webHidden/>
          </w:rPr>
        </w:r>
        <w:r w:rsidR="00DB7855">
          <w:rPr>
            <w:noProof/>
            <w:webHidden/>
          </w:rPr>
          <w:fldChar w:fldCharType="separate"/>
        </w:r>
        <w:r w:rsidR="00DB7855">
          <w:rPr>
            <w:noProof/>
            <w:webHidden/>
          </w:rPr>
          <w:t>1</w:t>
        </w:r>
        <w:r w:rsidR="00DB7855">
          <w:rPr>
            <w:noProof/>
            <w:webHidden/>
          </w:rPr>
          <w:fldChar w:fldCharType="end"/>
        </w:r>
      </w:hyperlink>
    </w:p>
    <w:p w:rsidR="00DB7855" w:rsidRDefault="00255FFC">
      <w:pPr>
        <w:pStyle w:val="T1"/>
        <w:tabs>
          <w:tab w:val="left" w:pos="660"/>
        </w:tabs>
        <w:rPr>
          <w:rFonts w:eastAsiaTheme="minorEastAsia" w:cstheme="minorBidi"/>
          <w:b w:val="0"/>
          <w:noProof/>
          <w:lang w:val="en-US"/>
        </w:rPr>
      </w:pPr>
      <w:hyperlink w:anchor="_Toc132713747" w:history="1">
        <w:r w:rsidR="00DB7855" w:rsidRPr="00E95718">
          <w:rPr>
            <w:rStyle w:val="Kpr"/>
            <w:noProof/>
          </w:rPr>
          <w:t>1.</w:t>
        </w:r>
        <w:r w:rsidR="00DB7855">
          <w:rPr>
            <w:rFonts w:eastAsiaTheme="minorEastAsia" w:cstheme="minorBidi"/>
            <w:b w:val="0"/>
            <w:noProof/>
            <w:lang w:val="en-US"/>
          </w:rPr>
          <w:tab/>
        </w:r>
        <w:r w:rsidR="00DB7855" w:rsidRPr="00E95718">
          <w:rPr>
            <w:rStyle w:val="Kpr"/>
            <w:noProof/>
          </w:rPr>
          <w:t>ENERJİ PİYASASI DÜZENLEME KURUMU</w:t>
        </w:r>
        <w:r w:rsidR="00DB7855">
          <w:rPr>
            <w:noProof/>
            <w:webHidden/>
          </w:rPr>
          <w:tab/>
        </w:r>
        <w:r w:rsidR="00DB7855">
          <w:rPr>
            <w:noProof/>
            <w:webHidden/>
          </w:rPr>
          <w:fldChar w:fldCharType="begin"/>
        </w:r>
        <w:r w:rsidR="00DB7855">
          <w:rPr>
            <w:noProof/>
            <w:webHidden/>
          </w:rPr>
          <w:instrText xml:space="preserve"> PAGEREF _Toc132713747 \h </w:instrText>
        </w:r>
        <w:r w:rsidR="00DB7855">
          <w:rPr>
            <w:noProof/>
            <w:webHidden/>
          </w:rPr>
        </w:r>
        <w:r w:rsidR="00DB7855">
          <w:rPr>
            <w:noProof/>
            <w:webHidden/>
          </w:rPr>
          <w:fldChar w:fldCharType="separate"/>
        </w:r>
        <w:r w:rsidR="00DB7855">
          <w:rPr>
            <w:noProof/>
            <w:webHidden/>
          </w:rPr>
          <w:t>1</w:t>
        </w:r>
        <w:r w:rsidR="00DB7855">
          <w:rPr>
            <w:noProof/>
            <w:webHidden/>
          </w:rPr>
          <w:fldChar w:fldCharType="end"/>
        </w:r>
      </w:hyperlink>
    </w:p>
    <w:p w:rsidR="00DB7855" w:rsidRDefault="00255FFC" w:rsidP="009D3193">
      <w:pPr>
        <w:pStyle w:val="T2"/>
        <w:rPr>
          <w:rFonts w:eastAsiaTheme="minorEastAsia" w:cstheme="minorBidi"/>
          <w:lang w:val="en-US"/>
        </w:rPr>
      </w:pPr>
      <w:hyperlink w:anchor="_Toc132713748" w:history="1">
        <w:r w:rsidR="00DB7855" w:rsidRPr="00E95718">
          <w:rPr>
            <w:rStyle w:val="Kpr"/>
          </w:rPr>
          <w:t>1.1.</w:t>
        </w:r>
        <w:r w:rsidR="00DB7855">
          <w:rPr>
            <w:rFonts w:eastAsiaTheme="minorEastAsia" w:cstheme="minorBidi"/>
            <w:lang w:val="en-US"/>
          </w:rPr>
          <w:tab/>
        </w:r>
        <w:r w:rsidR="00DB7855" w:rsidRPr="00E95718">
          <w:rPr>
            <w:rStyle w:val="Kpr"/>
          </w:rPr>
          <w:t>Kurumun Görev, Yetki ve Sorumlulukları</w:t>
        </w:r>
        <w:r w:rsidR="00DB7855">
          <w:rPr>
            <w:webHidden/>
          </w:rPr>
          <w:tab/>
        </w:r>
        <w:r w:rsidR="00DB7855">
          <w:rPr>
            <w:webHidden/>
          </w:rPr>
          <w:fldChar w:fldCharType="begin"/>
        </w:r>
        <w:r w:rsidR="00DB7855">
          <w:rPr>
            <w:webHidden/>
          </w:rPr>
          <w:instrText xml:space="preserve"> PAGEREF _Toc132713748 \h </w:instrText>
        </w:r>
        <w:r w:rsidR="00DB7855">
          <w:rPr>
            <w:webHidden/>
          </w:rPr>
        </w:r>
        <w:r w:rsidR="00DB7855">
          <w:rPr>
            <w:webHidden/>
          </w:rPr>
          <w:fldChar w:fldCharType="separate"/>
        </w:r>
        <w:r w:rsidR="00DB7855">
          <w:rPr>
            <w:webHidden/>
          </w:rPr>
          <w:t>1</w:t>
        </w:r>
        <w:r w:rsidR="00DB7855">
          <w:rPr>
            <w:webHidden/>
          </w:rPr>
          <w:fldChar w:fldCharType="end"/>
        </w:r>
      </w:hyperlink>
    </w:p>
    <w:p w:rsidR="00DB7855" w:rsidRDefault="00255FFC" w:rsidP="009D3193">
      <w:pPr>
        <w:pStyle w:val="T2"/>
        <w:rPr>
          <w:rFonts w:eastAsiaTheme="minorEastAsia" w:cstheme="minorBidi"/>
          <w:lang w:val="en-US"/>
        </w:rPr>
      </w:pPr>
      <w:hyperlink w:anchor="_Toc132713749" w:history="1">
        <w:r w:rsidR="00DB7855" w:rsidRPr="00E95718">
          <w:rPr>
            <w:rStyle w:val="Kpr"/>
          </w:rPr>
          <w:t>1.2.</w:t>
        </w:r>
        <w:r w:rsidR="00DB7855">
          <w:rPr>
            <w:rFonts w:eastAsiaTheme="minorEastAsia" w:cstheme="minorBidi"/>
            <w:lang w:val="en-US"/>
          </w:rPr>
          <w:tab/>
        </w:r>
        <w:r w:rsidR="00DB7855" w:rsidRPr="00E95718">
          <w:rPr>
            <w:rStyle w:val="Kpr"/>
          </w:rPr>
          <w:t>Kurumun Yapısı</w:t>
        </w:r>
        <w:r w:rsidR="00DB7855">
          <w:rPr>
            <w:webHidden/>
          </w:rPr>
          <w:tab/>
        </w:r>
        <w:r w:rsidR="00DB7855">
          <w:rPr>
            <w:webHidden/>
          </w:rPr>
          <w:fldChar w:fldCharType="begin"/>
        </w:r>
        <w:r w:rsidR="00DB7855">
          <w:rPr>
            <w:webHidden/>
          </w:rPr>
          <w:instrText xml:space="preserve"> PAGEREF _Toc132713749 \h </w:instrText>
        </w:r>
        <w:r w:rsidR="00DB7855">
          <w:rPr>
            <w:webHidden/>
          </w:rPr>
        </w:r>
        <w:r w:rsidR="00DB7855">
          <w:rPr>
            <w:webHidden/>
          </w:rPr>
          <w:fldChar w:fldCharType="separate"/>
        </w:r>
        <w:r w:rsidR="00DB7855">
          <w:rPr>
            <w:webHidden/>
          </w:rPr>
          <w:t>2</w:t>
        </w:r>
        <w:r w:rsidR="00DB7855">
          <w:rPr>
            <w:webHidden/>
          </w:rPr>
          <w:fldChar w:fldCharType="end"/>
        </w:r>
      </w:hyperlink>
    </w:p>
    <w:p w:rsidR="00DB7855" w:rsidRDefault="00255FFC">
      <w:pPr>
        <w:pStyle w:val="T3"/>
        <w:rPr>
          <w:rFonts w:eastAsiaTheme="minorEastAsia" w:cstheme="minorBidi"/>
          <w:noProof/>
          <w:lang w:val="en-US"/>
        </w:rPr>
      </w:pPr>
      <w:hyperlink w:anchor="_Toc132713750" w:history="1">
        <w:r w:rsidR="00DB7855" w:rsidRPr="00E95718">
          <w:rPr>
            <w:rStyle w:val="Kpr"/>
            <w:noProof/>
          </w:rPr>
          <w:t>1.2.1.</w:t>
        </w:r>
        <w:r w:rsidR="00DB7855">
          <w:rPr>
            <w:rFonts w:eastAsiaTheme="minorEastAsia" w:cstheme="minorBidi"/>
            <w:noProof/>
            <w:lang w:val="en-US"/>
          </w:rPr>
          <w:tab/>
        </w:r>
        <w:r w:rsidR="00DB7855" w:rsidRPr="00E95718">
          <w:rPr>
            <w:rStyle w:val="Kpr"/>
            <w:noProof/>
          </w:rPr>
          <w:t>Enerji Piyasası Düzenleme Kurulu</w:t>
        </w:r>
        <w:r w:rsidR="00DB7855">
          <w:rPr>
            <w:noProof/>
            <w:webHidden/>
          </w:rPr>
          <w:tab/>
        </w:r>
        <w:r w:rsidR="00DB7855">
          <w:rPr>
            <w:noProof/>
            <w:webHidden/>
          </w:rPr>
          <w:fldChar w:fldCharType="begin"/>
        </w:r>
        <w:r w:rsidR="00DB7855">
          <w:rPr>
            <w:noProof/>
            <w:webHidden/>
          </w:rPr>
          <w:instrText xml:space="preserve"> PAGEREF _Toc132713750 \h </w:instrText>
        </w:r>
        <w:r w:rsidR="00DB7855">
          <w:rPr>
            <w:noProof/>
            <w:webHidden/>
          </w:rPr>
        </w:r>
        <w:r w:rsidR="00DB7855">
          <w:rPr>
            <w:noProof/>
            <w:webHidden/>
          </w:rPr>
          <w:fldChar w:fldCharType="separate"/>
        </w:r>
        <w:r w:rsidR="00DB7855">
          <w:rPr>
            <w:noProof/>
            <w:webHidden/>
          </w:rPr>
          <w:t>2</w:t>
        </w:r>
        <w:r w:rsidR="00DB7855">
          <w:rPr>
            <w:noProof/>
            <w:webHidden/>
          </w:rPr>
          <w:fldChar w:fldCharType="end"/>
        </w:r>
      </w:hyperlink>
    </w:p>
    <w:p w:rsidR="00DB7855" w:rsidRDefault="00255FFC">
      <w:pPr>
        <w:pStyle w:val="T3"/>
        <w:rPr>
          <w:rFonts w:eastAsiaTheme="minorEastAsia" w:cstheme="minorBidi"/>
          <w:noProof/>
          <w:lang w:val="en-US"/>
        </w:rPr>
      </w:pPr>
      <w:hyperlink w:anchor="_Toc132713751" w:history="1">
        <w:r w:rsidR="00DB7855" w:rsidRPr="00E95718">
          <w:rPr>
            <w:rStyle w:val="Kpr"/>
            <w:noProof/>
          </w:rPr>
          <w:t>1.2.2.</w:t>
        </w:r>
        <w:r w:rsidR="00DB7855">
          <w:rPr>
            <w:rFonts w:eastAsiaTheme="minorEastAsia" w:cstheme="minorBidi"/>
            <w:noProof/>
            <w:lang w:val="en-US"/>
          </w:rPr>
          <w:tab/>
        </w:r>
        <w:r w:rsidR="00DB7855" w:rsidRPr="00E95718">
          <w:rPr>
            <w:rStyle w:val="Kpr"/>
            <w:noProof/>
          </w:rPr>
          <w:t>Başkanlık</w:t>
        </w:r>
        <w:r w:rsidR="00DB7855">
          <w:rPr>
            <w:noProof/>
            <w:webHidden/>
          </w:rPr>
          <w:tab/>
        </w:r>
        <w:r w:rsidR="00DB7855">
          <w:rPr>
            <w:noProof/>
            <w:webHidden/>
          </w:rPr>
          <w:fldChar w:fldCharType="begin"/>
        </w:r>
        <w:r w:rsidR="00DB7855">
          <w:rPr>
            <w:noProof/>
            <w:webHidden/>
          </w:rPr>
          <w:instrText xml:space="preserve"> PAGEREF _Toc132713751 \h </w:instrText>
        </w:r>
        <w:r w:rsidR="00DB7855">
          <w:rPr>
            <w:noProof/>
            <w:webHidden/>
          </w:rPr>
        </w:r>
        <w:r w:rsidR="00DB7855">
          <w:rPr>
            <w:noProof/>
            <w:webHidden/>
          </w:rPr>
          <w:fldChar w:fldCharType="separate"/>
        </w:r>
        <w:r w:rsidR="00DB7855">
          <w:rPr>
            <w:noProof/>
            <w:webHidden/>
          </w:rPr>
          <w:t>5</w:t>
        </w:r>
        <w:r w:rsidR="00DB7855">
          <w:rPr>
            <w:noProof/>
            <w:webHidden/>
          </w:rPr>
          <w:fldChar w:fldCharType="end"/>
        </w:r>
      </w:hyperlink>
    </w:p>
    <w:p w:rsidR="00DB7855" w:rsidRDefault="00255FFC">
      <w:pPr>
        <w:pStyle w:val="T3"/>
        <w:rPr>
          <w:rFonts w:eastAsiaTheme="minorEastAsia" w:cstheme="minorBidi"/>
          <w:noProof/>
          <w:lang w:val="en-US"/>
        </w:rPr>
      </w:pPr>
      <w:hyperlink w:anchor="_Toc132713752" w:history="1">
        <w:r w:rsidR="00DB7855" w:rsidRPr="00E95718">
          <w:rPr>
            <w:rStyle w:val="Kpr"/>
            <w:noProof/>
          </w:rPr>
          <w:t>1.2.3.</w:t>
        </w:r>
        <w:r w:rsidR="00DB7855">
          <w:rPr>
            <w:rFonts w:eastAsiaTheme="minorEastAsia" w:cstheme="minorBidi"/>
            <w:noProof/>
            <w:lang w:val="en-US"/>
          </w:rPr>
          <w:tab/>
        </w:r>
        <w:r w:rsidR="00DB7855" w:rsidRPr="00E95718">
          <w:rPr>
            <w:rStyle w:val="Kpr"/>
            <w:noProof/>
          </w:rPr>
          <w:t>Hizmet Birimleri</w:t>
        </w:r>
        <w:r w:rsidR="00DB7855">
          <w:rPr>
            <w:noProof/>
            <w:webHidden/>
          </w:rPr>
          <w:tab/>
        </w:r>
        <w:r w:rsidR="00DB7855">
          <w:rPr>
            <w:noProof/>
            <w:webHidden/>
          </w:rPr>
          <w:fldChar w:fldCharType="begin"/>
        </w:r>
        <w:r w:rsidR="00DB7855">
          <w:rPr>
            <w:noProof/>
            <w:webHidden/>
          </w:rPr>
          <w:instrText xml:space="preserve"> PAGEREF _Toc132713752 \h </w:instrText>
        </w:r>
        <w:r w:rsidR="00DB7855">
          <w:rPr>
            <w:noProof/>
            <w:webHidden/>
          </w:rPr>
        </w:r>
        <w:r w:rsidR="00DB7855">
          <w:rPr>
            <w:noProof/>
            <w:webHidden/>
          </w:rPr>
          <w:fldChar w:fldCharType="separate"/>
        </w:r>
        <w:r w:rsidR="00DB7855">
          <w:rPr>
            <w:noProof/>
            <w:webHidden/>
          </w:rPr>
          <w:t>5</w:t>
        </w:r>
        <w:r w:rsidR="00DB7855">
          <w:rPr>
            <w:noProof/>
            <w:webHidden/>
          </w:rPr>
          <w:fldChar w:fldCharType="end"/>
        </w:r>
      </w:hyperlink>
    </w:p>
    <w:p w:rsidR="00DB7855" w:rsidRDefault="00255FFC" w:rsidP="009D3193">
      <w:pPr>
        <w:pStyle w:val="T2"/>
        <w:rPr>
          <w:rFonts w:eastAsiaTheme="minorEastAsia" w:cstheme="minorBidi"/>
          <w:lang w:val="en-US"/>
        </w:rPr>
      </w:pPr>
      <w:hyperlink w:anchor="_Toc132713753" w:history="1">
        <w:r w:rsidR="00DB7855" w:rsidRPr="00E95718">
          <w:rPr>
            <w:rStyle w:val="Kpr"/>
          </w:rPr>
          <w:t>1.3.</w:t>
        </w:r>
        <w:r w:rsidR="00DB7855">
          <w:rPr>
            <w:rFonts w:eastAsiaTheme="minorEastAsia" w:cstheme="minorBidi"/>
            <w:lang w:val="en-US"/>
          </w:rPr>
          <w:tab/>
        </w:r>
        <w:r w:rsidR="00DB7855" w:rsidRPr="00E95718">
          <w:rPr>
            <w:rStyle w:val="Kpr"/>
          </w:rPr>
          <w:t>Kurum Faaliyetlerinin Denetlenmesi</w:t>
        </w:r>
        <w:r w:rsidR="00DB7855">
          <w:rPr>
            <w:webHidden/>
          </w:rPr>
          <w:tab/>
        </w:r>
        <w:r w:rsidR="00DB7855">
          <w:rPr>
            <w:webHidden/>
          </w:rPr>
          <w:fldChar w:fldCharType="begin"/>
        </w:r>
        <w:r w:rsidR="00DB7855">
          <w:rPr>
            <w:webHidden/>
          </w:rPr>
          <w:instrText xml:space="preserve"> PAGEREF _Toc132713753 \h </w:instrText>
        </w:r>
        <w:r w:rsidR="00DB7855">
          <w:rPr>
            <w:webHidden/>
          </w:rPr>
        </w:r>
        <w:r w:rsidR="00DB7855">
          <w:rPr>
            <w:webHidden/>
          </w:rPr>
          <w:fldChar w:fldCharType="separate"/>
        </w:r>
        <w:r w:rsidR="00DB7855">
          <w:rPr>
            <w:webHidden/>
          </w:rPr>
          <w:t>8</w:t>
        </w:r>
        <w:r w:rsidR="00DB7855">
          <w:rPr>
            <w:webHidden/>
          </w:rPr>
          <w:fldChar w:fldCharType="end"/>
        </w:r>
      </w:hyperlink>
    </w:p>
    <w:p w:rsidR="00DB7855" w:rsidRDefault="00255FFC">
      <w:pPr>
        <w:pStyle w:val="T1"/>
        <w:rPr>
          <w:rFonts w:eastAsiaTheme="minorEastAsia" w:cstheme="minorBidi"/>
          <w:b w:val="0"/>
          <w:noProof/>
          <w:lang w:val="en-US"/>
        </w:rPr>
      </w:pPr>
      <w:hyperlink w:anchor="_Toc132713754" w:history="1">
        <w:r w:rsidR="00DB7855" w:rsidRPr="00E95718">
          <w:rPr>
            <w:rStyle w:val="Kpr"/>
            <w:bCs/>
            <w:smallCaps/>
            <w:noProof/>
          </w:rPr>
          <w:t>İKİNCİ BÖLÜM</w:t>
        </w:r>
        <w:r w:rsidR="00DB7855">
          <w:rPr>
            <w:noProof/>
            <w:webHidden/>
          </w:rPr>
          <w:tab/>
        </w:r>
        <w:r w:rsidR="00DB7855">
          <w:rPr>
            <w:noProof/>
            <w:webHidden/>
          </w:rPr>
          <w:fldChar w:fldCharType="begin"/>
        </w:r>
        <w:r w:rsidR="00DB7855">
          <w:rPr>
            <w:noProof/>
            <w:webHidden/>
          </w:rPr>
          <w:instrText xml:space="preserve"> PAGEREF _Toc132713754 \h </w:instrText>
        </w:r>
        <w:r w:rsidR="00DB7855">
          <w:rPr>
            <w:noProof/>
            <w:webHidden/>
          </w:rPr>
        </w:r>
        <w:r w:rsidR="00DB7855">
          <w:rPr>
            <w:noProof/>
            <w:webHidden/>
          </w:rPr>
          <w:fldChar w:fldCharType="separate"/>
        </w:r>
        <w:r w:rsidR="00DB7855">
          <w:rPr>
            <w:noProof/>
            <w:webHidden/>
          </w:rPr>
          <w:t>9</w:t>
        </w:r>
        <w:r w:rsidR="00DB7855">
          <w:rPr>
            <w:noProof/>
            <w:webHidden/>
          </w:rPr>
          <w:fldChar w:fldCharType="end"/>
        </w:r>
      </w:hyperlink>
    </w:p>
    <w:p w:rsidR="00DB7855" w:rsidRDefault="00255FFC">
      <w:pPr>
        <w:pStyle w:val="T1"/>
        <w:tabs>
          <w:tab w:val="left" w:pos="660"/>
        </w:tabs>
        <w:rPr>
          <w:rFonts w:eastAsiaTheme="minorEastAsia" w:cstheme="minorBidi"/>
          <w:b w:val="0"/>
          <w:noProof/>
          <w:lang w:val="en-US"/>
        </w:rPr>
      </w:pPr>
      <w:hyperlink w:anchor="_Toc132713755" w:history="1">
        <w:r w:rsidR="00DB7855" w:rsidRPr="00E95718">
          <w:rPr>
            <w:rStyle w:val="Kpr"/>
            <w:noProof/>
          </w:rPr>
          <w:t>2.</w:t>
        </w:r>
        <w:r w:rsidR="00DB7855">
          <w:rPr>
            <w:rFonts w:eastAsiaTheme="minorEastAsia" w:cstheme="minorBidi"/>
            <w:b w:val="0"/>
            <w:noProof/>
            <w:lang w:val="en-US"/>
          </w:rPr>
          <w:tab/>
        </w:r>
        <w:r w:rsidR="00DB7855" w:rsidRPr="00E95718">
          <w:rPr>
            <w:rStyle w:val="Kpr"/>
            <w:noProof/>
          </w:rPr>
          <w:t>MEVZUAT GELİŞTİRİLMESİ FAALİYETLERİ</w:t>
        </w:r>
        <w:r w:rsidR="00DB7855">
          <w:rPr>
            <w:noProof/>
            <w:webHidden/>
          </w:rPr>
          <w:tab/>
        </w:r>
        <w:r w:rsidR="00DB7855">
          <w:rPr>
            <w:noProof/>
            <w:webHidden/>
          </w:rPr>
          <w:fldChar w:fldCharType="begin"/>
        </w:r>
        <w:r w:rsidR="00DB7855">
          <w:rPr>
            <w:noProof/>
            <w:webHidden/>
          </w:rPr>
          <w:instrText xml:space="preserve"> PAGEREF _Toc132713755 \h </w:instrText>
        </w:r>
        <w:r w:rsidR="00DB7855">
          <w:rPr>
            <w:noProof/>
            <w:webHidden/>
          </w:rPr>
        </w:r>
        <w:r w:rsidR="00DB7855">
          <w:rPr>
            <w:noProof/>
            <w:webHidden/>
          </w:rPr>
          <w:fldChar w:fldCharType="separate"/>
        </w:r>
        <w:r w:rsidR="00DB7855">
          <w:rPr>
            <w:noProof/>
            <w:webHidden/>
          </w:rPr>
          <w:t>9</w:t>
        </w:r>
        <w:r w:rsidR="00DB7855">
          <w:rPr>
            <w:noProof/>
            <w:webHidden/>
          </w:rPr>
          <w:fldChar w:fldCharType="end"/>
        </w:r>
      </w:hyperlink>
    </w:p>
    <w:p w:rsidR="00DB7855" w:rsidRDefault="00255FFC" w:rsidP="009D3193">
      <w:pPr>
        <w:pStyle w:val="T2"/>
        <w:rPr>
          <w:rFonts w:eastAsiaTheme="minorEastAsia" w:cstheme="minorBidi"/>
          <w:lang w:val="en-US"/>
        </w:rPr>
      </w:pPr>
      <w:hyperlink w:anchor="_Toc132713756" w:history="1">
        <w:r w:rsidR="00DB7855" w:rsidRPr="00E95718">
          <w:rPr>
            <w:rStyle w:val="Kpr"/>
          </w:rPr>
          <w:t>2.1.</w:t>
        </w:r>
        <w:r w:rsidR="00DB7855">
          <w:rPr>
            <w:rFonts w:eastAsiaTheme="minorEastAsia" w:cstheme="minorBidi"/>
            <w:lang w:val="en-US"/>
          </w:rPr>
          <w:tab/>
        </w:r>
        <w:r w:rsidR="00DB7855" w:rsidRPr="00E95718">
          <w:rPr>
            <w:rStyle w:val="Kpr"/>
          </w:rPr>
          <w:t>Elektrik Piyasası Mevzuatı</w:t>
        </w:r>
        <w:r w:rsidR="00DB7855">
          <w:rPr>
            <w:webHidden/>
          </w:rPr>
          <w:tab/>
        </w:r>
        <w:r w:rsidR="00DB7855">
          <w:rPr>
            <w:webHidden/>
          </w:rPr>
          <w:fldChar w:fldCharType="begin"/>
        </w:r>
        <w:r w:rsidR="00DB7855">
          <w:rPr>
            <w:webHidden/>
          </w:rPr>
          <w:instrText xml:space="preserve"> PAGEREF _Toc132713756 \h </w:instrText>
        </w:r>
        <w:r w:rsidR="00DB7855">
          <w:rPr>
            <w:webHidden/>
          </w:rPr>
        </w:r>
        <w:r w:rsidR="00DB7855">
          <w:rPr>
            <w:webHidden/>
          </w:rPr>
          <w:fldChar w:fldCharType="separate"/>
        </w:r>
        <w:r w:rsidR="00DB7855">
          <w:rPr>
            <w:webHidden/>
          </w:rPr>
          <w:t>9</w:t>
        </w:r>
        <w:r w:rsidR="00DB7855">
          <w:rPr>
            <w:webHidden/>
          </w:rPr>
          <w:fldChar w:fldCharType="end"/>
        </w:r>
      </w:hyperlink>
    </w:p>
    <w:p w:rsidR="00DB7855" w:rsidRDefault="00255FFC">
      <w:pPr>
        <w:pStyle w:val="T3"/>
        <w:rPr>
          <w:rFonts w:eastAsiaTheme="minorEastAsia" w:cstheme="minorBidi"/>
          <w:noProof/>
          <w:lang w:val="en-US"/>
        </w:rPr>
      </w:pPr>
      <w:hyperlink w:anchor="_Toc132713757" w:history="1">
        <w:r w:rsidR="00DB7855" w:rsidRPr="00E95718">
          <w:rPr>
            <w:rStyle w:val="Kpr"/>
            <w:noProof/>
          </w:rPr>
          <w:t>2.1.1.</w:t>
        </w:r>
        <w:r w:rsidR="00DB7855">
          <w:rPr>
            <w:rFonts w:eastAsiaTheme="minorEastAsia" w:cstheme="minorBidi"/>
            <w:noProof/>
            <w:lang w:val="en-US"/>
          </w:rPr>
          <w:tab/>
        </w:r>
        <w:r w:rsidR="00DB7855" w:rsidRPr="00E95718">
          <w:rPr>
            <w:rStyle w:val="Kpr"/>
            <w:noProof/>
          </w:rPr>
          <w:t>Kanun</w:t>
        </w:r>
        <w:r w:rsidR="00DB7855">
          <w:rPr>
            <w:noProof/>
            <w:webHidden/>
          </w:rPr>
          <w:tab/>
        </w:r>
        <w:r w:rsidR="00DB7855">
          <w:rPr>
            <w:noProof/>
            <w:webHidden/>
          </w:rPr>
          <w:fldChar w:fldCharType="begin"/>
        </w:r>
        <w:r w:rsidR="00DB7855">
          <w:rPr>
            <w:noProof/>
            <w:webHidden/>
          </w:rPr>
          <w:instrText xml:space="preserve"> PAGEREF _Toc132713757 \h </w:instrText>
        </w:r>
        <w:r w:rsidR="00DB7855">
          <w:rPr>
            <w:noProof/>
            <w:webHidden/>
          </w:rPr>
        </w:r>
        <w:r w:rsidR="00DB7855">
          <w:rPr>
            <w:noProof/>
            <w:webHidden/>
          </w:rPr>
          <w:fldChar w:fldCharType="separate"/>
        </w:r>
        <w:r w:rsidR="00DB7855">
          <w:rPr>
            <w:noProof/>
            <w:webHidden/>
          </w:rPr>
          <w:t>9</w:t>
        </w:r>
        <w:r w:rsidR="00DB7855">
          <w:rPr>
            <w:noProof/>
            <w:webHidden/>
          </w:rPr>
          <w:fldChar w:fldCharType="end"/>
        </w:r>
      </w:hyperlink>
    </w:p>
    <w:p w:rsidR="00DB7855" w:rsidRDefault="00255FFC">
      <w:pPr>
        <w:pStyle w:val="T3"/>
        <w:rPr>
          <w:rFonts w:eastAsiaTheme="minorEastAsia" w:cstheme="minorBidi"/>
          <w:noProof/>
          <w:lang w:val="en-US"/>
        </w:rPr>
      </w:pPr>
      <w:hyperlink w:anchor="_Toc132713758" w:history="1">
        <w:r w:rsidR="00DB7855" w:rsidRPr="00E95718">
          <w:rPr>
            <w:rStyle w:val="Kpr"/>
            <w:noProof/>
          </w:rPr>
          <w:t>2.1.2.</w:t>
        </w:r>
        <w:r w:rsidR="00DB7855">
          <w:rPr>
            <w:rFonts w:eastAsiaTheme="minorEastAsia" w:cstheme="minorBidi"/>
            <w:noProof/>
            <w:lang w:val="en-US"/>
          </w:rPr>
          <w:tab/>
        </w:r>
        <w:r w:rsidR="00DB7855" w:rsidRPr="00E95718">
          <w:rPr>
            <w:rStyle w:val="Kpr"/>
            <w:noProof/>
          </w:rPr>
          <w:t>Yönetmelikler</w:t>
        </w:r>
        <w:r w:rsidR="00DB7855">
          <w:rPr>
            <w:noProof/>
            <w:webHidden/>
          </w:rPr>
          <w:tab/>
        </w:r>
        <w:r w:rsidR="00DB7855">
          <w:rPr>
            <w:noProof/>
            <w:webHidden/>
          </w:rPr>
          <w:fldChar w:fldCharType="begin"/>
        </w:r>
        <w:r w:rsidR="00DB7855">
          <w:rPr>
            <w:noProof/>
            <w:webHidden/>
          </w:rPr>
          <w:instrText xml:space="preserve"> PAGEREF _Toc132713758 \h </w:instrText>
        </w:r>
        <w:r w:rsidR="00DB7855">
          <w:rPr>
            <w:noProof/>
            <w:webHidden/>
          </w:rPr>
        </w:r>
        <w:r w:rsidR="00DB7855">
          <w:rPr>
            <w:noProof/>
            <w:webHidden/>
          </w:rPr>
          <w:fldChar w:fldCharType="separate"/>
        </w:r>
        <w:r w:rsidR="00DB7855">
          <w:rPr>
            <w:noProof/>
            <w:webHidden/>
          </w:rPr>
          <w:t>12</w:t>
        </w:r>
        <w:r w:rsidR="00DB7855">
          <w:rPr>
            <w:noProof/>
            <w:webHidden/>
          </w:rPr>
          <w:fldChar w:fldCharType="end"/>
        </w:r>
      </w:hyperlink>
    </w:p>
    <w:p w:rsidR="00DB7855" w:rsidRDefault="00255FFC">
      <w:pPr>
        <w:pStyle w:val="T3"/>
        <w:rPr>
          <w:rFonts w:eastAsiaTheme="minorEastAsia" w:cstheme="minorBidi"/>
          <w:noProof/>
          <w:lang w:val="en-US"/>
        </w:rPr>
      </w:pPr>
      <w:hyperlink w:anchor="_Toc132713759" w:history="1">
        <w:r w:rsidR="00DB7855" w:rsidRPr="00E95718">
          <w:rPr>
            <w:rStyle w:val="Kpr"/>
            <w:rFonts w:cstheme="minorHAnsi"/>
            <w:noProof/>
          </w:rPr>
          <w:t>2.1.3.</w:t>
        </w:r>
        <w:r w:rsidR="00DB7855">
          <w:rPr>
            <w:rFonts w:eastAsiaTheme="minorEastAsia" w:cstheme="minorBidi"/>
            <w:noProof/>
            <w:lang w:val="en-US"/>
          </w:rPr>
          <w:tab/>
        </w:r>
        <w:r w:rsidR="00DB7855" w:rsidRPr="00E95718">
          <w:rPr>
            <w:rStyle w:val="Kpr"/>
            <w:rFonts w:cstheme="minorHAnsi"/>
            <w:noProof/>
          </w:rPr>
          <w:t>Tebliğler</w:t>
        </w:r>
        <w:r w:rsidR="00DB7855">
          <w:rPr>
            <w:noProof/>
            <w:webHidden/>
          </w:rPr>
          <w:tab/>
        </w:r>
        <w:r w:rsidR="00DB7855">
          <w:rPr>
            <w:noProof/>
            <w:webHidden/>
          </w:rPr>
          <w:fldChar w:fldCharType="begin"/>
        </w:r>
        <w:r w:rsidR="00DB7855">
          <w:rPr>
            <w:noProof/>
            <w:webHidden/>
          </w:rPr>
          <w:instrText xml:space="preserve"> PAGEREF _Toc132713759 \h </w:instrText>
        </w:r>
        <w:r w:rsidR="00DB7855">
          <w:rPr>
            <w:noProof/>
            <w:webHidden/>
          </w:rPr>
        </w:r>
        <w:r w:rsidR="00DB7855">
          <w:rPr>
            <w:noProof/>
            <w:webHidden/>
          </w:rPr>
          <w:fldChar w:fldCharType="separate"/>
        </w:r>
        <w:r w:rsidR="00DB7855">
          <w:rPr>
            <w:noProof/>
            <w:webHidden/>
          </w:rPr>
          <w:t>40</w:t>
        </w:r>
        <w:r w:rsidR="00DB7855">
          <w:rPr>
            <w:noProof/>
            <w:webHidden/>
          </w:rPr>
          <w:fldChar w:fldCharType="end"/>
        </w:r>
      </w:hyperlink>
    </w:p>
    <w:p w:rsidR="00DB7855" w:rsidRDefault="00255FFC">
      <w:pPr>
        <w:pStyle w:val="T3"/>
        <w:rPr>
          <w:rFonts w:eastAsiaTheme="minorEastAsia" w:cstheme="minorBidi"/>
          <w:noProof/>
          <w:lang w:val="en-US"/>
        </w:rPr>
      </w:pPr>
      <w:hyperlink w:anchor="_Toc132713760" w:history="1">
        <w:r w:rsidR="00DB7855" w:rsidRPr="00E95718">
          <w:rPr>
            <w:rStyle w:val="Kpr"/>
            <w:rFonts w:cstheme="minorHAnsi"/>
            <w:noProof/>
          </w:rPr>
          <w:t>2.1.4.</w:t>
        </w:r>
        <w:r w:rsidR="00DB7855">
          <w:rPr>
            <w:rFonts w:eastAsiaTheme="minorEastAsia" w:cstheme="minorBidi"/>
            <w:noProof/>
            <w:lang w:val="en-US"/>
          </w:rPr>
          <w:tab/>
        </w:r>
        <w:r w:rsidR="00DB7855" w:rsidRPr="00E95718">
          <w:rPr>
            <w:rStyle w:val="Kpr"/>
            <w:rFonts w:cstheme="minorHAnsi"/>
            <w:noProof/>
          </w:rPr>
          <w:t>Kurul Kararları</w:t>
        </w:r>
        <w:r w:rsidR="00DB7855">
          <w:rPr>
            <w:noProof/>
            <w:webHidden/>
          </w:rPr>
          <w:tab/>
        </w:r>
        <w:r w:rsidR="00DB7855">
          <w:rPr>
            <w:noProof/>
            <w:webHidden/>
          </w:rPr>
          <w:fldChar w:fldCharType="begin"/>
        </w:r>
        <w:r w:rsidR="00DB7855">
          <w:rPr>
            <w:noProof/>
            <w:webHidden/>
          </w:rPr>
          <w:instrText xml:space="preserve"> PAGEREF _Toc132713760 \h </w:instrText>
        </w:r>
        <w:r w:rsidR="00DB7855">
          <w:rPr>
            <w:noProof/>
            <w:webHidden/>
          </w:rPr>
        </w:r>
        <w:r w:rsidR="00DB7855">
          <w:rPr>
            <w:noProof/>
            <w:webHidden/>
          </w:rPr>
          <w:fldChar w:fldCharType="separate"/>
        </w:r>
        <w:r w:rsidR="00DB7855">
          <w:rPr>
            <w:noProof/>
            <w:webHidden/>
          </w:rPr>
          <w:t>40</w:t>
        </w:r>
        <w:r w:rsidR="00DB7855">
          <w:rPr>
            <w:noProof/>
            <w:webHidden/>
          </w:rPr>
          <w:fldChar w:fldCharType="end"/>
        </w:r>
      </w:hyperlink>
    </w:p>
    <w:p w:rsidR="00DB7855" w:rsidRDefault="00255FFC" w:rsidP="009D3193">
      <w:pPr>
        <w:pStyle w:val="T2"/>
        <w:rPr>
          <w:rFonts w:eastAsiaTheme="minorEastAsia" w:cstheme="minorBidi"/>
          <w:lang w:val="en-US"/>
        </w:rPr>
      </w:pPr>
      <w:hyperlink w:anchor="_Toc132713761" w:history="1">
        <w:r w:rsidR="00DB7855" w:rsidRPr="00E95718">
          <w:rPr>
            <w:rStyle w:val="Kpr"/>
          </w:rPr>
          <w:t>2.2.</w:t>
        </w:r>
        <w:r w:rsidR="00DB7855">
          <w:rPr>
            <w:rFonts w:eastAsiaTheme="minorEastAsia" w:cstheme="minorBidi"/>
            <w:lang w:val="en-US"/>
          </w:rPr>
          <w:tab/>
        </w:r>
        <w:r w:rsidR="00DB7855" w:rsidRPr="00E95718">
          <w:rPr>
            <w:rStyle w:val="Kpr"/>
          </w:rPr>
          <w:t>Şarj Hizmeti Piyasası Mevzuatı</w:t>
        </w:r>
        <w:r w:rsidR="00DB7855">
          <w:rPr>
            <w:webHidden/>
          </w:rPr>
          <w:tab/>
        </w:r>
        <w:r w:rsidR="00DB7855">
          <w:rPr>
            <w:webHidden/>
          </w:rPr>
          <w:fldChar w:fldCharType="begin"/>
        </w:r>
        <w:r w:rsidR="00DB7855">
          <w:rPr>
            <w:webHidden/>
          </w:rPr>
          <w:instrText xml:space="preserve"> PAGEREF _Toc132713761 \h </w:instrText>
        </w:r>
        <w:r w:rsidR="00DB7855">
          <w:rPr>
            <w:webHidden/>
          </w:rPr>
        </w:r>
        <w:r w:rsidR="00DB7855">
          <w:rPr>
            <w:webHidden/>
          </w:rPr>
          <w:fldChar w:fldCharType="separate"/>
        </w:r>
        <w:r w:rsidR="00DB7855">
          <w:rPr>
            <w:webHidden/>
          </w:rPr>
          <w:t>58</w:t>
        </w:r>
        <w:r w:rsidR="00DB7855">
          <w:rPr>
            <w:webHidden/>
          </w:rPr>
          <w:fldChar w:fldCharType="end"/>
        </w:r>
      </w:hyperlink>
    </w:p>
    <w:p w:rsidR="00DB7855" w:rsidRDefault="00255FFC">
      <w:pPr>
        <w:pStyle w:val="T3"/>
        <w:rPr>
          <w:rFonts w:eastAsiaTheme="minorEastAsia" w:cstheme="minorBidi"/>
          <w:noProof/>
          <w:lang w:val="en-US"/>
        </w:rPr>
      </w:pPr>
      <w:hyperlink w:anchor="_Toc132713762" w:history="1">
        <w:r w:rsidR="00DB7855" w:rsidRPr="00E95718">
          <w:rPr>
            <w:rStyle w:val="Kpr"/>
            <w:noProof/>
          </w:rPr>
          <w:t>2.2.1.</w:t>
        </w:r>
        <w:r w:rsidR="00DB7855">
          <w:rPr>
            <w:rFonts w:eastAsiaTheme="minorEastAsia" w:cstheme="minorBidi"/>
            <w:noProof/>
            <w:lang w:val="en-US"/>
          </w:rPr>
          <w:tab/>
        </w:r>
        <w:r w:rsidR="00DB7855" w:rsidRPr="00E95718">
          <w:rPr>
            <w:rStyle w:val="Kpr"/>
            <w:noProof/>
          </w:rPr>
          <w:t>Kanun</w:t>
        </w:r>
        <w:r w:rsidR="00DB7855">
          <w:rPr>
            <w:noProof/>
            <w:webHidden/>
          </w:rPr>
          <w:tab/>
        </w:r>
        <w:r w:rsidR="00DB7855">
          <w:rPr>
            <w:noProof/>
            <w:webHidden/>
          </w:rPr>
          <w:fldChar w:fldCharType="begin"/>
        </w:r>
        <w:r w:rsidR="00DB7855">
          <w:rPr>
            <w:noProof/>
            <w:webHidden/>
          </w:rPr>
          <w:instrText xml:space="preserve"> PAGEREF _Toc132713762 \h </w:instrText>
        </w:r>
        <w:r w:rsidR="00DB7855">
          <w:rPr>
            <w:noProof/>
            <w:webHidden/>
          </w:rPr>
        </w:r>
        <w:r w:rsidR="00DB7855">
          <w:rPr>
            <w:noProof/>
            <w:webHidden/>
          </w:rPr>
          <w:fldChar w:fldCharType="separate"/>
        </w:r>
        <w:r w:rsidR="00DB7855">
          <w:rPr>
            <w:noProof/>
            <w:webHidden/>
          </w:rPr>
          <w:t>58</w:t>
        </w:r>
        <w:r w:rsidR="00DB7855">
          <w:rPr>
            <w:noProof/>
            <w:webHidden/>
          </w:rPr>
          <w:fldChar w:fldCharType="end"/>
        </w:r>
      </w:hyperlink>
    </w:p>
    <w:p w:rsidR="00DB7855" w:rsidRDefault="00255FFC">
      <w:pPr>
        <w:pStyle w:val="T3"/>
        <w:rPr>
          <w:rFonts w:eastAsiaTheme="minorEastAsia" w:cstheme="minorBidi"/>
          <w:noProof/>
          <w:lang w:val="en-US"/>
        </w:rPr>
      </w:pPr>
      <w:hyperlink w:anchor="_Toc132713763" w:history="1">
        <w:r w:rsidR="00DB7855" w:rsidRPr="00E95718">
          <w:rPr>
            <w:rStyle w:val="Kpr"/>
            <w:noProof/>
          </w:rPr>
          <w:t>2.2.2.</w:t>
        </w:r>
        <w:r w:rsidR="00DB7855">
          <w:rPr>
            <w:rFonts w:eastAsiaTheme="minorEastAsia" w:cstheme="minorBidi"/>
            <w:noProof/>
            <w:lang w:val="en-US"/>
          </w:rPr>
          <w:tab/>
        </w:r>
        <w:r w:rsidR="00DB7855" w:rsidRPr="00E95718">
          <w:rPr>
            <w:rStyle w:val="Kpr"/>
            <w:noProof/>
          </w:rPr>
          <w:t>Yönetmelikler</w:t>
        </w:r>
        <w:r w:rsidR="00DB7855">
          <w:rPr>
            <w:noProof/>
            <w:webHidden/>
          </w:rPr>
          <w:tab/>
        </w:r>
        <w:r w:rsidR="00DB7855">
          <w:rPr>
            <w:noProof/>
            <w:webHidden/>
          </w:rPr>
          <w:fldChar w:fldCharType="begin"/>
        </w:r>
        <w:r w:rsidR="00DB7855">
          <w:rPr>
            <w:noProof/>
            <w:webHidden/>
          </w:rPr>
          <w:instrText xml:space="preserve"> PAGEREF _Toc132713763 \h </w:instrText>
        </w:r>
        <w:r w:rsidR="00DB7855">
          <w:rPr>
            <w:noProof/>
            <w:webHidden/>
          </w:rPr>
        </w:r>
        <w:r w:rsidR="00DB7855">
          <w:rPr>
            <w:noProof/>
            <w:webHidden/>
          </w:rPr>
          <w:fldChar w:fldCharType="separate"/>
        </w:r>
        <w:r w:rsidR="00DB7855">
          <w:rPr>
            <w:noProof/>
            <w:webHidden/>
          </w:rPr>
          <w:t>58</w:t>
        </w:r>
        <w:r w:rsidR="00DB7855">
          <w:rPr>
            <w:noProof/>
            <w:webHidden/>
          </w:rPr>
          <w:fldChar w:fldCharType="end"/>
        </w:r>
      </w:hyperlink>
    </w:p>
    <w:p w:rsidR="00DB7855" w:rsidRDefault="00255FFC">
      <w:pPr>
        <w:pStyle w:val="T3"/>
        <w:rPr>
          <w:rFonts w:eastAsiaTheme="minorEastAsia" w:cstheme="minorBidi"/>
          <w:noProof/>
          <w:lang w:val="en-US"/>
        </w:rPr>
      </w:pPr>
      <w:hyperlink w:anchor="_Toc132713764" w:history="1">
        <w:r w:rsidR="00DB7855" w:rsidRPr="00E95718">
          <w:rPr>
            <w:rStyle w:val="Kpr"/>
            <w:rFonts w:cstheme="minorHAnsi"/>
            <w:noProof/>
          </w:rPr>
          <w:t>2.2.3.</w:t>
        </w:r>
        <w:r w:rsidR="00DB7855">
          <w:rPr>
            <w:rFonts w:eastAsiaTheme="minorEastAsia" w:cstheme="minorBidi"/>
            <w:noProof/>
            <w:lang w:val="en-US"/>
          </w:rPr>
          <w:tab/>
        </w:r>
        <w:r w:rsidR="00DB7855" w:rsidRPr="00E95718">
          <w:rPr>
            <w:rStyle w:val="Kpr"/>
            <w:rFonts w:cstheme="minorHAnsi"/>
            <w:noProof/>
          </w:rPr>
          <w:t>Kurul Kararları</w:t>
        </w:r>
        <w:r w:rsidR="00DB7855">
          <w:rPr>
            <w:noProof/>
            <w:webHidden/>
          </w:rPr>
          <w:tab/>
        </w:r>
        <w:r w:rsidR="00DB7855">
          <w:rPr>
            <w:noProof/>
            <w:webHidden/>
          </w:rPr>
          <w:fldChar w:fldCharType="begin"/>
        </w:r>
        <w:r w:rsidR="00DB7855">
          <w:rPr>
            <w:noProof/>
            <w:webHidden/>
          </w:rPr>
          <w:instrText xml:space="preserve"> PAGEREF _Toc132713764 \h </w:instrText>
        </w:r>
        <w:r w:rsidR="00DB7855">
          <w:rPr>
            <w:noProof/>
            <w:webHidden/>
          </w:rPr>
        </w:r>
        <w:r w:rsidR="00DB7855">
          <w:rPr>
            <w:noProof/>
            <w:webHidden/>
          </w:rPr>
          <w:fldChar w:fldCharType="separate"/>
        </w:r>
        <w:r w:rsidR="00DB7855">
          <w:rPr>
            <w:noProof/>
            <w:webHidden/>
          </w:rPr>
          <w:t>59</w:t>
        </w:r>
        <w:r w:rsidR="00DB7855">
          <w:rPr>
            <w:noProof/>
            <w:webHidden/>
          </w:rPr>
          <w:fldChar w:fldCharType="end"/>
        </w:r>
      </w:hyperlink>
    </w:p>
    <w:p w:rsidR="00DB7855" w:rsidRDefault="00255FFC" w:rsidP="009D3193">
      <w:pPr>
        <w:pStyle w:val="T2"/>
        <w:rPr>
          <w:rFonts w:eastAsiaTheme="minorEastAsia" w:cstheme="minorBidi"/>
          <w:lang w:val="en-US"/>
        </w:rPr>
      </w:pPr>
      <w:hyperlink w:anchor="_Toc132713765" w:history="1">
        <w:r w:rsidR="00DB7855" w:rsidRPr="00E95718">
          <w:rPr>
            <w:rStyle w:val="Kpr"/>
          </w:rPr>
          <w:t>2.3.</w:t>
        </w:r>
        <w:r w:rsidR="00DB7855">
          <w:rPr>
            <w:rFonts w:eastAsiaTheme="minorEastAsia" w:cstheme="minorBidi"/>
            <w:lang w:val="en-US"/>
          </w:rPr>
          <w:tab/>
        </w:r>
        <w:r w:rsidR="00DB7855" w:rsidRPr="00E95718">
          <w:rPr>
            <w:rStyle w:val="Kpr"/>
          </w:rPr>
          <w:t>Doğal Gaz Piyasası Mevzuatı</w:t>
        </w:r>
        <w:r w:rsidR="00DB7855">
          <w:rPr>
            <w:webHidden/>
          </w:rPr>
          <w:tab/>
        </w:r>
        <w:r w:rsidR="00DB7855">
          <w:rPr>
            <w:webHidden/>
          </w:rPr>
          <w:fldChar w:fldCharType="begin"/>
        </w:r>
        <w:r w:rsidR="00DB7855">
          <w:rPr>
            <w:webHidden/>
          </w:rPr>
          <w:instrText xml:space="preserve"> PAGEREF _Toc132713765 \h </w:instrText>
        </w:r>
        <w:r w:rsidR="00DB7855">
          <w:rPr>
            <w:webHidden/>
          </w:rPr>
        </w:r>
        <w:r w:rsidR="00DB7855">
          <w:rPr>
            <w:webHidden/>
          </w:rPr>
          <w:fldChar w:fldCharType="separate"/>
        </w:r>
        <w:r w:rsidR="00DB7855">
          <w:rPr>
            <w:webHidden/>
          </w:rPr>
          <w:t>60</w:t>
        </w:r>
        <w:r w:rsidR="00DB7855">
          <w:rPr>
            <w:webHidden/>
          </w:rPr>
          <w:fldChar w:fldCharType="end"/>
        </w:r>
      </w:hyperlink>
    </w:p>
    <w:p w:rsidR="00DB7855" w:rsidRDefault="00255FFC">
      <w:pPr>
        <w:pStyle w:val="T3"/>
        <w:rPr>
          <w:rFonts w:eastAsiaTheme="minorEastAsia" w:cstheme="minorBidi"/>
          <w:noProof/>
          <w:lang w:val="en-US"/>
        </w:rPr>
      </w:pPr>
      <w:hyperlink w:anchor="_Toc132713766" w:history="1">
        <w:r w:rsidR="00DB7855" w:rsidRPr="00E95718">
          <w:rPr>
            <w:rStyle w:val="Kpr"/>
            <w:noProof/>
          </w:rPr>
          <w:t>2.3.1.</w:t>
        </w:r>
        <w:r w:rsidR="00DB7855">
          <w:rPr>
            <w:rFonts w:eastAsiaTheme="minorEastAsia" w:cstheme="minorBidi"/>
            <w:noProof/>
            <w:lang w:val="en-US"/>
          </w:rPr>
          <w:tab/>
        </w:r>
        <w:r w:rsidR="00DB7855" w:rsidRPr="00E95718">
          <w:rPr>
            <w:rStyle w:val="Kpr"/>
            <w:noProof/>
          </w:rPr>
          <w:t>Kanun</w:t>
        </w:r>
        <w:r w:rsidR="00DB7855">
          <w:rPr>
            <w:noProof/>
            <w:webHidden/>
          </w:rPr>
          <w:tab/>
        </w:r>
        <w:r w:rsidR="00DB7855">
          <w:rPr>
            <w:noProof/>
            <w:webHidden/>
          </w:rPr>
          <w:fldChar w:fldCharType="begin"/>
        </w:r>
        <w:r w:rsidR="00DB7855">
          <w:rPr>
            <w:noProof/>
            <w:webHidden/>
          </w:rPr>
          <w:instrText xml:space="preserve"> PAGEREF _Toc132713766 \h </w:instrText>
        </w:r>
        <w:r w:rsidR="00DB7855">
          <w:rPr>
            <w:noProof/>
            <w:webHidden/>
          </w:rPr>
        </w:r>
        <w:r w:rsidR="00DB7855">
          <w:rPr>
            <w:noProof/>
            <w:webHidden/>
          </w:rPr>
          <w:fldChar w:fldCharType="separate"/>
        </w:r>
        <w:r w:rsidR="00DB7855">
          <w:rPr>
            <w:noProof/>
            <w:webHidden/>
          </w:rPr>
          <w:t>60</w:t>
        </w:r>
        <w:r w:rsidR="00DB7855">
          <w:rPr>
            <w:noProof/>
            <w:webHidden/>
          </w:rPr>
          <w:fldChar w:fldCharType="end"/>
        </w:r>
      </w:hyperlink>
    </w:p>
    <w:p w:rsidR="00DB7855" w:rsidRDefault="00255FFC">
      <w:pPr>
        <w:pStyle w:val="T3"/>
        <w:rPr>
          <w:rFonts w:eastAsiaTheme="minorEastAsia" w:cstheme="minorBidi"/>
          <w:noProof/>
          <w:lang w:val="en-US"/>
        </w:rPr>
      </w:pPr>
      <w:hyperlink w:anchor="_Toc132713767" w:history="1">
        <w:r w:rsidR="00DB7855" w:rsidRPr="00E95718">
          <w:rPr>
            <w:rStyle w:val="Kpr"/>
            <w:noProof/>
          </w:rPr>
          <w:t>2.3.2.</w:t>
        </w:r>
        <w:r w:rsidR="00DB7855">
          <w:rPr>
            <w:rFonts w:eastAsiaTheme="minorEastAsia" w:cstheme="minorBidi"/>
            <w:noProof/>
            <w:lang w:val="en-US"/>
          </w:rPr>
          <w:tab/>
        </w:r>
        <w:r w:rsidR="00DB7855" w:rsidRPr="00E95718">
          <w:rPr>
            <w:rStyle w:val="Kpr"/>
            <w:noProof/>
          </w:rPr>
          <w:t>Yönetmelikler</w:t>
        </w:r>
        <w:r w:rsidR="00DB7855">
          <w:rPr>
            <w:noProof/>
            <w:webHidden/>
          </w:rPr>
          <w:tab/>
        </w:r>
        <w:r w:rsidR="00DB7855">
          <w:rPr>
            <w:noProof/>
            <w:webHidden/>
          </w:rPr>
          <w:fldChar w:fldCharType="begin"/>
        </w:r>
        <w:r w:rsidR="00DB7855">
          <w:rPr>
            <w:noProof/>
            <w:webHidden/>
          </w:rPr>
          <w:instrText xml:space="preserve"> PAGEREF _Toc132713767 \h </w:instrText>
        </w:r>
        <w:r w:rsidR="00DB7855">
          <w:rPr>
            <w:noProof/>
            <w:webHidden/>
          </w:rPr>
        </w:r>
        <w:r w:rsidR="00DB7855">
          <w:rPr>
            <w:noProof/>
            <w:webHidden/>
          </w:rPr>
          <w:fldChar w:fldCharType="separate"/>
        </w:r>
        <w:r w:rsidR="00DB7855">
          <w:rPr>
            <w:noProof/>
            <w:webHidden/>
          </w:rPr>
          <w:t>61</w:t>
        </w:r>
        <w:r w:rsidR="00DB7855">
          <w:rPr>
            <w:noProof/>
            <w:webHidden/>
          </w:rPr>
          <w:fldChar w:fldCharType="end"/>
        </w:r>
      </w:hyperlink>
    </w:p>
    <w:p w:rsidR="00DB7855" w:rsidRDefault="00255FFC">
      <w:pPr>
        <w:pStyle w:val="T3"/>
        <w:rPr>
          <w:rFonts w:eastAsiaTheme="minorEastAsia" w:cstheme="minorBidi"/>
          <w:noProof/>
          <w:lang w:val="en-US"/>
        </w:rPr>
      </w:pPr>
      <w:hyperlink w:anchor="_Toc132713768" w:history="1">
        <w:r w:rsidR="00DB7855" w:rsidRPr="00E95718">
          <w:rPr>
            <w:rStyle w:val="Kpr"/>
            <w:noProof/>
          </w:rPr>
          <w:t>2.3.3.</w:t>
        </w:r>
        <w:r w:rsidR="00DB7855">
          <w:rPr>
            <w:rFonts w:eastAsiaTheme="minorEastAsia" w:cstheme="minorBidi"/>
            <w:noProof/>
            <w:lang w:val="en-US"/>
          </w:rPr>
          <w:tab/>
        </w:r>
        <w:r w:rsidR="00DB7855" w:rsidRPr="00E95718">
          <w:rPr>
            <w:rStyle w:val="Kpr"/>
            <w:noProof/>
          </w:rPr>
          <w:t>Tebliğler</w:t>
        </w:r>
        <w:r w:rsidR="00DB7855">
          <w:rPr>
            <w:noProof/>
            <w:webHidden/>
          </w:rPr>
          <w:tab/>
        </w:r>
        <w:r w:rsidR="00DB7855">
          <w:rPr>
            <w:noProof/>
            <w:webHidden/>
          </w:rPr>
          <w:fldChar w:fldCharType="begin"/>
        </w:r>
        <w:r w:rsidR="00DB7855">
          <w:rPr>
            <w:noProof/>
            <w:webHidden/>
          </w:rPr>
          <w:instrText xml:space="preserve"> PAGEREF _Toc132713768 \h </w:instrText>
        </w:r>
        <w:r w:rsidR="00DB7855">
          <w:rPr>
            <w:noProof/>
            <w:webHidden/>
          </w:rPr>
        </w:r>
        <w:r w:rsidR="00DB7855">
          <w:rPr>
            <w:noProof/>
            <w:webHidden/>
          </w:rPr>
          <w:fldChar w:fldCharType="separate"/>
        </w:r>
        <w:r w:rsidR="00DB7855">
          <w:rPr>
            <w:noProof/>
            <w:webHidden/>
          </w:rPr>
          <w:t>89</w:t>
        </w:r>
        <w:r w:rsidR="00DB7855">
          <w:rPr>
            <w:noProof/>
            <w:webHidden/>
          </w:rPr>
          <w:fldChar w:fldCharType="end"/>
        </w:r>
      </w:hyperlink>
    </w:p>
    <w:p w:rsidR="00DB7855" w:rsidRDefault="00255FFC">
      <w:pPr>
        <w:pStyle w:val="T3"/>
        <w:rPr>
          <w:rFonts w:eastAsiaTheme="minorEastAsia" w:cstheme="minorBidi"/>
          <w:noProof/>
          <w:lang w:val="en-US"/>
        </w:rPr>
      </w:pPr>
      <w:hyperlink w:anchor="_Toc132713769" w:history="1">
        <w:r w:rsidR="00DB7855" w:rsidRPr="00E95718">
          <w:rPr>
            <w:rStyle w:val="Kpr"/>
            <w:noProof/>
          </w:rPr>
          <w:t>2.3.4.</w:t>
        </w:r>
        <w:r w:rsidR="00DB7855">
          <w:rPr>
            <w:rFonts w:eastAsiaTheme="minorEastAsia" w:cstheme="minorBidi"/>
            <w:noProof/>
            <w:lang w:val="en-US"/>
          </w:rPr>
          <w:tab/>
        </w:r>
        <w:r w:rsidR="00DB7855" w:rsidRPr="00E95718">
          <w:rPr>
            <w:rStyle w:val="Kpr"/>
            <w:noProof/>
          </w:rPr>
          <w:t>Kurul Kararları</w:t>
        </w:r>
        <w:r w:rsidR="00DB7855">
          <w:rPr>
            <w:noProof/>
            <w:webHidden/>
          </w:rPr>
          <w:tab/>
        </w:r>
        <w:r w:rsidR="00DB7855">
          <w:rPr>
            <w:noProof/>
            <w:webHidden/>
          </w:rPr>
          <w:fldChar w:fldCharType="begin"/>
        </w:r>
        <w:r w:rsidR="00DB7855">
          <w:rPr>
            <w:noProof/>
            <w:webHidden/>
          </w:rPr>
          <w:instrText xml:space="preserve"> PAGEREF _Toc132713769 \h </w:instrText>
        </w:r>
        <w:r w:rsidR="00DB7855">
          <w:rPr>
            <w:noProof/>
            <w:webHidden/>
          </w:rPr>
        </w:r>
        <w:r w:rsidR="00DB7855">
          <w:rPr>
            <w:noProof/>
            <w:webHidden/>
          </w:rPr>
          <w:fldChar w:fldCharType="separate"/>
        </w:r>
        <w:r w:rsidR="00DB7855">
          <w:rPr>
            <w:noProof/>
            <w:webHidden/>
          </w:rPr>
          <w:t>89</w:t>
        </w:r>
        <w:r w:rsidR="00DB7855">
          <w:rPr>
            <w:noProof/>
            <w:webHidden/>
          </w:rPr>
          <w:fldChar w:fldCharType="end"/>
        </w:r>
      </w:hyperlink>
    </w:p>
    <w:p w:rsidR="00DB7855" w:rsidRDefault="00255FFC" w:rsidP="009D3193">
      <w:pPr>
        <w:pStyle w:val="T2"/>
        <w:rPr>
          <w:rFonts w:eastAsiaTheme="minorEastAsia" w:cstheme="minorBidi"/>
          <w:lang w:val="en-US"/>
        </w:rPr>
      </w:pPr>
      <w:hyperlink w:anchor="_Toc132713770" w:history="1">
        <w:r w:rsidR="00DB7855" w:rsidRPr="00E95718">
          <w:rPr>
            <w:rStyle w:val="Kpr"/>
          </w:rPr>
          <w:t>2.4.</w:t>
        </w:r>
        <w:r w:rsidR="00DB7855">
          <w:rPr>
            <w:rFonts w:eastAsiaTheme="minorEastAsia" w:cstheme="minorBidi"/>
            <w:lang w:val="en-US"/>
          </w:rPr>
          <w:tab/>
        </w:r>
        <w:r w:rsidR="00DB7855" w:rsidRPr="00E95718">
          <w:rPr>
            <w:rStyle w:val="Kpr"/>
          </w:rPr>
          <w:t>Petrol Piyasası Mevzuatı</w:t>
        </w:r>
        <w:r w:rsidR="00DB7855">
          <w:rPr>
            <w:webHidden/>
          </w:rPr>
          <w:tab/>
        </w:r>
        <w:r w:rsidR="00DB7855">
          <w:rPr>
            <w:webHidden/>
          </w:rPr>
          <w:fldChar w:fldCharType="begin"/>
        </w:r>
        <w:r w:rsidR="00DB7855">
          <w:rPr>
            <w:webHidden/>
          </w:rPr>
          <w:instrText xml:space="preserve"> PAGEREF _Toc132713770 \h </w:instrText>
        </w:r>
        <w:r w:rsidR="00DB7855">
          <w:rPr>
            <w:webHidden/>
          </w:rPr>
        </w:r>
        <w:r w:rsidR="00DB7855">
          <w:rPr>
            <w:webHidden/>
          </w:rPr>
          <w:fldChar w:fldCharType="separate"/>
        </w:r>
        <w:r w:rsidR="00DB7855">
          <w:rPr>
            <w:webHidden/>
          </w:rPr>
          <w:t>116</w:t>
        </w:r>
        <w:r w:rsidR="00DB7855">
          <w:rPr>
            <w:webHidden/>
          </w:rPr>
          <w:fldChar w:fldCharType="end"/>
        </w:r>
      </w:hyperlink>
    </w:p>
    <w:p w:rsidR="00DB7855" w:rsidRDefault="00255FFC">
      <w:pPr>
        <w:pStyle w:val="T3"/>
        <w:rPr>
          <w:rFonts w:eastAsiaTheme="minorEastAsia" w:cstheme="minorBidi"/>
          <w:noProof/>
          <w:lang w:val="en-US"/>
        </w:rPr>
      </w:pPr>
      <w:hyperlink w:anchor="_Toc132713771" w:history="1">
        <w:r w:rsidR="00DB7855" w:rsidRPr="00E95718">
          <w:rPr>
            <w:rStyle w:val="Kpr"/>
            <w:noProof/>
          </w:rPr>
          <w:t>2.4.1.</w:t>
        </w:r>
        <w:r w:rsidR="00DB7855">
          <w:rPr>
            <w:rFonts w:eastAsiaTheme="minorEastAsia" w:cstheme="minorBidi"/>
            <w:noProof/>
            <w:lang w:val="en-US"/>
          </w:rPr>
          <w:tab/>
        </w:r>
        <w:r w:rsidR="00DB7855" w:rsidRPr="00E95718">
          <w:rPr>
            <w:rStyle w:val="Kpr"/>
            <w:noProof/>
          </w:rPr>
          <w:t>Yönetmelikler</w:t>
        </w:r>
        <w:r w:rsidR="00DB7855">
          <w:rPr>
            <w:noProof/>
            <w:webHidden/>
          </w:rPr>
          <w:tab/>
        </w:r>
        <w:r w:rsidR="00DB7855">
          <w:rPr>
            <w:noProof/>
            <w:webHidden/>
          </w:rPr>
          <w:fldChar w:fldCharType="begin"/>
        </w:r>
        <w:r w:rsidR="00DB7855">
          <w:rPr>
            <w:noProof/>
            <w:webHidden/>
          </w:rPr>
          <w:instrText xml:space="preserve"> PAGEREF _Toc132713771 \h </w:instrText>
        </w:r>
        <w:r w:rsidR="00DB7855">
          <w:rPr>
            <w:noProof/>
            <w:webHidden/>
          </w:rPr>
        </w:r>
        <w:r w:rsidR="00DB7855">
          <w:rPr>
            <w:noProof/>
            <w:webHidden/>
          </w:rPr>
          <w:fldChar w:fldCharType="separate"/>
        </w:r>
        <w:r w:rsidR="00DB7855">
          <w:rPr>
            <w:noProof/>
            <w:webHidden/>
          </w:rPr>
          <w:t>116</w:t>
        </w:r>
        <w:r w:rsidR="00DB7855">
          <w:rPr>
            <w:noProof/>
            <w:webHidden/>
          </w:rPr>
          <w:fldChar w:fldCharType="end"/>
        </w:r>
      </w:hyperlink>
    </w:p>
    <w:p w:rsidR="00DB7855" w:rsidRDefault="00255FFC">
      <w:pPr>
        <w:pStyle w:val="T3"/>
        <w:rPr>
          <w:rFonts w:eastAsiaTheme="minorEastAsia" w:cstheme="minorBidi"/>
          <w:noProof/>
          <w:lang w:val="en-US"/>
        </w:rPr>
      </w:pPr>
      <w:hyperlink w:anchor="_Toc132713772" w:history="1">
        <w:r w:rsidR="00DB7855" w:rsidRPr="00E95718">
          <w:rPr>
            <w:rStyle w:val="Kpr"/>
            <w:noProof/>
          </w:rPr>
          <w:t>2.4.2.</w:t>
        </w:r>
        <w:r w:rsidR="00DB7855">
          <w:rPr>
            <w:rFonts w:eastAsiaTheme="minorEastAsia" w:cstheme="minorBidi"/>
            <w:noProof/>
            <w:lang w:val="en-US"/>
          </w:rPr>
          <w:tab/>
        </w:r>
        <w:r w:rsidR="00DB7855" w:rsidRPr="00E95718">
          <w:rPr>
            <w:rStyle w:val="Kpr"/>
            <w:noProof/>
          </w:rPr>
          <w:t>Tebliğler</w:t>
        </w:r>
        <w:r w:rsidR="00DB7855">
          <w:rPr>
            <w:noProof/>
            <w:webHidden/>
          </w:rPr>
          <w:tab/>
        </w:r>
        <w:r w:rsidR="00DB7855">
          <w:rPr>
            <w:noProof/>
            <w:webHidden/>
          </w:rPr>
          <w:fldChar w:fldCharType="begin"/>
        </w:r>
        <w:r w:rsidR="00DB7855">
          <w:rPr>
            <w:noProof/>
            <w:webHidden/>
          </w:rPr>
          <w:instrText xml:space="preserve"> PAGEREF _Toc132713772 \h </w:instrText>
        </w:r>
        <w:r w:rsidR="00DB7855">
          <w:rPr>
            <w:noProof/>
            <w:webHidden/>
          </w:rPr>
        </w:r>
        <w:r w:rsidR="00DB7855">
          <w:rPr>
            <w:noProof/>
            <w:webHidden/>
          </w:rPr>
          <w:fldChar w:fldCharType="separate"/>
        </w:r>
        <w:r w:rsidR="00DB7855">
          <w:rPr>
            <w:noProof/>
            <w:webHidden/>
          </w:rPr>
          <w:t>116</w:t>
        </w:r>
        <w:r w:rsidR="00DB7855">
          <w:rPr>
            <w:noProof/>
            <w:webHidden/>
          </w:rPr>
          <w:fldChar w:fldCharType="end"/>
        </w:r>
      </w:hyperlink>
    </w:p>
    <w:p w:rsidR="00DB7855" w:rsidRDefault="00255FFC">
      <w:pPr>
        <w:pStyle w:val="T3"/>
        <w:rPr>
          <w:rFonts w:eastAsiaTheme="minorEastAsia" w:cstheme="minorBidi"/>
          <w:noProof/>
          <w:lang w:val="en-US"/>
        </w:rPr>
      </w:pPr>
      <w:hyperlink w:anchor="_Toc132713773" w:history="1">
        <w:r w:rsidR="00DB7855" w:rsidRPr="00E95718">
          <w:rPr>
            <w:rStyle w:val="Kpr"/>
            <w:noProof/>
          </w:rPr>
          <w:t>2.4.3.</w:t>
        </w:r>
        <w:r w:rsidR="00DB7855">
          <w:rPr>
            <w:rFonts w:eastAsiaTheme="minorEastAsia" w:cstheme="minorBidi"/>
            <w:noProof/>
            <w:lang w:val="en-US"/>
          </w:rPr>
          <w:tab/>
        </w:r>
        <w:r w:rsidR="00DB7855" w:rsidRPr="00E95718">
          <w:rPr>
            <w:rStyle w:val="Kpr"/>
            <w:noProof/>
          </w:rPr>
          <w:t>Kurul Kararları</w:t>
        </w:r>
        <w:r w:rsidR="00DB7855">
          <w:rPr>
            <w:noProof/>
            <w:webHidden/>
          </w:rPr>
          <w:tab/>
        </w:r>
        <w:r w:rsidR="00DB7855">
          <w:rPr>
            <w:noProof/>
            <w:webHidden/>
          </w:rPr>
          <w:fldChar w:fldCharType="begin"/>
        </w:r>
        <w:r w:rsidR="00DB7855">
          <w:rPr>
            <w:noProof/>
            <w:webHidden/>
          </w:rPr>
          <w:instrText xml:space="preserve"> PAGEREF _Toc132713773 \h </w:instrText>
        </w:r>
        <w:r w:rsidR="00DB7855">
          <w:rPr>
            <w:noProof/>
            <w:webHidden/>
          </w:rPr>
        </w:r>
        <w:r w:rsidR="00DB7855">
          <w:rPr>
            <w:noProof/>
            <w:webHidden/>
          </w:rPr>
          <w:fldChar w:fldCharType="separate"/>
        </w:r>
        <w:r w:rsidR="00DB7855">
          <w:rPr>
            <w:noProof/>
            <w:webHidden/>
          </w:rPr>
          <w:t>117</w:t>
        </w:r>
        <w:r w:rsidR="00DB7855">
          <w:rPr>
            <w:noProof/>
            <w:webHidden/>
          </w:rPr>
          <w:fldChar w:fldCharType="end"/>
        </w:r>
      </w:hyperlink>
    </w:p>
    <w:p w:rsidR="00DB7855" w:rsidRDefault="00255FFC" w:rsidP="009D3193">
      <w:pPr>
        <w:pStyle w:val="T2"/>
        <w:rPr>
          <w:rFonts w:eastAsiaTheme="minorEastAsia" w:cstheme="minorBidi"/>
          <w:lang w:val="en-US"/>
        </w:rPr>
      </w:pPr>
      <w:hyperlink w:anchor="_Toc132713774" w:history="1">
        <w:r w:rsidR="00DB7855" w:rsidRPr="00E95718">
          <w:rPr>
            <w:rStyle w:val="Kpr"/>
          </w:rPr>
          <w:t>2.5.</w:t>
        </w:r>
        <w:r w:rsidR="00DB7855">
          <w:rPr>
            <w:rFonts w:eastAsiaTheme="minorEastAsia" w:cstheme="minorBidi"/>
            <w:lang w:val="en-US"/>
          </w:rPr>
          <w:tab/>
        </w:r>
        <w:r w:rsidR="00DB7855" w:rsidRPr="00E95718">
          <w:rPr>
            <w:rStyle w:val="Kpr"/>
          </w:rPr>
          <w:t>Sıvılaştırılmış Petrol Gazları (LPG) Piyasası Mevzuatı</w:t>
        </w:r>
        <w:r w:rsidR="00DB7855">
          <w:rPr>
            <w:webHidden/>
          </w:rPr>
          <w:tab/>
        </w:r>
        <w:r w:rsidR="00DB7855">
          <w:rPr>
            <w:webHidden/>
          </w:rPr>
          <w:fldChar w:fldCharType="begin"/>
        </w:r>
        <w:r w:rsidR="00DB7855">
          <w:rPr>
            <w:webHidden/>
          </w:rPr>
          <w:instrText xml:space="preserve"> PAGEREF _Toc132713774 \h </w:instrText>
        </w:r>
        <w:r w:rsidR="00DB7855">
          <w:rPr>
            <w:webHidden/>
          </w:rPr>
        </w:r>
        <w:r w:rsidR="00DB7855">
          <w:rPr>
            <w:webHidden/>
          </w:rPr>
          <w:fldChar w:fldCharType="separate"/>
        </w:r>
        <w:r w:rsidR="00DB7855">
          <w:rPr>
            <w:webHidden/>
          </w:rPr>
          <w:t>119</w:t>
        </w:r>
        <w:r w:rsidR="00DB7855">
          <w:rPr>
            <w:webHidden/>
          </w:rPr>
          <w:fldChar w:fldCharType="end"/>
        </w:r>
      </w:hyperlink>
    </w:p>
    <w:p w:rsidR="00DB7855" w:rsidRDefault="00255FFC">
      <w:pPr>
        <w:pStyle w:val="T3"/>
        <w:rPr>
          <w:rFonts w:eastAsiaTheme="minorEastAsia" w:cstheme="minorBidi"/>
          <w:noProof/>
          <w:lang w:val="en-US"/>
        </w:rPr>
      </w:pPr>
      <w:hyperlink w:anchor="_Toc132713775" w:history="1">
        <w:r w:rsidR="00DB7855" w:rsidRPr="00E95718">
          <w:rPr>
            <w:rStyle w:val="Kpr"/>
            <w:noProof/>
          </w:rPr>
          <w:t>2.5.1.</w:t>
        </w:r>
        <w:r w:rsidR="00DB7855">
          <w:rPr>
            <w:rFonts w:eastAsiaTheme="minorEastAsia" w:cstheme="minorBidi"/>
            <w:noProof/>
            <w:lang w:val="en-US"/>
          </w:rPr>
          <w:tab/>
        </w:r>
        <w:r w:rsidR="00DB7855" w:rsidRPr="00E95718">
          <w:rPr>
            <w:rStyle w:val="Kpr"/>
            <w:noProof/>
          </w:rPr>
          <w:t>Kanun</w:t>
        </w:r>
        <w:r w:rsidR="00DB7855">
          <w:rPr>
            <w:noProof/>
            <w:webHidden/>
          </w:rPr>
          <w:tab/>
        </w:r>
        <w:r w:rsidR="00DB7855">
          <w:rPr>
            <w:noProof/>
            <w:webHidden/>
          </w:rPr>
          <w:fldChar w:fldCharType="begin"/>
        </w:r>
        <w:r w:rsidR="00DB7855">
          <w:rPr>
            <w:noProof/>
            <w:webHidden/>
          </w:rPr>
          <w:instrText xml:space="preserve"> PAGEREF _Toc132713775 \h </w:instrText>
        </w:r>
        <w:r w:rsidR="00DB7855">
          <w:rPr>
            <w:noProof/>
            <w:webHidden/>
          </w:rPr>
        </w:r>
        <w:r w:rsidR="00DB7855">
          <w:rPr>
            <w:noProof/>
            <w:webHidden/>
          </w:rPr>
          <w:fldChar w:fldCharType="separate"/>
        </w:r>
        <w:r w:rsidR="00DB7855">
          <w:rPr>
            <w:noProof/>
            <w:webHidden/>
          </w:rPr>
          <w:t>119</w:t>
        </w:r>
        <w:r w:rsidR="00DB7855">
          <w:rPr>
            <w:noProof/>
            <w:webHidden/>
          </w:rPr>
          <w:fldChar w:fldCharType="end"/>
        </w:r>
      </w:hyperlink>
    </w:p>
    <w:p w:rsidR="00DB7855" w:rsidRDefault="00255FFC">
      <w:pPr>
        <w:pStyle w:val="T3"/>
        <w:rPr>
          <w:rFonts w:eastAsiaTheme="minorEastAsia" w:cstheme="minorBidi"/>
          <w:noProof/>
          <w:lang w:val="en-US"/>
        </w:rPr>
      </w:pPr>
      <w:hyperlink w:anchor="_Toc132713776" w:history="1">
        <w:r w:rsidR="00DB7855" w:rsidRPr="00E95718">
          <w:rPr>
            <w:rStyle w:val="Kpr"/>
            <w:noProof/>
          </w:rPr>
          <w:t>2.5.2.</w:t>
        </w:r>
        <w:r w:rsidR="00DB7855">
          <w:rPr>
            <w:rFonts w:eastAsiaTheme="minorEastAsia" w:cstheme="minorBidi"/>
            <w:noProof/>
            <w:lang w:val="en-US"/>
          </w:rPr>
          <w:tab/>
        </w:r>
        <w:r w:rsidR="00DB7855" w:rsidRPr="00E95718">
          <w:rPr>
            <w:rStyle w:val="Kpr"/>
            <w:noProof/>
          </w:rPr>
          <w:t>Yönetmelikler</w:t>
        </w:r>
        <w:r w:rsidR="00DB7855">
          <w:rPr>
            <w:noProof/>
            <w:webHidden/>
          </w:rPr>
          <w:tab/>
        </w:r>
        <w:r w:rsidR="00DB7855">
          <w:rPr>
            <w:noProof/>
            <w:webHidden/>
          </w:rPr>
          <w:fldChar w:fldCharType="begin"/>
        </w:r>
        <w:r w:rsidR="00DB7855">
          <w:rPr>
            <w:noProof/>
            <w:webHidden/>
          </w:rPr>
          <w:instrText xml:space="preserve"> PAGEREF _Toc132713776 \h </w:instrText>
        </w:r>
        <w:r w:rsidR="00DB7855">
          <w:rPr>
            <w:noProof/>
            <w:webHidden/>
          </w:rPr>
        </w:r>
        <w:r w:rsidR="00DB7855">
          <w:rPr>
            <w:noProof/>
            <w:webHidden/>
          </w:rPr>
          <w:fldChar w:fldCharType="separate"/>
        </w:r>
        <w:r w:rsidR="00DB7855">
          <w:rPr>
            <w:noProof/>
            <w:webHidden/>
          </w:rPr>
          <w:t>119</w:t>
        </w:r>
        <w:r w:rsidR="00DB7855">
          <w:rPr>
            <w:noProof/>
            <w:webHidden/>
          </w:rPr>
          <w:fldChar w:fldCharType="end"/>
        </w:r>
      </w:hyperlink>
    </w:p>
    <w:p w:rsidR="00DB7855" w:rsidRDefault="00255FFC">
      <w:pPr>
        <w:pStyle w:val="T3"/>
        <w:rPr>
          <w:rFonts w:eastAsiaTheme="minorEastAsia" w:cstheme="minorBidi"/>
          <w:noProof/>
          <w:lang w:val="en-US"/>
        </w:rPr>
      </w:pPr>
      <w:hyperlink w:anchor="_Toc132713777" w:history="1">
        <w:r w:rsidR="00DB7855" w:rsidRPr="00E95718">
          <w:rPr>
            <w:rStyle w:val="Kpr"/>
            <w:noProof/>
          </w:rPr>
          <w:t>2.5.3.</w:t>
        </w:r>
        <w:r w:rsidR="00DB7855">
          <w:rPr>
            <w:rFonts w:eastAsiaTheme="minorEastAsia" w:cstheme="minorBidi"/>
            <w:noProof/>
            <w:lang w:val="en-US"/>
          </w:rPr>
          <w:tab/>
        </w:r>
        <w:r w:rsidR="00DB7855" w:rsidRPr="00E95718">
          <w:rPr>
            <w:rStyle w:val="Kpr"/>
            <w:noProof/>
          </w:rPr>
          <w:t>Tebliğler</w:t>
        </w:r>
        <w:r w:rsidR="00DB7855">
          <w:rPr>
            <w:noProof/>
            <w:webHidden/>
          </w:rPr>
          <w:tab/>
        </w:r>
        <w:r w:rsidR="00DB7855">
          <w:rPr>
            <w:noProof/>
            <w:webHidden/>
          </w:rPr>
          <w:fldChar w:fldCharType="begin"/>
        </w:r>
        <w:r w:rsidR="00DB7855">
          <w:rPr>
            <w:noProof/>
            <w:webHidden/>
          </w:rPr>
          <w:instrText xml:space="preserve"> PAGEREF _Toc132713777 \h </w:instrText>
        </w:r>
        <w:r w:rsidR="00DB7855">
          <w:rPr>
            <w:noProof/>
            <w:webHidden/>
          </w:rPr>
        </w:r>
        <w:r w:rsidR="00DB7855">
          <w:rPr>
            <w:noProof/>
            <w:webHidden/>
          </w:rPr>
          <w:fldChar w:fldCharType="separate"/>
        </w:r>
        <w:r w:rsidR="00DB7855">
          <w:rPr>
            <w:noProof/>
            <w:webHidden/>
          </w:rPr>
          <w:t>122</w:t>
        </w:r>
        <w:r w:rsidR="00DB7855">
          <w:rPr>
            <w:noProof/>
            <w:webHidden/>
          </w:rPr>
          <w:fldChar w:fldCharType="end"/>
        </w:r>
      </w:hyperlink>
    </w:p>
    <w:p w:rsidR="00DB7855" w:rsidRDefault="00255FFC">
      <w:pPr>
        <w:pStyle w:val="T3"/>
        <w:rPr>
          <w:rFonts w:eastAsiaTheme="minorEastAsia" w:cstheme="minorBidi"/>
          <w:noProof/>
          <w:lang w:val="en-US"/>
        </w:rPr>
      </w:pPr>
      <w:hyperlink w:anchor="_Toc132713778" w:history="1">
        <w:r w:rsidR="00DB7855" w:rsidRPr="00E95718">
          <w:rPr>
            <w:rStyle w:val="Kpr"/>
            <w:noProof/>
          </w:rPr>
          <w:t>2.5.4.</w:t>
        </w:r>
        <w:r w:rsidR="00DB7855">
          <w:rPr>
            <w:rFonts w:eastAsiaTheme="minorEastAsia" w:cstheme="minorBidi"/>
            <w:noProof/>
            <w:lang w:val="en-US"/>
          </w:rPr>
          <w:tab/>
        </w:r>
        <w:r w:rsidR="00DB7855" w:rsidRPr="00E95718">
          <w:rPr>
            <w:rStyle w:val="Kpr"/>
            <w:noProof/>
          </w:rPr>
          <w:t>Kurul Kararları</w:t>
        </w:r>
        <w:r w:rsidR="00DB7855">
          <w:rPr>
            <w:noProof/>
            <w:webHidden/>
          </w:rPr>
          <w:tab/>
        </w:r>
        <w:r w:rsidR="00DB7855">
          <w:rPr>
            <w:noProof/>
            <w:webHidden/>
          </w:rPr>
          <w:fldChar w:fldCharType="begin"/>
        </w:r>
        <w:r w:rsidR="00DB7855">
          <w:rPr>
            <w:noProof/>
            <w:webHidden/>
          </w:rPr>
          <w:instrText xml:space="preserve"> PAGEREF _Toc132713778 \h </w:instrText>
        </w:r>
        <w:r w:rsidR="00DB7855">
          <w:rPr>
            <w:noProof/>
            <w:webHidden/>
          </w:rPr>
        </w:r>
        <w:r w:rsidR="00DB7855">
          <w:rPr>
            <w:noProof/>
            <w:webHidden/>
          </w:rPr>
          <w:fldChar w:fldCharType="separate"/>
        </w:r>
        <w:r w:rsidR="00DB7855">
          <w:rPr>
            <w:noProof/>
            <w:webHidden/>
          </w:rPr>
          <w:t>122</w:t>
        </w:r>
        <w:r w:rsidR="00DB7855">
          <w:rPr>
            <w:noProof/>
            <w:webHidden/>
          </w:rPr>
          <w:fldChar w:fldCharType="end"/>
        </w:r>
      </w:hyperlink>
    </w:p>
    <w:p w:rsidR="00DB7855" w:rsidRDefault="00255FFC" w:rsidP="009D3193">
      <w:pPr>
        <w:pStyle w:val="T2"/>
        <w:rPr>
          <w:rFonts w:eastAsiaTheme="minorEastAsia" w:cstheme="minorBidi"/>
          <w:lang w:val="en-US"/>
        </w:rPr>
      </w:pPr>
      <w:hyperlink w:anchor="_Toc132713779" w:history="1">
        <w:r w:rsidR="00DB7855" w:rsidRPr="00E95718">
          <w:rPr>
            <w:rStyle w:val="Kpr"/>
          </w:rPr>
          <w:t>2.6.</w:t>
        </w:r>
        <w:r w:rsidR="00DB7855">
          <w:rPr>
            <w:rFonts w:eastAsiaTheme="minorEastAsia" w:cstheme="minorBidi"/>
            <w:lang w:val="en-US"/>
          </w:rPr>
          <w:tab/>
        </w:r>
        <w:r w:rsidR="00DB7855" w:rsidRPr="00E95718">
          <w:rPr>
            <w:rStyle w:val="Kpr"/>
          </w:rPr>
          <w:t>Diğer Mevzuat Faaliyetleri</w:t>
        </w:r>
        <w:r w:rsidR="00DB7855">
          <w:rPr>
            <w:webHidden/>
          </w:rPr>
          <w:tab/>
        </w:r>
        <w:r w:rsidR="00DB7855">
          <w:rPr>
            <w:webHidden/>
          </w:rPr>
          <w:fldChar w:fldCharType="begin"/>
        </w:r>
        <w:r w:rsidR="00DB7855">
          <w:rPr>
            <w:webHidden/>
          </w:rPr>
          <w:instrText xml:space="preserve"> PAGEREF _Toc132713779 \h </w:instrText>
        </w:r>
        <w:r w:rsidR="00DB7855">
          <w:rPr>
            <w:webHidden/>
          </w:rPr>
        </w:r>
        <w:r w:rsidR="00DB7855">
          <w:rPr>
            <w:webHidden/>
          </w:rPr>
          <w:fldChar w:fldCharType="separate"/>
        </w:r>
        <w:r w:rsidR="00DB7855">
          <w:rPr>
            <w:webHidden/>
          </w:rPr>
          <w:t>123</w:t>
        </w:r>
        <w:r w:rsidR="00DB7855">
          <w:rPr>
            <w:webHidden/>
          </w:rPr>
          <w:fldChar w:fldCharType="end"/>
        </w:r>
      </w:hyperlink>
    </w:p>
    <w:p w:rsidR="00DB7855" w:rsidRDefault="00255FFC">
      <w:pPr>
        <w:pStyle w:val="T3"/>
        <w:rPr>
          <w:rFonts w:eastAsiaTheme="minorEastAsia" w:cstheme="minorBidi"/>
          <w:noProof/>
          <w:lang w:val="en-US"/>
        </w:rPr>
      </w:pPr>
      <w:hyperlink w:anchor="_Toc132713780" w:history="1">
        <w:r w:rsidR="00DB7855" w:rsidRPr="00E95718">
          <w:rPr>
            <w:rStyle w:val="Kpr"/>
            <w:noProof/>
          </w:rPr>
          <w:t>2.6.1.</w:t>
        </w:r>
        <w:r w:rsidR="00DB7855">
          <w:rPr>
            <w:rFonts w:eastAsiaTheme="minorEastAsia" w:cstheme="minorBidi"/>
            <w:noProof/>
            <w:lang w:val="en-US"/>
          </w:rPr>
          <w:tab/>
        </w:r>
        <w:r w:rsidR="00DB7855" w:rsidRPr="00E95718">
          <w:rPr>
            <w:rStyle w:val="Kpr"/>
            <w:noProof/>
          </w:rPr>
          <w:t>Enerji Piyasası Bildirimleri ile İlgili Mevzuat Değişiklikleri</w:t>
        </w:r>
        <w:r w:rsidR="00DB7855">
          <w:rPr>
            <w:noProof/>
            <w:webHidden/>
          </w:rPr>
          <w:tab/>
        </w:r>
        <w:r w:rsidR="00DB7855">
          <w:rPr>
            <w:noProof/>
            <w:webHidden/>
          </w:rPr>
          <w:fldChar w:fldCharType="begin"/>
        </w:r>
        <w:r w:rsidR="00DB7855">
          <w:rPr>
            <w:noProof/>
            <w:webHidden/>
          </w:rPr>
          <w:instrText xml:space="preserve"> PAGEREF _Toc132713780 \h </w:instrText>
        </w:r>
        <w:r w:rsidR="00DB7855">
          <w:rPr>
            <w:noProof/>
            <w:webHidden/>
          </w:rPr>
        </w:r>
        <w:r w:rsidR="00DB7855">
          <w:rPr>
            <w:noProof/>
            <w:webHidden/>
          </w:rPr>
          <w:fldChar w:fldCharType="separate"/>
        </w:r>
        <w:r w:rsidR="00DB7855">
          <w:rPr>
            <w:noProof/>
            <w:webHidden/>
          </w:rPr>
          <w:t>123</w:t>
        </w:r>
        <w:r w:rsidR="00DB7855">
          <w:rPr>
            <w:noProof/>
            <w:webHidden/>
          </w:rPr>
          <w:fldChar w:fldCharType="end"/>
        </w:r>
      </w:hyperlink>
    </w:p>
    <w:p w:rsidR="00DB7855" w:rsidRDefault="00255FFC">
      <w:pPr>
        <w:pStyle w:val="T3"/>
        <w:rPr>
          <w:rFonts w:eastAsiaTheme="minorEastAsia" w:cstheme="minorBidi"/>
          <w:noProof/>
          <w:lang w:val="en-US"/>
        </w:rPr>
      </w:pPr>
      <w:hyperlink w:anchor="_Toc132713781" w:history="1">
        <w:r w:rsidR="00DB7855" w:rsidRPr="00E95718">
          <w:rPr>
            <w:rStyle w:val="Kpr"/>
            <w:noProof/>
          </w:rPr>
          <w:t>2.6.2.</w:t>
        </w:r>
        <w:r w:rsidR="00DB7855">
          <w:rPr>
            <w:rFonts w:eastAsiaTheme="minorEastAsia" w:cstheme="minorBidi"/>
            <w:noProof/>
            <w:lang w:val="en-US"/>
          </w:rPr>
          <w:tab/>
        </w:r>
        <w:r w:rsidR="00DB7855" w:rsidRPr="00E95718">
          <w:rPr>
            <w:rStyle w:val="Kpr"/>
            <w:noProof/>
          </w:rPr>
          <w:t>Diğer Değişiklikler</w:t>
        </w:r>
        <w:r w:rsidR="00DB7855">
          <w:rPr>
            <w:noProof/>
            <w:webHidden/>
          </w:rPr>
          <w:tab/>
        </w:r>
        <w:r w:rsidR="00DB7855">
          <w:rPr>
            <w:noProof/>
            <w:webHidden/>
          </w:rPr>
          <w:fldChar w:fldCharType="begin"/>
        </w:r>
        <w:r w:rsidR="00DB7855">
          <w:rPr>
            <w:noProof/>
            <w:webHidden/>
          </w:rPr>
          <w:instrText xml:space="preserve"> PAGEREF _Toc132713781 \h </w:instrText>
        </w:r>
        <w:r w:rsidR="00DB7855">
          <w:rPr>
            <w:noProof/>
            <w:webHidden/>
          </w:rPr>
        </w:r>
        <w:r w:rsidR="00DB7855">
          <w:rPr>
            <w:noProof/>
            <w:webHidden/>
          </w:rPr>
          <w:fldChar w:fldCharType="separate"/>
        </w:r>
        <w:r w:rsidR="00DB7855">
          <w:rPr>
            <w:noProof/>
            <w:webHidden/>
          </w:rPr>
          <w:t>124</w:t>
        </w:r>
        <w:r w:rsidR="00DB7855">
          <w:rPr>
            <w:noProof/>
            <w:webHidden/>
          </w:rPr>
          <w:fldChar w:fldCharType="end"/>
        </w:r>
      </w:hyperlink>
    </w:p>
    <w:p w:rsidR="00DB7855" w:rsidRDefault="00255FFC">
      <w:pPr>
        <w:pStyle w:val="T1"/>
        <w:tabs>
          <w:tab w:val="left" w:pos="660"/>
        </w:tabs>
        <w:rPr>
          <w:rFonts w:eastAsiaTheme="minorEastAsia" w:cstheme="minorBidi"/>
          <w:b w:val="0"/>
          <w:noProof/>
          <w:lang w:val="en-US"/>
        </w:rPr>
      </w:pPr>
      <w:hyperlink w:anchor="_Toc132713782" w:history="1">
        <w:r w:rsidR="00DB7855" w:rsidRPr="00E95718">
          <w:rPr>
            <w:rStyle w:val="Kpr"/>
            <w:noProof/>
          </w:rPr>
          <w:t>3.</w:t>
        </w:r>
        <w:r w:rsidR="00DB7855">
          <w:rPr>
            <w:rFonts w:eastAsiaTheme="minorEastAsia" w:cstheme="minorBidi"/>
            <w:b w:val="0"/>
            <w:noProof/>
            <w:lang w:val="en-US"/>
          </w:rPr>
          <w:tab/>
        </w:r>
        <w:r w:rsidR="00DB7855" w:rsidRPr="00E95718">
          <w:rPr>
            <w:rStyle w:val="Kpr"/>
            <w:noProof/>
          </w:rPr>
          <w:t>LİSANSLAMA, SERTİFİKA VE İZİN VERME FAALİYETLERİ</w:t>
        </w:r>
        <w:r w:rsidR="00DB7855">
          <w:rPr>
            <w:noProof/>
            <w:webHidden/>
          </w:rPr>
          <w:tab/>
        </w:r>
        <w:r w:rsidR="00DB7855">
          <w:rPr>
            <w:noProof/>
            <w:webHidden/>
          </w:rPr>
          <w:fldChar w:fldCharType="begin"/>
        </w:r>
        <w:r w:rsidR="00DB7855">
          <w:rPr>
            <w:noProof/>
            <w:webHidden/>
          </w:rPr>
          <w:instrText xml:space="preserve"> PAGEREF _Toc132713782 \h </w:instrText>
        </w:r>
        <w:r w:rsidR="00DB7855">
          <w:rPr>
            <w:noProof/>
            <w:webHidden/>
          </w:rPr>
        </w:r>
        <w:r w:rsidR="00DB7855">
          <w:rPr>
            <w:noProof/>
            <w:webHidden/>
          </w:rPr>
          <w:fldChar w:fldCharType="separate"/>
        </w:r>
        <w:r w:rsidR="00DB7855">
          <w:rPr>
            <w:noProof/>
            <w:webHidden/>
          </w:rPr>
          <w:t>132</w:t>
        </w:r>
        <w:r w:rsidR="00DB7855">
          <w:rPr>
            <w:noProof/>
            <w:webHidden/>
          </w:rPr>
          <w:fldChar w:fldCharType="end"/>
        </w:r>
      </w:hyperlink>
    </w:p>
    <w:p w:rsidR="00DB7855" w:rsidRDefault="00255FFC" w:rsidP="009D3193">
      <w:pPr>
        <w:pStyle w:val="T2"/>
        <w:rPr>
          <w:rFonts w:eastAsiaTheme="minorEastAsia" w:cstheme="minorBidi"/>
          <w:lang w:val="en-US"/>
        </w:rPr>
      </w:pPr>
      <w:hyperlink w:anchor="_Toc132713783" w:history="1">
        <w:r w:rsidR="00DB7855" w:rsidRPr="00E95718">
          <w:rPr>
            <w:rStyle w:val="Kpr"/>
          </w:rPr>
          <w:t>3.1.</w:t>
        </w:r>
        <w:r w:rsidR="00DB7855">
          <w:rPr>
            <w:rFonts w:eastAsiaTheme="minorEastAsia" w:cstheme="minorBidi"/>
            <w:lang w:val="en-US"/>
          </w:rPr>
          <w:tab/>
        </w:r>
        <w:r w:rsidR="00DB7855" w:rsidRPr="00E95718">
          <w:rPr>
            <w:rStyle w:val="Kpr"/>
          </w:rPr>
          <w:t>Elektrik Piyasası Lisanslama ve İzin Faaliyetleri</w:t>
        </w:r>
        <w:r w:rsidR="00DB7855">
          <w:rPr>
            <w:webHidden/>
          </w:rPr>
          <w:tab/>
        </w:r>
        <w:r w:rsidR="00DB7855">
          <w:rPr>
            <w:webHidden/>
          </w:rPr>
          <w:fldChar w:fldCharType="begin"/>
        </w:r>
        <w:r w:rsidR="00DB7855">
          <w:rPr>
            <w:webHidden/>
          </w:rPr>
          <w:instrText xml:space="preserve"> PAGEREF _Toc132713783 \h </w:instrText>
        </w:r>
        <w:r w:rsidR="00DB7855">
          <w:rPr>
            <w:webHidden/>
          </w:rPr>
        </w:r>
        <w:r w:rsidR="00DB7855">
          <w:rPr>
            <w:webHidden/>
          </w:rPr>
          <w:fldChar w:fldCharType="separate"/>
        </w:r>
        <w:r w:rsidR="00DB7855">
          <w:rPr>
            <w:webHidden/>
          </w:rPr>
          <w:t>132</w:t>
        </w:r>
        <w:r w:rsidR="00DB7855">
          <w:rPr>
            <w:webHidden/>
          </w:rPr>
          <w:fldChar w:fldCharType="end"/>
        </w:r>
      </w:hyperlink>
    </w:p>
    <w:p w:rsidR="00DB7855" w:rsidRDefault="00255FFC">
      <w:pPr>
        <w:pStyle w:val="T3"/>
        <w:rPr>
          <w:rFonts w:eastAsiaTheme="minorEastAsia" w:cstheme="minorBidi"/>
          <w:noProof/>
          <w:lang w:val="en-US"/>
        </w:rPr>
      </w:pPr>
      <w:hyperlink w:anchor="_Toc132713784" w:history="1">
        <w:r w:rsidR="00DB7855" w:rsidRPr="00E95718">
          <w:rPr>
            <w:rStyle w:val="Kpr"/>
            <w:noProof/>
          </w:rPr>
          <w:t>3.1.1.</w:t>
        </w:r>
        <w:r w:rsidR="00DB7855">
          <w:rPr>
            <w:rFonts w:eastAsiaTheme="minorEastAsia" w:cstheme="minorBidi"/>
            <w:noProof/>
            <w:lang w:val="en-US"/>
          </w:rPr>
          <w:tab/>
        </w:r>
        <w:r w:rsidR="00DB7855" w:rsidRPr="00E95718">
          <w:rPr>
            <w:rStyle w:val="Kpr"/>
            <w:noProof/>
          </w:rPr>
          <w:t>Lisanslama Faaliyetleri</w:t>
        </w:r>
        <w:r w:rsidR="00DB7855">
          <w:rPr>
            <w:noProof/>
            <w:webHidden/>
          </w:rPr>
          <w:tab/>
        </w:r>
        <w:r w:rsidR="00DB7855">
          <w:rPr>
            <w:noProof/>
            <w:webHidden/>
          </w:rPr>
          <w:fldChar w:fldCharType="begin"/>
        </w:r>
        <w:r w:rsidR="00DB7855">
          <w:rPr>
            <w:noProof/>
            <w:webHidden/>
          </w:rPr>
          <w:instrText xml:space="preserve"> PAGEREF _Toc132713784 \h </w:instrText>
        </w:r>
        <w:r w:rsidR="00DB7855">
          <w:rPr>
            <w:noProof/>
            <w:webHidden/>
          </w:rPr>
        </w:r>
        <w:r w:rsidR="00DB7855">
          <w:rPr>
            <w:noProof/>
            <w:webHidden/>
          </w:rPr>
          <w:fldChar w:fldCharType="separate"/>
        </w:r>
        <w:r w:rsidR="00DB7855">
          <w:rPr>
            <w:noProof/>
            <w:webHidden/>
          </w:rPr>
          <w:t>132</w:t>
        </w:r>
        <w:r w:rsidR="00DB7855">
          <w:rPr>
            <w:noProof/>
            <w:webHidden/>
          </w:rPr>
          <w:fldChar w:fldCharType="end"/>
        </w:r>
      </w:hyperlink>
    </w:p>
    <w:p w:rsidR="00DB7855" w:rsidRDefault="00255FFC">
      <w:pPr>
        <w:pStyle w:val="T3"/>
        <w:rPr>
          <w:rFonts w:eastAsiaTheme="minorEastAsia" w:cstheme="minorBidi"/>
          <w:noProof/>
          <w:lang w:val="en-US"/>
        </w:rPr>
      </w:pPr>
      <w:hyperlink w:anchor="_Toc132713785" w:history="1">
        <w:r w:rsidR="00DB7855" w:rsidRPr="00E95718">
          <w:rPr>
            <w:rStyle w:val="Kpr"/>
            <w:noProof/>
          </w:rPr>
          <w:t>3.1.2.</w:t>
        </w:r>
        <w:r w:rsidR="00DB7855">
          <w:rPr>
            <w:rFonts w:eastAsiaTheme="minorEastAsia" w:cstheme="minorBidi"/>
            <w:noProof/>
            <w:lang w:val="en-US"/>
          </w:rPr>
          <w:tab/>
        </w:r>
        <w:r w:rsidR="00DB7855" w:rsidRPr="00E95718">
          <w:rPr>
            <w:rStyle w:val="Kpr"/>
            <w:noProof/>
          </w:rPr>
          <w:t>İthalat ve İhracat İzinleri</w:t>
        </w:r>
        <w:r w:rsidR="00DB7855">
          <w:rPr>
            <w:noProof/>
            <w:webHidden/>
          </w:rPr>
          <w:tab/>
        </w:r>
        <w:r w:rsidR="00DB7855">
          <w:rPr>
            <w:noProof/>
            <w:webHidden/>
          </w:rPr>
          <w:fldChar w:fldCharType="begin"/>
        </w:r>
        <w:r w:rsidR="00DB7855">
          <w:rPr>
            <w:noProof/>
            <w:webHidden/>
          </w:rPr>
          <w:instrText xml:space="preserve"> PAGEREF _Toc132713785 \h </w:instrText>
        </w:r>
        <w:r w:rsidR="00DB7855">
          <w:rPr>
            <w:noProof/>
            <w:webHidden/>
          </w:rPr>
        </w:r>
        <w:r w:rsidR="00DB7855">
          <w:rPr>
            <w:noProof/>
            <w:webHidden/>
          </w:rPr>
          <w:fldChar w:fldCharType="separate"/>
        </w:r>
        <w:r w:rsidR="00DB7855">
          <w:rPr>
            <w:noProof/>
            <w:webHidden/>
          </w:rPr>
          <w:t>134</w:t>
        </w:r>
        <w:r w:rsidR="00DB7855">
          <w:rPr>
            <w:noProof/>
            <w:webHidden/>
          </w:rPr>
          <w:fldChar w:fldCharType="end"/>
        </w:r>
      </w:hyperlink>
    </w:p>
    <w:p w:rsidR="00DB7855" w:rsidRDefault="00255FFC" w:rsidP="009D3193">
      <w:pPr>
        <w:pStyle w:val="T2"/>
        <w:rPr>
          <w:rFonts w:eastAsiaTheme="minorEastAsia" w:cstheme="minorBidi"/>
          <w:lang w:val="en-US"/>
        </w:rPr>
      </w:pPr>
      <w:hyperlink w:anchor="_Toc132713786" w:history="1">
        <w:r w:rsidR="00DB7855" w:rsidRPr="00E95718">
          <w:rPr>
            <w:rStyle w:val="Kpr"/>
          </w:rPr>
          <w:t>3.2.</w:t>
        </w:r>
        <w:r w:rsidR="00DB7855">
          <w:rPr>
            <w:rFonts w:eastAsiaTheme="minorEastAsia" w:cstheme="minorBidi"/>
            <w:lang w:val="en-US"/>
          </w:rPr>
          <w:tab/>
        </w:r>
        <w:r w:rsidR="00DB7855" w:rsidRPr="00E95718">
          <w:rPr>
            <w:rStyle w:val="Kpr"/>
          </w:rPr>
          <w:t>Şarj Hizmeti Piyasası Lisanslama Faaliyetleri</w:t>
        </w:r>
        <w:r w:rsidR="00DB7855">
          <w:rPr>
            <w:webHidden/>
          </w:rPr>
          <w:tab/>
        </w:r>
        <w:r w:rsidR="00DB7855">
          <w:rPr>
            <w:webHidden/>
          </w:rPr>
          <w:fldChar w:fldCharType="begin"/>
        </w:r>
        <w:r w:rsidR="00DB7855">
          <w:rPr>
            <w:webHidden/>
          </w:rPr>
          <w:instrText xml:space="preserve"> PAGEREF _Toc132713786 \h </w:instrText>
        </w:r>
        <w:r w:rsidR="00DB7855">
          <w:rPr>
            <w:webHidden/>
          </w:rPr>
        </w:r>
        <w:r w:rsidR="00DB7855">
          <w:rPr>
            <w:webHidden/>
          </w:rPr>
          <w:fldChar w:fldCharType="separate"/>
        </w:r>
        <w:r w:rsidR="00DB7855">
          <w:rPr>
            <w:webHidden/>
          </w:rPr>
          <w:t>135</w:t>
        </w:r>
        <w:r w:rsidR="00DB7855">
          <w:rPr>
            <w:webHidden/>
          </w:rPr>
          <w:fldChar w:fldCharType="end"/>
        </w:r>
      </w:hyperlink>
    </w:p>
    <w:p w:rsidR="00DB7855" w:rsidRDefault="00255FFC" w:rsidP="009D3193">
      <w:pPr>
        <w:pStyle w:val="T2"/>
        <w:rPr>
          <w:rFonts w:eastAsiaTheme="minorEastAsia" w:cstheme="minorBidi"/>
          <w:lang w:val="en-US"/>
        </w:rPr>
      </w:pPr>
      <w:hyperlink w:anchor="_Toc132713787" w:history="1">
        <w:r w:rsidR="00DB7855" w:rsidRPr="00E95718">
          <w:rPr>
            <w:rStyle w:val="Kpr"/>
          </w:rPr>
          <w:t>3.3.</w:t>
        </w:r>
        <w:r w:rsidR="00DB7855">
          <w:rPr>
            <w:rFonts w:eastAsiaTheme="minorEastAsia" w:cstheme="minorBidi"/>
            <w:lang w:val="en-US"/>
          </w:rPr>
          <w:tab/>
        </w:r>
        <w:r w:rsidR="00DB7855" w:rsidRPr="00E95718">
          <w:rPr>
            <w:rStyle w:val="Kpr"/>
          </w:rPr>
          <w:t>Doğal Gaz Piyasası Lisanslama ve Sertifika Faaliyetleri</w:t>
        </w:r>
        <w:r w:rsidR="00DB7855">
          <w:rPr>
            <w:webHidden/>
          </w:rPr>
          <w:tab/>
        </w:r>
        <w:r w:rsidR="00DB7855">
          <w:rPr>
            <w:webHidden/>
          </w:rPr>
          <w:fldChar w:fldCharType="begin"/>
        </w:r>
        <w:r w:rsidR="00DB7855">
          <w:rPr>
            <w:webHidden/>
          </w:rPr>
          <w:instrText xml:space="preserve"> PAGEREF _Toc132713787 \h </w:instrText>
        </w:r>
        <w:r w:rsidR="00DB7855">
          <w:rPr>
            <w:webHidden/>
          </w:rPr>
        </w:r>
        <w:r w:rsidR="00DB7855">
          <w:rPr>
            <w:webHidden/>
          </w:rPr>
          <w:fldChar w:fldCharType="separate"/>
        </w:r>
        <w:r w:rsidR="00DB7855">
          <w:rPr>
            <w:webHidden/>
          </w:rPr>
          <w:t>136</w:t>
        </w:r>
        <w:r w:rsidR="00DB7855">
          <w:rPr>
            <w:webHidden/>
          </w:rPr>
          <w:fldChar w:fldCharType="end"/>
        </w:r>
      </w:hyperlink>
    </w:p>
    <w:p w:rsidR="00DB7855" w:rsidRDefault="00255FFC">
      <w:pPr>
        <w:pStyle w:val="T3"/>
        <w:rPr>
          <w:rFonts w:eastAsiaTheme="minorEastAsia" w:cstheme="minorBidi"/>
          <w:noProof/>
          <w:lang w:val="en-US"/>
        </w:rPr>
      </w:pPr>
      <w:hyperlink w:anchor="_Toc132713788" w:history="1">
        <w:r w:rsidR="00DB7855" w:rsidRPr="00E95718">
          <w:rPr>
            <w:rStyle w:val="Kpr"/>
            <w:noProof/>
          </w:rPr>
          <w:t>3.3.1.</w:t>
        </w:r>
        <w:r w:rsidR="00DB7855">
          <w:rPr>
            <w:rFonts w:eastAsiaTheme="minorEastAsia" w:cstheme="minorBidi"/>
            <w:noProof/>
            <w:lang w:val="en-US"/>
          </w:rPr>
          <w:tab/>
        </w:r>
        <w:r w:rsidR="00DB7855" w:rsidRPr="00E95718">
          <w:rPr>
            <w:rStyle w:val="Kpr"/>
            <w:noProof/>
          </w:rPr>
          <w:t>Lisans İşlemleri</w:t>
        </w:r>
        <w:r w:rsidR="00DB7855">
          <w:rPr>
            <w:noProof/>
            <w:webHidden/>
          </w:rPr>
          <w:tab/>
        </w:r>
        <w:r w:rsidR="00DB7855">
          <w:rPr>
            <w:noProof/>
            <w:webHidden/>
          </w:rPr>
          <w:fldChar w:fldCharType="begin"/>
        </w:r>
        <w:r w:rsidR="00DB7855">
          <w:rPr>
            <w:noProof/>
            <w:webHidden/>
          </w:rPr>
          <w:instrText xml:space="preserve"> PAGEREF _Toc132713788 \h </w:instrText>
        </w:r>
        <w:r w:rsidR="00DB7855">
          <w:rPr>
            <w:noProof/>
            <w:webHidden/>
          </w:rPr>
        </w:r>
        <w:r w:rsidR="00DB7855">
          <w:rPr>
            <w:noProof/>
            <w:webHidden/>
          </w:rPr>
          <w:fldChar w:fldCharType="separate"/>
        </w:r>
        <w:r w:rsidR="00DB7855">
          <w:rPr>
            <w:noProof/>
            <w:webHidden/>
          </w:rPr>
          <w:t>136</w:t>
        </w:r>
        <w:r w:rsidR="00DB7855">
          <w:rPr>
            <w:noProof/>
            <w:webHidden/>
          </w:rPr>
          <w:fldChar w:fldCharType="end"/>
        </w:r>
      </w:hyperlink>
    </w:p>
    <w:p w:rsidR="00DB7855" w:rsidRDefault="00255FFC">
      <w:pPr>
        <w:pStyle w:val="T3"/>
        <w:rPr>
          <w:rFonts w:eastAsiaTheme="minorEastAsia" w:cstheme="minorBidi"/>
          <w:noProof/>
          <w:lang w:val="en-US"/>
        </w:rPr>
      </w:pPr>
      <w:hyperlink w:anchor="_Toc132713789" w:history="1">
        <w:r w:rsidR="00DB7855" w:rsidRPr="00E95718">
          <w:rPr>
            <w:rStyle w:val="Kpr"/>
            <w:noProof/>
          </w:rPr>
          <w:t>3.3.2.</w:t>
        </w:r>
        <w:r w:rsidR="00DB7855">
          <w:rPr>
            <w:rFonts w:eastAsiaTheme="minorEastAsia" w:cstheme="minorBidi"/>
            <w:noProof/>
            <w:lang w:val="en-US"/>
          </w:rPr>
          <w:tab/>
        </w:r>
        <w:r w:rsidR="00DB7855" w:rsidRPr="00E95718">
          <w:rPr>
            <w:rStyle w:val="Kpr"/>
            <w:noProof/>
          </w:rPr>
          <w:t>Sertifika İşlemleri</w:t>
        </w:r>
        <w:r w:rsidR="00DB7855">
          <w:rPr>
            <w:noProof/>
            <w:webHidden/>
          </w:rPr>
          <w:tab/>
        </w:r>
        <w:r w:rsidR="00DB7855">
          <w:rPr>
            <w:noProof/>
            <w:webHidden/>
          </w:rPr>
          <w:fldChar w:fldCharType="begin"/>
        </w:r>
        <w:r w:rsidR="00DB7855">
          <w:rPr>
            <w:noProof/>
            <w:webHidden/>
          </w:rPr>
          <w:instrText xml:space="preserve"> PAGEREF _Toc132713789 \h </w:instrText>
        </w:r>
        <w:r w:rsidR="00DB7855">
          <w:rPr>
            <w:noProof/>
            <w:webHidden/>
          </w:rPr>
        </w:r>
        <w:r w:rsidR="00DB7855">
          <w:rPr>
            <w:noProof/>
            <w:webHidden/>
          </w:rPr>
          <w:fldChar w:fldCharType="separate"/>
        </w:r>
        <w:r w:rsidR="00DB7855">
          <w:rPr>
            <w:noProof/>
            <w:webHidden/>
          </w:rPr>
          <w:t>137</w:t>
        </w:r>
        <w:r w:rsidR="00DB7855">
          <w:rPr>
            <w:noProof/>
            <w:webHidden/>
          </w:rPr>
          <w:fldChar w:fldCharType="end"/>
        </w:r>
      </w:hyperlink>
    </w:p>
    <w:p w:rsidR="00DB7855" w:rsidRDefault="00255FFC" w:rsidP="009D3193">
      <w:pPr>
        <w:pStyle w:val="T2"/>
        <w:rPr>
          <w:rFonts w:eastAsiaTheme="minorEastAsia" w:cstheme="minorBidi"/>
          <w:lang w:val="en-US"/>
        </w:rPr>
      </w:pPr>
      <w:hyperlink w:anchor="_Toc132713790" w:history="1">
        <w:r w:rsidR="00DB7855" w:rsidRPr="00E95718">
          <w:rPr>
            <w:rStyle w:val="Kpr"/>
          </w:rPr>
          <w:t>3.4.</w:t>
        </w:r>
        <w:r w:rsidR="00DB7855">
          <w:rPr>
            <w:rFonts w:eastAsiaTheme="minorEastAsia" w:cstheme="minorBidi"/>
            <w:lang w:val="en-US"/>
          </w:rPr>
          <w:tab/>
        </w:r>
        <w:r w:rsidR="00DB7855" w:rsidRPr="00E95718">
          <w:rPr>
            <w:rStyle w:val="Kpr"/>
          </w:rPr>
          <w:t>Petrol Piyasası Lisanslama Faaliyetleri</w:t>
        </w:r>
        <w:r w:rsidR="00DB7855">
          <w:rPr>
            <w:webHidden/>
          </w:rPr>
          <w:tab/>
        </w:r>
        <w:r w:rsidR="00DB7855">
          <w:rPr>
            <w:webHidden/>
          </w:rPr>
          <w:fldChar w:fldCharType="begin"/>
        </w:r>
        <w:r w:rsidR="00DB7855">
          <w:rPr>
            <w:webHidden/>
          </w:rPr>
          <w:instrText xml:space="preserve"> PAGEREF _Toc132713790 \h </w:instrText>
        </w:r>
        <w:r w:rsidR="00DB7855">
          <w:rPr>
            <w:webHidden/>
          </w:rPr>
        </w:r>
        <w:r w:rsidR="00DB7855">
          <w:rPr>
            <w:webHidden/>
          </w:rPr>
          <w:fldChar w:fldCharType="separate"/>
        </w:r>
        <w:r w:rsidR="00DB7855">
          <w:rPr>
            <w:webHidden/>
          </w:rPr>
          <w:t>138</w:t>
        </w:r>
        <w:r w:rsidR="00DB7855">
          <w:rPr>
            <w:webHidden/>
          </w:rPr>
          <w:fldChar w:fldCharType="end"/>
        </w:r>
      </w:hyperlink>
    </w:p>
    <w:p w:rsidR="00DB7855" w:rsidRDefault="00255FFC">
      <w:pPr>
        <w:pStyle w:val="T3"/>
        <w:rPr>
          <w:rFonts w:eastAsiaTheme="minorEastAsia" w:cstheme="minorBidi"/>
          <w:noProof/>
          <w:lang w:val="en-US"/>
        </w:rPr>
      </w:pPr>
      <w:hyperlink w:anchor="_Toc132713791" w:history="1">
        <w:r w:rsidR="00DB7855" w:rsidRPr="00E95718">
          <w:rPr>
            <w:rStyle w:val="Kpr"/>
            <w:noProof/>
          </w:rPr>
          <w:t>3.4.1.</w:t>
        </w:r>
        <w:r w:rsidR="00DB7855">
          <w:rPr>
            <w:rFonts w:eastAsiaTheme="minorEastAsia" w:cstheme="minorBidi"/>
            <w:noProof/>
            <w:lang w:val="en-US"/>
          </w:rPr>
          <w:tab/>
        </w:r>
        <w:r w:rsidR="00DB7855" w:rsidRPr="00E95718">
          <w:rPr>
            <w:rStyle w:val="Kpr"/>
            <w:noProof/>
          </w:rPr>
          <w:t>Akaryakıt Harici Ürün İzinlerine Dair İşlemler</w:t>
        </w:r>
        <w:r w:rsidR="00DB7855">
          <w:rPr>
            <w:noProof/>
            <w:webHidden/>
          </w:rPr>
          <w:tab/>
        </w:r>
        <w:r w:rsidR="00DB7855">
          <w:rPr>
            <w:noProof/>
            <w:webHidden/>
          </w:rPr>
          <w:fldChar w:fldCharType="begin"/>
        </w:r>
        <w:r w:rsidR="00DB7855">
          <w:rPr>
            <w:noProof/>
            <w:webHidden/>
          </w:rPr>
          <w:instrText xml:space="preserve"> PAGEREF _Toc132713791 \h </w:instrText>
        </w:r>
        <w:r w:rsidR="00DB7855">
          <w:rPr>
            <w:noProof/>
            <w:webHidden/>
          </w:rPr>
        </w:r>
        <w:r w:rsidR="00DB7855">
          <w:rPr>
            <w:noProof/>
            <w:webHidden/>
          </w:rPr>
          <w:fldChar w:fldCharType="separate"/>
        </w:r>
        <w:r w:rsidR="00DB7855">
          <w:rPr>
            <w:noProof/>
            <w:webHidden/>
          </w:rPr>
          <w:t>140</w:t>
        </w:r>
        <w:r w:rsidR="00DB7855">
          <w:rPr>
            <w:noProof/>
            <w:webHidden/>
          </w:rPr>
          <w:fldChar w:fldCharType="end"/>
        </w:r>
      </w:hyperlink>
    </w:p>
    <w:p w:rsidR="00DB7855" w:rsidRDefault="00255FFC">
      <w:pPr>
        <w:pStyle w:val="T3"/>
        <w:rPr>
          <w:rFonts w:eastAsiaTheme="minorEastAsia" w:cstheme="minorBidi"/>
          <w:noProof/>
          <w:lang w:val="en-US"/>
        </w:rPr>
      </w:pPr>
      <w:hyperlink w:anchor="_Toc132713792" w:history="1">
        <w:r w:rsidR="00DB7855" w:rsidRPr="00E95718">
          <w:rPr>
            <w:rStyle w:val="Kpr"/>
            <w:noProof/>
          </w:rPr>
          <w:t>3.4.2.</w:t>
        </w:r>
        <w:r w:rsidR="00DB7855">
          <w:rPr>
            <w:rFonts w:eastAsiaTheme="minorEastAsia" w:cstheme="minorBidi"/>
            <w:noProof/>
            <w:lang w:val="en-US"/>
          </w:rPr>
          <w:tab/>
        </w:r>
        <w:r w:rsidR="00DB7855" w:rsidRPr="00E95718">
          <w:rPr>
            <w:rStyle w:val="Kpr"/>
            <w:noProof/>
          </w:rPr>
          <w:t>Lisans Sahiplerine Yönelik Otomasyon Çalışmaları</w:t>
        </w:r>
        <w:r w:rsidR="00DB7855">
          <w:rPr>
            <w:noProof/>
            <w:webHidden/>
          </w:rPr>
          <w:tab/>
        </w:r>
        <w:r w:rsidR="00DB7855">
          <w:rPr>
            <w:noProof/>
            <w:webHidden/>
          </w:rPr>
          <w:fldChar w:fldCharType="begin"/>
        </w:r>
        <w:r w:rsidR="00DB7855">
          <w:rPr>
            <w:noProof/>
            <w:webHidden/>
          </w:rPr>
          <w:instrText xml:space="preserve"> PAGEREF _Toc132713792 \h </w:instrText>
        </w:r>
        <w:r w:rsidR="00DB7855">
          <w:rPr>
            <w:noProof/>
            <w:webHidden/>
          </w:rPr>
        </w:r>
        <w:r w:rsidR="00DB7855">
          <w:rPr>
            <w:noProof/>
            <w:webHidden/>
          </w:rPr>
          <w:fldChar w:fldCharType="separate"/>
        </w:r>
        <w:r w:rsidR="00DB7855">
          <w:rPr>
            <w:noProof/>
            <w:webHidden/>
          </w:rPr>
          <w:t>140</w:t>
        </w:r>
        <w:r w:rsidR="00DB7855">
          <w:rPr>
            <w:noProof/>
            <w:webHidden/>
          </w:rPr>
          <w:fldChar w:fldCharType="end"/>
        </w:r>
      </w:hyperlink>
    </w:p>
    <w:p w:rsidR="00DB7855" w:rsidRDefault="00255FFC">
      <w:pPr>
        <w:pStyle w:val="T4"/>
        <w:tabs>
          <w:tab w:val="left" w:pos="1760"/>
          <w:tab w:val="right" w:leader="dot" w:pos="9060"/>
        </w:tabs>
        <w:rPr>
          <w:rFonts w:eastAsiaTheme="minorEastAsia" w:cstheme="minorBidi"/>
          <w:noProof/>
          <w:lang w:val="en-US"/>
        </w:rPr>
      </w:pPr>
      <w:hyperlink w:anchor="_Toc132713793" w:history="1">
        <w:r w:rsidR="00DB7855" w:rsidRPr="00E95718">
          <w:rPr>
            <w:rStyle w:val="Kpr"/>
            <w:noProof/>
          </w:rPr>
          <w:t>3.4.2.1.</w:t>
        </w:r>
        <w:r w:rsidR="00DB7855">
          <w:rPr>
            <w:rFonts w:eastAsiaTheme="minorEastAsia" w:cstheme="minorBidi"/>
            <w:noProof/>
            <w:lang w:val="en-US"/>
          </w:rPr>
          <w:tab/>
        </w:r>
        <w:r w:rsidR="00DB7855" w:rsidRPr="00E95718">
          <w:rPr>
            <w:rStyle w:val="Kpr"/>
            <w:noProof/>
          </w:rPr>
          <w:t>Ulusal Marker</w:t>
        </w:r>
        <w:r w:rsidR="00DB7855">
          <w:rPr>
            <w:noProof/>
            <w:webHidden/>
          </w:rPr>
          <w:tab/>
        </w:r>
        <w:r w:rsidR="00DB7855">
          <w:rPr>
            <w:noProof/>
            <w:webHidden/>
          </w:rPr>
          <w:fldChar w:fldCharType="begin"/>
        </w:r>
        <w:r w:rsidR="00DB7855">
          <w:rPr>
            <w:noProof/>
            <w:webHidden/>
          </w:rPr>
          <w:instrText xml:space="preserve"> PAGEREF _Toc132713793 \h </w:instrText>
        </w:r>
        <w:r w:rsidR="00DB7855">
          <w:rPr>
            <w:noProof/>
            <w:webHidden/>
          </w:rPr>
        </w:r>
        <w:r w:rsidR="00DB7855">
          <w:rPr>
            <w:noProof/>
            <w:webHidden/>
          </w:rPr>
          <w:fldChar w:fldCharType="separate"/>
        </w:r>
        <w:r w:rsidR="00DB7855">
          <w:rPr>
            <w:noProof/>
            <w:webHidden/>
          </w:rPr>
          <w:t>140</w:t>
        </w:r>
        <w:r w:rsidR="00DB7855">
          <w:rPr>
            <w:noProof/>
            <w:webHidden/>
          </w:rPr>
          <w:fldChar w:fldCharType="end"/>
        </w:r>
      </w:hyperlink>
    </w:p>
    <w:p w:rsidR="00DB7855" w:rsidRDefault="00255FFC">
      <w:pPr>
        <w:pStyle w:val="T4"/>
        <w:tabs>
          <w:tab w:val="left" w:pos="1760"/>
          <w:tab w:val="right" w:leader="dot" w:pos="9060"/>
        </w:tabs>
        <w:rPr>
          <w:rFonts w:eastAsiaTheme="minorEastAsia" w:cstheme="minorBidi"/>
          <w:noProof/>
          <w:lang w:val="en-US"/>
        </w:rPr>
      </w:pPr>
      <w:hyperlink w:anchor="_Toc132713794" w:history="1">
        <w:r w:rsidR="00DB7855" w:rsidRPr="00E95718">
          <w:rPr>
            <w:rStyle w:val="Kpr"/>
            <w:noProof/>
          </w:rPr>
          <w:t>3.4.2.2.</w:t>
        </w:r>
        <w:r w:rsidR="00DB7855">
          <w:rPr>
            <w:rFonts w:eastAsiaTheme="minorEastAsia" w:cstheme="minorBidi"/>
            <w:noProof/>
            <w:lang w:val="en-US"/>
          </w:rPr>
          <w:tab/>
        </w:r>
        <w:r w:rsidR="00DB7855" w:rsidRPr="00E95718">
          <w:rPr>
            <w:rStyle w:val="Kpr"/>
            <w:noProof/>
          </w:rPr>
          <w:t>Akaryakıt Bayileri Otomasyon Sistemi</w:t>
        </w:r>
        <w:r w:rsidR="00DB7855">
          <w:rPr>
            <w:noProof/>
            <w:webHidden/>
          </w:rPr>
          <w:tab/>
        </w:r>
        <w:r w:rsidR="00DB7855">
          <w:rPr>
            <w:noProof/>
            <w:webHidden/>
          </w:rPr>
          <w:fldChar w:fldCharType="begin"/>
        </w:r>
        <w:r w:rsidR="00DB7855">
          <w:rPr>
            <w:noProof/>
            <w:webHidden/>
          </w:rPr>
          <w:instrText xml:space="preserve"> PAGEREF _Toc132713794 \h </w:instrText>
        </w:r>
        <w:r w:rsidR="00DB7855">
          <w:rPr>
            <w:noProof/>
            <w:webHidden/>
          </w:rPr>
        </w:r>
        <w:r w:rsidR="00DB7855">
          <w:rPr>
            <w:noProof/>
            <w:webHidden/>
          </w:rPr>
          <w:fldChar w:fldCharType="separate"/>
        </w:r>
        <w:r w:rsidR="00DB7855">
          <w:rPr>
            <w:noProof/>
            <w:webHidden/>
          </w:rPr>
          <w:t>142</w:t>
        </w:r>
        <w:r w:rsidR="00DB7855">
          <w:rPr>
            <w:noProof/>
            <w:webHidden/>
          </w:rPr>
          <w:fldChar w:fldCharType="end"/>
        </w:r>
      </w:hyperlink>
    </w:p>
    <w:p w:rsidR="00DB7855" w:rsidRDefault="00255FFC">
      <w:pPr>
        <w:pStyle w:val="T4"/>
        <w:tabs>
          <w:tab w:val="left" w:pos="1760"/>
          <w:tab w:val="right" w:leader="dot" w:pos="9060"/>
        </w:tabs>
        <w:rPr>
          <w:rFonts w:eastAsiaTheme="minorEastAsia" w:cstheme="minorBidi"/>
          <w:noProof/>
          <w:lang w:val="en-US"/>
        </w:rPr>
      </w:pPr>
      <w:hyperlink w:anchor="_Toc132713795" w:history="1">
        <w:r w:rsidR="00DB7855" w:rsidRPr="00E95718">
          <w:rPr>
            <w:rStyle w:val="Kpr"/>
            <w:noProof/>
          </w:rPr>
          <w:t>3.4.2.3.</w:t>
        </w:r>
        <w:r w:rsidR="00DB7855">
          <w:rPr>
            <w:rFonts w:eastAsiaTheme="minorEastAsia" w:cstheme="minorBidi"/>
            <w:noProof/>
            <w:lang w:val="en-US"/>
          </w:rPr>
          <w:tab/>
        </w:r>
        <w:r w:rsidR="00DB7855" w:rsidRPr="00E95718">
          <w:rPr>
            <w:rStyle w:val="Kpr"/>
            <w:noProof/>
          </w:rPr>
          <w:t>Petrol Depo Stok Takip Sistemi</w:t>
        </w:r>
        <w:r w:rsidR="00DB7855">
          <w:rPr>
            <w:noProof/>
            <w:webHidden/>
          </w:rPr>
          <w:tab/>
        </w:r>
        <w:r w:rsidR="00DB7855">
          <w:rPr>
            <w:noProof/>
            <w:webHidden/>
          </w:rPr>
          <w:fldChar w:fldCharType="begin"/>
        </w:r>
        <w:r w:rsidR="00DB7855">
          <w:rPr>
            <w:noProof/>
            <w:webHidden/>
          </w:rPr>
          <w:instrText xml:space="preserve"> PAGEREF _Toc132713795 \h </w:instrText>
        </w:r>
        <w:r w:rsidR="00DB7855">
          <w:rPr>
            <w:noProof/>
            <w:webHidden/>
          </w:rPr>
        </w:r>
        <w:r w:rsidR="00DB7855">
          <w:rPr>
            <w:noProof/>
            <w:webHidden/>
          </w:rPr>
          <w:fldChar w:fldCharType="separate"/>
        </w:r>
        <w:r w:rsidR="00DB7855">
          <w:rPr>
            <w:noProof/>
            <w:webHidden/>
          </w:rPr>
          <w:t>143</w:t>
        </w:r>
        <w:r w:rsidR="00DB7855">
          <w:rPr>
            <w:noProof/>
            <w:webHidden/>
          </w:rPr>
          <w:fldChar w:fldCharType="end"/>
        </w:r>
      </w:hyperlink>
    </w:p>
    <w:p w:rsidR="00DB7855" w:rsidRDefault="00255FFC" w:rsidP="009D3193">
      <w:pPr>
        <w:pStyle w:val="T2"/>
        <w:rPr>
          <w:rFonts w:eastAsiaTheme="minorEastAsia" w:cstheme="minorBidi"/>
          <w:lang w:val="en-US"/>
        </w:rPr>
      </w:pPr>
      <w:hyperlink w:anchor="_Toc132713796" w:history="1">
        <w:r w:rsidR="00DB7855" w:rsidRPr="00E95718">
          <w:rPr>
            <w:rStyle w:val="Kpr"/>
          </w:rPr>
          <w:t>3.5.</w:t>
        </w:r>
        <w:r w:rsidR="00DB7855">
          <w:rPr>
            <w:rFonts w:eastAsiaTheme="minorEastAsia" w:cstheme="minorBidi"/>
            <w:lang w:val="en-US"/>
          </w:rPr>
          <w:tab/>
        </w:r>
        <w:r w:rsidR="00DB7855" w:rsidRPr="00E95718">
          <w:rPr>
            <w:rStyle w:val="Kpr"/>
          </w:rPr>
          <w:t>Sıvılaştırılmış Petrol Gazları (LPG) Piyasası Lisanslama Faaliyetleri</w:t>
        </w:r>
        <w:r w:rsidR="00DB7855">
          <w:rPr>
            <w:webHidden/>
          </w:rPr>
          <w:tab/>
        </w:r>
        <w:r w:rsidR="00DB7855">
          <w:rPr>
            <w:webHidden/>
          </w:rPr>
          <w:fldChar w:fldCharType="begin"/>
        </w:r>
        <w:r w:rsidR="00DB7855">
          <w:rPr>
            <w:webHidden/>
          </w:rPr>
          <w:instrText xml:space="preserve"> PAGEREF _Toc132713796 \h </w:instrText>
        </w:r>
        <w:r w:rsidR="00DB7855">
          <w:rPr>
            <w:webHidden/>
          </w:rPr>
        </w:r>
        <w:r w:rsidR="00DB7855">
          <w:rPr>
            <w:webHidden/>
          </w:rPr>
          <w:fldChar w:fldCharType="separate"/>
        </w:r>
        <w:r w:rsidR="00DB7855">
          <w:rPr>
            <w:webHidden/>
          </w:rPr>
          <w:t>144</w:t>
        </w:r>
        <w:r w:rsidR="00DB7855">
          <w:rPr>
            <w:webHidden/>
          </w:rPr>
          <w:fldChar w:fldCharType="end"/>
        </w:r>
      </w:hyperlink>
    </w:p>
    <w:p w:rsidR="00DB7855" w:rsidRDefault="00255FFC">
      <w:pPr>
        <w:pStyle w:val="T4"/>
        <w:tabs>
          <w:tab w:val="left" w:pos="1540"/>
          <w:tab w:val="right" w:leader="dot" w:pos="9060"/>
        </w:tabs>
        <w:rPr>
          <w:rFonts w:eastAsiaTheme="minorEastAsia" w:cstheme="minorBidi"/>
          <w:noProof/>
          <w:lang w:val="en-US"/>
        </w:rPr>
      </w:pPr>
      <w:hyperlink w:anchor="_Toc132713797" w:history="1">
        <w:r w:rsidR="00DB7855" w:rsidRPr="00E95718">
          <w:rPr>
            <w:rStyle w:val="Kpr"/>
            <w:rFonts w:cstheme="minorHAnsi"/>
            <w:noProof/>
          </w:rPr>
          <w:t>3.5.1.</w:t>
        </w:r>
        <w:r w:rsidR="00DB7855">
          <w:rPr>
            <w:rFonts w:eastAsiaTheme="minorEastAsia" w:cstheme="minorBidi"/>
            <w:noProof/>
            <w:lang w:val="en-US"/>
          </w:rPr>
          <w:tab/>
        </w:r>
        <w:r w:rsidR="00DB7855" w:rsidRPr="00E95718">
          <w:rPr>
            <w:rStyle w:val="Kpr"/>
            <w:rFonts w:cstheme="minorHAnsi"/>
            <w:noProof/>
          </w:rPr>
          <w:t>Sıvılaştırılmış Petrol Gazları (LPG) Piyasası Kupon İzni Verme Faaliyetleri</w:t>
        </w:r>
        <w:r w:rsidR="00DB7855">
          <w:rPr>
            <w:noProof/>
            <w:webHidden/>
          </w:rPr>
          <w:tab/>
        </w:r>
        <w:r w:rsidR="00DB7855">
          <w:rPr>
            <w:noProof/>
            <w:webHidden/>
          </w:rPr>
          <w:fldChar w:fldCharType="begin"/>
        </w:r>
        <w:r w:rsidR="00DB7855">
          <w:rPr>
            <w:noProof/>
            <w:webHidden/>
          </w:rPr>
          <w:instrText xml:space="preserve"> PAGEREF _Toc132713797 \h </w:instrText>
        </w:r>
        <w:r w:rsidR="00DB7855">
          <w:rPr>
            <w:noProof/>
            <w:webHidden/>
          </w:rPr>
        </w:r>
        <w:r w:rsidR="00DB7855">
          <w:rPr>
            <w:noProof/>
            <w:webHidden/>
          </w:rPr>
          <w:fldChar w:fldCharType="separate"/>
        </w:r>
        <w:r w:rsidR="00DB7855">
          <w:rPr>
            <w:noProof/>
            <w:webHidden/>
          </w:rPr>
          <w:t>144</w:t>
        </w:r>
        <w:r w:rsidR="00DB7855">
          <w:rPr>
            <w:noProof/>
            <w:webHidden/>
          </w:rPr>
          <w:fldChar w:fldCharType="end"/>
        </w:r>
      </w:hyperlink>
    </w:p>
    <w:p w:rsidR="00DB7855" w:rsidRDefault="00255FFC">
      <w:pPr>
        <w:pStyle w:val="T1"/>
        <w:tabs>
          <w:tab w:val="left" w:pos="660"/>
        </w:tabs>
        <w:rPr>
          <w:rFonts w:eastAsiaTheme="minorEastAsia" w:cstheme="minorBidi"/>
          <w:b w:val="0"/>
          <w:noProof/>
          <w:lang w:val="en-US"/>
        </w:rPr>
      </w:pPr>
      <w:hyperlink w:anchor="_Toc132713798" w:history="1">
        <w:r w:rsidR="00DB7855" w:rsidRPr="00E95718">
          <w:rPr>
            <w:rStyle w:val="Kpr"/>
            <w:noProof/>
          </w:rPr>
          <w:t>4.</w:t>
        </w:r>
        <w:r w:rsidR="00DB7855">
          <w:rPr>
            <w:rFonts w:eastAsiaTheme="minorEastAsia" w:cstheme="minorBidi"/>
            <w:b w:val="0"/>
            <w:noProof/>
            <w:lang w:val="en-US"/>
          </w:rPr>
          <w:tab/>
        </w:r>
        <w:r w:rsidR="00DB7855" w:rsidRPr="00E95718">
          <w:rPr>
            <w:rStyle w:val="Kpr"/>
            <w:noProof/>
          </w:rPr>
          <w:t>FİYAT OLUŞUMU ve TARİFELENDİRME FAALİYETLERİ</w:t>
        </w:r>
        <w:r w:rsidR="00DB7855">
          <w:rPr>
            <w:noProof/>
            <w:webHidden/>
          </w:rPr>
          <w:tab/>
        </w:r>
        <w:r w:rsidR="00DB7855">
          <w:rPr>
            <w:noProof/>
            <w:webHidden/>
          </w:rPr>
          <w:fldChar w:fldCharType="begin"/>
        </w:r>
        <w:r w:rsidR="00DB7855">
          <w:rPr>
            <w:noProof/>
            <w:webHidden/>
          </w:rPr>
          <w:instrText xml:space="preserve"> PAGEREF _Toc132713798 \h </w:instrText>
        </w:r>
        <w:r w:rsidR="00DB7855">
          <w:rPr>
            <w:noProof/>
            <w:webHidden/>
          </w:rPr>
        </w:r>
        <w:r w:rsidR="00DB7855">
          <w:rPr>
            <w:noProof/>
            <w:webHidden/>
          </w:rPr>
          <w:fldChar w:fldCharType="separate"/>
        </w:r>
        <w:r w:rsidR="00DB7855">
          <w:rPr>
            <w:noProof/>
            <w:webHidden/>
          </w:rPr>
          <w:t>146</w:t>
        </w:r>
        <w:r w:rsidR="00DB7855">
          <w:rPr>
            <w:noProof/>
            <w:webHidden/>
          </w:rPr>
          <w:fldChar w:fldCharType="end"/>
        </w:r>
      </w:hyperlink>
    </w:p>
    <w:p w:rsidR="00DB7855" w:rsidRDefault="00255FFC" w:rsidP="009D3193">
      <w:pPr>
        <w:pStyle w:val="T2"/>
        <w:rPr>
          <w:rFonts w:eastAsiaTheme="minorEastAsia" w:cstheme="minorBidi"/>
          <w:lang w:val="en-US"/>
        </w:rPr>
      </w:pPr>
      <w:hyperlink w:anchor="_Toc132713799" w:history="1">
        <w:r w:rsidR="00DB7855" w:rsidRPr="00E95718">
          <w:rPr>
            <w:rStyle w:val="Kpr"/>
          </w:rPr>
          <w:t>4.1.</w:t>
        </w:r>
        <w:r w:rsidR="00DB7855">
          <w:rPr>
            <w:rFonts w:eastAsiaTheme="minorEastAsia" w:cstheme="minorBidi"/>
            <w:lang w:val="en-US"/>
          </w:rPr>
          <w:tab/>
        </w:r>
        <w:r w:rsidR="00DB7855" w:rsidRPr="00E95718">
          <w:rPr>
            <w:rStyle w:val="Kpr"/>
          </w:rPr>
          <w:t>Elektrik Piyasası Tarifeleri</w:t>
        </w:r>
        <w:r w:rsidR="00DB7855">
          <w:rPr>
            <w:webHidden/>
          </w:rPr>
          <w:tab/>
        </w:r>
        <w:r w:rsidR="00DB7855">
          <w:rPr>
            <w:webHidden/>
          </w:rPr>
          <w:fldChar w:fldCharType="begin"/>
        </w:r>
        <w:r w:rsidR="00DB7855">
          <w:rPr>
            <w:webHidden/>
          </w:rPr>
          <w:instrText xml:space="preserve"> PAGEREF _Toc132713799 \h </w:instrText>
        </w:r>
        <w:r w:rsidR="00DB7855">
          <w:rPr>
            <w:webHidden/>
          </w:rPr>
        </w:r>
        <w:r w:rsidR="00DB7855">
          <w:rPr>
            <w:webHidden/>
          </w:rPr>
          <w:fldChar w:fldCharType="separate"/>
        </w:r>
        <w:r w:rsidR="00DB7855">
          <w:rPr>
            <w:webHidden/>
          </w:rPr>
          <w:t>146</w:t>
        </w:r>
        <w:r w:rsidR="00DB7855">
          <w:rPr>
            <w:webHidden/>
          </w:rPr>
          <w:fldChar w:fldCharType="end"/>
        </w:r>
      </w:hyperlink>
    </w:p>
    <w:p w:rsidR="00DB7855" w:rsidRDefault="00255FFC">
      <w:pPr>
        <w:pStyle w:val="T3"/>
        <w:rPr>
          <w:rFonts w:eastAsiaTheme="minorEastAsia" w:cstheme="minorBidi"/>
          <w:noProof/>
          <w:lang w:val="en-US"/>
        </w:rPr>
      </w:pPr>
      <w:hyperlink w:anchor="_Toc132713800" w:history="1">
        <w:r w:rsidR="00DB7855" w:rsidRPr="00E95718">
          <w:rPr>
            <w:rStyle w:val="Kpr"/>
            <w:noProof/>
          </w:rPr>
          <w:t>4.1.1.</w:t>
        </w:r>
        <w:r w:rsidR="00DB7855">
          <w:rPr>
            <w:rFonts w:eastAsiaTheme="minorEastAsia" w:cstheme="minorBidi"/>
            <w:noProof/>
            <w:lang w:val="en-US"/>
          </w:rPr>
          <w:tab/>
        </w:r>
        <w:r w:rsidR="00DB7855" w:rsidRPr="00E95718">
          <w:rPr>
            <w:rStyle w:val="Kpr"/>
            <w:noProof/>
          </w:rPr>
          <w:t>İletim Tarifesi</w:t>
        </w:r>
        <w:r w:rsidR="00DB7855">
          <w:rPr>
            <w:noProof/>
            <w:webHidden/>
          </w:rPr>
          <w:tab/>
        </w:r>
        <w:r w:rsidR="00DB7855">
          <w:rPr>
            <w:noProof/>
            <w:webHidden/>
          </w:rPr>
          <w:fldChar w:fldCharType="begin"/>
        </w:r>
        <w:r w:rsidR="00DB7855">
          <w:rPr>
            <w:noProof/>
            <w:webHidden/>
          </w:rPr>
          <w:instrText xml:space="preserve"> PAGEREF _Toc132713800 \h </w:instrText>
        </w:r>
        <w:r w:rsidR="00DB7855">
          <w:rPr>
            <w:noProof/>
            <w:webHidden/>
          </w:rPr>
        </w:r>
        <w:r w:rsidR="00DB7855">
          <w:rPr>
            <w:noProof/>
            <w:webHidden/>
          </w:rPr>
          <w:fldChar w:fldCharType="separate"/>
        </w:r>
        <w:r w:rsidR="00DB7855">
          <w:rPr>
            <w:noProof/>
            <w:webHidden/>
          </w:rPr>
          <w:t>146</w:t>
        </w:r>
        <w:r w:rsidR="00DB7855">
          <w:rPr>
            <w:noProof/>
            <w:webHidden/>
          </w:rPr>
          <w:fldChar w:fldCharType="end"/>
        </w:r>
      </w:hyperlink>
    </w:p>
    <w:p w:rsidR="00DB7855" w:rsidRDefault="00255FFC">
      <w:pPr>
        <w:pStyle w:val="T4"/>
        <w:tabs>
          <w:tab w:val="left" w:pos="1760"/>
          <w:tab w:val="right" w:leader="dot" w:pos="9060"/>
        </w:tabs>
        <w:rPr>
          <w:rFonts w:eastAsiaTheme="minorEastAsia" w:cstheme="minorBidi"/>
          <w:noProof/>
          <w:lang w:val="en-US"/>
        </w:rPr>
      </w:pPr>
      <w:hyperlink w:anchor="_Toc132713801" w:history="1">
        <w:r w:rsidR="00DB7855" w:rsidRPr="00E95718">
          <w:rPr>
            <w:rStyle w:val="Kpr"/>
            <w:noProof/>
          </w:rPr>
          <w:t>4.1.1.1.</w:t>
        </w:r>
        <w:r w:rsidR="00DB7855">
          <w:rPr>
            <w:rFonts w:eastAsiaTheme="minorEastAsia" w:cstheme="minorBidi"/>
            <w:noProof/>
            <w:lang w:val="en-US"/>
          </w:rPr>
          <w:tab/>
        </w:r>
        <w:r w:rsidR="00DB7855" w:rsidRPr="00E95718">
          <w:rPr>
            <w:rStyle w:val="Kpr"/>
            <w:noProof/>
          </w:rPr>
          <w:t>İletim Ek Ücreti</w:t>
        </w:r>
        <w:r w:rsidR="00DB7855">
          <w:rPr>
            <w:noProof/>
            <w:webHidden/>
          </w:rPr>
          <w:tab/>
        </w:r>
        <w:r w:rsidR="00DB7855">
          <w:rPr>
            <w:noProof/>
            <w:webHidden/>
          </w:rPr>
          <w:fldChar w:fldCharType="begin"/>
        </w:r>
        <w:r w:rsidR="00DB7855">
          <w:rPr>
            <w:noProof/>
            <w:webHidden/>
          </w:rPr>
          <w:instrText xml:space="preserve"> PAGEREF _Toc132713801 \h </w:instrText>
        </w:r>
        <w:r w:rsidR="00DB7855">
          <w:rPr>
            <w:noProof/>
            <w:webHidden/>
          </w:rPr>
        </w:r>
        <w:r w:rsidR="00DB7855">
          <w:rPr>
            <w:noProof/>
            <w:webHidden/>
          </w:rPr>
          <w:fldChar w:fldCharType="separate"/>
        </w:r>
        <w:r w:rsidR="00DB7855">
          <w:rPr>
            <w:noProof/>
            <w:webHidden/>
          </w:rPr>
          <w:t>147</w:t>
        </w:r>
        <w:r w:rsidR="00DB7855">
          <w:rPr>
            <w:noProof/>
            <w:webHidden/>
          </w:rPr>
          <w:fldChar w:fldCharType="end"/>
        </w:r>
      </w:hyperlink>
    </w:p>
    <w:p w:rsidR="00DB7855" w:rsidRDefault="00255FFC">
      <w:pPr>
        <w:pStyle w:val="T3"/>
        <w:rPr>
          <w:rFonts w:eastAsiaTheme="minorEastAsia" w:cstheme="minorBidi"/>
          <w:noProof/>
          <w:lang w:val="en-US"/>
        </w:rPr>
      </w:pPr>
      <w:hyperlink w:anchor="_Toc132713802" w:history="1">
        <w:r w:rsidR="00DB7855" w:rsidRPr="00E95718">
          <w:rPr>
            <w:rStyle w:val="Kpr"/>
            <w:noProof/>
          </w:rPr>
          <w:t>4.1.2.</w:t>
        </w:r>
        <w:r w:rsidR="00DB7855">
          <w:rPr>
            <w:rFonts w:eastAsiaTheme="minorEastAsia" w:cstheme="minorBidi"/>
            <w:noProof/>
            <w:lang w:val="en-US"/>
          </w:rPr>
          <w:tab/>
        </w:r>
        <w:r w:rsidR="00DB7855" w:rsidRPr="00E95718">
          <w:rPr>
            <w:rStyle w:val="Kpr"/>
            <w:noProof/>
          </w:rPr>
          <w:t>Dağıtım ve Perakende Satış Tarifeleri</w:t>
        </w:r>
        <w:r w:rsidR="00DB7855">
          <w:rPr>
            <w:noProof/>
            <w:webHidden/>
          </w:rPr>
          <w:tab/>
        </w:r>
        <w:r w:rsidR="00DB7855">
          <w:rPr>
            <w:noProof/>
            <w:webHidden/>
          </w:rPr>
          <w:fldChar w:fldCharType="begin"/>
        </w:r>
        <w:r w:rsidR="00DB7855">
          <w:rPr>
            <w:noProof/>
            <w:webHidden/>
          </w:rPr>
          <w:instrText xml:space="preserve"> PAGEREF _Toc132713802 \h </w:instrText>
        </w:r>
        <w:r w:rsidR="00DB7855">
          <w:rPr>
            <w:noProof/>
            <w:webHidden/>
          </w:rPr>
        </w:r>
        <w:r w:rsidR="00DB7855">
          <w:rPr>
            <w:noProof/>
            <w:webHidden/>
          </w:rPr>
          <w:fldChar w:fldCharType="separate"/>
        </w:r>
        <w:r w:rsidR="00DB7855">
          <w:rPr>
            <w:noProof/>
            <w:webHidden/>
          </w:rPr>
          <w:t>147</w:t>
        </w:r>
        <w:r w:rsidR="00DB7855">
          <w:rPr>
            <w:noProof/>
            <w:webHidden/>
          </w:rPr>
          <w:fldChar w:fldCharType="end"/>
        </w:r>
      </w:hyperlink>
    </w:p>
    <w:p w:rsidR="00DB7855" w:rsidRDefault="00255FFC">
      <w:pPr>
        <w:pStyle w:val="T4"/>
        <w:tabs>
          <w:tab w:val="left" w:pos="1760"/>
          <w:tab w:val="right" w:leader="dot" w:pos="9060"/>
        </w:tabs>
        <w:rPr>
          <w:rFonts w:eastAsiaTheme="minorEastAsia" w:cstheme="minorBidi"/>
          <w:noProof/>
          <w:lang w:val="en-US"/>
        </w:rPr>
      </w:pPr>
      <w:hyperlink w:anchor="_Toc132713803" w:history="1">
        <w:r w:rsidR="00DB7855" w:rsidRPr="00E95718">
          <w:rPr>
            <w:rStyle w:val="Kpr"/>
            <w:noProof/>
          </w:rPr>
          <w:t>4.1.2.1.</w:t>
        </w:r>
        <w:r w:rsidR="00DB7855">
          <w:rPr>
            <w:rFonts w:eastAsiaTheme="minorEastAsia" w:cstheme="minorBidi"/>
            <w:noProof/>
            <w:lang w:val="en-US"/>
          </w:rPr>
          <w:tab/>
        </w:r>
        <w:r w:rsidR="00DB7855" w:rsidRPr="00E95718">
          <w:rPr>
            <w:rStyle w:val="Kpr"/>
            <w:noProof/>
          </w:rPr>
          <w:t>Dağıtım Sistemi Bağlantı Bedeli</w:t>
        </w:r>
        <w:r w:rsidR="00DB7855">
          <w:rPr>
            <w:noProof/>
            <w:webHidden/>
          </w:rPr>
          <w:tab/>
        </w:r>
        <w:r w:rsidR="00DB7855">
          <w:rPr>
            <w:noProof/>
            <w:webHidden/>
          </w:rPr>
          <w:fldChar w:fldCharType="begin"/>
        </w:r>
        <w:r w:rsidR="00DB7855">
          <w:rPr>
            <w:noProof/>
            <w:webHidden/>
          </w:rPr>
          <w:instrText xml:space="preserve"> PAGEREF _Toc132713803 \h </w:instrText>
        </w:r>
        <w:r w:rsidR="00DB7855">
          <w:rPr>
            <w:noProof/>
            <w:webHidden/>
          </w:rPr>
        </w:r>
        <w:r w:rsidR="00DB7855">
          <w:rPr>
            <w:noProof/>
            <w:webHidden/>
          </w:rPr>
          <w:fldChar w:fldCharType="separate"/>
        </w:r>
        <w:r w:rsidR="00DB7855">
          <w:rPr>
            <w:noProof/>
            <w:webHidden/>
          </w:rPr>
          <w:t>151</w:t>
        </w:r>
        <w:r w:rsidR="00DB7855">
          <w:rPr>
            <w:noProof/>
            <w:webHidden/>
          </w:rPr>
          <w:fldChar w:fldCharType="end"/>
        </w:r>
      </w:hyperlink>
    </w:p>
    <w:p w:rsidR="00DB7855" w:rsidRDefault="00255FFC">
      <w:pPr>
        <w:pStyle w:val="T4"/>
        <w:tabs>
          <w:tab w:val="left" w:pos="1760"/>
          <w:tab w:val="right" w:leader="dot" w:pos="9060"/>
        </w:tabs>
        <w:rPr>
          <w:rFonts w:eastAsiaTheme="minorEastAsia" w:cstheme="minorBidi"/>
          <w:noProof/>
          <w:lang w:val="en-US"/>
        </w:rPr>
      </w:pPr>
      <w:hyperlink w:anchor="_Toc132713804" w:history="1">
        <w:r w:rsidR="00DB7855" w:rsidRPr="00E95718">
          <w:rPr>
            <w:rStyle w:val="Kpr"/>
            <w:noProof/>
          </w:rPr>
          <w:t>4.1.2.2.</w:t>
        </w:r>
        <w:r w:rsidR="00DB7855">
          <w:rPr>
            <w:rFonts w:eastAsiaTheme="minorEastAsia" w:cstheme="minorBidi"/>
            <w:noProof/>
            <w:lang w:val="en-US"/>
          </w:rPr>
          <w:tab/>
        </w:r>
        <w:r w:rsidR="00DB7855" w:rsidRPr="00E95718">
          <w:rPr>
            <w:rStyle w:val="Kpr"/>
            <w:noProof/>
          </w:rPr>
          <w:t>Kesme-Bağlama Bedeli</w:t>
        </w:r>
        <w:r w:rsidR="00DB7855">
          <w:rPr>
            <w:noProof/>
            <w:webHidden/>
          </w:rPr>
          <w:tab/>
        </w:r>
        <w:r w:rsidR="00DB7855">
          <w:rPr>
            <w:noProof/>
            <w:webHidden/>
          </w:rPr>
          <w:fldChar w:fldCharType="begin"/>
        </w:r>
        <w:r w:rsidR="00DB7855">
          <w:rPr>
            <w:noProof/>
            <w:webHidden/>
          </w:rPr>
          <w:instrText xml:space="preserve"> PAGEREF _Toc132713804 \h </w:instrText>
        </w:r>
        <w:r w:rsidR="00DB7855">
          <w:rPr>
            <w:noProof/>
            <w:webHidden/>
          </w:rPr>
        </w:r>
        <w:r w:rsidR="00DB7855">
          <w:rPr>
            <w:noProof/>
            <w:webHidden/>
          </w:rPr>
          <w:fldChar w:fldCharType="separate"/>
        </w:r>
        <w:r w:rsidR="00DB7855">
          <w:rPr>
            <w:noProof/>
            <w:webHidden/>
          </w:rPr>
          <w:t>151</w:t>
        </w:r>
        <w:r w:rsidR="00DB7855">
          <w:rPr>
            <w:noProof/>
            <w:webHidden/>
          </w:rPr>
          <w:fldChar w:fldCharType="end"/>
        </w:r>
      </w:hyperlink>
    </w:p>
    <w:p w:rsidR="00DB7855" w:rsidRDefault="00255FFC">
      <w:pPr>
        <w:pStyle w:val="T4"/>
        <w:tabs>
          <w:tab w:val="left" w:pos="1760"/>
          <w:tab w:val="right" w:leader="dot" w:pos="9060"/>
        </w:tabs>
        <w:rPr>
          <w:rFonts w:eastAsiaTheme="minorEastAsia" w:cstheme="minorBidi"/>
          <w:noProof/>
          <w:lang w:val="en-US"/>
        </w:rPr>
      </w:pPr>
      <w:hyperlink w:anchor="_Toc132713805" w:history="1">
        <w:r w:rsidR="00DB7855" w:rsidRPr="00E95718">
          <w:rPr>
            <w:rStyle w:val="Kpr"/>
            <w:noProof/>
          </w:rPr>
          <w:t>4.1.2.3.</w:t>
        </w:r>
        <w:r w:rsidR="00DB7855">
          <w:rPr>
            <w:rFonts w:eastAsiaTheme="minorEastAsia" w:cstheme="minorBidi"/>
            <w:noProof/>
            <w:lang w:val="en-US"/>
          </w:rPr>
          <w:tab/>
        </w:r>
        <w:r w:rsidR="00DB7855" w:rsidRPr="00E95718">
          <w:rPr>
            <w:rStyle w:val="Kpr"/>
            <w:noProof/>
          </w:rPr>
          <w:t>Güvence Bedeli</w:t>
        </w:r>
        <w:r w:rsidR="00DB7855">
          <w:rPr>
            <w:noProof/>
            <w:webHidden/>
          </w:rPr>
          <w:tab/>
        </w:r>
        <w:r w:rsidR="00DB7855">
          <w:rPr>
            <w:noProof/>
            <w:webHidden/>
          </w:rPr>
          <w:fldChar w:fldCharType="begin"/>
        </w:r>
        <w:r w:rsidR="00DB7855">
          <w:rPr>
            <w:noProof/>
            <w:webHidden/>
          </w:rPr>
          <w:instrText xml:space="preserve"> PAGEREF _Toc132713805 \h </w:instrText>
        </w:r>
        <w:r w:rsidR="00DB7855">
          <w:rPr>
            <w:noProof/>
            <w:webHidden/>
          </w:rPr>
        </w:r>
        <w:r w:rsidR="00DB7855">
          <w:rPr>
            <w:noProof/>
            <w:webHidden/>
          </w:rPr>
          <w:fldChar w:fldCharType="separate"/>
        </w:r>
        <w:r w:rsidR="00DB7855">
          <w:rPr>
            <w:noProof/>
            <w:webHidden/>
          </w:rPr>
          <w:t>152</w:t>
        </w:r>
        <w:r w:rsidR="00DB7855">
          <w:rPr>
            <w:noProof/>
            <w:webHidden/>
          </w:rPr>
          <w:fldChar w:fldCharType="end"/>
        </w:r>
      </w:hyperlink>
    </w:p>
    <w:p w:rsidR="00DB7855" w:rsidRDefault="00255FFC">
      <w:pPr>
        <w:pStyle w:val="T4"/>
        <w:tabs>
          <w:tab w:val="left" w:pos="1760"/>
          <w:tab w:val="right" w:leader="dot" w:pos="9060"/>
        </w:tabs>
        <w:rPr>
          <w:rFonts w:eastAsiaTheme="minorEastAsia" w:cstheme="minorBidi"/>
          <w:noProof/>
          <w:lang w:val="en-US"/>
        </w:rPr>
      </w:pPr>
      <w:hyperlink w:anchor="_Toc132713806" w:history="1">
        <w:r w:rsidR="00DB7855" w:rsidRPr="00E95718">
          <w:rPr>
            <w:rStyle w:val="Kpr"/>
            <w:noProof/>
          </w:rPr>
          <w:t>4.1.2.4.</w:t>
        </w:r>
        <w:r w:rsidR="00DB7855">
          <w:rPr>
            <w:rFonts w:eastAsiaTheme="minorEastAsia" w:cstheme="minorBidi"/>
            <w:noProof/>
            <w:lang w:val="en-US"/>
          </w:rPr>
          <w:tab/>
        </w:r>
        <w:r w:rsidR="00DB7855" w:rsidRPr="00E95718">
          <w:rPr>
            <w:rStyle w:val="Kpr"/>
            <w:noProof/>
          </w:rPr>
          <w:t>Sayaç Kontrol Bedeli</w:t>
        </w:r>
        <w:r w:rsidR="00DB7855">
          <w:rPr>
            <w:noProof/>
            <w:webHidden/>
          </w:rPr>
          <w:tab/>
        </w:r>
        <w:r w:rsidR="00DB7855">
          <w:rPr>
            <w:noProof/>
            <w:webHidden/>
          </w:rPr>
          <w:fldChar w:fldCharType="begin"/>
        </w:r>
        <w:r w:rsidR="00DB7855">
          <w:rPr>
            <w:noProof/>
            <w:webHidden/>
          </w:rPr>
          <w:instrText xml:space="preserve"> PAGEREF _Toc132713806 \h </w:instrText>
        </w:r>
        <w:r w:rsidR="00DB7855">
          <w:rPr>
            <w:noProof/>
            <w:webHidden/>
          </w:rPr>
        </w:r>
        <w:r w:rsidR="00DB7855">
          <w:rPr>
            <w:noProof/>
            <w:webHidden/>
          </w:rPr>
          <w:fldChar w:fldCharType="separate"/>
        </w:r>
        <w:r w:rsidR="00DB7855">
          <w:rPr>
            <w:noProof/>
            <w:webHidden/>
          </w:rPr>
          <w:t>152</w:t>
        </w:r>
        <w:r w:rsidR="00DB7855">
          <w:rPr>
            <w:noProof/>
            <w:webHidden/>
          </w:rPr>
          <w:fldChar w:fldCharType="end"/>
        </w:r>
      </w:hyperlink>
    </w:p>
    <w:p w:rsidR="00DB7855" w:rsidRDefault="00255FFC">
      <w:pPr>
        <w:pStyle w:val="T3"/>
        <w:rPr>
          <w:rFonts w:eastAsiaTheme="minorEastAsia" w:cstheme="minorBidi"/>
          <w:noProof/>
          <w:lang w:val="en-US"/>
        </w:rPr>
      </w:pPr>
      <w:hyperlink w:anchor="_Toc132713807" w:history="1">
        <w:r w:rsidR="00DB7855" w:rsidRPr="00E95718">
          <w:rPr>
            <w:rStyle w:val="Kpr"/>
            <w:noProof/>
          </w:rPr>
          <w:t>4.1.3.</w:t>
        </w:r>
        <w:r w:rsidR="00DB7855">
          <w:rPr>
            <w:rFonts w:eastAsiaTheme="minorEastAsia" w:cstheme="minorBidi"/>
            <w:noProof/>
            <w:lang w:val="en-US"/>
          </w:rPr>
          <w:tab/>
        </w:r>
        <w:r w:rsidR="00DB7855" w:rsidRPr="00E95718">
          <w:rPr>
            <w:rStyle w:val="Kpr"/>
            <w:noProof/>
          </w:rPr>
          <w:t>Piyasa İşletim Tarifesi</w:t>
        </w:r>
        <w:r w:rsidR="00DB7855">
          <w:rPr>
            <w:noProof/>
            <w:webHidden/>
          </w:rPr>
          <w:tab/>
        </w:r>
        <w:r w:rsidR="00DB7855">
          <w:rPr>
            <w:noProof/>
            <w:webHidden/>
          </w:rPr>
          <w:fldChar w:fldCharType="begin"/>
        </w:r>
        <w:r w:rsidR="00DB7855">
          <w:rPr>
            <w:noProof/>
            <w:webHidden/>
          </w:rPr>
          <w:instrText xml:space="preserve"> PAGEREF _Toc132713807 \h </w:instrText>
        </w:r>
        <w:r w:rsidR="00DB7855">
          <w:rPr>
            <w:noProof/>
            <w:webHidden/>
          </w:rPr>
        </w:r>
        <w:r w:rsidR="00DB7855">
          <w:rPr>
            <w:noProof/>
            <w:webHidden/>
          </w:rPr>
          <w:fldChar w:fldCharType="separate"/>
        </w:r>
        <w:r w:rsidR="00DB7855">
          <w:rPr>
            <w:noProof/>
            <w:webHidden/>
          </w:rPr>
          <w:t>153</w:t>
        </w:r>
        <w:r w:rsidR="00DB7855">
          <w:rPr>
            <w:noProof/>
            <w:webHidden/>
          </w:rPr>
          <w:fldChar w:fldCharType="end"/>
        </w:r>
      </w:hyperlink>
    </w:p>
    <w:p w:rsidR="00DB7855" w:rsidRDefault="00255FFC">
      <w:pPr>
        <w:pStyle w:val="T3"/>
        <w:rPr>
          <w:rFonts w:eastAsiaTheme="minorEastAsia" w:cstheme="minorBidi"/>
          <w:noProof/>
          <w:lang w:val="en-US"/>
        </w:rPr>
      </w:pPr>
      <w:hyperlink w:anchor="_Toc132713808" w:history="1">
        <w:r w:rsidR="00DB7855" w:rsidRPr="00E95718">
          <w:rPr>
            <w:rStyle w:val="Kpr"/>
            <w:noProof/>
          </w:rPr>
          <w:t>4.1.4.</w:t>
        </w:r>
        <w:r w:rsidR="00DB7855">
          <w:rPr>
            <w:rFonts w:eastAsiaTheme="minorEastAsia" w:cstheme="minorBidi"/>
            <w:noProof/>
            <w:lang w:val="en-US"/>
          </w:rPr>
          <w:tab/>
        </w:r>
        <w:r w:rsidR="00DB7855" w:rsidRPr="00E95718">
          <w:rPr>
            <w:rStyle w:val="Kpr"/>
            <w:noProof/>
          </w:rPr>
          <w:t>OSB Dağıtım Bedeli</w:t>
        </w:r>
        <w:r w:rsidR="00DB7855">
          <w:rPr>
            <w:noProof/>
            <w:webHidden/>
          </w:rPr>
          <w:tab/>
        </w:r>
        <w:r w:rsidR="00DB7855">
          <w:rPr>
            <w:noProof/>
            <w:webHidden/>
          </w:rPr>
          <w:fldChar w:fldCharType="begin"/>
        </w:r>
        <w:r w:rsidR="00DB7855">
          <w:rPr>
            <w:noProof/>
            <w:webHidden/>
          </w:rPr>
          <w:instrText xml:space="preserve"> PAGEREF _Toc132713808 \h </w:instrText>
        </w:r>
        <w:r w:rsidR="00DB7855">
          <w:rPr>
            <w:noProof/>
            <w:webHidden/>
          </w:rPr>
        </w:r>
        <w:r w:rsidR="00DB7855">
          <w:rPr>
            <w:noProof/>
            <w:webHidden/>
          </w:rPr>
          <w:fldChar w:fldCharType="separate"/>
        </w:r>
        <w:r w:rsidR="00DB7855">
          <w:rPr>
            <w:noProof/>
            <w:webHidden/>
          </w:rPr>
          <w:t>154</w:t>
        </w:r>
        <w:r w:rsidR="00DB7855">
          <w:rPr>
            <w:noProof/>
            <w:webHidden/>
          </w:rPr>
          <w:fldChar w:fldCharType="end"/>
        </w:r>
      </w:hyperlink>
    </w:p>
    <w:p w:rsidR="00DB7855" w:rsidRDefault="00255FFC">
      <w:pPr>
        <w:pStyle w:val="T3"/>
        <w:rPr>
          <w:rFonts w:eastAsiaTheme="minorEastAsia" w:cstheme="minorBidi"/>
          <w:noProof/>
          <w:lang w:val="en-US"/>
        </w:rPr>
      </w:pPr>
      <w:hyperlink w:anchor="_Toc132713809" w:history="1">
        <w:r w:rsidR="00DB7855" w:rsidRPr="00E95718">
          <w:rPr>
            <w:rStyle w:val="Kpr"/>
            <w:noProof/>
          </w:rPr>
          <w:t>4.1.5.</w:t>
        </w:r>
        <w:r w:rsidR="00DB7855">
          <w:rPr>
            <w:rFonts w:eastAsiaTheme="minorEastAsia" w:cstheme="minorBidi"/>
            <w:noProof/>
            <w:lang w:val="en-US"/>
          </w:rPr>
          <w:tab/>
        </w:r>
        <w:r w:rsidR="00DB7855" w:rsidRPr="00E95718">
          <w:rPr>
            <w:rStyle w:val="Kpr"/>
            <w:noProof/>
          </w:rPr>
          <w:t>EÜAŞ Toptan Satış Tarifesi</w:t>
        </w:r>
        <w:r w:rsidR="00DB7855">
          <w:rPr>
            <w:noProof/>
            <w:webHidden/>
          </w:rPr>
          <w:tab/>
        </w:r>
        <w:r w:rsidR="00DB7855">
          <w:rPr>
            <w:noProof/>
            <w:webHidden/>
          </w:rPr>
          <w:fldChar w:fldCharType="begin"/>
        </w:r>
        <w:r w:rsidR="00DB7855">
          <w:rPr>
            <w:noProof/>
            <w:webHidden/>
          </w:rPr>
          <w:instrText xml:space="preserve"> PAGEREF _Toc132713809 \h </w:instrText>
        </w:r>
        <w:r w:rsidR="00DB7855">
          <w:rPr>
            <w:noProof/>
            <w:webHidden/>
          </w:rPr>
        </w:r>
        <w:r w:rsidR="00DB7855">
          <w:rPr>
            <w:noProof/>
            <w:webHidden/>
          </w:rPr>
          <w:fldChar w:fldCharType="separate"/>
        </w:r>
        <w:r w:rsidR="00DB7855">
          <w:rPr>
            <w:noProof/>
            <w:webHidden/>
          </w:rPr>
          <w:t>154</w:t>
        </w:r>
        <w:r w:rsidR="00DB7855">
          <w:rPr>
            <w:noProof/>
            <w:webHidden/>
          </w:rPr>
          <w:fldChar w:fldCharType="end"/>
        </w:r>
      </w:hyperlink>
    </w:p>
    <w:p w:rsidR="00DB7855" w:rsidRDefault="00255FFC">
      <w:pPr>
        <w:pStyle w:val="T3"/>
        <w:rPr>
          <w:rFonts w:eastAsiaTheme="minorEastAsia" w:cstheme="minorBidi"/>
          <w:noProof/>
          <w:lang w:val="en-US"/>
        </w:rPr>
      </w:pPr>
      <w:hyperlink w:anchor="_Toc132713810" w:history="1">
        <w:r w:rsidR="00DB7855" w:rsidRPr="00E95718">
          <w:rPr>
            <w:rStyle w:val="Kpr"/>
            <w:noProof/>
          </w:rPr>
          <w:t>4.1.6.</w:t>
        </w:r>
        <w:r w:rsidR="00DB7855">
          <w:rPr>
            <w:rFonts w:eastAsiaTheme="minorEastAsia" w:cstheme="minorBidi"/>
            <w:noProof/>
            <w:lang w:val="en-US"/>
          </w:rPr>
          <w:tab/>
        </w:r>
        <w:r w:rsidR="00DB7855" w:rsidRPr="00E95718">
          <w:rPr>
            <w:rStyle w:val="Kpr"/>
            <w:rFonts w:eastAsia="Times New Roman"/>
            <w:noProof/>
          </w:rPr>
          <w:t>Türkiye Ortalama Elektrik Toptan Satış Fiyatı</w:t>
        </w:r>
        <w:r w:rsidR="00DB7855">
          <w:rPr>
            <w:noProof/>
            <w:webHidden/>
          </w:rPr>
          <w:tab/>
        </w:r>
        <w:r w:rsidR="00DB7855">
          <w:rPr>
            <w:noProof/>
            <w:webHidden/>
          </w:rPr>
          <w:fldChar w:fldCharType="begin"/>
        </w:r>
        <w:r w:rsidR="00DB7855">
          <w:rPr>
            <w:noProof/>
            <w:webHidden/>
          </w:rPr>
          <w:instrText xml:space="preserve"> PAGEREF _Toc132713810 \h </w:instrText>
        </w:r>
        <w:r w:rsidR="00DB7855">
          <w:rPr>
            <w:noProof/>
            <w:webHidden/>
          </w:rPr>
        </w:r>
        <w:r w:rsidR="00DB7855">
          <w:rPr>
            <w:noProof/>
            <w:webHidden/>
          </w:rPr>
          <w:fldChar w:fldCharType="separate"/>
        </w:r>
        <w:r w:rsidR="00DB7855">
          <w:rPr>
            <w:noProof/>
            <w:webHidden/>
          </w:rPr>
          <w:t>155</w:t>
        </w:r>
        <w:r w:rsidR="00DB7855">
          <w:rPr>
            <w:noProof/>
            <w:webHidden/>
          </w:rPr>
          <w:fldChar w:fldCharType="end"/>
        </w:r>
      </w:hyperlink>
    </w:p>
    <w:p w:rsidR="00DB7855" w:rsidRDefault="00255FFC">
      <w:pPr>
        <w:pStyle w:val="T3"/>
        <w:rPr>
          <w:rFonts w:eastAsiaTheme="minorEastAsia" w:cstheme="minorBidi"/>
          <w:noProof/>
          <w:lang w:val="en-US"/>
        </w:rPr>
      </w:pPr>
      <w:hyperlink w:anchor="_Toc132713811" w:history="1">
        <w:r w:rsidR="00DB7855" w:rsidRPr="00E95718">
          <w:rPr>
            <w:rStyle w:val="Kpr"/>
            <w:rFonts w:eastAsia="Times New Roman"/>
            <w:noProof/>
          </w:rPr>
          <w:t>4.1.7.</w:t>
        </w:r>
        <w:r w:rsidR="00DB7855">
          <w:rPr>
            <w:rFonts w:eastAsiaTheme="minorEastAsia" w:cstheme="minorBidi"/>
            <w:noProof/>
            <w:lang w:val="en-US"/>
          </w:rPr>
          <w:tab/>
        </w:r>
        <w:r w:rsidR="00DB7855" w:rsidRPr="00E95718">
          <w:rPr>
            <w:rStyle w:val="Kpr"/>
            <w:rFonts w:eastAsia="Times New Roman"/>
            <w:noProof/>
          </w:rPr>
          <w:t>Elektrik Piyasası ile İlgili Alınan Diğer Tarife Kurul Kararları</w:t>
        </w:r>
        <w:r w:rsidR="00DB7855">
          <w:rPr>
            <w:noProof/>
            <w:webHidden/>
          </w:rPr>
          <w:tab/>
        </w:r>
        <w:r w:rsidR="00DB7855">
          <w:rPr>
            <w:noProof/>
            <w:webHidden/>
          </w:rPr>
          <w:fldChar w:fldCharType="begin"/>
        </w:r>
        <w:r w:rsidR="00DB7855">
          <w:rPr>
            <w:noProof/>
            <w:webHidden/>
          </w:rPr>
          <w:instrText xml:space="preserve"> PAGEREF _Toc132713811 \h </w:instrText>
        </w:r>
        <w:r w:rsidR="00DB7855">
          <w:rPr>
            <w:noProof/>
            <w:webHidden/>
          </w:rPr>
        </w:r>
        <w:r w:rsidR="00DB7855">
          <w:rPr>
            <w:noProof/>
            <w:webHidden/>
          </w:rPr>
          <w:fldChar w:fldCharType="separate"/>
        </w:r>
        <w:r w:rsidR="00DB7855">
          <w:rPr>
            <w:noProof/>
            <w:webHidden/>
          </w:rPr>
          <w:t>155</w:t>
        </w:r>
        <w:r w:rsidR="00DB7855">
          <w:rPr>
            <w:noProof/>
            <w:webHidden/>
          </w:rPr>
          <w:fldChar w:fldCharType="end"/>
        </w:r>
      </w:hyperlink>
    </w:p>
    <w:p w:rsidR="00DB7855" w:rsidRDefault="00255FFC">
      <w:pPr>
        <w:pStyle w:val="T3"/>
        <w:rPr>
          <w:rFonts w:eastAsiaTheme="minorEastAsia" w:cstheme="minorBidi"/>
          <w:noProof/>
          <w:lang w:val="en-US"/>
        </w:rPr>
      </w:pPr>
      <w:hyperlink w:anchor="_Toc132713812" w:history="1">
        <w:r w:rsidR="00DB7855" w:rsidRPr="00E95718">
          <w:rPr>
            <w:rStyle w:val="Kpr"/>
            <w:noProof/>
          </w:rPr>
          <w:t>4.1.8.</w:t>
        </w:r>
        <w:r w:rsidR="00DB7855">
          <w:rPr>
            <w:rFonts w:eastAsiaTheme="minorEastAsia" w:cstheme="minorBidi"/>
            <w:noProof/>
            <w:lang w:val="en-US"/>
          </w:rPr>
          <w:tab/>
        </w:r>
        <w:r w:rsidR="00DB7855" w:rsidRPr="00E95718">
          <w:rPr>
            <w:rStyle w:val="Kpr"/>
            <w:noProof/>
          </w:rPr>
          <w:t>Lisans Bedelleri</w:t>
        </w:r>
        <w:r w:rsidR="00DB7855">
          <w:rPr>
            <w:noProof/>
            <w:webHidden/>
          </w:rPr>
          <w:tab/>
        </w:r>
        <w:r w:rsidR="00DB7855">
          <w:rPr>
            <w:noProof/>
            <w:webHidden/>
          </w:rPr>
          <w:fldChar w:fldCharType="begin"/>
        </w:r>
        <w:r w:rsidR="00DB7855">
          <w:rPr>
            <w:noProof/>
            <w:webHidden/>
          </w:rPr>
          <w:instrText xml:space="preserve"> PAGEREF _Toc132713812 \h </w:instrText>
        </w:r>
        <w:r w:rsidR="00DB7855">
          <w:rPr>
            <w:noProof/>
            <w:webHidden/>
          </w:rPr>
        </w:r>
        <w:r w:rsidR="00DB7855">
          <w:rPr>
            <w:noProof/>
            <w:webHidden/>
          </w:rPr>
          <w:fldChar w:fldCharType="separate"/>
        </w:r>
        <w:r w:rsidR="00DB7855">
          <w:rPr>
            <w:noProof/>
            <w:webHidden/>
          </w:rPr>
          <w:t>160</w:t>
        </w:r>
        <w:r w:rsidR="00DB7855">
          <w:rPr>
            <w:noProof/>
            <w:webHidden/>
          </w:rPr>
          <w:fldChar w:fldCharType="end"/>
        </w:r>
      </w:hyperlink>
    </w:p>
    <w:p w:rsidR="00DB7855" w:rsidRDefault="00255FFC" w:rsidP="009D3193">
      <w:pPr>
        <w:pStyle w:val="T2"/>
        <w:rPr>
          <w:rFonts w:eastAsiaTheme="minorEastAsia" w:cstheme="minorBidi"/>
          <w:lang w:val="en-US"/>
        </w:rPr>
      </w:pPr>
      <w:hyperlink w:anchor="_Toc132713813" w:history="1">
        <w:r w:rsidR="00DB7855" w:rsidRPr="00E95718">
          <w:rPr>
            <w:rStyle w:val="Kpr"/>
          </w:rPr>
          <w:t>4.2.</w:t>
        </w:r>
        <w:r w:rsidR="00DB7855">
          <w:rPr>
            <w:rFonts w:eastAsiaTheme="minorEastAsia" w:cstheme="minorBidi"/>
            <w:lang w:val="en-US"/>
          </w:rPr>
          <w:tab/>
        </w:r>
        <w:r w:rsidR="00DB7855" w:rsidRPr="00E95718">
          <w:rPr>
            <w:rStyle w:val="Kpr"/>
          </w:rPr>
          <w:t>Şarj Hizmeti Piyasası Tarifeleri</w:t>
        </w:r>
        <w:r w:rsidR="00DB7855">
          <w:rPr>
            <w:webHidden/>
          </w:rPr>
          <w:tab/>
        </w:r>
        <w:r w:rsidR="00DB7855">
          <w:rPr>
            <w:webHidden/>
          </w:rPr>
          <w:fldChar w:fldCharType="begin"/>
        </w:r>
        <w:r w:rsidR="00DB7855">
          <w:rPr>
            <w:webHidden/>
          </w:rPr>
          <w:instrText xml:space="preserve"> PAGEREF _Toc132713813 \h </w:instrText>
        </w:r>
        <w:r w:rsidR="00DB7855">
          <w:rPr>
            <w:webHidden/>
          </w:rPr>
        </w:r>
        <w:r w:rsidR="00DB7855">
          <w:rPr>
            <w:webHidden/>
          </w:rPr>
          <w:fldChar w:fldCharType="separate"/>
        </w:r>
        <w:r w:rsidR="00DB7855">
          <w:rPr>
            <w:webHidden/>
          </w:rPr>
          <w:t>160</w:t>
        </w:r>
        <w:r w:rsidR="00DB7855">
          <w:rPr>
            <w:webHidden/>
          </w:rPr>
          <w:fldChar w:fldCharType="end"/>
        </w:r>
      </w:hyperlink>
    </w:p>
    <w:p w:rsidR="00DB7855" w:rsidRDefault="00255FFC">
      <w:pPr>
        <w:pStyle w:val="T3"/>
        <w:rPr>
          <w:rFonts w:eastAsiaTheme="minorEastAsia" w:cstheme="minorBidi"/>
          <w:noProof/>
          <w:lang w:val="en-US"/>
        </w:rPr>
      </w:pPr>
      <w:hyperlink w:anchor="_Toc132713814" w:history="1">
        <w:r w:rsidR="00DB7855" w:rsidRPr="00E95718">
          <w:rPr>
            <w:rStyle w:val="Kpr"/>
            <w:noProof/>
          </w:rPr>
          <w:t>4.2.1.</w:t>
        </w:r>
        <w:r w:rsidR="00DB7855">
          <w:rPr>
            <w:rFonts w:eastAsiaTheme="minorEastAsia" w:cstheme="minorBidi"/>
            <w:noProof/>
            <w:lang w:val="en-US"/>
          </w:rPr>
          <w:tab/>
        </w:r>
        <w:r w:rsidR="00DB7855" w:rsidRPr="00E95718">
          <w:rPr>
            <w:rStyle w:val="Kpr"/>
            <w:noProof/>
          </w:rPr>
          <w:t>Lisans Bedelleri</w:t>
        </w:r>
        <w:r w:rsidR="00DB7855">
          <w:rPr>
            <w:noProof/>
            <w:webHidden/>
          </w:rPr>
          <w:tab/>
        </w:r>
        <w:r w:rsidR="00DB7855">
          <w:rPr>
            <w:noProof/>
            <w:webHidden/>
          </w:rPr>
          <w:fldChar w:fldCharType="begin"/>
        </w:r>
        <w:r w:rsidR="00DB7855">
          <w:rPr>
            <w:noProof/>
            <w:webHidden/>
          </w:rPr>
          <w:instrText xml:space="preserve"> PAGEREF _Toc132713814 \h </w:instrText>
        </w:r>
        <w:r w:rsidR="00DB7855">
          <w:rPr>
            <w:noProof/>
            <w:webHidden/>
          </w:rPr>
        </w:r>
        <w:r w:rsidR="00DB7855">
          <w:rPr>
            <w:noProof/>
            <w:webHidden/>
          </w:rPr>
          <w:fldChar w:fldCharType="separate"/>
        </w:r>
        <w:r w:rsidR="00DB7855">
          <w:rPr>
            <w:noProof/>
            <w:webHidden/>
          </w:rPr>
          <w:t>162</w:t>
        </w:r>
        <w:r w:rsidR="00DB7855">
          <w:rPr>
            <w:noProof/>
            <w:webHidden/>
          </w:rPr>
          <w:fldChar w:fldCharType="end"/>
        </w:r>
      </w:hyperlink>
    </w:p>
    <w:p w:rsidR="00DB7855" w:rsidRDefault="00255FFC" w:rsidP="009D3193">
      <w:pPr>
        <w:pStyle w:val="T2"/>
        <w:rPr>
          <w:rFonts w:eastAsiaTheme="minorEastAsia" w:cstheme="minorBidi"/>
          <w:lang w:val="en-US"/>
        </w:rPr>
      </w:pPr>
      <w:hyperlink w:anchor="_Toc132713815" w:history="1">
        <w:r w:rsidR="00DB7855" w:rsidRPr="00E95718">
          <w:rPr>
            <w:rStyle w:val="Kpr"/>
          </w:rPr>
          <w:t>4.3.</w:t>
        </w:r>
        <w:r w:rsidR="00DB7855">
          <w:rPr>
            <w:rFonts w:eastAsiaTheme="minorEastAsia" w:cstheme="minorBidi"/>
            <w:lang w:val="en-US"/>
          </w:rPr>
          <w:tab/>
        </w:r>
        <w:r w:rsidR="00DB7855" w:rsidRPr="00E95718">
          <w:rPr>
            <w:rStyle w:val="Kpr"/>
          </w:rPr>
          <w:t>Doğal Gaz Piyasası Tarifeleri</w:t>
        </w:r>
        <w:r w:rsidR="00DB7855">
          <w:rPr>
            <w:webHidden/>
          </w:rPr>
          <w:tab/>
        </w:r>
        <w:r w:rsidR="00DB7855">
          <w:rPr>
            <w:webHidden/>
          </w:rPr>
          <w:fldChar w:fldCharType="begin"/>
        </w:r>
        <w:r w:rsidR="00DB7855">
          <w:rPr>
            <w:webHidden/>
          </w:rPr>
          <w:instrText xml:space="preserve"> PAGEREF _Toc132713815 \h </w:instrText>
        </w:r>
        <w:r w:rsidR="00DB7855">
          <w:rPr>
            <w:webHidden/>
          </w:rPr>
        </w:r>
        <w:r w:rsidR="00DB7855">
          <w:rPr>
            <w:webHidden/>
          </w:rPr>
          <w:fldChar w:fldCharType="separate"/>
        </w:r>
        <w:r w:rsidR="00DB7855">
          <w:rPr>
            <w:webHidden/>
          </w:rPr>
          <w:t>162</w:t>
        </w:r>
        <w:r w:rsidR="00DB7855">
          <w:rPr>
            <w:webHidden/>
          </w:rPr>
          <w:fldChar w:fldCharType="end"/>
        </w:r>
      </w:hyperlink>
    </w:p>
    <w:p w:rsidR="00DB7855" w:rsidRDefault="00255FFC">
      <w:pPr>
        <w:pStyle w:val="T3"/>
        <w:rPr>
          <w:rFonts w:eastAsiaTheme="minorEastAsia" w:cstheme="minorBidi"/>
          <w:noProof/>
          <w:lang w:val="en-US"/>
        </w:rPr>
      </w:pPr>
      <w:hyperlink w:anchor="_Toc132713816" w:history="1">
        <w:r w:rsidR="00DB7855" w:rsidRPr="00E95718">
          <w:rPr>
            <w:rStyle w:val="Kpr"/>
            <w:noProof/>
          </w:rPr>
          <w:t>4.3.1.</w:t>
        </w:r>
        <w:r w:rsidR="00DB7855">
          <w:rPr>
            <w:rFonts w:eastAsiaTheme="minorEastAsia" w:cstheme="minorBidi"/>
            <w:noProof/>
            <w:lang w:val="en-US"/>
          </w:rPr>
          <w:tab/>
        </w:r>
        <w:r w:rsidR="00DB7855" w:rsidRPr="00E95718">
          <w:rPr>
            <w:rStyle w:val="Kpr"/>
            <w:noProof/>
          </w:rPr>
          <w:t>İletim ve Sevkiyat Kontrol Tarifeleri</w:t>
        </w:r>
        <w:r w:rsidR="00DB7855">
          <w:rPr>
            <w:noProof/>
            <w:webHidden/>
          </w:rPr>
          <w:tab/>
        </w:r>
        <w:r w:rsidR="00DB7855">
          <w:rPr>
            <w:noProof/>
            <w:webHidden/>
          </w:rPr>
          <w:fldChar w:fldCharType="begin"/>
        </w:r>
        <w:r w:rsidR="00DB7855">
          <w:rPr>
            <w:noProof/>
            <w:webHidden/>
          </w:rPr>
          <w:instrText xml:space="preserve"> PAGEREF _Toc132713816 \h </w:instrText>
        </w:r>
        <w:r w:rsidR="00DB7855">
          <w:rPr>
            <w:noProof/>
            <w:webHidden/>
          </w:rPr>
        </w:r>
        <w:r w:rsidR="00DB7855">
          <w:rPr>
            <w:noProof/>
            <w:webHidden/>
          </w:rPr>
          <w:fldChar w:fldCharType="separate"/>
        </w:r>
        <w:r w:rsidR="00DB7855">
          <w:rPr>
            <w:noProof/>
            <w:webHidden/>
          </w:rPr>
          <w:t>162</w:t>
        </w:r>
        <w:r w:rsidR="00DB7855">
          <w:rPr>
            <w:noProof/>
            <w:webHidden/>
          </w:rPr>
          <w:fldChar w:fldCharType="end"/>
        </w:r>
      </w:hyperlink>
    </w:p>
    <w:p w:rsidR="00DB7855" w:rsidRDefault="00255FFC">
      <w:pPr>
        <w:pStyle w:val="T3"/>
        <w:rPr>
          <w:rFonts w:eastAsiaTheme="minorEastAsia" w:cstheme="minorBidi"/>
          <w:noProof/>
          <w:lang w:val="en-US"/>
        </w:rPr>
      </w:pPr>
      <w:hyperlink w:anchor="_Toc132713817" w:history="1">
        <w:r w:rsidR="00DB7855" w:rsidRPr="00E95718">
          <w:rPr>
            <w:rStyle w:val="Kpr"/>
            <w:noProof/>
          </w:rPr>
          <w:t>4.3.2.</w:t>
        </w:r>
        <w:r w:rsidR="00DB7855">
          <w:rPr>
            <w:rFonts w:eastAsiaTheme="minorEastAsia" w:cstheme="minorBidi"/>
            <w:noProof/>
            <w:lang w:val="en-US"/>
          </w:rPr>
          <w:tab/>
        </w:r>
        <w:r w:rsidR="00DB7855" w:rsidRPr="00E95718">
          <w:rPr>
            <w:rStyle w:val="Kpr"/>
            <w:noProof/>
          </w:rPr>
          <w:t>Piyasa İşletim Tarifesi</w:t>
        </w:r>
        <w:r w:rsidR="00DB7855">
          <w:rPr>
            <w:noProof/>
            <w:webHidden/>
          </w:rPr>
          <w:tab/>
        </w:r>
        <w:r w:rsidR="00DB7855">
          <w:rPr>
            <w:noProof/>
            <w:webHidden/>
          </w:rPr>
          <w:fldChar w:fldCharType="begin"/>
        </w:r>
        <w:r w:rsidR="00DB7855">
          <w:rPr>
            <w:noProof/>
            <w:webHidden/>
          </w:rPr>
          <w:instrText xml:space="preserve"> PAGEREF _Toc132713817 \h </w:instrText>
        </w:r>
        <w:r w:rsidR="00DB7855">
          <w:rPr>
            <w:noProof/>
            <w:webHidden/>
          </w:rPr>
        </w:r>
        <w:r w:rsidR="00DB7855">
          <w:rPr>
            <w:noProof/>
            <w:webHidden/>
          </w:rPr>
          <w:fldChar w:fldCharType="separate"/>
        </w:r>
        <w:r w:rsidR="00DB7855">
          <w:rPr>
            <w:noProof/>
            <w:webHidden/>
          </w:rPr>
          <w:t>163</w:t>
        </w:r>
        <w:r w:rsidR="00DB7855">
          <w:rPr>
            <w:noProof/>
            <w:webHidden/>
          </w:rPr>
          <w:fldChar w:fldCharType="end"/>
        </w:r>
      </w:hyperlink>
    </w:p>
    <w:p w:rsidR="00DB7855" w:rsidRDefault="00255FFC">
      <w:pPr>
        <w:pStyle w:val="T3"/>
        <w:rPr>
          <w:rFonts w:eastAsiaTheme="minorEastAsia" w:cstheme="minorBidi"/>
          <w:noProof/>
          <w:lang w:val="en-US"/>
        </w:rPr>
      </w:pPr>
      <w:hyperlink w:anchor="_Toc132713818" w:history="1">
        <w:r w:rsidR="00DB7855" w:rsidRPr="00E95718">
          <w:rPr>
            <w:rStyle w:val="Kpr"/>
            <w:noProof/>
          </w:rPr>
          <w:t>4.3.3.</w:t>
        </w:r>
        <w:r w:rsidR="00DB7855">
          <w:rPr>
            <w:rFonts w:eastAsiaTheme="minorEastAsia" w:cstheme="minorBidi"/>
            <w:noProof/>
            <w:lang w:val="en-US"/>
          </w:rPr>
          <w:tab/>
        </w:r>
        <w:r w:rsidR="00DB7855" w:rsidRPr="00E95718">
          <w:rPr>
            <w:rStyle w:val="Kpr"/>
            <w:noProof/>
          </w:rPr>
          <w:t>Bağlantı Tarifeleri</w:t>
        </w:r>
        <w:r w:rsidR="00DB7855">
          <w:rPr>
            <w:noProof/>
            <w:webHidden/>
          </w:rPr>
          <w:tab/>
        </w:r>
        <w:r w:rsidR="00DB7855">
          <w:rPr>
            <w:noProof/>
            <w:webHidden/>
          </w:rPr>
          <w:fldChar w:fldCharType="begin"/>
        </w:r>
        <w:r w:rsidR="00DB7855">
          <w:rPr>
            <w:noProof/>
            <w:webHidden/>
          </w:rPr>
          <w:instrText xml:space="preserve"> PAGEREF _Toc132713818 \h </w:instrText>
        </w:r>
        <w:r w:rsidR="00DB7855">
          <w:rPr>
            <w:noProof/>
            <w:webHidden/>
          </w:rPr>
        </w:r>
        <w:r w:rsidR="00DB7855">
          <w:rPr>
            <w:noProof/>
            <w:webHidden/>
          </w:rPr>
          <w:fldChar w:fldCharType="separate"/>
        </w:r>
        <w:r w:rsidR="00DB7855">
          <w:rPr>
            <w:noProof/>
            <w:webHidden/>
          </w:rPr>
          <w:t>163</w:t>
        </w:r>
        <w:r w:rsidR="00DB7855">
          <w:rPr>
            <w:noProof/>
            <w:webHidden/>
          </w:rPr>
          <w:fldChar w:fldCharType="end"/>
        </w:r>
      </w:hyperlink>
    </w:p>
    <w:p w:rsidR="00DB7855" w:rsidRDefault="00255FFC">
      <w:pPr>
        <w:pStyle w:val="T3"/>
        <w:rPr>
          <w:rFonts w:eastAsiaTheme="minorEastAsia" w:cstheme="minorBidi"/>
          <w:noProof/>
          <w:lang w:val="en-US"/>
        </w:rPr>
      </w:pPr>
      <w:hyperlink w:anchor="_Toc132713819" w:history="1">
        <w:r w:rsidR="00DB7855" w:rsidRPr="00E95718">
          <w:rPr>
            <w:rStyle w:val="Kpr"/>
            <w:noProof/>
          </w:rPr>
          <w:t>4.3.4.</w:t>
        </w:r>
        <w:r w:rsidR="00DB7855">
          <w:rPr>
            <w:rFonts w:eastAsiaTheme="minorEastAsia" w:cstheme="minorBidi"/>
            <w:noProof/>
            <w:lang w:val="en-US"/>
          </w:rPr>
          <w:tab/>
        </w:r>
        <w:r w:rsidR="00DB7855" w:rsidRPr="00E95718">
          <w:rPr>
            <w:rStyle w:val="Kpr"/>
            <w:noProof/>
          </w:rPr>
          <w:t>İç Tesisat Proje Onay, Kontrolörlük, Test ve İşletmeye Alma İşlemleri Bedelleri</w:t>
        </w:r>
        <w:r w:rsidR="00DB7855">
          <w:rPr>
            <w:noProof/>
            <w:webHidden/>
          </w:rPr>
          <w:tab/>
        </w:r>
        <w:r w:rsidR="00DB7855">
          <w:rPr>
            <w:noProof/>
            <w:webHidden/>
          </w:rPr>
          <w:fldChar w:fldCharType="begin"/>
        </w:r>
        <w:r w:rsidR="00DB7855">
          <w:rPr>
            <w:noProof/>
            <w:webHidden/>
          </w:rPr>
          <w:instrText xml:space="preserve"> PAGEREF _Toc132713819 \h </w:instrText>
        </w:r>
        <w:r w:rsidR="00DB7855">
          <w:rPr>
            <w:noProof/>
            <w:webHidden/>
          </w:rPr>
        </w:r>
        <w:r w:rsidR="00DB7855">
          <w:rPr>
            <w:noProof/>
            <w:webHidden/>
          </w:rPr>
          <w:fldChar w:fldCharType="separate"/>
        </w:r>
        <w:r w:rsidR="00DB7855">
          <w:rPr>
            <w:noProof/>
            <w:webHidden/>
          </w:rPr>
          <w:t>164</w:t>
        </w:r>
        <w:r w:rsidR="00DB7855">
          <w:rPr>
            <w:noProof/>
            <w:webHidden/>
          </w:rPr>
          <w:fldChar w:fldCharType="end"/>
        </w:r>
      </w:hyperlink>
    </w:p>
    <w:p w:rsidR="00DB7855" w:rsidRDefault="00255FFC">
      <w:pPr>
        <w:pStyle w:val="T3"/>
        <w:rPr>
          <w:rFonts w:eastAsiaTheme="minorEastAsia" w:cstheme="minorBidi"/>
          <w:noProof/>
          <w:lang w:val="en-US"/>
        </w:rPr>
      </w:pPr>
      <w:hyperlink w:anchor="_Toc132713820" w:history="1">
        <w:r w:rsidR="00DB7855" w:rsidRPr="00E95718">
          <w:rPr>
            <w:rStyle w:val="Kpr"/>
            <w:noProof/>
          </w:rPr>
          <w:t>4.3.5.</w:t>
        </w:r>
        <w:r w:rsidR="00DB7855">
          <w:rPr>
            <w:rFonts w:eastAsiaTheme="minorEastAsia" w:cstheme="minorBidi"/>
            <w:noProof/>
            <w:lang w:val="en-US"/>
          </w:rPr>
          <w:tab/>
        </w:r>
        <w:r w:rsidR="00DB7855" w:rsidRPr="00E95718">
          <w:rPr>
            <w:rStyle w:val="Kpr"/>
            <w:noProof/>
          </w:rPr>
          <w:t>Toptan Satış Tarifeleri</w:t>
        </w:r>
        <w:r w:rsidR="00DB7855">
          <w:rPr>
            <w:noProof/>
            <w:webHidden/>
          </w:rPr>
          <w:tab/>
        </w:r>
        <w:r w:rsidR="00DB7855">
          <w:rPr>
            <w:noProof/>
            <w:webHidden/>
          </w:rPr>
          <w:fldChar w:fldCharType="begin"/>
        </w:r>
        <w:r w:rsidR="00DB7855">
          <w:rPr>
            <w:noProof/>
            <w:webHidden/>
          </w:rPr>
          <w:instrText xml:space="preserve"> PAGEREF _Toc132713820 \h </w:instrText>
        </w:r>
        <w:r w:rsidR="00DB7855">
          <w:rPr>
            <w:noProof/>
            <w:webHidden/>
          </w:rPr>
        </w:r>
        <w:r w:rsidR="00DB7855">
          <w:rPr>
            <w:noProof/>
            <w:webHidden/>
          </w:rPr>
          <w:fldChar w:fldCharType="separate"/>
        </w:r>
        <w:r w:rsidR="00DB7855">
          <w:rPr>
            <w:noProof/>
            <w:webHidden/>
          </w:rPr>
          <w:t>164</w:t>
        </w:r>
        <w:r w:rsidR="00DB7855">
          <w:rPr>
            <w:noProof/>
            <w:webHidden/>
          </w:rPr>
          <w:fldChar w:fldCharType="end"/>
        </w:r>
      </w:hyperlink>
    </w:p>
    <w:p w:rsidR="00DB7855" w:rsidRDefault="00255FFC">
      <w:pPr>
        <w:pStyle w:val="T3"/>
        <w:rPr>
          <w:rFonts w:eastAsiaTheme="minorEastAsia" w:cstheme="minorBidi"/>
          <w:noProof/>
          <w:lang w:val="en-US"/>
        </w:rPr>
      </w:pPr>
      <w:hyperlink w:anchor="_Toc132713821" w:history="1">
        <w:r w:rsidR="00DB7855" w:rsidRPr="00E95718">
          <w:rPr>
            <w:rStyle w:val="Kpr"/>
            <w:noProof/>
          </w:rPr>
          <w:t>4.3.6.</w:t>
        </w:r>
        <w:r w:rsidR="00DB7855">
          <w:rPr>
            <w:rFonts w:eastAsiaTheme="minorEastAsia" w:cstheme="minorBidi"/>
            <w:noProof/>
            <w:lang w:val="en-US"/>
          </w:rPr>
          <w:tab/>
        </w:r>
        <w:r w:rsidR="00DB7855" w:rsidRPr="00E95718">
          <w:rPr>
            <w:rStyle w:val="Kpr"/>
            <w:noProof/>
          </w:rPr>
          <w:t>Perakende Satış Tarifeleri</w:t>
        </w:r>
        <w:r w:rsidR="00DB7855">
          <w:rPr>
            <w:noProof/>
            <w:webHidden/>
          </w:rPr>
          <w:tab/>
        </w:r>
        <w:r w:rsidR="00DB7855">
          <w:rPr>
            <w:noProof/>
            <w:webHidden/>
          </w:rPr>
          <w:fldChar w:fldCharType="begin"/>
        </w:r>
        <w:r w:rsidR="00DB7855">
          <w:rPr>
            <w:noProof/>
            <w:webHidden/>
          </w:rPr>
          <w:instrText xml:space="preserve"> PAGEREF _Toc132713821 \h </w:instrText>
        </w:r>
        <w:r w:rsidR="00DB7855">
          <w:rPr>
            <w:noProof/>
            <w:webHidden/>
          </w:rPr>
        </w:r>
        <w:r w:rsidR="00DB7855">
          <w:rPr>
            <w:noProof/>
            <w:webHidden/>
          </w:rPr>
          <w:fldChar w:fldCharType="separate"/>
        </w:r>
        <w:r w:rsidR="00DB7855">
          <w:rPr>
            <w:noProof/>
            <w:webHidden/>
          </w:rPr>
          <w:t>164</w:t>
        </w:r>
        <w:r w:rsidR="00DB7855">
          <w:rPr>
            <w:noProof/>
            <w:webHidden/>
          </w:rPr>
          <w:fldChar w:fldCharType="end"/>
        </w:r>
      </w:hyperlink>
    </w:p>
    <w:p w:rsidR="00DB7855" w:rsidRDefault="00255FFC">
      <w:pPr>
        <w:pStyle w:val="T3"/>
        <w:rPr>
          <w:rFonts w:eastAsiaTheme="minorEastAsia" w:cstheme="minorBidi"/>
          <w:noProof/>
          <w:lang w:val="en-US"/>
        </w:rPr>
      </w:pPr>
      <w:hyperlink w:anchor="_Toc132713822" w:history="1">
        <w:r w:rsidR="00DB7855" w:rsidRPr="00E95718">
          <w:rPr>
            <w:rStyle w:val="Kpr"/>
            <w:rFonts w:eastAsia="Times New Roman"/>
            <w:noProof/>
          </w:rPr>
          <w:t>4.3.7.</w:t>
        </w:r>
        <w:r w:rsidR="00DB7855">
          <w:rPr>
            <w:rFonts w:eastAsiaTheme="minorEastAsia" w:cstheme="minorBidi"/>
            <w:noProof/>
            <w:lang w:val="en-US"/>
          </w:rPr>
          <w:tab/>
        </w:r>
        <w:r w:rsidR="00DB7855" w:rsidRPr="00E95718">
          <w:rPr>
            <w:rStyle w:val="Kpr"/>
            <w:rFonts w:eastAsia="Times New Roman"/>
            <w:noProof/>
          </w:rPr>
          <w:t>Doğal Gaz Piyasası ile İlgili Alınan Diğer Tarife Kurul Kararları</w:t>
        </w:r>
        <w:r w:rsidR="00DB7855">
          <w:rPr>
            <w:noProof/>
            <w:webHidden/>
          </w:rPr>
          <w:tab/>
        </w:r>
        <w:r w:rsidR="00DB7855">
          <w:rPr>
            <w:noProof/>
            <w:webHidden/>
          </w:rPr>
          <w:fldChar w:fldCharType="begin"/>
        </w:r>
        <w:r w:rsidR="00DB7855">
          <w:rPr>
            <w:noProof/>
            <w:webHidden/>
          </w:rPr>
          <w:instrText xml:space="preserve"> PAGEREF _Toc132713822 \h </w:instrText>
        </w:r>
        <w:r w:rsidR="00DB7855">
          <w:rPr>
            <w:noProof/>
            <w:webHidden/>
          </w:rPr>
        </w:r>
        <w:r w:rsidR="00DB7855">
          <w:rPr>
            <w:noProof/>
            <w:webHidden/>
          </w:rPr>
          <w:fldChar w:fldCharType="separate"/>
        </w:r>
        <w:r w:rsidR="00DB7855">
          <w:rPr>
            <w:noProof/>
            <w:webHidden/>
          </w:rPr>
          <w:t>168</w:t>
        </w:r>
        <w:r w:rsidR="00DB7855">
          <w:rPr>
            <w:noProof/>
            <w:webHidden/>
          </w:rPr>
          <w:fldChar w:fldCharType="end"/>
        </w:r>
      </w:hyperlink>
    </w:p>
    <w:p w:rsidR="00DB7855" w:rsidRDefault="00255FFC">
      <w:pPr>
        <w:pStyle w:val="T3"/>
        <w:rPr>
          <w:rFonts w:eastAsiaTheme="minorEastAsia" w:cstheme="minorBidi"/>
          <w:noProof/>
          <w:lang w:val="en-US"/>
        </w:rPr>
      </w:pPr>
      <w:hyperlink w:anchor="_Toc132713823" w:history="1">
        <w:r w:rsidR="00DB7855" w:rsidRPr="00E95718">
          <w:rPr>
            <w:rStyle w:val="Kpr"/>
            <w:noProof/>
          </w:rPr>
          <w:t>4.3.8.</w:t>
        </w:r>
        <w:r w:rsidR="00DB7855">
          <w:rPr>
            <w:rFonts w:eastAsiaTheme="minorEastAsia" w:cstheme="minorBidi"/>
            <w:noProof/>
            <w:lang w:val="en-US"/>
          </w:rPr>
          <w:tab/>
        </w:r>
        <w:r w:rsidR="00DB7855" w:rsidRPr="00E95718">
          <w:rPr>
            <w:rStyle w:val="Kpr"/>
            <w:noProof/>
          </w:rPr>
          <w:t>Lisans Bedelleri</w:t>
        </w:r>
        <w:r w:rsidR="00DB7855">
          <w:rPr>
            <w:noProof/>
            <w:webHidden/>
          </w:rPr>
          <w:tab/>
        </w:r>
        <w:r w:rsidR="00DB7855">
          <w:rPr>
            <w:noProof/>
            <w:webHidden/>
          </w:rPr>
          <w:fldChar w:fldCharType="begin"/>
        </w:r>
        <w:r w:rsidR="00DB7855">
          <w:rPr>
            <w:noProof/>
            <w:webHidden/>
          </w:rPr>
          <w:instrText xml:space="preserve"> PAGEREF _Toc132713823 \h </w:instrText>
        </w:r>
        <w:r w:rsidR="00DB7855">
          <w:rPr>
            <w:noProof/>
            <w:webHidden/>
          </w:rPr>
        </w:r>
        <w:r w:rsidR="00DB7855">
          <w:rPr>
            <w:noProof/>
            <w:webHidden/>
          </w:rPr>
          <w:fldChar w:fldCharType="separate"/>
        </w:r>
        <w:r w:rsidR="00DB7855">
          <w:rPr>
            <w:noProof/>
            <w:webHidden/>
          </w:rPr>
          <w:t>170</w:t>
        </w:r>
        <w:r w:rsidR="00DB7855">
          <w:rPr>
            <w:noProof/>
            <w:webHidden/>
          </w:rPr>
          <w:fldChar w:fldCharType="end"/>
        </w:r>
      </w:hyperlink>
    </w:p>
    <w:p w:rsidR="00DB7855" w:rsidRDefault="00255FFC" w:rsidP="009D3193">
      <w:pPr>
        <w:pStyle w:val="T2"/>
        <w:rPr>
          <w:rFonts w:eastAsiaTheme="minorEastAsia" w:cstheme="minorBidi"/>
          <w:lang w:val="en-US"/>
        </w:rPr>
      </w:pPr>
      <w:hyperlink w:anchor="_Toc132713824" w:history="1">
        <w:r w:rsidR="00DB7855" w:rsidRPr="00E95718">
          <w:rPr>
            <w:rStyle w:val="Kpr"/>
          </w:rPr>
          <w:t>4.4.</w:t>
        </w:r>
        <w:r w:rsidR="00DB7855">
          <w:rPr>
            <w:rFonts w:eastAsiaTheme="minorEastAsia" w:cstheme="minorBidi"/>
            <w:lang w:val="en-US"/>
          </w:rPr>
          <w:tab/>
        </w:r>
        <w:r w:rsidR="00DB7855" w:rsidRPr="00E95718">
          <w:rPr>
            <w:rStyle w:val="Kpr"/>
          </w:rPr>
          <w:t>Petrol Piyasası Tarifeleri</w:t>
        </w:r>
        <w:r w:rsidR="00DB7855">
          <w:rPr>
            <w:webHidden/>
          </w:rPr>
          <w:tab/>
        </w:r>
        <w:r w:rsidR="00DB7855">
          <w:rPr>
            <w:webHidden/>
          </w:rPr>
          <w:fldChar w:fldCharType="begin"/>
        </w:r>
        <w:r w:rsidR="00DB7855">
          <w:rPr>
            <w:webHidden/>
          </w:rPr>
          <w:instrText xml:space="preserve"> PAGEREF _Toc132713824 \h </w:instrText>
        </w:r>
        <w:r w:rsidR="00DB7855">
          <w:rPr>
            <w:webHidden/>
          </w:rPr>
        </w:r>
        <w:r w:rsidR="00DB7855">
          <w:rPr>
            <w:webHidden/>
          </w:rPr>
          <w:fldChar w:fldCharType="separate"/>
        </w:r>
        <w:r w:rsidR="00DB7855">
          <w:rPr>
            <w:webHidden/>
          </w:rPr>
          <w:t>171</w:t>
        </w:r>
        <w:r w:rsidR="00DB7855">
          <w:rPr>
            <w:webHidden/>
          </w:rPr>
          <w:fldChar w:fldCharType="end"/>
        </w:r>
      </w:hyperlink>
    </w:p>
    <w:p w:rsidR="00DB7855" w:rsidRDefault="00255FFC">
      <w:pPr>
        <w:pStyle w:val="T3"/>
        <w:rPr>
          <w:rFonts w:eastAsiaTheme="minorEastAsia" w:cstheme="minorBidi"/>
          <w:noProof/>
          <w:lang w:val="en-US"/>
        </w:rPr>
      </w:pPr>
      <w:hyperlink w:anchor="_Toc132713825" w:history="1">
        <w:r w:rsidR="00DB7855" w:rsidRPr="00E95718">
          <w:rPr>
            <w:rStyle w:val="Kpr"/>
            <w:noProof/>
          </w:rPr>
          <w:t>4.4.1.</w:t>
        </w:r>
        <w:r w:rsidR="00DB7855">
          <w:rPr>
            <w:rFonts w:eastAsiaTheme="minorEastAsia" w:cstheme="minorBidi"/>
            <w:noProof/>
            <w:lang w:val="en-US"/>
          </w:rPr>
          <w:tab/>
        </w:r>
        <w:r w:rsidR="00DB7855" w:rsidRPr="00E95718">
          <w:rPr>
            <w:rStyle w:val="Kpr"/>
            <w:noProof/>
          </w:rPr>
          <w:t>Lisans Bedelleri</w:t>
        </w:r>
        <w:r w:rsidR="00DB7855">
          <w:rPr>
            <w:noProof/>
            <w:webHidden/>
          </w:rPr>
          <w:tab/>
        </w:r>
        <w:r w:rsidR="00DB7855">
          <w:rPr>
            <w:noProof/>
            <w:webHidden/>
          </w:rPr>
          <w:fldChar w:fldCharType="begin"/>
        </w:r>
        <w:r w:rsidR="00DB7855">
          <w:rPr>
            <w:noProof/>
            <w:webHidden/>
          </w:rPr>
          <w:instrText xml:space="preserve"> PAGEREF _Toc132713825 \h </w:instrText>
        </w:r>
        <w:r w:rsidR="00DB7855">
          <w:rPr>
            <w:noProof/>
            <w:webHidden/>
          </w:rPr>
        </w:r>
        <w:r w:rsidR="00DB7855">
          <w:rPr>
            <w:noProof/>
            <w:webHidden/>
          </w:rPr>
          <w:fldChar w:fldCharType="separate"/>
        </w:r>
        <w:r w:rsidR="00DB7855">
          <w:rPr>
            <w:noProof/>
            <w:webHidden/>
          </w:rPr>
          <w:t>173</w:t>
        </w:r>
        <w:r w:rsidR="00DB7855">
          <w:rPr>
            <w:noProof/>
            <w:webHidden/>
          </w:rPr>
          <w:fldChar w:fldCharType="end"/>
        </w:r>
      </w:hyperlink>
    </w:p>
    <w:p w:rsidR="00DB7855" w:rsidRDefault="00255FFC" w:rsidP="009D3193">
      <w:pPr>
        <w:pStyle w:val="T2"/>
        <w:rPr>
          <w:rFonts w:eastAsiaTheme="minorEastAsia" w:cstheme="minorBidi"/>
          <w:lang w:val="en-US"/>
        </w:rPr>
      </w:pPr>
      <w:hyperlink w:anchor="_Toc132713826" w:history="1">
        <w:r w:rsidR="00DB7855" w:rsidRPr="00E95718">
          <w:rPr>
            <w:rStyle w:val="Kpr"/>
          </w:rPr>
          <w:t>4.5.</w:t>
        </w:r>
        <w:r w:rsidR="00DB7855">
          <w:rPr>
            <w:rFonts w:eastAsiaTheme="minorEastAsia" w:cstheme="minorBidi"/>
            <w:lang w:val="en-US"/>
          </w:rPr>
          <w:tab/>
        </w:r>
        <w:r w:rsidR="00DB7855" w:rsidRPr="00E95718">
          <w:rPr>
            <w:rStyle w:val="Kpr"/>
          </w:rPr>
          <w:t>Sıvılaştırılmış Petrol Gazları (LPG) Piyasasında Fiyatlar</w:t>
        </w:r>
        <w:r w:rsidR="00DB7855">
          <w:rPr>
            <w:webHidden/>
          </w:rPr>
          <w:tab/>
        </w:r>
        <w:r w:rsidR="00DB7855">
          <w:rPr>
            <w:webHidden/>
          </w:rPr>
          <w:fldChar w:fldCharType="begin"/>
        </w:r>
        <w:r w:rsidR="00DB7855">
          <w:rPr>
            <w:webHidden/>
          </w:rPr>
          <w:instrText xml:space="preserve"> PAGEREF _Toc132713826 \h </w:instrText>
        </w:r>
        <w:r w:rsidR="00DB7855">
          <w:rPr>
            <w:webHidden/>
          </w:rPr>
        </w:r>
        <w:r w:rsidR="00DB7855">
          <w:rPr>
            <w:webHidden/>
          </w:rPr>
          <w:fldChar w:fldCharType="separate"/>
        </w:r>
        <w:r w:rsidR="00DB7855">
          <w:rPr>
            <w:webHidden/>
          </w:rPr>
          <w:t>174</w:t>
        </w:r>
        <w:r w:rsidR="00DB7855">
          <w:rPr>
            <w:webHidden/>
          </w:rPr>
          <w:fldChar w:fldCharType="end"/>
        </w:r>
      </w:hyperlink>
    </w:p>
    <w:p w:rsidR="00DB7855" w:rsidRDefault="00255FFC">
      <w:pPr>
        <w:pStyle w:val="T3"/>
        <w:rPr>
          <w:rFonts w:eastAsiaTheme="minorEastAsia" w:cstheme="minorBidi"/>
          <w:noProof/>
          <w:lang w:val="en-US"/>
        </w:rPr>
      </w:pPr>
      <w:hyperlink w:anchor="_Toc132713827" w:history="1">
        <w:r w:rsidR="00DB7855" w:rsidRPr="00E95718">
          <w:rPr>
            <w:rStyle w:val="Kpr"/>
            <w:noProof/>
          </w:rPr>
          <w:t>4.5.1.</w:t>
        </w:r>
        <w:r w:rsidR="00DB7855">
          <w:rPr>
            <w:rFonts w:eastAsiaTheme="minorEastAsia" w:cstheme="minorBidi"/>
            <w:noProof/>
            <w:lang w:val="en-US"/>
          </w:rPr>
          <w:tab/>
        </w:r>
        <w:r w:rsidR="00DB7855" w:rsidRPr="00E95718">
          <w:rPr>
            <w:rStyle w:val="Kpr"/>
            <w:noProof/>
          </w:rPr>
          <w:t>Lisans Bedelleri</w:t>
        </w:r>
        <w:r w:rsidR="00DB7855">
          <w:rPr>
            <w:noProof/>
            <w:webHidden/>
          </w:rPr>
          <w:tab/>
        </w:r>
        <w:r w:rsidR="00DB7855">
          <w:rPr>
            <w:noProof/>
            <w:webHidden/>
          </w:rPr>
          <w:fldChar w:fldCharType="begin"/>
        </w:r>
        <w:r w:rsidR="00DB7855">
          <w:rPr>
            <w:noProof/>
            <w:webHidden/>
          </w:rPr>
          <w:instrText xml:space="preserve"> PAGEREF _Toc132713827 \h </w:instrText>
        </w:r>
        <w:r w:rsidR="00DB7855">
          <w:rPr>
            <w:noProof/>
            <w:webHidden/>
          </w:rPr>
        </w:r>
        <w:r w:rsidR="00DB7855">
          <w:rPr>
            <w:noProof/>
            <w:webHidden/>
          </w:rPr>
          <w:fldChar w:fldCharType="separate"/>
        </w:r>
        <w:r w:rsidR="00DB7855">
          <w:rPr>
            <w:noProof/>
            <w:webHidden/>
          </w:rPr>
          <w:t>174</w:t>
        </w:r>
        <w:r w:rsidR="00DB7855">
          <w:rPr>
            <w:noProof/>
            <w:webHidden/>
          </w:rPr>
          <w:fldChar w:fldCharType="end"/>
        </w:r>
      </w:hyperlink>
    </w:p>
    <w:p w:rsidR="00DB7855" w:rsidRDefault="00255FFC">
      <w:pPr>
        <w:pStyle w:val="T1"/>
        <w:tabs>
          <w:tab w:val="left" w:pos="660"/>
        </w:tabs>
        <w:rPr>
          <w:rFonts w:eastAsiaTheme="minorEastAsia" w:cstheme="minorBidi"/>
          <w:b w:val="0"/>
          <w:noProof/>
          <w:lang w:val="en-US"/>
        </w:rPr>
      </w:pPr>
      <w:hyperlink w:anchor="_Toc132713828" w:history="1">
        <w:r w:rsidR="00DB7855" w:rsidRPr="00E95718">
          <w:rPr>
            <w:rStyle w:val="Kpr"/>
            <w:noProof/>
          </w:rPr>
          <w:t>5.</w:t>
        </w:r>
        <w:r w:rsidR="00DB7855">
          <w:rPr>
            <w:rFonts w:eastAsiaTheme="minorEastAsia" w:cstheme="minorBidi"/>
            <w:b w:val="0"/>
            <w:noProof/>
            <w:lang w:val="en-US"/>
          </w:rPr>
          <w:tab/>
        </w:r>
        <w:r w:rsidR="00DB7855" w:rsidRPr="00E95718">
          <w:rPr>
            <w:rStyle w:val="Kpr"/>
            <w:noProof/>
          </w:rPr>
          <w:t>BİLİŞİM SİSTEMLERİ FAALİYETLERİ</w:t>
        </w:r>
        <w:r w:rsidR="00DB7855">
          <w:rPr>
            <w:noProof/>
            <w:webHidden/>
          </w:rPr>
          <w:tab/>
        </w:r>
        <w:r w:rsidR="00DB7855">
          <w:rPr>
            <w:noProof/>
            <w:webHidden/>
          </w:rPr>
          <w:fldChar w:fldCharType="begin"/>
        </w:r>
        <w:r w:rsidR="00DB7855">
          <w:rPr>
            <w:noProof/>
            <w:webHidden/>
          </w:rPr>
          <w:instrText xml:space="preserve"> PAGEREF _Toc132713828 \h </w:instrText>
        </w:r>
        <w:r w:rsidR="00DB7855">
          <w:rPr>
            <w:noProof/>
            <w:webHidden/>
          </w:rPr>
        </w:r>
        <w:r w:rsidR="00DB7855">
          <w:rPr>
            <w:noProof/>
            <w:webHidden/>
          </w:rPr>
          <w:fldChar w:fldCharType="separate"/>
        </w:r>
        <w:r w:rsidR="00DB7855">
          <w:rPr>
            <w:noProof/>
            <w:webHidden/>
          </w:rPr>
          <w:t>175</w:t>
        </w:r>
        <w:r w:rsidR="00DB7855">
          <w:rPr>
            <w:noProof/>
            <w:webHidden/>
          </w:rPr>
          <w:fldChar w:fldCharType="end"/>
        </w:r>
      </w:hyperlink>
    </w:p>
    <w:p w:rsidR="00DB7855" w:rsidRDefault="00255FFC" w:rsidP="009D3193">
      <w:pPr>
        <w:pStyle w:val="T2"/>
        <w:rPr>
          <w:rFonts w:eastAsiaTheme="minorEastAsia" w:cstheme="minorBidi"/>
          <w:lang w:val="en-US"/>
        </w:rPr>
      </w:pPr>
      <w:hyperlink w:anchor="_Toc132713829" w:history="1">
        <w:r w:rsidR="00DB7855" w:rsidRPr="00E95718">
          <w:rPr>
            <w:rStyle w:val="Kpr"/>
            <w:rFonts w:cstheme="minorHAnsi"/>
          </w:rPr>
          <w:t>5.1.</w:t>
        </w:r>
        <w:r w:rsidR="00DB7855">
          <w:rPr>
            <w:rFonts w:eastAsiaTheme="minorEastAsia" w:cstheme="minorBidi"/>
            <w:lang w:val="en-US"/>
          </w:rPr>
          <w:tab/>
        </w:r>
        <w:r w:rsidR="00DB7855" w:rsidRPr="00E95718">
          <w:rPr>
            <w:rStyle w:val="Kpr"/>
            <w:rFonts w:cstheme="minorHAnsi"/>
          </w:rPr>
          <w:t>Bilgi Güvenliği Yönetim Sistemi (BGYS)</w:t>
        </w:r>
        <w:r w:rsidR="00DB7855">
          <w:rPr>
            <w:webHidden/>
          </w:rPr>
          <w:tab/>
        </w:r>
        <w:r w:rsidR="00DB7855">
          <w:rPr>
            <w:webHidden/>
          </w:rPr>
          <w:fldChar w:fldCharType="begin"/>
        </w:r>
        <w:r w:rsidR="00DB7855">
          <w:rPr>
            <w:webHidden/>
          </w:rPr>
          <w:instrText xml:space="preserve"> PAGEREF _Toc132713829 \h </w:instrText>
        </w:r>
        <w:r w:rsidR="00DB7855">
          <w:rPr>
            <w:webHidden/>
          </w:rPr>
        </w:r>
        <w:r w:rsidR="00DB7855">
          <w:rPr>
            <w:webHidden/>
          </w:rPr>
          <w:fldChar w:fldCharType="separate"/>
        </w:r>
        <w:r w:rsidR="00DB7855">
          <w:rPr>
            <w:webHidden/>
          </w:rPr>
          <w:t>175</w:t>
        </w:r>
        <w:r w:rsidR="00DB7855">
          <w:rPr>
            <w:webHidden/>
          </w:rPr>
          <w:fldChar w:fldCharType="end"/>
        </w:r>
      </w:hyperlink>
    </w:p>
    <w:p w:rsidR="00DB7855" w:rsidRDefault="00255FFC" w:rsidP="009D3193">
      <w:pPr>
        <w:pStyle w:val="T2"/>
        <w:rPr>
          <w:rFonts w:eastAsiaTheme="minorEastAsia" w:cstheme="minorBidi"/>
          <w:lang w:val="en-US"/>
        </w:rPr>
      </w:pPr>
      <w:hyperlink w:anchor="_Toc132713830" w:history="1">
        <w:r w:rsidR="00DB7855" w:rsidRPr="00E95718">
          <w:rPr>
            <w:rStyle w:val="Kpr"/>
            <w:rFonts w:cstheme="minorHAnsi"/>
          </w:rPr>
          <w:t>5.2.</w:t>
        </w:r>
        <w:r w:rsidR="00DB7855">
          <w:rPr>
            <w:rFonts w:eastAsiaTheme="minorEastAsia" w:cstheme="minorBidi"/>
            <w:lang w:val="en-US"/>
          </w:rPr>
          <w:tab/>
        </w:r>
        <w:r w:rsidR="00DB7855" w:rsidRPr="00E95718">
          <w:rPr>
            <w:rStyle w:val="Kpr"/>
            <w:rFonts w:cstheme="minorHAnsi"/>
          </w:rPr>
          <w:t>Bilişim Altyapı Sistemleri ve Destek Hizmetleri</w:t>
        </w:r>
        <w:r w:rsidR="00DB7855">
          <w:rPr>
            <w:webHidden/>
          </w:rPr>
          <w:tab/>
        </w:r>
        <w:r w:rsidR="00DB7855">
          <w:rPr>
            <w:webHidden/>
          </w:rPr>
          <w:fldChar w:fldCharType="begin"/>
        </w:r>
        <w:r w:rsidR="00DB7855">
          <w:rPr>
            <w:webHidden/>
          </w:rPr>
          <w:instrText xml:space="preserve"> PAGEREF _Toc132713830 \h </w:instrText>
        </w:r>
        <w:r w:rsidR="00DB7855">
          <w:rPr>
            <w:webHidden/>
          </w:rPr>
        </w:r>
        <w:r w:rsidR="00DB7855">
          <w:rPr>
            <w:webHidden/>
          </w:rPr>
          <w:fldChar w:fldCharType="separate"/>
        </w:r>
        <w:r w:rsidR="00DB7855">
          <w:rPr>
            <w:webHidden/>
          </w:rPr>
          <w:t>175</w:t>
        </w:r>
        <w:r w:rsidR="00DB7855">
          <w:rPr>
            <w:webHidden/>
          </w:rPr>
          <w:fldChar w:fldCharType="end"/>
        </w:r>
      </w:hyperlink>
    </w:p>
    <w:p w:rsidR="00DB7855" w:rsidRDefault="00255FFC" w:rsidP="009D3193">
      <w:pPr>
        <w:pStyle w:val="T2"/>
        <w:rPr>
          <w:rFonts w:eastAsiaTheme="minorEastAsia" w:cstheme="minorBidi"/>
          <w:lang w:val="en-US"/>
        </w:rPr>
      </w:pPr>
      <w:hyperlink w:anchor="_Toc132713831" w:history="1">
        <w:r w:rsidR="00DB7855" w:rsidRPr="00E95718">
          <w:rPr>
            <w:rStyle w:val="Kpr"/>
            <w:rFonts w:cstheme="minorHAnsi"/>
          </w:rPr>
          <w:t>5.3.</w:t>
        </w:r>
        <w:r w:rsidR="00DB7855">
          <w:rPr>
            <w:rFonts w:eastAsiaTheme="minorEastAsia" w:cstheme="minorBidi"/>
            <w:lang w:val="en-US"/>
          </w:rPr>
          <w:tab/>
        </w:r>
        <w:r w:rsidR="00DB7855" w:rsidRPr="00E95718">
          <w:rPr>
            <w:rStyle w:val="Kpr"/>
            <w:rFonts w:cstheme="minorHAnsi"/>
          </w:rPr>
          <w:t>Elektronik Belge Yönetim Sistemi (EBYS)</w:t>
        </w:r>
        <w:r w:rsidR="00DB7855">
          <w:rPr>
            <w:webHidden/>
          </w:rPr>
          <w:tab/>
        </w:r>
        <w:r w:rsidR="00DB7855">
          <w:rPr>
            <w:webHidden/>
          </w:rPr>
          <w:fldChar w:fldCharType="begin"/>
        </w:r>
        <w:r w:rsidR="00DB7855">
          <w:rPr>
            <w:webHidden/>
          </w:rPr>
          <w:instrText xml:space="preserve"> PAGEREF _Toc132713831 \h </w:instrText>
        </w:r>
        <w:r w:rsidR="00DB7855">
          <w:rPr>
            <w:webHidden/>
          </w:rPr>
        </w:r>
        <w:r w:rsidR="00DB7855">
          <w:rPr>
            <w:webHidden/>
          </w:rPr>
          <w:fldChar w:fldCharType="separate"/>
        </w:r>
        <w:r w:rsidR="00DB7855">
          <w:rPr>
            <w:webHidden/>
          </w:rPr>
          <w:t>176</w:t>
        </w:r>
        <w:r w:rsidR="00DB7855">
          <w:rPr>
            <w:webHidden/>
          </w:rPr>
          <w:fldChar w:fldCharType="end"/>
        </w:r>
      </w:hyperlink>
    </w:p>
    <w:p w:rsidR="00DB7855" w:rsidRDefault="00255FFC" w:rsidP="009D3193">
      <w:pPr>
        <w:pStyle w:val="T2"/>
        <w:rPr>
          <w:rFonts w:eastAsiaTheme="minorEastAsia" w:cstheme="minorBidi"/>
          <w:lang w:val="en-US"/>
        </w:rPr>
      </w:pPr>
      <w:hyperlink w:anchor="_Toc132713832" w:history="1">
        <w:r w:rsidR="00DB7855" w:rsidRPr="00E95718">
          <w:rPr>
            <w:rStyle w:val="Kpr"/>
            <w:rFonts w:cstheme="minorHAnsi"/>
          </w:rPr>
          <w:t>5.4.</w:t>
        </w:r>
        <w:r w:rsidR="00DB7855">
          <w:rPr>
            <w:rFonts w:eastAsiaTheme="minorEastAsia" w:cstheme="minorBidi"/>
            <w:lang w:val="en-US"/>
          </w:rPr>
          <w:tab/>
        </w:r>
        <w:r w:rsidR="00DB7855" w:rsidRPr="00E95718">
          <w:rPr>
            <w:rStyle w:val="Kpr"/>
            <w:rFonts w:cstheme="minorHAnsi"/>
          </w:rPr>
          <w:t>Kurum İnternet Sitesi</w:t>
        </w:r>
        <w:r w:rsidR="00DB7855">
          <w:rPr>
            <w:webHidden/>
          </w:rPr>
          <w:tab/>
        </w:r>
        <w:r w:rsidR="00DB7855">
          <w:rPr>
            <w:webHidden/>
          </w:rPr>
          <w:fldChar w:fldCharType="begin"/>
        </w:r>
        <w:r w:rsidR="00DB7855">
          <w:rPr>
            <w:webHidden/>
          </w:rPr>
          <w:instrText xml:space="preserve"> PAGEREF _Toc132713832 \h </w:instrText>
        </w:r>
        <w:r w:rsidR="00DB7855">
          <w:rPr>
            <w:webHidden/>
          </w:rPr>
        </w:r>
        <w:r w:rsidR="00DB7855">
          <w:rPr>
            <w:webHidden/>
          </w:rPr>
          <w:fldChar w:fldCharType="separate"/>
        </w:r>
        <w:r w:rsidR="00DB7855">
          <w:rPr>
            <w:webHidden/>
          </w:rPr>
          <w:t>176</w:t>
        </w:r>
        <w:r w:rsidR="00DB7855">
          <w:rPr>
            <w:webHidden/>
          </w:rPr>
          <w:fldChar w:fldCharType="end"/>
        </w:r>
      </w:hyperlink>
    </w:p>
    <w:p w:rsidR="00DB7855" w:rsidRDefault="00255FFC" w:rsidP="009D3193">
      <w:pPr>
        <w:pStyle w:val="T2"/>
        <w:rPr>
          <w:rFonts w:eastAsiaTheme="minorEastAsia" w:cstheme="minorBidi"/>
          <w:lang w:val="en-US"/>
        </w:rPr>
      </w:pPr>
      <w:hyperlink w:anchor="_Toc132713833" w:history="1">
        <w:r w:rsidR="00DB7855" w:rsidRPr="00E95718">
          <w:rPr>
            <w:rStyle w:val="Kpr"/>
            <w:rFonts w:cstheme="minorHAnsi"/>
          </w:rPr>
          <w:t>5.5.</w:t>
        </w:r>
        <w:r w:rsidR="00DB7855">
          <w:rPr>
            <w:rFonts w:eastAsiaTheme="minorEastAsia" w:cstheme="minorBidi"/>
            <w:lang w:val="en-US"/>
          </w:rPr>
          <w:tab/>
        </w:r>
        <w:r w:rsidR="00DB7855" w:rsidRPr="00E95718">
          <w:rPr>
            <w:rStyle w:val="Kpr"/>
            <w:rFonts w:cstheme="minorHAnsi"/>
          </w:rPr>
          <w:t>Kurumsal Kaynak Planlama (KKP)</w:t>
        </w:r>
        <w:r w:rsidR="00DB7855">
          <w:rPr>
            <w:webHidden/>
          </w:rPr>
          <w:tab/>
        </w:r>
        <w:r w:rsidR="00DB7855">
          <w:rPr>
            <w:webHidden/>
          </w:rPr>
          <w:fldChar w:fldCharType="begin"/>
        </w:r>
        <w:r w:rsidR="00DB7855">
          <w:rPr>
            <w:webHidden/>
          </w:rPr>
          <w:instrText xml:space="preserve"> PAGEREF _Toc132713833 \h </w:instrText>
        </w:r>
        <w:r w:rsidR="00DB7855">
          <w:rPr>
            <w:webHidden/>
          </w:rPr>
        </w:r>
        <w:r w:rsidR="00DB7855">
          <w:rPr>
            <w:webHidden/>
          </w:rPr>
          <w:fldChar w:fldCharType="separate"/>
        </w:r>
        <w:r w:rsidR="00DB7855">
          <w:rPr>
            <w:webHidden/>
          </w:rPr>
          <w:t>176</w:t>
        </w:r>
        <w:r w:rsidR="00DB7855">
          <w:rPr>
            <w:webHidden/>
          </w:rPr>
          <w:fldChar w:fldCharType="end"/>
        </w:r>
      </w:hyperlink>
    </w:p>
    <w:p w:rsidR="00DB7855" w:rsidRDefault="00255FFC" w:rsidP="009D3193">
      <w:pPr>
        <w:pStyle w:val="T2"/>
        <w:rPr>
          <w:rFonts w:eastAsiaTheme="minorEastAsia" w:cstheme="minorBidi"/>
          <w:lang w:val="en-US"/>
        </w:rPr>
      </w:pPr>
      <w:hyperlink w:anchor="_Toc132713834" w:history="1">
        <w:r w:rsidR="00DB7855" w:rsidRPr="00E95718">
          <w:rPr>
            <w:rStyle w:val="Kpr"/>
            <w:rFonts w:cstheme="minorHAnsi"/>
          </w:rPr>
          <w:t>5.6.</w:t>
        </w:r>
        <w:r w:rsidR="00DB7855">
          <w:rPr>
            <w:rFonts w:eastAsiaTheme="minorEastAsia" w:cstheme="minorBidi"/>
            <w:lang w:val="en-US"/>
          </w:rPr>
          <w:tab/>
        </w:r>
        <w:r w:rsidR="00DB7855" w:rsidRPr="00E95718">
          <w:rPr>
            <w:rStyle w:val="Kpr"/>
            <w:rFonts w:cstheme="minorHAnsi"/>
          </w:rPr>
          <w:t>Enerji Piyasası Analiz ve Raporlama Sistemi (EPARS)</w:t>
        </w:r>
        <w:r w:rsidR="00DB7855">
          <w:rPr>
            <w:webHidden/>
          </w:rPr>
          <w:tab/>
        </w:r>
        <w:r w:rsidR="00DB7855">
          <w:rPr>
            <w:webHidden/>
          </w:rPr>
          <w:fldChar w:fldCharType="begin"/>
        </w:r>
        <w:r w:rsidR="00DB7855">
          <w:rPr>
            <w:webHidden/>
          </w:rPr>
          <w:instrText xml:space="preserve"> PAGEREF _Toc132713834 \h </w:instrText>
        </w:r>
        <w:r w:rsidR="00DB7855">
          <w:rPr>
            <w:webHidden/>
          </w:rPr>
        </w:r>
        <w:r w:rsidR="00DB7855">
          <w:rPr>
            <w:webHidden/>
          </w:rPr>
          <w:fldChar w:fldCharType="separate"/>
        </w:r>
        <w:r w:rsidR="00DB7855">
          <w:rPr>
            <w:webHidden/>
          </w:rPr>
          <w:t>176</w:t>
        </w:r>
        <w:r w:rsidR="00DB7855">
          <w:rPr>
            <w:webHidden/>
          </w:rPr>
          <w:fldChar w:fldCharType="end"/>
        </w:r>
      </w:hyperlink>
    </w:p>
    <w:p w:rsidR="00DB7855" w:rsidRDefault="00255FFC" w:rsidP="009D3193">
      <w:pPr>
        <w:pStyle w:val="T2"/>
        <w:rPr>
          <w:rFonts w:eastAsiaTheme="minorEastAsia" w:cstheme="minorBidi"/>
          <w:lang w:val="en-US"/>
        </w:rPr>
      </w:pPr>
      <w:hyperlink w:anchor="_Toc132713835" w:history="1">
        <w:r w:rsidR="00DB7855" w:rsidRPr="00E95718">
          <w:rPr>
            <w:rStyle w:val="Kpr"/>
            <w:rFonts w:cstheme="minorHAnsi"/>
          </w:rPr>
          <w:t>5.7.</w:t>
        </w:r>
        <w:r w:rsidR="00DB7855">
          <w:rPr>
            <w:rFonts w:eastAsiaTheme="minorEastAsia" w:cstheme="minorBidi"/>
            <w:lang w:val="en-US"/>
          </w:rPr>
          <w:tab/>
        </w:r>
        <w:r w:rsidR="00DB7855" w:rsidRPr="00E95718">
          <w:rPr>
            <w:rStyle w:val="Kpr"/>
            <w:rFonts w:cstheme="minorHAnsi"/>
          </w:rPr>
          <w:t>Enerji Piyasası Veri Tabanı Yönetim Sistemi (EPVYS)</w:t>
        </w:r>
        <w:r w:rsidR="00DB7855">
          <w:rPr>
            <w:webHidden/>
          </w:rPr>
          <w:tab/>
        </w:r>
        <w:r w:rsidR="00DB7855">
          <w:rPr>
            <w:webHidden/>
          </w:rPr>
          <w:fldChar w:fldCharType="begin"/>
        </w:r>
        <w:r w:rsidR="00DB7855">
          <w:rPr>
            <w:webHidden/>
          </w:rPr>
          <w:instrText xml:space="preserve"> PAGEREF _Toc132713835 \h </w:instrText>
        </w:r>
        <w:r w:rsidR="00DB7855">
          <w:rPr>
            <w:webHidden/>
          </w:rPr>
        </w:r>
        <w:r w:rsidR="00DB7855">
          <w:rPr>
            <w:webHidden/>
          </w:rPr>
          <w:fldChar w:fldCharType="separate"/>
        </w:r>
        <w:r w:rsidR="00DB7855">
          <w:rPr>
            <w:webHidden/>
          </w:rPr>
          <w:t>177</w:t>
        </w:r>
        <w:r w:rsidR="00DB7855">
          <w:rPr>
            <w:webHidden/>
          </w:rPr>
          <w:fldChar w:fldCharType="end"/>
        </w:r>
      </w:hyperlink>
    </w:p>
    <w:p w:rsidR="00DB7855" w:rsidRDefault="00255FFC" w:rsidP="009D3193">
      <w:pPr>
        <w:pStyle w:val="T2"/>
        <w:rPr>
          <w:rFonts w:eastAsiaTheme="minorEastAsia" w:cstheme="minorBidi"/>
          <w:lang w:val="en-US"/>
        </w:rPr>
      </w:pPr>
      <w:hyperlink w:anchor="_Toc132713836" w:history="1">
        <w:r w:rsidR="00DB7855" w:rsidRPr="00E95718">
          <w:rPr>
            <w:rStyle w:val="Kpr"/>
            <w:rFonts w:cstheme="minorHAnsi"/>
          </w:rPr>
          <w:t>5.8.</w:t>
        </w:r>
        <w:r w:rsidR="00DB7855">
          <w:rPr>
            <w:rFonts w:eastAsiaTheme="minorEastAsia" w:cstheme="minorBidi"/>
            <w:lang w:val="en-US"/>
          </w:rPr>
          <w:tab/>
        </w:r>
        <w:r w:rsidR="00DB7855" w:rsidRPr="00E95718">
          <w:rPr>
            <w:rStyle w:val="Kpr"/>
            <w:rFonts w:cstheme="minorHAnsi"/>
          </w:rPr>
          <w:t>Diğer Kurum ve Kuruluşlar ile Veri Paylaşımı (Veri Erişim ve Paylaşım Sistemi (VEPS))</w:t>
        </w:r>
        <w:r w:rsidR="00DB7855">
          <w:rPr>
            <w:webHidden/>
          </w:rPr>
          <w:tab/>
        </w:r>
        <w:r w:rsidR="00DB7855">
          <w:rPr>
            <w:webHidden/>
          </w:rPr>
          <w:fldChar w:fldCharType="begin"/>
        </w:r>
        <w:r w:rsidR="00DB7855">
          <w:rPr>
            <w:webHidden/>
          </w:rPr>
          <w:instrText xml:space="preserve"> PAGEREF _Toc132713836 \h </w:instrText>
        </w:r>
        <w:r w:rsidR="00DB7855">
          <w:rPr>
            <w:webHidden/>
          </w:rPr>
        </w:r>
        <w:r w:rsidR="00DB7855">
          <w:rPr>
            <w:webHidden/>
          </w:rPr>
          <w:fldChar w:fldCharType="separate"/>
        </w:r>
        <w:r w:rsidR="00DB7855">
          <w:rPr>
            <w:webHidden/>
          </w:rPr>
          <w:t>178</w:t>
        </w:r>
        <w:r w:rsidR="00DB7855">
          <w:rPr>
            <w:webHidden/>
          </w:rPr>
          <w:fldChar w:fldCharType="end"/>
        </w:r>
      </w:hyperlink>
    </w:p>
    <w:p w:rsidR="00DB7855" w:rsidRDefault="00255FFC" w:rsidP="009D3193">
      <w:pPr>
        <w:pStyle w:val="T2"/>
        <w:rPr>
          <w:rFonts w:eastAsiaTheme="minorEastAsia" w:cstheme="minorBidi"/>
          <w:lang w:val="en-US"/>
        </w:rPr>
      </w:pPr>
      <w:hyperlink w:anchor="_Toc132713837" w:history="1">
        <w:r w:rsidR="00DB7855" w:rsidRPr="00E95718">
          <w:rPr>
            <w:rStyle w:val="Kpr"/>
            <w:rFonts w:cstheme="minorHAnsi"/>
          </w:rPr>
          <w:t>5.9.</w:t>
        </w:r>
        <w:r w:rsidR="00DB7855">
          <w:rPr>
            <w:rFonts w:eastAsiaTheme="minorEastAsia" w:cstheme="minorBidi"/>
            <w:lang w:val="en-US"/>
          </w:rPr>
          <w:tab/>
        </w:r>
        <w:r w:rsidR="00DB7855" w:rsidRPr="00E95718">
          <w:rPr>
            <w:rStyle w:val="Kpr"/>
            <w:rFonts w:cstheme="minorHAnsi"/>
          </w:rPr>
          <w:t>Enerji Piyasası Bildirim Sistemi (EBİS)</w:t>
        </w:r>
        <w:r w:rsidR="00DB7855">
          <w:rPr>
            <w:webHidden/>
          </w:rPr>
          <w:tab/>
        </w:r>
        <w:r w:rsidR="00DB7855">
          <w:rPr>
            <w:webHidden/>
          </w:rPr>
          <w:fldChar w:fldCharType="begin"/>
        </w:r>
        <w:r w:rsidR="00DB7855">
          <w:rPr>
            <w:webHidden/>
          </w:rPr>
          <w:instrText xml:space="preserve"> PAGEREF _Toc132713837 \h </w:instrText>
        </w:r>
        <w:r w:rsidR="00DB7855">
          <w:rPr>
            <w:webHidden/>
          </w:rPr>
        </w:r>
        <w:r w:rsidR="00DB7855">
          <w:rPr>
            <w:webHidden/>
          </w:rPr>
          <w:fldChar w:fldCharType="separate"/>
        </w:r>
        <w:r w:rsidR="00DB7855">
          <w:rPr>
            <w:webHidden/>
          </w:rPr>
          <w:t>179</w:t>
        </w:r>
        <w:r w:rsidR="00DB7855">
          <w:rPr>
            <w:webHidden/>
          </w:rPr>
          <w:fldChar w:fldCharType="end"/>
        </w:r>
      </w:hyperlink>
    </w:p>
    <w:p w:rsidR="00DB7855" w:rsidRDefault="00255FFC">
      <w:pPr>
        <w:pStyle w:val="T1"/>
        <w:tabs>
          <w:tab w:val="left" w:pos="660"/>
        </w:tabs>
        <w:rPr>
          <w:rFonts w:eastAsiaTheme="minorEastAsia" w:cstheme="minorBidi"/>
          <w:b w:val="0"/>
          <w:noProof/>
          <w:lang w:val="en-US"/>
        </w:rPr>
      </w:pPr>
      <w:hyperlink w:anchor="_Toc132713838" w:history="1">
        <w:r w:rsidR="00DB7855" w:rsidRPr="00E95718">
          <w:rPr>
            <w:rStyle w:val="Kpr"/>
            <w:noProof/>
          </w:rPr>
          <w:t>6.</w:t>
        </w:r>
        <w:r w:rsidR="00DB7855">
          <w:rPr>
            <w:rFonts w:eastAsiaTheme="minorEastAsia" w:cstheme="minorBidi"/>
            <w:b w:val="0"/>
            <w:noProof/>
            <w:lang w:val="en-US"/>
          </w:rPr>
          <w:tab/>
        </w:r>
        <w:r w:rsidR="00DB7855" w:rsidRPr="00E95718">
          <w:rPr>
            <w:rStyle w:val="Kpr"/>
            <w:noProof/>
          </w:rPr>
          <w:t>DENETİM</w:t>
        </w:r>
        <w:r w:rsidR="00DB7855">
          <w:rPr>
            <w:noProof/>
            <w:webHidden/>
          </w:rPr>
          <w:tab/>
        </w:r>
        <w:r w:rsidR="00DB7855">
          <w:rPr>
            <w:noProof/>
            <w:webHidden/>
          </w:rPr>
          <w:fldChar w:fldCharType="begin"/>
        </w:r>
        <w:r w:rsidR="00DB7855">
          <w:rPr>
            <w:noProof/>
            <w:webHidden/>
          </w:rPr>
          <w:instrText xml:space="preserve"> PAGEREF _Toc132713838 \h </w:instrText>
        </w:r>
        <w:r w:rsidR="00DB7855">
          <w:rPr>
            <w:noProof/>
            <w:webHidden/>
          </w:rPr>
        </w:r>
        <w:r w:rsidR="00DB7855">
          <w:rPr>
            <w:noProof/>
            <w:webHidden/>
          </w:rPr>
          <w:fldChar w:fldCharType="separate"/>
        </w:r>
        <w:r w:rsidR="00DB7855">
          <w:rPr>
            <w:noProof/>
            <w:webHidden/>
          </w:rPr>
          <w:t>180</w:t>
        </w:r>
        <w:r w:rsidR="00DB7855">
          <w:rPr>
            <w:noProof/>
            <w:webHidden/>
          </w:rPr>
          <w:fldChar w:fldCharType="end"/>
        </w:r>
      </w:hyperlink>
    </w:p>
    <w:p w:rsidR="00DB7855" w:rsidRDefault="00255FFC" w:rsidP="009D3193">
      <w:pPr>
        <w:pStyle w:val="T2"/>
        <w:rPr>
          <w:rFonts w:eastAsiaTheme="minorEastAsia" w:cstheme="minorBidi"/>
          <w:lang w:val="en-US"/>
        </w:rPr>
      </w:pPr>
      <w:hyperlink w:anchor="_Toc132713839" w:history="1">
        <w:r w:rsidR="00DB7855" w:rsidRPr="00E95718">
          <w:rPr>
            <w:rStyle w:val="Kpr"/>
          </w:rPr>
          <w:t>6.1.</w:t>
        </w:r>
        <w:r w:rsidR="00DB7855">
          <w:rPr>
            <w:rFonts w:eastAsiaTheme="minorEastAsia" w:cstheme="minorBidi"/>
            <w:lang w:val="en-US"/>
          </w:rPr>
          <w:tab/>
        </w:r>
        <w:r w:rsidR="00DB7855" w:rsidRPr="00E95718">
          <w:rPr>
            <w:rStyle w:val="Kpr"/>
          </w:rPr>
          <w:t>Elektrik Piyasası Denetim Faaliyetleri</w:t>
        </w:r>
        <w:r w:rsidR="00DB7855">
          <w:rPr>
            <w:webHidden/>
          </w:rPr>
          <w:tab/>
        </w:r>
        <w:r w:rsidR="00DB7855">
          <w:rPr>
            <w:webHidden/>
          </w:rPr>
          <w:fldChar w:fldCharType="begin"/>
        </w:r>
        <w:r w:rsidR="00DB7855">
          <w:rPr>
            <w:webHidden/>
          </w:rPr>
          <w:instrText xml:space="preserve"> PAGEREF _Toc132713839 \h </w:instrText>
        </w:r>
        <w:r w:rsidR="00DB7855">
          <w:rPr>
            <w:webHidden/>
          </w:rPr>
        </w:r>
        <w:r w:rsidR="00DB7855">
          <w:rPr>
            <w:webHidden/>
          </w:rPr>
          <w:fldChar w:fldCharType="separate"/>
        </w:r>
        <w:r w:rsidR="00DB7855">
          <w:rPr>
            <w:webHidden/>
          </w:rPr>
          <w:t>180</w:t>
        </w:r>
        <w:r w:rsidR="00DB7855">
          <w:rPr>
            <w:webHidden/>
          </w:rPr>
          <w:fldChar w:fldCharType="end"/>
        </w:r>
      </w:hyperlink>
    </w:p>
    <w:p w:rsidR="00DB7855" w:rsidRDefault="00255FFC" w:rsidP="009D3193">
      <w:pPr>
        <w:pStyle w:val="T2"/>
        <w:rPr>
          <w:rFonts w:eastAsiaTheme="minorEastAsia" w:cstheme="minorBidi"/>
          <w:lang w:val="en-US"/>
        </w:rPr>
      </w:pPr>
      <w:hyperlink w:anchor="_Toc132713840" w:history="1">
        <w:r w:rsidR="00DB7855" w:rsidRPr="00E95718">
          <w:rPr>
            <w:rStyle w:val="Kpr"/>
          </w:rPr>
          <w:t>6.2.</w:t>
        </w:r>
        <w:r w:rsidR="00DB7855">
          <w:rPr>
            <w:rFonts w:eastAsiaTheme="minorEastAsia" w:cstheme="minorBidi"/>
            <w:lang w:val="en-US"/>
          </w:rPr>
          <w:tab/>
        </w:r>
        <w:r w:rsidR="00DB7855" w:rsidRPr="00E95718">
          <w:rPr>
            <w:rStyle w:val="Kpr"/>
          </w:rPr>
          <w:t>Doğal Gaz Piyasası İnceleme ve Denetim Faaliyetleri</w:t>
        </w:r>
        <w:r w:rsidR="00DB7855">
          <w:rPr>
            <w:webHidden/>
          </w:rPr>
          <w:tab/>
        </w:r>
        <w:r w:rsidR="00DB7855">
          <w:rPr>
            <w:webHidden/>
          </w:rPr>
          <w:fldChar w:fldCharType="begin"/>
        </w:r>
        <w:r w:rsidR="00DB7855">
          <w:rPr>
            <w:webHidden/>
          </w:rPr>
          <w:instrText xml:space="preserve"> PAGEREF _Toc132713840 \h </w:instrText>
        </w:r>
        <w:r w:rsidR="00DB7855">
          <w:rPr>
            <w:webHidden/>
          </w:rPr>
        </w:r>
        <w:r w:rsidR="00DB7855">
          <w:rPr>
            <w:webHidden/>
          </w:rPr>
          <w:fldChar w:fldCharType="separate"/>
        </w:r>
        <w:r w:rsidR="00DB7855">
          <w:rPr>
            <w:webHidden/>
          </w:rPr>
          <w:t>181</w:t>
        </w:r>
        <w:r w:rsidR="00DB7855">
          <w:rPr>
            <w:webHidden/>
          </w:rPr>
          <w:fldChar w:fldCharType="end"/>
        </w:r>
      </w:hyperlink>
    </w:p>
    <w:p w:rsidR="00DB7855" w:rsidRDefault="00255FFC">
      <w:pPr>
        <w:pStyle w:val="T3"/>
        <w:rPr>
          <w:rFonts w:eastAsiaTheme="minorEastAsia" w:cstheme="minorBidi"/>
          <w:noProof/>
          <w:lang w:val="en-US"/>
        </w:rPr>
      </w:pPr>
      <w:hyperlink w:anchor="_Toc132713841" w:history="1">
        <w:r w:rsidR="00DB7855" w:rsidRPr="00E95718">
          <w:rPr>
            <w:rStyle w:val="Kpr"/>
            <w:noProof/>
          </w:rPr>
          <w:t>6.2.1.</w:t>
        </w:r>
        <w:r w:rsidR="00DB7855">
          <w:rPr>
            <w:rFonts w:eastAsiaTheme="minorEastAsia" w:cstheme="minorBidi"/>
            <w:noProof/>
            <w:lang w:val="en-US"/>
          </w:rPr>
          <w:tab/>
        </w:r>
        <w:r w:rsidR="00DB7855" w:rsidRPr="00E95718">
          <w:rPr>
            <w:rStyle w:val="Kpr"/>
            <w:noProof/>
          </w:rPr>
          <w:t>Doğal Gaz Dağıtım Şirketlerinin 5 Yıllık Yatırım Yükümlülükleri İncelemeleri</w:t>
        </w:r>
        <w:r w:rsidR="00DB7855">
          <w:rPr>
            <w:noProof/>
            <w:webHidden/>
          </w:rPr>
          <w:tab/>
        </w:r>
        <w:r w:rsidR="00DB7855">
          <w:rPr>
            <w:noProof/>
            <w:webHidden/>
          </w:rPr>
          <w:fldChar w:fldCharType="begin"/>
        </w:r>
        <w:r w:rsidR="00DB7855">
          <w:rPr>
            <w:noProof/>
            <w:webHidden/>
          </w:rPr>
          <w:instrText xml:space="preserve"> PAGEREF _Toc132713841 \h </w:instrText>
        </w:r>
        <w:r w:rsidR="00DB7855">
          <w:rPr>
            <w:noProof/>
            <w:webHidden/>
          </w:rPr>
        </w:r>
        <w:r w:rsidR="00DB7855">
          <w:rPr>
            <w:noProof/>
            <w:webHidden/>
          </w:rPr>
          <w:fldChar w:fldCharType="separate"/>
        </w:r>
        <w:r w:rsidR="00DB7855">
          <w:rPr>
            <w:noProof/>
            <w:webHidden/>
          </w:rPr>
          <w:t>181</w:t>
        </w:r>
        <w:r w:rsidR="00DB7855">
          <w:rPr>
            <w:noProof/>
            <w:webHidden/>
          </w:rPr>
          <w:fldChar w:fldCharType="end"/>
        </w:r>
      </w:hyperlink>
    </w:p>
    <w:p w:rsidR="00DB7855" w:rsidRDefault="00255FFC">
      <w:pPr>
        <w:pStyle w:val="T3"/>
        <w:rPr>
          <w:rFonts w:eastAsiaTheme="minorEastAsia" w:cstheme="minorBidi"/>
          <w:noProof/>
          <w:lang w:val="en-US"/>
        </w:rPr>
      </w:pPr>
      <w:hyperlink w:anchor="_Toc132713842" w:history="1">
        <w:r w:rsidR="00DB7855" w:rsidRPr="00E95718">
          <w:rPr>
            <w:rStyle w:val="Kpr"/>
            <w:noProof/>
          </w:rPr>
          <w:t>6.2.2.</w:t>
        </w:r>
        <w:r w:rsidR="00DB7855">
          <w:rPr>
            <w:rFonts w:eastAsiaTheme="minorEastAsia" w:cstheme="minorBidi"/>
            <w:noProof/>
            <w:lang w:val="en-US"/>
          </w:rPr>
          <w:tab/>
        </w:r>
        <w:r w:rsidR="00DB7855" w:rsidRPr="00E95718">
          <w:rPr>
            <w:rStyle w:val="Kpr"/>
            <w:noProof/>
          </w:rPr>
          <w:t>Doğal Gaz Piyasası Denetim Faaliyetleri</w:t>
        </w:r>
        <w:r w:rsidR="00DB7855">
          <w:rPr>
            <w:noProof/>
            <w:webHidden/>
          </w:rPr>
          <w:tab/>
        </w:r>
        <w:r w:rsidR="00DB7855">
          <w:rPr>
            <w:noProof/>
            <w:webHidden/>
          </w:rPr>
          <w:fldChar w:fldCharType="begin"/>
        </w:r>
        <w:r w:rsidR="00DB7855">
          <w:rPr>
            <w:noProof/>
            <w:webHidden/>
          </w:rPr>
          <w:instrText xml:space="preserve"> PAGEREF _Toc132713842 \h </w:instrText>
        </w:r>
        <w:r w:rsidR="00DB7855">
          <w:rPr>
            <w:noProof/>
            <w:webHidden/>
          </w:rPr>
        </w:r>
        <w:r w:rsidR="00DB7855">
          <w:rPr>
            <w:noProof/>
            <w:webHidden/>
          </w:rPr>
          <w:fldChar w:fldCharType="separate"/>
        </w:r>
        <w:r w:rsidR="00DB7855">
          <w:rPr>
            <w:noProof/>
            <w:webHidden/>
          </w:rPr>
          <w:t>182</w:t>
        </w:r>
        <w:r w:rsidR="00DB7855">
          <w:rPr>
            <w:noProof/>
            <w:webHidden/>
          </w:rPr>
          <w:fldChar w:fldCharType="end"/>
        </w:r>
      </w:hyperlink>
    </w:p>
    <w:p w:rsidR="00DB7855" w:rsidRDefault="00255FFC" w:rsidP="009D3193">
      <w:pPr>
        <w:pStyle w:val="T2"/>
        <w:rPr>
          <w:rFonts w:eastAsiaTheme="minorEastAsia" w:cstheme="minorBidi"/>
          <w:lang w:val="en-US"/>
        </w:rPr>
      </w:pPr>
      <w:hyperlink w:anchor="_Toc132713843" w:history="1">
        <w:r w:rsidR="00DB7855" w:rsidRPr="00E95718">
          <w:rPr>
            <w:rStyle w:val="Kpr"/>
          </w:rPr>
          <w:t>6.3.</w:t>
        </w:r>
        <w:r w:rsidR="00DB7855">
          <w:rPr>
            <w:rFonts w:eastAsiaTheme="minorEastAsia" w:cstheme="minorBidi"/>
            <w:lang w:val="en-US"/>
          </w:rPr>
          <w:tab/>
        </w:r>
        <w:r w:rsidR="00DB7855" w:rsidRPr="00E95718">
          <w:rPr>
            <w:rStyle w:val="Kpr"/>
          </w:rPr>
          <w:t>Petrol Piyasası Denetim Faaliyetleri</w:t>
        </w:r>
        <w:r w:rsidR="00DB7855">
          <w:rPr>
            <w:webHidden/>
          </w:rPr>
          <w:tab/>
        </w:r>
        <w:r w:rsidR="00DB7855">
          <w:rPr>
            <w:webHidden/>
          </w:rPr>
          <w:fldChar w:fldCharType="begin"/>
        </w:r>
        <w:r w:rsidR="00DB7855">
          <w:rPr>
            <w:webHidden/>
          </w:rPr>
          <w:instrText xml:space="preserve"> PAGEREF _Toc132713843 \h </w:instrText>
        </w:r>
        <w:r w:rsidR="00DB7855">
          <w:rPr>
            <w:webHidden/>
          </w:rPr>
        </w:r>
        <w:r w:rsidR="00DB7855">
          <w:rPr>
            <w:webHidden/>
          </w:rPr>
          <w:fldChar w:fldCharType="separate"/>
        </w:r>
        <w:r w:rsidR="00DB7855">
          <w:rPr>
            <w:webHidden/>
          </w:rPr>
          <w:t>182</w:t>
        </w:r>
        <w:r w:rsidR="00DB7855">
          <w:rPr>
            <w:webHidden/>
          </w:rPr>
          <w:fldChar w:fldCharType="end"/>
        </w:r>
      </w:hyperlink>
    </w:p>
    <w:p w:rsidR="00DB7855" w:rsidRDefault="00255FFC">
      <w:pPr>
        <w:pStyle w:val="T3"/>
        <w:rPr>
          <w:rFonts w:eastAsiaTheme="minorEastAsia" w:cstheme="minorBidi"/>
          <w:noProof/>
          <w:lang w:val="en-US"/>
        </w:rPr>
      </w:pPr>
      <w:hyperlink w:anchor="_Toc132713844" w:history="1">
        <w:r w:rsidR="00DB7855" w:rsidRPr="00E95718">
          <w:rPr>
            <w:rStyle w:val="Kpr"/>
            <w:noProof/>
          </w:rPr>
          <w:t>6.3.1.</w:t>
        </w:r>
        <w:r w:rsidR="00DB7855">
          <w:rPr>
            <w:rFonts w:eastAsiaTheme="minorEastAsia" w:cstheme="minorBidi"/>
            <w:noProof/>
            <w:lang w:val="en-US"/>
          </w:rPr>
          <w:tab/>
        </w:r>
        <w:r w:rsidR="00DB7855" w:rsidRPr="00E95718">
          <w:rPr>
            <w:rStyle w:val="Kpr"/>
            <w:noProof/>
          </w:rPr>
          <w:t>5015 Sayılı Petrol Piyasası Kanununun 20 Nci Maddesinin İkinci Fıkrasının (G) ve (H) Bentleri Çerçevesinde Gerçekleştirilen İşlemler</w:t>
        </w:r>
        <w:r w:rsidR="00DB7855">
          <w:rPr>
            <w:noProof/>
            <w:webHidden/>
          </w:rPr>
          <w:tab/>
        </w:r>
        <w:r w:rsidR="00DB7855">
          <w:rPr>
            <w:noProof/>
            <w:webHidden/>
          </w:rPr>
          <w:fldChar w:fldCharType="begin"/>
        </w:r>
        <w:r w:rsidR="00DB7855">
          <w:rPr>
            <w:noProof/>
            <w:webHidden/>
          </w:rPr>
          <w:instrText xml:space="preserve"> PAGEREF _Toc132713844 \h </w:instrText>
        </w:r>
        <w:r w:rsidR="00DB7855">
          <w:rPr>
            <w:noProof/>
            <w:webHidden/>
          </w:rPr>
        </w:r>
        <w:r w:rsidR="00DB7855">
          <w:rPr>
            <w:noProof/>
            <w:webHidden/>
          </w:rPr>
          <w:fldChar w:fldCharType="separate"/>
        </w:r>
        <w:r w:rsidR="00DB7855">
          <w:rPr>
            <w:noProof/>
            <w:webHidden/>
          </w:rPr>
          <w:t>185</w:t>
        </w:r>
        <w:r w:rsidR="00DB7855">
          <w:rPr>
            <w:noProof/>
            <w:webHidden/>
          </w:rPr>
          <w:fldChar w:fldCharType="end"/>
        </w:r>
      </w:hyperlink>
    </w:p>
    <w:p w:rsidR="00DB7855" w:rsidRDefault="00255FFC" w:rsidP="009D3193">
      <w:pPr>
        <w:pStyle w:val="T2"/>
        <w:rPr>
          <w:rFonts w:eastAsiaTheme="minorEastAsia" w:cstheme="minorBidi"/>
          <w:lang w:val="en-US"/>
        </w:rPr>
      </w:pPr>
      <w:hyperlink w:anchor="_Toc132713845" w:history="1">
        <w:r w:rsidR="00DB7855" w:rsidRPr="00E95718">
          <w:rPr>
            <w:rStyle w:val="Kpr"/>
          </w:rPr>
          <w:t>6.4.</w:t>
        </w:r>
        <w:r w:rsidR="00DB7855">
          <w:rPr>
            <w:rFonts w:eastAsiaTheme="minorEastAsia" w:cstheme="minorBidi"/>
            <w:lang w:val="en-US"/>
          </w:rPr>
          <w:tab/>
        </w:r>
        <w:r w:rsidR="00DB7855" w:rsidRPr="00E95718">
          <w:rPr>
            <w:rStyle w:val="Kpr"/>
          </w:rPr>
          <w:t>Sıvılaştırılmış Petrol Gazları Piyasası Denetim Faaliyetleri</w:t>
        </w:r>
        <w:r w:rsidR="00DB7855">
          <w:rPr>
            <w:webHidden/>
          </w:rPr>
          <w:tab/>
        </w:r>
        <w:r w:rsidR="00DB7855">
          <w:rPr>
            <w:webHidden/>
          </w:rPr>
          <w:fldChar w:fldCharType="begin"/>
        </w:r>
        <w:r w:rsidR="00DB7855">
          <w:rPr>
            <w:webHidden/>
          </w:rPr>
          <w:instrText xml:space="preserve"> PAGEREF _Toc132713845 \h </w:instrText>
        </w:r>
        <w:r w:rsidR="00DB7855">
          <w:rPr>
            <w:webHidden/>
          </w:rPr>
        </w:r>
        <w:r w:rsidR="00DB7855">
          <w:rPr>
            <w:webHidden/>
          </w:rPr>
          <w:fldChar w:fldCharType="separate"/>
        </w:r>
        <w:r w:rsidR="00DB7855">
          <w:rPr>
            <w:webHidden/>
          </w:rPr>
          <w:t>188</w:t>
        </w:r>
        <w:r w:rsidR="00DB7855">
          <w:rPr>
            <w:webHidden/>
          </w:rPr>
          <w:fldChar w:fldCharType="end"/>
        </w:r>
      </w:hyperlink>
    </w:p>
    <w:p w:rsidR="00DB7855" w:rsidRDefault="00255FFC">
      <w:pPr>
        <w:pStyle w:val="T1"/>
        <w:tabs>
          <w:tab w:val="left" w:pos="660"/>
        </w:tabs>
        <w:rPr>
          <w:rFonts w:eastAsiaTheme="minorEastAsia" w:cstheme="minorBidi"/>
          <w:b w:val="0"/>
          <w:noProof/>
          <w:lang w:val="en-US"/>
        </w:rPr>
      </w:pPr>
      <w:hyperlink w:anchor="_Toc132713846" w:history="1">
        <w:r w:rsidR="00DB7855" w:rsidRPr="00E95718">
          <w:rPr>
            <w:rStyle w:val="Kpr"/>
            <w:noProof/>
          </w:rPr>
          <w:t>7.</w:t>
        </w:r>
        <w:r w:rsidR="00DB7855">
          <w:rPr>
            <w:rFonts w:eastAsiaTheme="minorEastAsia" w:cstheme="minorBidi"/>
            <w:b w:val="0"/>
            <w:noProof/>
            <w:lang w:val="en-US"/>
          </w:rPr>
          <w:tab/>
        </w:r>
        <w:r w:rsidR="00DB7855" w:rsidRPr="00E95718">
          <w:rPr>
            <w:rStyle w:val="Kpr"/>
            <w:noProof/>
          </w:rPr>
          <w:t>TAŞINMAZ TEMİNİ İŞLERİ</w:t>
        </w:r>
        <w:r w:rsidR="00DB7855">
          <w:rPr>
            <w:noProof/>
            <w:webHidden/>
          </w:rPr>
          <w:tab/>
        </w:r>
        <w:r w:rsidR="00DB7855">
          <w:rPr>
            <w:noProof/>
            <w:webHidden/>
          </w:rPr>
          <w:fldChar w:fldCharType="begin"/>
        </w:r>
        <w:r w:rsidR="00DB7855">
          <w:rPr>
            <w:noProof/>
            <w:webHidden/>
          </w:rPr>
          <w:instrText xml:space="preserve"> PAGEREF _Toc132713846 \h </w:instrText>
        </w:r>
        <w:r w:rsidR="00DB7855">
          <w:rPr>
            <w:noProof/>
            <w:webHidden/>
          </w:rPr>
        </w:r>
        <w:r w:rsidR="00DB7855">
          <w:rPr>
            <w:noProof/>
            <w:webHidden/>
          </w:rPr>
          <w:fldChar w:fldCharType="separate"/>
        </w:r>
        <w:r w:rsidR="00DB7855">
          <w:rPr>
            <w:noProof/>
            <w:webHidden/>
          </w:rPr>
          <w:t>190</w:t>
        </w:r>
        <w:r w:rsidR="00DB7855">
          <w:rPr>
            <w:noProof/>
            <w:webHidden/>
          </w:rPr>
          <w:fldChar w:fldCharType="end"/>
        </w:r>
      </w:hyperlink>
    </w:p>
    <w:p w:rsidR="00DB7855" w:rsidRDefault="00255FFC">
      <w:pPr>
        <w:pStyle w:val="T1"/>
        <w:tabs>
          <w:tab w:val="left" w:pos="660"/>
        </w:tabs>
        <w:rPr>
          <w:rFonts w:eastAsiaTheme="minorEastAsia" w:cstheme="minorBidi"/>
          <w:b w:val="0"/>
          <w:noProof/>
          <w:lang w:val="en-US"/>
        </w:rPr>
      </w:pPr>
      <w:hyperlink w:anchor="_Toc132713847" w:history="1">
        <w:r w:rsidR="00DB7855" w:rsidRPr="00E95718">
          <w:rPr>
            <w:rStyle w:val="Kpr"/>
            <w:noProof/>
          </w:rPr>
          <w:t>8.</w:t>
        </w:r>
        <w:r w:rsidR="00DB7855">
          <w:rPr>
            <w:rFonts w:eastAsiaTheme="minorEastAsia" w:cstheme="minorBidi"/>
            <w:b w:val="0"/>
            <w:noProof/>
            <w:lang w:val="en-US"/>
          </w:rPr>
          <w:tab/>
        </w:r>
        <w:r w:rsidR="00DB7855" w:rsidRPr="00E95718">
          <w:rPr>
            <w:rStyle w:val="Kpr"/>
            <w:noProof/>
          </w:rPr>
          <w:t>HUKUK HİZMETLERİNE İLİŞKİN FAALİYETLER</w:t>
        </w:r>
        <w:r w:rsidR="00DB7855">
          <w:rPr>
            <w:noProof/>
            <w:webHidden/>
          </w:rPr>
          <w:tab/>
        </w:r>
        <w:r w:rsidR="00DB7855">
          <w:rPr>
            <w:noProof/>
            <w:webHidden/>
          </w:rPr>
          <w:fldChar w:fldCharType="begin"/>
        </w:r>
        <w:r w:rsidR="00DB7855">
          <w:rPr>
            <w:noProof/>
            <w:webHidden/>
          </w:rPr>
          <w:instrText xml:space="preserve"> PAGEREF _Toc132713847 \h </w:instrText>
        </w:r>
        <w:r w:rsidR="00DB7855">
          <w:rPr>
            <w:noProof/>
            <w:webHidden/>
          </w:rPr>
        </w:r>
        <w:r w:rsidR="00DB7855">
          <w:rPr>
            <w:noProof/>
            <w:webHidden/>
          </w:rPr>
          <w:fldChar w:fldCharType="separate"/>
        </w:r>
        <w:r w:rsidR="00DB7855">
          <w:rPr>
            <w:noProof/>
            <w:webHidden/>
          </w:rPr>
          <w:t>194</w:t>
        </w:r>
        <w:r w:rsidR="00DB7855">
          <w:rPr>
            <w:noProof/>
            <w:webHidden/>
          </w:rPr>
          <w:fldChar w:fldCharType="end"/>
        </w:r>
      </w:hyperlink>
    </w:p>
    <w:p w:rsidR="00DB7855" w:rsidRDefault="00255FFC" w:rsidP="009D3193">
      <w:pPr>
        <w:pStyle w:val="T2"/>
        <w:rPr>
          <w:rFonts w:eastAsiaTheme="minorEastAsia" w:cstheme="minorBidi"/>
          <w:lang w:val="en-US"/>
        </w:rPr>
      </w:pPr>
      <w:hyperlink w:anchor="_Toc132713848" w:history="1">
        <w:r w:rsidR="00DB7855" w:rsidRPr="00E95718">
          <w:rPr>
            <w:rStyle w:val="Kpr"/>
          </w:rPr>
          <w:t>8.1.Dava Takip İşlemleri</w:t>
        </w:r>
        <w:r w:rsidR="00DB7855">
          <w:rPr>
            <w:webHidden/>
          </w:rPr>
          <w:tab/>
        </w:r>
        <w:r w:rsidR="00DB7855">
          <w:rPr>
            <w:webHidden/>
          </w:rPr>
          <w:fldChar w:fldCharType="begin"/>
        </w:r>
        <w:r w:rsidR="00DB7855">
          <w:rPr>
            <w:webHidden/>
          </w:rPr>
          <w:instrText xml:space="preserve"> PAGEREF _Toc132713848 \h </w:instrText>
        </w:r>
        <w:r w:rsidR="00DB7855">
          <w:rPr>
            <w:webHidden/>
          </w:rPr>
        </w:r>
        <w:r w:rsidR="00DB7855">
          <w:rPr>
            <w:webHidden/>
          </w:rPr>
          <w:fldChar w:fldCharType="separate"/>
        </w:r>
        <w:r w:rsidR="00DB7855">
          <w:rPr>
            <w:webHidden/>
          </w:rPr>
          <w:t>194</w:t>
        </w:r>
        <w:r w:rsidR="00DB7855">
          <w:rPr>
            <w:webHidden/>
          </w:rPr>
          <w:fldChar w:fldCharType="end"/>
        </w:r>
      </w:hyperlink>
    </w:p>
    <w:p w:rsidR="00DB7855" w:rsidRDefault="00255FFC" w:rsidP="009D3193">
      <w:pPr>
        <w:pStyle w:val="T2"/>
        <w:rPr>
          <w:rFonts w:eastAsiaTheme="minorEastAsia" w:cstheme="minorBidi"/>
          <w:lang w:val="en-US"/>
        </w:rPr>
      </w:pPr>
      <w:hyperlink w:anchor="_Toc132713849" w:history="1">
        <w:r w:rsidR="00DB7855" w:rsidRPr="00E95718">
          <w:rPr>
            <w:rStyle w:val="Kpr"/>
          </w:rPr>
          <w:t>8.2. Arabuluculuk Faaliyetleri</w:t>
        </w:r>
        <w:r w:rsidR="00DB7855">
          <w:rPr>
            <w:webHidden/>
          </w:rPr>
          <w:tab/>
        </w:r>
        <w:r w:rsidR="00DB7855">
          <w:rPr>
            <w:webHidden/>
          </w:rPr>
          <w:fldChar w:fldCharType="begin"/>
        </w:r>
        <w:r w:rsidR="00DB7855">
          <w:rPr>
            <w:webHidden/>
          </w:rPr>
          <w:instrText xml:space="preserve"> PAGEREF _Toc132713849 \h </w:instrText>
        </w:r>
        <w:r w:rsidR="00DB7855">
          <w:rPr>
            <w:webHidden/>
          </w:rPr>
        </w:r>
        <w:r w:rsidR="00DB7855">
          <w:rPr>
            <w:webHidden/>
          </w:rPr>
          <w:fldChar w:fldCharType="separate"/>
        </w:r>
        <w:r w:rsidR="00DB7855">
          <w:rPr>
            <w:webHidden/>
          </w:rPr>
          <w:t>197</w:t>
        </w:r>
        <w:r w:rsidR="00DB7855">
          <w:rPr>
            <w:webHidden/>
          </w:rPr>
          <w:fldChar w:fldCharType="end"/>
        </w:r>
      </w:hyperlink>
    </w:p>
    <w:p w:rsidR="00DB7855" w:rsidRDefault="00255FFC" w:rsidP="009D3193">
      <w:pPr>
        <w:pStyle w:val="T2"/>
        <w:rPr>
          <w:rFonts w:eastAsiaTheme="minorEastAsia" w:cstheme="minorBidi"/>
          <w:lang w:val="en-US"/>
        </w:rPr>
      </w:pPr>
      <w:hyperlink w:anchor="_Toc132713850" w:history="1">
        <w:r w:rsidR="00DB7855" w:rsidRPr="00E95718">
          <w:rPr>
            <w:rStyle w:val="Kpr"/>
          </w:rPr>
          <w:t>8.3. Görüş Verme</w:t>
        </w:r>
        <w:r w:rsidR="00DB7855">
          <w:rPr>
            <w:webHidden/>
          </w:rPr>
          <w:tab/>
        </w:r>
        <w:r w:rsidR="00DB7855">
          <w:rPr>
            <w:webHidden/>
          </w:rPr>
          <w:fldChar w:fldCharType="begin"/>
        </w:r>
        <w:r w:rsidR="00DB7855">
          <w:rPr>
            <w:webHidden/>
          </w:rPr>
          <w:instrText xml:space="preserve"> PAGEREF _Toc132713850 \h </w:instrText>
        </w:r>
        <w:r w:rsidR="00DB7855">
          <w:rPr>
            <w:webHidden/>
          </w:rPr>
        </w:r>
        <w:r w:rsidR="00DB7855">
          <w:rPr>
            <w:webHidden/>
          </w:rPr>
          <w:fldChar w:fldCharType="separate"/>
        </w:r>
        <w:r w:rsidR="00DB7855">
          <w:rPr>
            <w:webHidden/>
          </w:rPr>
          <w:t>197</w:t>
        </w:r>
        <w:r w:rsidR="00DB7855">
          <w:rPr>
            <w:webHidden/>
          </w:rPr>
          <w:fldChar w:fldCharType="end"/>
        </w:r>
      </w:hyperlink>
    </w:p>
    <w:p w:rsidR="00DB7855" w:rsidRDefault="00255FFC" w:rsidP="009D3193">
      <w:pPr>
        <w:pStyle w:val="T2"/>
        <w:rPr>
          <w:rFonts w:eastAsiaTheme="minorEastAsia" w:cstheme="minorBidi"/>
          <w:lang w:val="en-US"/>
        </w:rPr>
      </w:pPr>
      <w:hyperlink w:anchor="_Toc132713851" w:history="1">
        <w:r w:rsidR="00DB7855" w:rsidRPr="00E95718">
          <w:rPr>
            <w:rStyle w:val="Kpr"/>
          </w:rPr>
          <w:t>8.4. İhale İşlemleri</w:t>
        </w:r>
        <w:r w:rsidR="00DB7855">
          <w:rPr>
            <w:webHidden/>
          </w:rPr>
          <w:tab/>
        </w:r>
        <w:r w:rsidR="00DB7855">
          <w:rPr>
            <w:webHidden/>
          </w:rPr>
          <w:fldChar w:fldCharType="begin"/>
        </w:r>
        <w:r w:rsidR="00DB7855">
          <w:rPr>
            <w:webHidden/>
          </w:rPr>
          <w:instrText xml:space="preserve"> PAGEREF _Toc132713851 \h </w:instrText>
        </w:r>
        <w:r w:rsidR="00DB7855">
          <w:rPr>
            <w:webHidden/>
          </w:rPr>
        </w:r>
        <w:r w:rsidR="00DB7855">
          <w:rPr>
            <w:webHidden/>
          </w:rPr>
          <w:fldChar w:fldCharType="separate"/>
        </w:r>
        <w:r w:rsidR="00DB7855">
          <w:rPr>
            <w:webHidden/>
          </w:rPr>
          <w:t>199</w:t>
        </w:r>
        <w:r w:rsidR="00DB7855">
          <w:rPr>
            <w:webHidden/>
          </w:rPr>
          <w:fldChar w:fldCharType="end"/>
        </w:r>
      </w:hyperlink>
    </w:p>
    <w:p w:rsidR="00DB7855" w:rsidRDefault="00255FFC" w:rsidP="009D3193">
      <w:pPr>
        <w:pStyle w:val="T2"/>
        <w:rPr>
          <w:rFonts w:eastAsiaTheme="minorEastAsia" w:cstheme="minorBidi"/>
          <w:lang w:val="en-US"/>
        </w:rPr>
      </w:pPr>
      <w:hyperlink w:anchor="_Toc132713852" w:history="1">
        <w:r w:rsidR="00DB7855" w:rsidRPr="00E95718">
          <w:rPr>
            <w:rStyle w:val="Kpr"/>
          </w:rPr>
          <w:t>8.5. Ödeme Emirleri</w:t>
        </w:r>
        <w:r w:rsidR="00DB7855">
          <w:rPr>
            <w:webHidden/>
          </w:rPr>
          <w:tab/>
        </w:r>
        <w:r w:rsidR="00DB7855">
          <w:rPr>
            <w:webHidden/>
          </w:rPr>
          <w:fldChar w:fldCharType="begin"/>
        </w:r>
        <w:r w:rsidR="00DB7855">
          <w:rPr>
            <w:webHidden/>
          </w:rPr>
          <w:instrText xml:space="preserve"> PAGEREF _Toc132713852 \h </w:instrText>
        </w:r>
        <w:r w:rsidR="00DB7855">
          <w:rPr>
            <w:webHidden/>
          </w:rPr>
        </w:r>
        <w:r w:rsidR="00DB7855">
          <w:rPr>
            <w:webHidden/>
          </w:rPr>
          <w:fldChar w:fldCharType="separate"/>
        </w:r>
        <w:r w:rsidR="00DB7855">
          <w:rPr>
            <w:webHidden/>
          </w:rPr>
          <w:t>199</w:t>
        </w:r>
        <w:r w:rsidR="00DB7855">
          <w:rPr>
            <w:webHidden/>
          </w:rPr>
          <w:fldChar w:fldCharType="end"/>
        </w:r>
      </w:hyperlink>
    </w:p>
    <w:p w:rsidR="00DB7855" w:rsidRDefault="00255FFC" w:rsidP="009D3193">
      <w:pPr>
        <w:pStyle w:val="T2"/>
        <w:rPr>
          <w:rFonts w:eastAsiaTheme="minorEastAsia" w:cstheme="minorBidi"/>
          <w:lang w:val="en-US"/>
        </w:rPr>
      </w:pPr>
      <w:hyperlink w:anchor="_Toc132713853" w:history="1">
        <w:r w:rsidR="00DB7855" w:rsidRPr="00E95718">
          <w:rPr>
            <w:rStyle w:val="Kpr"/>
          </w:rPr>
          <w:t>8.6. Kamu Denetçiliği Kurumu Kararları</w:t>
        </w:r>
        <w:r w:rsidR="00DB7855">
          <w:rPr>
            <w:webHidden/>
          </w:rPr>
          <w:tab/>
        </w:r>
        <w:r w:rsidR="00DB7855">
          <w:rPr>
            <w:webHidden/>
          </w:rPr>
          <w:fldChar w:fldCharType="begin"/>
        </w:r>
        <w:r w:rsidR="00DB7855">
          <w:rPr>
            <w:webHidden/>
          </w:rPr>
          <w:instrText xml:space="preserve"> PAGEREF _Toc132713853 \h </w:instrText>
        </w:r>
        <w:r w:rsidR="00DB7855">
          <w:rPr>
            <w:webHidden/>
          </w:rPr>
        </w:r>
        <w:r w:rsidR="00DB7855">
          <w:rPr>
            <w:webHidden/>
          </w:rPr>
          <w:fldChar w:fldCharType="separate"/>
        </w:r>
        <w:r w:rsidR="00DB7855">
          <w:rPr>
            <w:webHidden/>
          </w:rPr>
          <w:t>199</w:t>
        </w:r>
        <w:r w:rsidR="00DB7855">
          <w:rPr>
            <w:webHidden/>
          </w:rPr>
          <w:fldChar w:fldCharType="end"/>
        </w:r>
      </w:hyperlink>
    </w:p>
    <w:p w:rsidR="00DB7855" w:rsidRDefault="00255FFC" w:rsidP="009D3193">
      <w:pPr>
        <w:pStyle w:val="T2"/>
        <w:rPr>
          <w:rFonts w:eastAsiaTheme="minorEastAsia" w:cstheme="minorBidi"/>
          <w:lang w:val="en-US"/>
        </w:rPr>
      </w:pPr>
      <w:hyperlink w:anchor="_Toc132713854" w:history="1">
        <w:r w:rsidR="00DB7855" w:rsidRPr="00E95718">
          <w:rPr>
            <w:rStyle w:val="Kpr"/>
          </w:rPr>
          <w:t>8.7. Elektrik Dağıtım Şirketlerinin Denetimi</w:t>
        </w:r>
        <w:r w:rsidR="00DB7855">
          <w:rPr>
            <w:webHidden/>
          </w:rPr>
          <w:tab/>
        </w:r>
        <w:r w:rsidR="00DB7855">
          <w:rPr>
            <w:webHidden/>
          </w:rPr>
          <w:fldChar w:fldCharType="begin"/>
        </w:r>
        <w:r w:rsidR="00DB7855">
          <w:rPr>
            <w:webHidden/>
          </w:rPr>
          <w:instrText xml:space="preserve"> PAGEREF _Toc132713854 \h </w:instrText>
        </w:r>
        <w:r w:rsidR="00DB7855">
          <w:rPr>
            <w:webHidden/>
          </w:rPr>
        </w:r>
        <w:r w:rsidR="00DB7855">
          <w:rPr>
            <w:webHidden/>
          </w:rPr>
          <w:fldChar w:fldCharType="separate"/>
        </w:r>
        <w:r w:rsidR="00DB7855">
          <w:rPr>
            <w:webHidden/>
          </w:rPr>
          <w:t>199</w:t>
        </w:r>
        <w:r w:rsidR="00DB7855">
          <w:rPr>
            <w:webHidden/>
          </w:rPr>
          <w:fldChar w:fldCharType="end"/>
        </w:r>
      </w:hyperlink>
    </w:p>
    <w:p w:rsidR="00DB7855" w:rsidRDefault="00255FFC">
      <w:pPr>
        <w:pStyle w:val="T1"/>
        <w:tabs>
          <w:tab w:val="left" w:pos="660"/>
        </w:tabs>
        <w:rPr>
          <w:rFonts w:eastAsiaTheme="minorEastAsia" w:cstheme="minorBidi"/>
          <w:b w:val="0"/>
          <w:noProof/>
          <w:lang w:val="en-US"/>
        </w:rPr>
      </w:pPr>
      <w:hyperlink w:anchor="_Toc132713855" w:history="1">
        <w:r w:rsidR="00DB7855" w:rsidRPr="00E95718">
          <w:rPr>
            <w:rStyle w:val="Kpr"/>
            <w:rFonts w:ascii="Calibri" w:eastAsia="Times New Roman" w:hAnsi="Calibri"/>
            <w:noProof/>
          </w:rPr>
          <w:t>9.</w:t>
        </w:r>
        <w:r w:rsidR="00DB7855">
          <w:rPr>
            <w:rFonts w:eastAsiaTheme="minorEastAsia" w:cstheme="minorBidi"/>
            <w:b w:val="0"/>
            <w:noProof/>
            <w:lang w:val="en-US"/>
          </w:rPr>
          <w:tab/>
        </w:r>
        <w:r w:rsidR="00DB7855" w:rsidRPr="00E95718">
          <w:rPr>
            <w:rStyle w:val="Kpr"/>
            <w:rFonts w:ascii="Calibri" w:eastAsia="Times New Roman" w:hAnsi="Calibri"/>
            <w:noProof/>
          </w:rPr>
          <w:t>TÜKETİCİ HAKLARININ KORUNMASI</w:t>
        </w:r>
        <w:r w:rsidR="00DB7855">
          <w:rPr>
            <w:noProof/>
            <w:webHidden/>
          </w:rPr>
          <w:tab/>
        </w:r>
        <w:r w:rsidR="00DB7855">
          <w:rPr>
            <w:noProof/>
            <w:webHidden/>
          </w:rPr>
          <w:fldChar w:fldCharType="begin"/>
        </w:r>
        <w:r w:rsidR="00DB7855">
          <w:rPr>
            <w:noProof/>
            <w:webHidden/>
          </w:rPr>
          <w:instrText xml:space="preserve"> PAGEREF _Toc132713855 \h </w:instrText>
        </w:r>
        <w:r w:rsidR="00DB7855">
          <w:rPr>
            <w:noProof/>
            <w:webHidden/>
          </w:rPr>
        </w:r>
        <w:r w:rsidR="00DB7855">
          <w:rPr>
            <w:noProof/>
            <w:webHidden/>
          </w:rPr>
          <w:fldChar w:fldCharType="separate"/>
        </w:r>
        <w:r w:rsidR="00DB7855">
          <w:rPr>
            <w:noProof/>
            <w:webHidden/>
          </w:rPr>
          <w:t>200</w:t>
        </w:r>
        <w:r w:rsidR="00DB7855">
          <w:rPr>
            <w:noProof/>
            <w:webHidden/>
          </w:rPr>
          <w:fldChar w:fldCharType="end"/>
        </w:r>
      </w:hyperlink>
    </w:p>
    <w:p w:rsidR="00DB7855" w:rsidRDefault="00255FFC" w:rsidP="009D3193">
      <w:pPr>
        <w:pStyle w:val="T2"/>
        <w:rPr>
          <w:rFonts w:eastAsiaTheme="minorEastAsia" w:cstheme="minorBidi"/>
          <w:lang w:val="en-US"/>
        </w:rPr>
      </w:pPr>
      <w:hyperlink w:anchor="_Toc132713856" w:history="1">
        <w:r w:rsidR="00DB7855" w:rsidRPr="00E95718">
          <w:rPr>
            <w:rStyle w:val="Kpr"/>
          </w:rPr>
          <w:t>9.1.Tüketici Bilincinin Oluşturulması ve Geliştirilmesi</w:t>
        </w:r>
        <w:r w:rsidR="00DB7855">
          <w:rPr>
            <w:webHidden/>
          </w:rPr>
          <w:tab/>
        </w:r>
        <w:r w:rsidR="00DB7855">
          <w:rPr>
            <w:webHidden/>
          </w:rPr>
          <w:fldChar w:fldCharType="begin"/>
        </w:r>
        <w:r w:rsidR="00DB7855">
          <w:rPr>
            <w:webHidden/>
          </w:rPr>
          <w:instrText xml:space="preserve"> PAGEREF _Toc132713856 \h </w:instrText>
        </w:r>
        <w:r w:rsidR="00DB7855">
          <w:rPr>
            <w:webHidden/>
          </w:rPr>
        </w:r>
        <w:r w:rsidR="00DB7855">
          <w:rPr>
            <w:webHidden/>
          </w:rPr>
          <w:fldChar w:fldCharType="separate"/>
        </w:r>
        <w:r w:rsidR="00DB7855">
          <w:rPr>
            <w:webHidden/>
          </w:rPr>
          <w:t>200</w:t>
        </w:r>
        <w:r w:rsidR="00DB7855">
          <w:rPr>
            <w:webHidden/>
          </w:rPr>
          <w:fldChar w:fldCharType="end"/>
        </w:r>
      </w:hyperlink>
    </w:p>
    <w:p w:rsidR="00DB7855" w:rsidRDefault="00255FFC" w:rsidP="009D3193">
      <w:pPr>
        <w:pStyle w:val="T2"/>
        <w:rPr>
          <w:rFonts w:eastAsiaTheme="minorEastAsia" w:cstheme="minorBidi"/>
          <w:lang w:val="en-US"/>
        </w:rPr>
      </w:pPr>
      <w:hyperlink w:anchor="_Toc132713857" w:history="1">
        <w:r w:rsidR="00DB7855" w:rsidRPr="00E95718">
          <w:rPr>
            <w:rStyle w:val="Kpr"/>
          </w:rPr>
          <w:t>9.2.Tüketici Şikâyetlerinin Değerlendirilmesi</w:t>
        </w:r>
        <w:r w:rsidR="00DB7855">
          <w:rPr>
            <w:webHidden/>
          </w:rPr>
          <w:tab/>
        </w:r>
        <w:r w:rsidR="00DB7855">
          <w:rPr>
            <w:webHidden/>
          </w:rPr>
          <w:fldChar w:fldCharType="begin"/>
        </w:r>
        <w:r w:rsidR="00DB7855">
          <w:rPr>
            <w:webHidden/>
          </w:rPr>
          <w:instrText xml:space="preserve"> PAGEREF _Toc132713857 \h </w:instrText>
        </w:r>
        <w:r w:rsidR="00DB7855">
          <w:rPr>
            <w:webHidden/>
          </w:rPr>
        </w:r>
        <w:r w:rsidR="00DB7855">
          <w:rPr>
            <w:webHidden/>
          </w:rPr>
          <w:fldChar w:fldCharType="separate"/>
        </w:r>
        <w:r w:rsidR="00DB7855">
          <w:rPr>
            <w:webHidden/>
          </w:rPr>
          <w:t>201</w:t>
        </w:r>
        <w:r w:rsidR="00DB7855">
          <w:rPr>
            <w:webHidden/>
          </w:rPr>
          <w:fldChar w:fldCharType="end"/>
        </w:r>
      </w:hyperlink>
    </w:p>
    <w:p w:rsidR="00DB7855" w:rsidRDefault="00255FFC">
      <w:pPr>
        <w:pStyle w:val="T3"/>
        <w:rPr>
          <w:rFonts w:eastAsiaTheme="minorEastAsia" w:cstheme="minorBidi"/>
          <w:noProof/>
          <w:lang w:val="en-US"/>
        </w:rPr>
      </w:pPr>
      <w:hyperlink w:anchor="_Toc132713858" w:history="1">
        <w:r w:rsidR="00DB7855" w:rsidRPr="00E95718">
          <w:rPr>
            <w:rStyle w:val="Kpr"/>
            <w:noProof/>
          </w:rPr>
          <w:t>9.2.1. Bilgi Edinme Şikâyet Sayısı ve Kanalları</w:t>
        </w:r>
        <w:r w:rsidR="00DB7855">
          <w:rPr>
            <w:noProof/>
            <w:webHidden/>
          </w:rPr>
          <w:tab/>
        </w:r>
        <w:r w:rsidR="00DB7855">
          <w:rPr>
            <w:noProof/>
            <w:webHidden/>
          </w:rPr>
          <w:fldChar w:fldCharType="begin"/>
        </w:r>
        <w:r w:rsidR="00DB7855">
          <w:rPr>
            <w:noProof/>
            <w:webHidden/>
          </w:rPr>
          <w:instrText xml:space="preserve"> PAGEREF _Toc132713858 \h </w:instrText>
        </w:r>
        <w:r w:rsidR="00DB7855">
          <w:rPr>
            <w:noProof/>
            <w:webHidden/>
          </w:rPr>
        </w:r>
        <w:r w:rsidR="00DB7855">
          <w:rPr>
            <w:noProof/>
            <w:webHidden/>
          </w:rPr>
          <w:fldChar w:fldCharType="separate"/>
        </w:r>
        <w:r w:rsidR="00DB7855">
          <w:rPr>
            <w:noProof/>
            <w:webHidden/>
          </w:rPr>
          <w:t>201</w:t>
        </w:r>
        <w:r w:rsidR="00DB7855">
          <w:rPr>
            <w:noProof/>
            <w:webHidden/>
          </w:rPr>
          <w:fldChar w:fldCharType="end"/>
        </w:r>
      </w:hyperlink>
    </w:p>
    <w:p w:rsidR="00DB7855" w:rsidRDefault="00255FFC">
      <w:pPr>
        <w:pStyle w:val="T3"/>
        <w:rPr>
          <w:rFonts w:eastAsiaTheme="minorEastAsia" w:cstheme="minorBidi"/>
          <w:noProof/>
          <w:lang w:val="en-US"/>
        </w:rPr>
      </w:pPr>
      <w:hyperlink w:anchor="_Toc132713859" w:history="1">
        <w:r w:rsidR="00DB7855" w:rsidRPr="00E95718">
          <w:rPr>
            <w:rStyle w:val="Kpr"/>
            <w:noProof/>
          </w:rPr>
          <w:t>9.2.2. Şikâyet Bildirimlerinin Sektörel Dağılımı</w:t>
        </w:r>
        <w:r w:rsidR="00DB7855">
          <w:rPr>
            <w:noProof/>
            <w:webHidden/>
          </w:rPr>
          <w:tab/>
        </w:r>
        <w:r w:rsidR="00DB7855">
          <w:rPr>
            <w:noProof/>
            <w:webHidden/>
          </w:rPr>
          <w:fldChar w:fldCharType="begin"/>
        </w:r>
        <w:r w:rsidR="00DB7855">
          <w:rPr>
            <w:noProof/>
            <w:webHidden/>
          </w:rPr>
          <w:instrText xml:space="preserve"> PAGEREF _Toc132713859 \h </w:instrText>
        </w:r>
        <w:r w:rsidR="00DB7855">
          <w:rPr>
            <w:noProof/>
            <w:webHidden/>
          </w:rPr>
        </w:r>
        <w:r w:rsidR="00DB7855">
          <w:rPr>
            <w:noProof/>
            <w:webHidden/>
          </w:rPr>
          <w:fldChar w:fldCharType="separate"/>
        </w:r>
        <w:r w:rsidR="00DB7855">
          <w:rPr>
            <w:noProof/>
            <w:webHidden/>
          </w:rPr>
          <w:t>202</w:t>
        </w:r>
        <w:r w:rsidR="00DB7855">
          <w:rPr>
            <w:noProof/>
            <w:webHidden/>
          </w:rPr>
          <w:fldChar w:fldCharType="end"/>
        </w:r>
      </w:hyperlink>
    </w:p>
    <w:p w:rsidR="00DB7855" w:rsidRDefault="00255FFC">
      <w:pPr>
        <w:pStyle w:val="T3"/>
        <w:rPr>
          <w:rFonts w:eastAsiaTheme="minorEastAsia" w:cstheme="minorBidi"/>
          <w:noProof/>
          <w:lang w:val="en-US"/>
        </w:rPr>
      </w:pPr>
      <w:hyperlink w:anchor="_Toc132713860" w:history="1">
        <w:r w:rsidR="00DB7855" w:rsidRPr="00E95718">
          <w:rPr>
            <w:rStyle w:val="Kpr"/>
            <w:noProof/>
          </w:rPr>
          <w:t>9.2.3. Elektrik Sektörüne Ait Şikâyetlerin Sınıflandırılması ve Gerçekleşmeler</w:t>
        </w:r>
        <w:r w:rsidR="00DB7855">
          <w:rPr>
            <w:noProof/>
            <w:webHidden/>
          </w:rPr>
          <w:tab/>
        </w:r>
        <w:r w:rsidR="00DB7855">
          <w:rPr>
            <w:noProof/>
            <w:webHidden/>
          </w:rPr>
          <w:fldChar w:fldCharType="begin"/>
        </w:r>
        <w:r w:rsidR="00DB7855">
          <w:rPr>
            <w:noProof/>
            <w:webHidden/>
          </w:rPr>
          <w:instrText xml:space="preserve"> PAGEREF _Toc132713860 \h </w:instrText>
        </w:r>
        <w:r w:rsidR="00DB7855">
          <w:rPr>
            <w:noProof/>
            <w:webHidden/>
          </w:rPr>
        </w:r>
        <w:r w:rsidR="00DB7855">
          <w:rPr>
            <w:noProof/>
            <w:webHidden/>
          </w:rPr>
          <w:fldChar w:fldCharType="separate"/>
        </w:r>
        <w:r w:rsidR="00DB7855">
          <w:rPr>
            <w:noProof/>
            <w:webHidden/>
          </w:rPr>
          <w:t>204</w:t>
        </w:r>
        <w:r w:rsidR="00DB7855">
          <w:rPr>
            <w:noProof/>
            <w:webHidden/>
          </w:rPr>
          <w:fldChar w:fldCharType="end"/>
        </w:r>
      </w:hyperlink>
    </w:p>
    <w:p w:rsidR="00DB7855" w:rsidRDefault="00255FFC">
      <w:pPr>
        <w:pStyle w:val="T3"/>
        <w:rPr>
          <w:rFonts w:eastAsiaTheme="minorEastAsia" w:cstheme="minorBidi"/>
          <w:noProof/>
          <w:lang w:val="en-US"/>
        </w:rPr>
      </w:pPr>
      <w:hyperlink w:anchor="_Toc132713861" w:history="1">
        <w:r w:rsidR="00DB7855" w:rsidRPr="00E95718">
          <w:rPr>
            <w:rStyle w:val="Kpr"/>
            <w:noProof/>
          </w:rPr>
          <w:t>9.2.4. Doğal Gaz Sektörüne Ait Şikâyetlerin Sınıflandırılması ve Gerçekleşmeler</w:t>
        </w:r>
        <w:r w:rsidR="00DB7855">
          <w:rPr>
            <w:noProof/>
            <w:webHidden/>
          </w:rPr>
          <w:tab/>
        </w:r>
        <w:r w:rsidR="00DB7855">
          <w:rPr>
            <w:noProof/>
            <w:webHidden/>
          </w:rPr>
          <w:fldChar w:fldCharType="begin"/>
        </w:r>
        <w:r w:rsidR="00DB7855">
          <w:rPr>
            <w:noProof/>
            <w:webHidden/>
          </w:rPr>
          <w:instrText xml:space="preserve"> PAGEREF _Toc132713861 \h </w:instrText>
        </w:r>
        <w:r w:rsidR="00DB7855">
          <w:rPr>
            <w:noProof/>
            <w:webHidden/>
          </w:rPr>
        </w:r>
        <w:r w:rsidR="00DB7855">
          <w:rPr>
            <w:noProof/>
            <w:webHidden/>
          </w:rPr>
          <w:fldChar w:fldCharType="separate"/>
        </w:r>
        <w:r w:rsidR="00DB7855">
          <w:rPr>
            <w:noProof/>
            <w:webHidden/>
          </w:rPr>
          <w:t>205</w:t>
        </w:r>
        <w:r w:rsidR="00DB7855">
          <w:rPr>
            <w:noProof/>
            <w:webHidden/>
          </w:rPr>
          <w:fldChar w:fldCharType="end"/>
        </w:r>
      </w:hyperlink>
    </w:p>
    <w:p w:rsidR="00DB7855" w:rsidRDefault="00255FFC">
      <w:pPr>
        <w:pStyle w:val="T3"/>
        <w:rPr>
          <w:rFonts w:eastAsiaTheme="minorEastAsia" w:cstheme="minorBidi"/>
          <w:noProof/>
          <w:lang w:val="en-US"/>
        </w:rPr>
      </w:pPr>
      <w:hyperlink w:anchor="_Toc132713862" w:history="1">
        <w:r w:rsidR="00DB7855" w:rsidRPr="00E95718">
          <w:rPr>
            <w:rStyle w:val="Kpr"/>
            <w:noProof/>
          </w:rPr>
          <w:t>9.2.5. Petrol Sektörüne Ait Şikâyetlerin Sınıflandırılması ve Gerçekleşmeler</w:t>
        </w:r>
        <w:r w:rsidR="00DB7855">
          <w:rPr>
            <w:noProof/>
            <w:webHidden/>
          </w:rPr>
          <w:tab/>
        </w:r>
        <w:r w:rsidR="00DB7855">
          <w:rPr>
            <w:noProof/>
            <w:webHidden/>
          </w:rPr>
          <w:fldChar w:fldCharType="begin"/>
        </w:r>
        <w:r w:rsidR="00DB7855">
          <w:rPr>
            <w:noProof/>
            <w:webHidden/>
          </w:rPr>
          <w:instrText xml:space="preserve"> PAGEREF _Toc132713862 \h </w:instrText>
        </w:r>
        <w:r w:rsidR="00DB7855">
          <w:rPr>
            <w:noProof/>
            <w:webHidden/>
          </w:rPr>
        </w:r>
        <w:r w:rsidR="00DB7855">
          <w:rPr>
            <w:noProof/>
            <w:webHidden/>
          </w:rPr>
          <w:fldChar w:fldCharType="separate"/>
        </w:r>
        <w:r w:rsidR="00DB7855">
          <w:rPr>
            <w:noProof/>
            <w:webHidden/>
          </w:rPr>
          <w:t>207</w:t>
        </w:r>
        <w:r w:rsidR="00DB7855">
          <w:rPr>
            <w:noProof/>
            <w:webHidden/>
          </w:rPr>
          <w:fldChar w:fldCharType="end"/>
        </w:r>
      </w:hyperlink>
    </w:p>
    <w:p w:rsidR="00DB7855" w:rsidRDefault="00255FFC">
      <w:pPr>
        <w:pStyle w:val="T3"/>
        <w:rPr>
          <w:rFonts w:eastAsiaTheme="minorEastAsia" w:cstheme="minorBidi"/>
          <w:noProof/>
          <w:lang w:val="en-US"/>
        </w:rPr>
      </w:pPr>
      <w:hyperlink w:anchor="_Toc132713863" w:history="1">
        <w:r w:rsidR="00DB7855" w:rsidRPr="00E95718">
          <w:rPr>
            <w:rStyle w:val="Kpr"/>
            <w:noProof/>
          </w:rPr>
          <w:t>9.2.6. Sıvılaştırılmış Petrol Gazları Sektörüne Ait Şikâyetlerin Sınıflandırılması ve Gerçekleşmeler</w:t>
        </w:r>
        <w:r w:rsidR="00DB7855">
          <w:rPr>
            <w:noProof/>
            <w:webHidden/>
          </w:rPr>
          <w:tab/>
        </w:r>
        <w:r w:rsidR="00DB7855">
          <w:rPr>
            <w:noProof/>
            <w:webHidden/>
          </w:rPr>
          <w:fldChar w:fldCharType="begin"/>
        </w:r>
        <w:r w:rsidR="00DB7855">
          <w:rPr>
            <w:noProof/>
            <w:webHidden/>
          </w:rPr>
          <w:instrText xml:space="preserve"> PAGEREF _Toc132713863 \h </w:instrText>
        </w:r>
        <w:r w:rsidR="00DB7855">
          <w:rPr>
            <w:noProof/>
            <w:webHidden/>
          </w:rPr>
        </w:r>
        <w:r w:rsidR="00DB7855">
          <w:rPr>
            <w:noProof/>
            <w:webHidden/>
          </w:rPr>
          <w:fldChar w:fldCharType="separate"/>
        </w:r>
        <w:r w:rsidR="00DB7855">
          <w:rPr>
            <w:noProof/>
            <w:webHidden/>
          </w:rPr>
          <w:t>207</w:t>
        </w:r>
        <w:r w:rsidR="00DB7855">
          <w:rPr>
            <w:noProof/>
            <w:webHidden/>
          </w:rPr>
          <w:fldChar w:fldCharType="end"/>
        </w:r>
      </w:hyperlink>
    </w:p>
    <w:p w:rsidR="00DB7855" w:rsidRDefault="00255FFC">
      <w:pPr>
        <w:pStyle w:val="T1"/>
        <w:tabs>
          <w:tab w:val="left" w:pos="660"/>
        </w:tabs>
        <w:rPr>
          <w:rFonts w:eastAsiaTheme="minorEastAsia" w:cstheme="minorBidi"/>
          <w:b w:val="0"/>
          <w:noProof/>
          <w:lang w:val="en-US"/>
        </w:rPr>
      </w:pPr>
      <w:hyperlink w:anchor="_Toc132713864" w:history="1">
        <w:r w:rsidR="00DB7855" w:rsidRPr="00E95718">
          <w:rPr>
            <w:rStyle w:val="Kpr"/>
            <w:rFonts w:ascii="Calibri" w:eastAsia="Times New Roman" w:hAnsi="Calibri"/>
            <w:noProof/>
          </w:rPr>
          <w:t>10.</w:t>
        </w:r>
        <w:r w:rsidR="00DB7855">
          <w:rPr>
            <w:rFonts w:eastAsiaTheme="minorEastAsia" w:cstheme="minorBidi"/>
            <w:b w:val="0"/>
            <w:noProof/>
            <w:lang w:val="en-US"/>
          </w:rPr>
          <w:tab/>
        </w:r>
        <w:r w:rsidR="00DB7855" w:rsidRPr="00E95718">
          <w:rPr>
            <w:rStyle w:val="Kpr"/>
            <w:rFonts w:ascii="Calibri" w:eastAsia="Times New Roman" w:hAnsi="Calibri"/>
            <w:noProof/>
          </w:rPr>
          <w:t>BASIN VE HALKLA İLİŞKİLER</w:t>
        </w:r>
        <w:r w:rsidR="00DB7855">
          <w:rPr>
            <w:noProof/>
            <w:webHidden/>
          </w:rPr>
          <w:tab/>
        </w:r>
        <w:r w:rsidR="00DB7855">
          <w:rPr>
            <w:noProof/>
            <w:webHidden/>
          </w:rPr>
          <w:fldChar w:fldCharType="begin"/>
        </w:r>
        <w:r w:rsidR="00DB7855">
          <w:rPr>
            <w:noProof/>
            <w:webHidden/>
          </w:rPr>
          <w:instrText xml:space="preserve"> PAGEREF _Toc132713864 \h </w:instrText>
        </w:r>
        <w:r w:rsidR="00DB7855">
          <w:rPr>
            <w:noProof/>
            <w:webHidden/>
          </w:rPr>
        </w:r>
        <w:r w:rsidR="00DB7855">
          <w:rPr>
            <w:noProof/>
            <w:webHidden/>
          </w:rPr>
          <w:fldChar w:fldCharType="separate"/>
        </w:r>
        <w:r w:rsidR="00DB7855">
          <w:rPr>
            <w:noProof/>
            <w:webHidden/>
          </w:rPr>
          <w:t>209</w:t>
        </w:r>
        <w:r w:rsidR="00DB7855">
          <w:rPr>
            <w:noProof/>
            <w:webHidden/>
          </w:rPr>
          <w:fldChar w:fldCharType="end"/>
        </w:r>
      </w:hyperlink>
    </w:p>
    <w:p w:rsidR="00DB7855" w:rsidRDefault="00255FFC">
      <w:pPr>
        <w:pStyle w:val="T1"/>
        <w:tabs>
          <w:tab w:val="left" w:pos="660"/>
        </w:tabs>
        <w:rPr>
          <w:rFonts w:eastAsiaTheme="minorEastAsia" w:cstheme="minorBidi"/>
          <w:b w:val="0"/>
          <w:noProof/>
          <w:lang w:val="en-US"/>
        </w:rPr>
      </w:pPr>
      <w:hyperlink w:anchor="_Toc132713865" w:history="1">
        <w:r w:rsidR="00DB7855" w:rsidRPr="00E95718">
          <w:rPr>
            <w:rStyle w:val="Kpr"/>
            <w:rFonts w:eastAsiaTheme="majorEastAsia" w:cstheme="majorBidi"/>
            <w:bCs/>
            <w:noProof/>
          </w:rPr>
          <w:t>11.</w:t>
        </w:r>
        <w:r w:rsidR="00DB7855">
          <w:rPr>
            <w:rFonts w:eastAsiaTheme="minorEastAsia" w:cstheme="minorBidi"/>
            <w:b w:val="0"/>
            <w:noProof/>
            <w:lang w:val="en-US"/>
          </w:rPr>
          <w:tab/>
        </w:r>
        <w:r w:rsidR="00DB7855" w:rsidRPr="00E95718">
          <w:rPr>
            <w:rStyle w:val="Kpr"/>
            <w:rFonts w:eastAsiaTheme="majorEastAsia" w:cstheme="majorBidi"/>
            <w:bCs/>
            <w:noProof/>
          </w:rPr>
          <w:t>DİĞER KURUMLARLA İLİŞKİLER</w:t>
        </w:r>
        <w:r w:rsidR="00DB7855">
          <w:rPr>
            <w:noProof/>
            <w:webHidden/>
          </w:rPr>
          <w:tab/>
        </w:r>
        <w:r w:rsidR="00DB7855">
          <w:rPr>
            <w:noProof/>
            <w:webHidden/>
          </w:rPr>
          <w:fldChar w:fldCharType="begin"/>
        </w:r>
        <w:r w:rsidR="00DB7855">
          <w:rPr>
            <w:noProof/>
            <w:webHidden/>
          </w:rPr>
          <w:instrText xml:space="preserve"> PAGEREF _Toc132713865 \h </w:instrText>
        </w:r>
        <w:r w:rsidR="00DB7855">
          <w:rPr>
            <w:noProof/>
            <w:webHidden/>
          </w:rPr>
        </w:r>
        <w:r w:rsidR="00DB7855">
          <w:rPr>
            <w:noProof/>
            <w:webHidden/>
          </w:rPr>
          <w:fldChar w:fldCharType="separate"/>
        </w:r>
        <w:r w:rsidR="00DB7855">
          <w:rPr>
            <w:noProof/>
            <w:webHidden/>
          </w:rPr>
          <w:t>210</w:t>
        </w:r>
        <w:r w:rsidR="00DB7855">
          <w:rPr>
            <w:noProof/>
            <w:webHidden/>
          </w:rPr>
          <w:fldChar w:fldCharType="end"/>
        </w:r>
      </w:hyperlink>
    </w:p>
    <w:p w:rsidR="00DB7855" w:rsidRDefault="00255FFC" w:rsidP="009D3193">
      <w:pPr>
        <w:pStyle w:val="T2"/>
        <w:rPr>
          <w:rFonts w:eastAsiaTheme="minorEastAsia" w:cstheme="minorBidi"/>
          <w:lang w:val="en-US"/>
        </w:rPr>
      </w:pPr>
      <w:hyperlink w:anchor="_Toc132713866" w:history="1">
        <w:r w:rsidR="00DB7855" w:rsidRPr="00E95718">
          <w:rPr>
            <w:rStyle w:val="Kpr"/>
            <w:rFonts w:eastAsiaTheme="majorEastAsia" w:cstheme="majorBidi"/>
            <w:b/>
          </w:rPr>
          <w:t>11.1.</w:t>
        </w:r>
        <w:r w:rsidR="00DB7855">
          <w:rPr>
            <w:rFonts w:eastAsiaTheme="minorEastAsia" w:cstheme="minorBidi"/>
            <w:lang w:val="en-US"/>
          </w:rPr>
          <w:tab/>
        </w:r>
        <w:r w:rsidR="00DB7855" w:rsidRPr="00E95718">
          <w:rPr>
            <w:rStyle w:val="Kpr"/>
            <w:rFonts w:eastAsiaTheme="majorEastAsia" w:cstheme="majorBidi"/>
            <w:b/>
          </w:rPr>
          <w:t>Bakanlık Kanalıyla TBMM'den Gelen Soru Önergeleri</w:t>
        </w:r>
        <w:r w:rsidR="00DB7855">
          <w:rPr>
            <w:webHidden/>
          </w:rPr>
          <w:tab/>
        </w:r>
        <w:r w:rsidR="00DB7855">
          <w:rPr>
            <w:webHidden/>
          </w:rPr>
          <w:fldChar w:fldCharType="begin"/>
        </w:r>
        <w:r w:rsidR="00DB7855">
          <w:rPr>
            <w:webHidden/>
          </w:rPr>
          <w:instrText xml:space="preserve"> PAGEREF _Toc132713866 \h </w:instrText>
        </w:r>
        <w:r w:rsidR="00DB7855">
          <w:rPr>
            <w:webHidden/>
          </w:rPr>
        </w:r>
        <w:r w:rsidR="00DB7855">
          <w:rPr>
            <w:webHidden/>
          </w:rPr>
          <w:fldChar w:fldCharType="separate"/>
        </w:r>
        <w:r w:rsidR="00DB7855">
          <w:rPr>
            <w:webHidden/>
          </w:rPr>
          <w:t>210</w:t>
        </w:r>
        <w:r w:rsidR="00DB7855">
          <w:rPr>
            <w:webHidden/>
          </w:rPr>
          <w:fldChar w:fldCharType="end"/>
        </w:r>
      </w:hyperlink>
    </w:p>
    <w:p w:rsidR="00DB7855" w:rsidRDefault="00255FFC">
      <w:pPr>
        <w:pStyle w:val="T1"/>
        <w:tabs>
          <w:tab w:val="left" w:pos="660"/>
        </w:tabs>
        <w:rPr>
          <w:rFonts w:eastAsiaTheme="minorEastAsia" w:cstheme="minorBidi"/>
          <w:b w:val="0"/>
          <w:noProof/>
          <w:lang w:val="en-US"/>
        </w:rPr>
      </w:pPr>
      <w:hyperlink w:anchor="_Toc132713867" w:history="1">
        <w:r w:rsidR="00DB7855" w:rsidRPr="00E95718">
          <w:rPr>
            <w:rStyle w:val="Kpr"/>
            <w:noProof/>
          </w:rPr>
          <w:t>12.</w:t>
        </w:r>
        <w:r w:rsidR="00DB7855">
          <w:rPr>
            <w:rFonts w:eastAsiaTheme="minorEastAsia" w:cstheme="minorBidi"/>
            <w:b w:val="0"/>
            <w:noProof/>
            <w:lang w:val="en-US"/>
          </w:rPr>
          <w:tab/>
        </w:r>
        <w:r w:rsidR="00DB7855" w:rsidRPr="00E95718">
          <w:rPr>
            <w:rStyle w:val="Kpr"/>
            <w:noProof/>
          </w:rPr>
          <w:t>DIŞ İLİŞKİLER</w:t>
        </w:r>
        <w:r w:rsidR="00DB7855">
          <w:rPr>
            <w:noProof/>
            <w:webHidden/>
          </w:rPr>
          <w:tab/>
        </w:r>
        <w:r w:rsidR="00DB7855">
          <w:rPr>
            <w:noProof/>
            <w:webHidden/>
          </w:rPr>
          <w:fldChar w:fldCharType="begin"/>
        </w:r>
        <w:r w:rsidR="00DB7855">
          <w:rPr>
            <w:noProof/>
            <w:webHidden/>
          </w:rPr>
          <w:instrText xml:space="preserve"> PAGEREF _Toc132713867 \h </w:instrText>
        </w:r>
        <w:r w:rsidR="00DB7855">
          <w:rPr>
            <w:noProof/>
            <w:webHidden/>
          </w:rPr>
        </w:r>
        <w:r w:rsidR="00DB7855">
          <w:rPr>
            <w:noProof/>
            <w:webHidden/>
          </w:rPr>
          <w:fldChar w:fldCharType="separate"/>
        </w:r>
        <w:r w:rsidR="00DB7855">
          <w:rPr>
            <w:noProof/>
            <w:webHidden/>
          </w:rPr>
          <w:t>212</w:t>
        </w:r>
        <w:r w:rsidR="00DB7855">
          <w:rPr>
            <w:noProof/>
            <w:webHidden/>
          </w:rPr>
          <w:fldChar w:fldCharType="end"/>
        </w:r>
      </w:hyperlink>
    </w:p>
    <w:p w:rsidR="00DB7855" w:rsidRDefault="00255FFC" w:rsidP="009D3193">
      <w:pPr>
        <w:pStyle w:val="T2"/>
        <w:rPr>
          <w:rFonts w:eastAsiaTheme="minorEastAsia" w:cstheme="minorBidi"/>
          <w:lang w:val="en-US"/>
        </w:rPr>
      </w:pPr>
      <w:hyperlink w:anchor="_Toc132713868" w:history="1">
        <w:r w:rsidR="00DB7855" w:rsidRPr="00E95718">
          <w:rPr>
            <w:rStyle w:val="Kpr"/>
          </w:rPr>
          <w:t>12.1.</w:t>
        </w:r>
        <w:r w:rsidR="00DB7855">
          <w:rPr>
            <w:rFonts w:eastAsiaTheme="minorEastAsia" w:cstheme="minorBidi"/>
            <w:lang w:val="en-US"/>
          </w:rPr>
          <w:tab/>
        </w:r>
        <w:r w:rsidR="00DB7855" w:rsidRPr="00E95718">
          <w:rPr>
            <w:rStyle w:val="Kpr"/>
          </w:rPr>
          <w:t>Üyesi Olunan Uluslararası Birliklerle İlişkiler</w:t>
        </w:r>
        <w:r w:rsidR="00DB7855">
          <w:rPr>
            <w:webHidden/>
          </w:rPr>
          <w:tab/>
        </w:r>
        <w:r w:rsidR="00DB7855">
          <w:rPr>
            <w:webHidden/>
          </w:rPr>
          <w:fldChar w:fldCharType="begin"/>
        </w:r>
        <w:r w:rsidR="00DB7855">
          <w:rPr>
            <w:webHidden/>
          </w:rPr>
          <w:instrText xml:space="preserve"> PAGEREF _Toc132713868 \h </w:instrText>
        </w:r>
        <w:r w:rsidR="00DB7855">
          <w:rPr>
            <w:webHidden/>
          </w:rPr>
        </w:r>
        <w:r w:rsidR="00DB7855">
          <w:rPr>
            <w:webHidden/>
          </w:rPr>
          <w:fldChar w:fldCharType="separate"/>
        </w:r>
        <w:r w:rsidR="00DB7855">
          <w:rPr>
            <w:webHidden/>
          </w:rPr>
          <w:t>212</w:t>
        </w:r>
        <w:r w:rsidR="00DB7855">
          <w:rPr>
            <w:webHidden/>
          </w:rPr>
          <w:fldChar w:fldCharType="end"/>
        </w:r>
      </w:hyperlink>
    </w:p>
    <w:p w:rsidR="00DB7855" w:rsidRDefault="00255FFC" w:rsidP="009D3193">
      <w:pPr>
        <w:pStyle w:val="T2"/>
        <w:rPr>
          <w:rFonts w:eastAsiaTheme="minorEastAsia" w:cstheme="minorBidi"/>
          <w:lang w:val="en-US"/>
        </w:rPr>
      </w:pPr>
      <w:hyperlink w:anchor="_Toc132713869" w:history="1">
        <w:r w:rsidR="00DB7855" w:rsidRPr="00E95718">
          <w:rPr>
            <w:rStyle w:val="Kpr"/>
          </w:rPr>
          <w:t>12.2.</w:t>
        </w:r>
        <w:r w:rsidR="00DB7855">
          <w:rPr>
            <w:rFonts w:eastAsiaTheme="minorEastAsia" w:cstheme="minorBidi"/>
            <w:lang w:val="en-US"/>
          </w:rPr>
          <w:tab/>
        </w:r>
        <w:r w:rsidR="00DB7855" w:rsidRPr="00E95718">
          <w:rPr>
            <w:rStyle w:val="Kpr"/>
          </w:rPr>
          <w:t>İkili İlişkiler</w:t>
        </w:r>
        <w:r w:rsidR="00DB7855">
          <w:rPr>
            <w:webHidden/>
          </w:rPr>
          <w:tab/>
        </w:r>
        <w:r w:rsidR="00DB7855">
          <w:rPr>
            <w:webHidden/>
          </w:rPr>
          <w:fldChar w:fldCharType="begin"/>
        </w:r>
        <w:r w:rsidR="00DB7855">
          <w:rPr>
            <w:webHidden/>
          </w:rPr>
          <w:instrText xml:space="preserve"> PAGEREF _Toc132713869 \h </w:instrText>
        </w:r>
        <w:r w:rsidR="00DB7855">
          <w:rPr>
            <w:webHidden/>
          </w:rPr>
        </w:r>
        <w:r w:rsidR="00DB7855">
          <w:rPr>
            <w:webHidden/>
          </w:rPr>
          <w:fldChar w:fldCharType="separate"/>
        </w:r>
        <w:r w:rsidR="00DB7855">
          <w:rPr>
            <w:webHidden/>
          </w:rPr>
          <w:t>213</w:t>
        </w:r>
        <w:r w:rsidR="00DB7855">
          <w:rPr>
            <w:webHidden/>
          </w:rPr>
          <w:fldChar w:fldCharType="end"/>
        </w:r>
      </w:hyperlink>
    </w:p>
    <w:p w:rsidR="00DB7855" w:rsidRDefault="00255FFC" w:rsidP="009D3193">
      <w:pPr>
        <w:pStyle w:val="T2"/>
        <w:rPr>
          <w:rFonts w:eastAsiaTheme="minorEastAsia" w:cstheme="minorBidi"/>
          <w:lang w:val="en-US"/>
        </w:rPr>
      </w:pPr>
      <w:hyperlink w:anchor="_Toc132713870" w:history="1">
        <w:r w:rsidR="00DB7855" w:rsidRPr="00E95718">
          <w:rPr>
            <w:rStyle w:val="Kpr"/>
          </w:rPr>
          <w:t>12.3.</w:t>
        </w:r>
        <w:r w:rsidR="00DB7855">
          <w:rPr>
            <w:rFonts w:eastAsiaTheme="minorEastAsia" w:cstheme="minorBidi"/>
            <w:lang w:val="en-US"/>
          </w:rPr>
          <w:tab/>
        </w:r>
        <w:r w:rsidR="00DB7855" w:rsidRPr="00E95718">
          <w:rPr>
            <w:rStyle w:val="Kpr"/>
          </w:rPr>
          <w:t>Avrupa Birliği Müktesebatı İle Uyum Süreci Kapsamındaki Faaliyetler</w:t>
        </w:r>
        <w:r w:rsidR="00DB7855">
          <w:rPr>
            <w:webHidden/>
          </w:rPr>
          <w:tab/>
        </w:r>
        <w:r w:rsidR="00DB7855">
          <w:rPr>
            <w:webHidden/>
          </w:rPr>
          <w:fldChar w:fldCharType="begin"/>
        </w:r>
        <w:r w:rsidR="00DB7855">
          <w:rPr>
            <w:webHidden/>
          </w:rPr>
          <w:instrText xml:space="preserve"> PAGEREF _Toc132713870 \h </w:instrText>
        </w:r>
        <w:r w:rsidR="00DB7855">
          <w:rPr>
            <w:webHidden/>
          </w:rPr>
        </w:r>
        <w:r w:rsidR="00DB7855">
          <w:rPr>
            <w:webHidden/>
          </w:rPr>
          <w:fldChar w:fldCharType="separate"/>
        </w:r>
        <w:r w:rsidR="00DB7855">
          <w:rPr>
            <w:webHidden/>
          </w:rPr>
          <w:t>213</w:t>
        </w:r>
        <w:r w:rsidR="00DB7855">
          <w:rPr>
            <w:webHidden/>
          </w:rPr>
          <w:fldChar w:fldCharType="end"/>
        </w:r>
      </w:hyperlink>
    </w:p>
    <w:p w:rsidR="00DB7855" w:rsidRDefault="00255FFC" w:rsidP="009D3193">
      <w:pPr>
        <w:pStyle w:val="T2"/>
        <w:rPr>
          <w:rFonts w:eastAsiaTheme="minorEastAsia" w:cstheme="minorBidi"/>
          <w:lang w:val="en-US"/>
        </w:rPr>
      </w:pPr>
      <w:hyperlink w:anchor="_Toc132713871" w:history="1">
        <w:r w:rsidR="00DB7855" w:rsidRPr="00E95718">
          <w:rPr>
            <w:rStyle w:val="Kpr"/>
          </w:rPr>
          <w:t>12.4.</w:t>
        </w:r>
        <w:r w:rsidR="00DB7855">
          <w:rPr>
            <w:rFonts w:eastAsiaTheme="minorEastAsia" w:cstheme="minorBidi"/>
            <w:lang w:val="en-US"/>
          </w:rPr>
          <w:tab/>
        </w:r>
        <w:r w:rsidR="00DB7855" w:rsidRPr="00E95718">
          <w:rPr>
            <w:rStyle w:val="Kpr"/>
          </w:rPr>
          <w:t>Ülkemizin Taraf Olduğu Uluslararası Anlaşmalar Gereği İlişki İçerisinde Bulunulan Organizasyonlar Kapsamında Kurumun Görev Alanına Giren Alanlarda Yapılan Çalışmalar</w:t>
        </w:r>
        <w:r w:rsidR="00DB7855">
          <w:rPr>
            <w:webHidden/>
          </w:rPr>
          <w:tab/>
        </w:r>
        <w:r w:rsidR="00DB7855">
          <w:rPr>
            <w:webHidden/>
          </w:rPr>
          <w:fldChar w:fldCharType="begin"/>
        </w:r>
        <w:r w:rsidR="00DB7855">
          <w:rPr>
            <w:webHidden/>
          </w:rPr>
          <w:instrText xml:space="preserve"> PAGEREF _Toc132713871 \h </w:instrText>
        </w:r>
        <w:r w:rsidR="00DB7855">
          <w:rPr>
            <w:webHidden/>
          </w:rPr>
        </w:r>
        <w:r w:rsidR="00DB7855">
          <w:rPr>
            <w:webHidden/>
          </w:rPr>
          <w:fldChar w:fldCharType="separate"/>
        </w:r>
        <w:r w:rsidR="00DB7855">
          <w:rPr>
            <w:webHidden/>
          </w:rPr>
          <w:t>214</w:t>
        </w:r>
        <w:r w:rsidR="00DB7855">
          <w:rPr>
            <w:webHidden/>
          </w:rPr>
          <w:fldChar w:fldCharType="end"/>
        </w:r>
      </w:hyperlink>
    </w:p>
    <w:p w:rsidR="00DB7855" w:rsidRDefault="00255FFC" w:rsidP="009D3193">
      <w:pPr>
        <w:pStyle w:val="T2"/>
        <w:rPr>
          <w:rFonts w:eastAsiaTheme="minorEastAsia" w:cstheme="minorBidi"/>
          <w:lang w:val="en-US"/>
        </w:rPr>
      </w:pPr>
      <w:hyperlink w:anchor="_Toc132713872" w:history="1">
        <w:r w:rsidR="00DB7855" w:rsidRPr="00E95718">
          <w:rPr>
            <w:rStyle w:val="Kpr"/>
          </w:rPr>
          <w:t>12.5.</w:t>
        </w:r>
        <w:r w:rsidR="00DB7855">
          <w:rPr>
            <w:rFonts w:eastAsiaTheme="minorEastAsia" w:cstheme="minorBidi"/>
            <w:lang w:val="en-US"/>
          </w:rPr>
          <w:tab/>
        </w:r>
        <w:r w:rsidR="00DB7855" w:rsidRPr="00E95718">
          <w:rPr>
            <w:rStyle w:val="Kpr"/>
          </w:rPr>
          <w:t>Uluslararası Enerji Piyasalarındaki Gelişmelerin İzlenmesi ve Raporlanması</w:t>
        </w:r>
        <w:r w:rsidR="00DB7855">
          <w:rPr>
            <w:webHidden/>
          </w:rPr>
          <w:tab/>
        </w:r>
        <w:r w:rsidR="00DB7855">
          <w:rPr>
            <w:webHidden/>
          </w:rPr>
          <w:fldChar w:fldCharType="begin"/>
        </w:r>
        <w:r w:rsidR="00DB7855">
          <w:rPr>
            <w:webHidden/>
          </w:rPr>
          <w:instrText xml:space="preserve"> PAGEREF _Toc132713872 \h </w:instrText>
        </w:r>
        <w:r w:rsidR="00DB7855">
          <w:rPr>
            <w:webHidden/>
          </w:rPr>
        </w:r>
        <w:r w:rsidR="00DB7855">
          <w:rPr>
            <w:webHidden/>
          </w:rPr>
          <w:fldChar w:fldCharType="separate"/>
        </w:r>
        <w:r w:rsidR="00DB7855">
          <w:rPr>
            <w:webHidden/>
          </w:rPr>
          <w:t>214</w:t>
        </w:r>
        <w:r w:rsidR="00DB7855">
          <w:rPr>
            <w:webHidden/>
          </w:rPr>
          <w:fldChar w:fldCharType="end"/>
        </w:r>
      </w:hyperlink>
    </w:p>
    <w:p w:rsidR="00DB7855" w:rsidRDefault="00255FFC">
      <w:pPr>
        <w:pStyle w:val="T1"/>
        <w:tabs>
          <w:tab w:val="left" w:pos="660"/>
        </w:tabs>
        <w:rPr>
          <w:rFonts w:eastAsiaTheme="minorEastAsia" w:cstheme="minorBidi"/>
          <w:b w:val="0"/>
          <w:noProof/>
          <w:lang w:val="en-US"/>
        </w:rPr>
      </w:pPr>
      <w:hyperlink w:anchor="_Toc132713873" w:history="1">
        <w:r w:rsidR="00DB7855" w:rsidRPr="00E95718">
          <w:rPr>
            <w:rStyle w:val="Kpr"/>
            <w:noProof/>
          </w:rPr>
          <w:t>13.</w:t>
        </w:r>
        <w:r w:rsidR="00DB7855">
          <w:rPr>
            <w:rFonts w:eastAsiaTheme="minorEastAsia" w:cstheme="minorBidi"/>
            <w:b w:val="0"/>
            <w:noProof/>
            <w:lang w:val="en-US"/>
          </w:rPr>
          <w:tab/>
        </w:r>
        <w:r w:rsidR="00DB7855" w:rsidRPr="00E95718">
          <w:rPr>
            <w:rStyle w:val="Kpr"/>
            <w:noProof/>
          </w:rPr>
          <w:t>İNSAN KAYNAKLARI VE EĞİTİM FAALİYETLERİ</w:t>
        </w:r>
        <w:r w:rsidR="00DB7855">
          <w:rPr>
            <w:noProof/>
            <w:webHidden/>
          </w:rPr>
          <w:tab/>
        </w:r>
        <w:r w:rsidR="00DB7855">
          <w:rPr>
            <w:noProof/>
            <w:webHidden/>
          </w:rPr>
          <w:fldChar w:fldCharType="begin"/>
        </w:r>
        <w:r w:rsidR="00DB7855">
          <w:rPr>
            <w:noProof/>
            <w:webHidden/>
          </w:rPr>
          <w:instrText xml:space="preserve"> PAGEREF _Toc132713873 \h </w:instrText>
        </w:r>
        <w:r w:rsidR="00DB7855">
          <w:rPr>
            <w:noProof/>
            <w:webHidden/>
          </w:rPr>
        </w:r>
        <w:r w:rsidR="00DB7855">
          <w:rPr>
            <w:noProof/>
            <w:webHidden/>
          </w:rPr>
          <w:fldChar w:fldCharType="separate"/>
        </w:r>
        <w:r w:rsidR="00DB7855">
          <w:rPr>
            <w:noProof/>
            <w:webHidden/>
          </w:rPr>
          <w:t>216</w:t>
        </w:r>
        <w:r w:rsidR="00DB7855">
          <w:rPr>
            <w:noProof/>
            <w:webHidden/>
          </w:rPr>
          <w:fldChar w:fldCharType="end"/>
        </w:r>
      </w:hyperlink>
    </w:p>
    <w:p w:rsidR="00DB7855" w:rsidRDefault="00255FFC" w:rsidP="009D3193">
      <w:pPr>
        <w:pStyle w:val="T2"/>
        <w:rPr>
          <w:rFonts w:eastAsiaTheme="minorEastAsia" w:cstheme="minorBidi"/>
          <w:lang w:val="en-US"/>
        </w:rPr>
      </w:pPr>
      <w:hyperlink w:anchor="_Toc132713874" w:history="1">
        <w:r w:rsidR="00DB7855" w:rsidRPr="00E95718">
          <w:rPr>
            <w:rStyle w:val="Kpr"/>
          </w:rPr>
          <w:t>13.1.</w:t>
        </w:r>
        <w:r w:rsidR="00DB7855">
          <w:rPr>
            <w:rFonts w:eastAsiaTheme="minorEastAsia" w:cstheme="minorBidi"/>
            <w:lang w:val="en-US"/>
          </w:rPr>
          <w:tab/>
        </w:r>
        <w:r w:rsidR="00DB7855" w:rsidRPr="00E95718">
          <w:rPr>
            <w:rStyle w:val="Kpr"/>
          </w:rPr>
          <w:t>Kurum Personeli</w:t>
        </w:r>
        <w:r w:rsidR="00DB7855">
          <w:rPr>
            <w:webHidden/>
          </w:rPr>
          <w:tab/>
        </w:r>
        <w:r w:rsidR="00DB7855">
          <w:rPr>
            <w:webHidden/>
          </w:rPr>
          <w:fldChar w:fldCharType="begin"/>
        </w:r>
        <w:r w:rsidR="00DB7855">
          <w:rPr>
            <w:webHidden/>
          </w:rPr>
          <w:instrText xml:space="preserve"> PAGEREF _Toc132713874 \h </w:instrText>
        </w:r>
        <w:r w:rsidR="00DB7855">
          <w:rPr>
            <w:webHidden/>
          </w:rPr>
        </w:r>
        <w:r w:rsidR="00DB7855">
          <w:rPr>
            <w:webHidden/>
          </w:rPr>
          <w:fldChar w:fldCharType="separate"/>
        </w:r>
        <w:r w:rsidR="00DB7855">
          <w:rPr>
            <w:webHidden/>
          </w:rPr>
          <w:t>216</w:t>
        </w:r>
        <w:r w:rsidR="00DB7855">
          <w:rPr>
            <w:webHidden/>
          </w:rPr>
          <w:fldChar w:fldCharType="end"/>
        </w:r>
      </w:hyperlink>
    </w:p>
    <w:p w:rsidR="00DB7855" w:rsidRDefault="00255FFC" w:rsidP="009D3193">
      <w:pPr>
        <w:pStyle w:val="T2"/>
        <w:rPr>
          <w:rFonts w:eastAsiaTheme="minorEastAsia" w:cstheme="minorBidi"/>
          <w:lang w:val="en-US"/>
        </w:rPr>
      </w:pPr>
      <w:hyperlink w:anchor="_Toc132713875" w:history="1">
        <w:r w:rsidR="00DB7855" w:rsidRPr="00E95718">
          <w:rPr>
            <w:rStyle w:val="Kpr"/>
          </w:rPr>
          <w:t>13.2.</w:t>
        </w:r>
        <w:r w:rsidR="00DB7855">
          <w:rPr>
            <w:rFonts w:eastAsiaTheme="minorEastAsia" w:cstheme="minorBidi"/>
            <w:lang w:val="en-US"/>
          </w:rPr>
          <w:tab/>
        </w:r>
        <w:r w:rsidR="00DB7855" w:rsidRPr="00E95718">
          <w:rPr>
            <w:rStyle w:val="Kpr"/>
          </w:rPr>
          <w:t>Eğitim Faaliyetleri</w:t>
        </w:r>
        <w:r w:rsidR="00DB7855">
          <w:rPr>
            <w:webHidden/>
          </w:rPr>
          <w:tab/>
        </w:r>
        <w:r w:rsidR="00DB7855">
          <w:rPr>
            <w:webHidden/>
          </w:rPr>
          <w:fldChar w:fldCharType="begin"/>
        </w:r>
        <w:r w:rsidR="00DB7855">
          <w:rPr>
            <w:webHidden/>
          </w:rPr>
          <w:instrText xml:space="preserve"> PAGEREF _Toc132713875 \h </w:instrText>
        </w:r>
        <w:r w:rsidR="00DB7855">
          <w:rPr>
            <w:webHidden/>
          </w:rPr>
        </w:r>
        <w:r w:rsidR="00DB7855">
          <w:rPr>
            <w:webHidden/>
          </w:rPr>
          <w:fldChar w:fldCharType="separate"/>
        </w:r>
        <w:r w:rsidR="00DB7855">
          <w:rPr>
            <w:webHidden/>
          </w:rPr>
          <w:t>220</w:t>
        </w:r>
        <w:r w:rsidR="00DB7855">
          <w:rPr>
            <w:webHidden/>
          </w:rPr>
          <w:fldChar w:fldCharType="end"/>
        </w:r>
      </w:hyperlink>
    </w:p>
    <w:p w:rsidR="00DB7855" w:rsidRDefault="00255FFC">
      <w:pPr>
        <w:pStyle w:val="T3"/>
        <w:rPr>
          <w:rFonts w:eastAsiaTheme="minorEastAsia" w:cstheme="minorBidi"/>
          <w:noProof/>
          <w:lang w:val="en-US"/>
        </w:rPr>
      </w:pPr>
      <w:hyperlink w:anchor="_Toc132713876" w:history="1">
        <w:r w:rsidR="00DB7855" w:rsidRPr="00E95718">
          <w:rPr>
            <w:rStyle w:val="Kpr"/>
            <w:noProof/>
          </w:rPr>
          <w:t>13.2.1.</w:t>
        </w:r>
        <w:r w:rsidR="00DB7855">
          <w:rPr>
            <w:rFonts w:eastAsiaTheme="minorEastAsia" w:cstheme="minorBidi"/>
            <w:noProof/>
            <w:lang w:val="en-US"/>
          </w:rPr>
          <w:tab/>
        </w:r>
        <w:r w:rsidR="00DB7855" w:rsidRPr="00E95718">
          <w:rPr>
            <w:rStyle w:val="Kpr"/>
            <w:noProof/>
          </w:rPr>
          <w:t>Hizmet içi Eğitim Faaliyetleri</w:t>
        </w:r>
        <w:r w:rsidR="00DB7855">
          <w:rPr>
            <w:noProof/>
            <w:webHidden/>
          </w:rPr>
          <w:tab/>
        </w:r>
        <w:r w:rsidR="00DB7855">
          <w:rPr>
            <w:noProof/>
            <w:webHidden/>
          </w:rPr>
          <w:fldChar w:fldCharType="begin"/>
        </w:r>
        <w:r w:rsidR="00DB7855">
          <w:rPr>
            <w:noProof/>
            <w:webHidden/>
          </w:rPr>
          <w:instrText xml:space="preserve"> PAGEREF _Toc132713876 \h </w:instrText>
        </w:r>
        <w:r w:rsidR="00DB7855">
          <w:rPr>
            <w:noProof/>
            <w:webHidden/>
          </w:rPr>
        </w:r>
        <w:r w:rsidR="00DB7855">
          <w:rPr>
            <w:noProof/>
            <w:webHidden/>
          </w:rPr>
          <w:fldChar w:fldCharType="separate"/>
        </w:r>
        <w:r w:rsidR="00DB7855">
          <w:rPr>
            <w:noProof/>
            <w:webHidden/>
          </w:rPr>
          <w:t>220</w:t>
        </w:r>
        <w:r w:rsidR="00DB7855">
          <w:rPr>
            <w:noProof/>
            <w:webHidden/>
          </w:rPr>
          <w:fldChar w:fldCharType="end"/>
        </w:r>
      </w:hyperlink>
    </w:p>
    <w:p w:rsidR="00DB7855" w:rsidRDefault="00255FFC">
      <w:pPr>
        <w:pStyle w:val="T3"/>
        <w:rPr>
          <w:rFonts w:eastAsiaTheme="minorEastAsia" w:cstheme="minorBidi"/>
          <w:noProof/>
          <w:lang w:val="en-US"/>
        </w:rPr>
      </w:pPr>
      <w:hyperlink w:anchor="_Toc132713877" w:history="1">
        <w:r w:rsidR="00DB7855" w:rsidRPr="00E95718">
          <w:rPr>
            <w:rStyle w:val="Kpr"/>
            <w:noProof/>
          </w:rPr>
          <w:t>13.2.2.</w:t>
        </w:r>
        <w:r w:rsidR="00DB7855">
          <w:rPr>
            <w:rFonts w:eastAsiaTheme="minorEastAsia" w:cstheme="minorBidi"/>
            <w:noProof/>
            <w:lang w:val="en-US"/>
          </w:rPr>
          <w:tab/>
        </w:r>
        <w:r w:rsidR="00DB7855" w:rsidRPr="00E95718">
          <w:rPr>
            <w:rStyle w:val="Kpr"/>
            <w:noProof/>
          </w:rPr>
          <w:t>Diğer Eğitim Faaliyetleri</w:t>
        </w:r>
        <w:r w:rsidR="00DB7855">
          <w:rPr>
            <w:noProof/>
            <w:webHidden/>
          </w:rPr>
          <w:tab/>
        </w:r>
        <w:r w:rsidR="00DB7855">
          <w:rPr>
            <w:noProof/>
            <w:webHidden/>
          </w:rPr>
          <w:fldChar w:fldCharType="begin"/>
        </w:r>
        <w:r w:rsidR="00DB7855">
          <w:rPr>
            <w:noProof/>
            <w:webHidden/>
          </w:rPr>
          <w:instrText xml:space="preserve"> PAGEREF _Toc132713877 \h </w:instrText>
        </w:r>
        <w:r w:rsidR="00DB7855">
          <w:rPr>
            <w:noProof/>
            <w:webHidden/>
          </w:rPr>
        </w:r>
        <w:r w:rsidR="00DB7855">
          <w:rPr>
            <w:noProof/>
            <w:webHidden/>
          </w:rPr>
          <w:fldChar w:fldCharType="separate"/>
        </w:r>
        <w:r w:rsidR="00DB7855">
          <w:rPr>
            <w:noProof/>
            <w:webHidden/>
          </w:rPr>
          <w:t>221</w:t>
        </w:r>
        <w:r w:rsidR="00DB7855">
          <w:rPr>
            <w:noProof/>
            <w:webHidden/>
          </w:rPr>
          <w:fldChar w:fldCharType="end"/>
        </w:r>
      </w:hyperlink>
    </w:p>
    <w:p w:rsidR="00DB7855" w:rsidRDefault="00255FFC">
      <w:pPr>
        <w:pStyle w:val="T1"/>
        <w:tabs>
          <w:tab w:val="left" w:pos="660"/>
        </w:tabs>
        <w:rPr>
          <w:rFonts w:eastAsiaTheme="minorEastAsia" w:cstheme="minorBidi"/>
          <w:b w:val="0"/>
          <w:noProof/>
          <w:lang w:val="en-US"/>
        </w:rPr>
      </w:pPr>
      <w:hyperlink w:anchor="_Toc132713878" w:history="1">
        <w:r w:rsidR="00DB7855" w:rsidRPr="00E95718">
          <w:rPr>
            <w:rStyle w:val="Kpr"/>
            <w:noProof/>
          </w:rPr>
          <w:t>14.</w:t>
        </w:r>
        <w:r w:rsidR="00DB7855">
          <w:rPr>
            <w:rFonts w:eastAsiaTheme="minorEastAsia" w:cstheme="minorBidi"/>
            <w:b w:val="0"/>
            <w:noProof/>
            <w:lang w:val="en-US"/>
          </w:rPr>
          <w:tab/>
        </w:r>
        <w:r w:rsidR="00DB7855" w:rsidRPr="00E95718">
          <w:rPr>
            <w:rStyle w:val="Kpr"/>
            <w:noProof/>
          </w:rPr>
          <w:t>MALİ BİLGİLER</w:t>
        </w:r>
        <w:r w:rsidR="00DB7855">
          <w:rPr>
            <w:noProof/>
            <w:webHidden/>
          </w:rPr>
          <w:tab/>
        </w:r>
        <w:r w:rsidR="00DB7855">
          <w:rPr>
            <w:noProof/>
            <w:webHidden/>
          </w:rPr>
          <w:fldChar w:fldCharType="begin"/>
        </w:r>
        <w:r w:rsidR="00DB7855">
          <w:rPr>
            <w:noProof/>
            <w:webHidden/>
          </w:rPr>
          <w:instrText xml:space="preserve"> PAGEREF _Toc132713878 \h </w:instrText>
        </w:r>
        <w:r w:rsidR="00DB7855">
          <w:rPr>
            <w:noProof/>
            <w:webHidden/>
          </w:rPr>
        </w:r>
        <w:r w:rsidR="00DB7855">
          <w:rPr>
            <w:noProof/>
            <w:webHidden/>
          </w:rPr>
          <w:fldChar w:fldCharType="separate"/>
        </w:r>
        <w:r w:rsidR="00DB7855">
          <w:rPr>
            <w:noProof/>
            <w:webHidden/>
          </w:rPr>
          <w:t>224</w:t>
        </w:r>
        <w:r w:rsidR="00DB7855">
          <w:rPr>
            <w:noProof/>
            <w:webHidden/>
          </w:rPr>
          <w:fldChar w:fldCharType="end"/>
        </w:r>
      </w:hyperlink>
    </w:p>
    <w:p w:rsidR="00DB7855" w:rsidRDefault="00255FFC" w:rsidP="009D3193">
      <w:pPr>
        <w:pStyle w:val="T2"/>
        <w:rPr>
          <w:rFonts w:eastAsiaTheme="minorEastAsia" w:cstheme="minorBidi"/>
          <w:lang w:val="en-US"/>
        </w:rPr>
      </w:pPr>
      <w:hyperlink w:anchor="_Toc132713879" w:history="1">
        <w:r w:rsidR="00DB7855" w:rsidRPr="00E95718">
          <w:rPr>
            <w:rStyle w:val="Kpr"/>
          </w:rPr>
          <w:t>14.1.2022 Yılı Bütçe Uygulama Sonuçları</w:t>
        </w:r>
        <w:r w:rsidR="00DB7855">
          <w:rPr>
            <w:webHidden/>
          </w:rPr>
          <w:tab/>
        </w:r>
        <w:r w:rsidR="00DB7855">
          <w:rPr>
            <w:webHidden/>
          </w:rPr>
          <w:fldChar w:fldCharType="begin"/>
        </w:r>
        <w:r w:rsidR="00DB7855">
          <w:rPr>
            <w:webHidden/>
          </w:rPr>
          <w:instrText xml:space="preserve"> PAGEREF _Toc132713879 \h </w:instrText>
        </w:r>
        <w:r w:rsidR="00DB7855">
          <w:rPr>
            <w:webHidden/>
          </w:rPr>
        </w:r>
        <w:r w:rsidR="00DB7855">
          <w:rPr>
            <w:webHidden/>
          </w:rPr>
          <w:fldChar w:fldCharType="separate"/>
        </w:r>
        <w:r w:rsidR="00DB7855">
          <w:rPr>
            <w:webHidden/>
          </w:rPr>
          <w:t>225</w:t>
        </w:r>
        <w:r w:rsidR="00DB7855">
          <w:rPr>
            <w:webHidden/>
          </w:rPr>
          <w:fldChar w:fldCharType="end"/>
        </w:r>
      </w:hyperlink>
    </w:p>
    <w:p w:rsidR="00DB7855" w:rsidRDefault="00255FFC">
      <w:pPr>
        <w:pStyle w:val="T3"/>
        <w:rPr>
          <w:rFonts w:eastAsiaTheme="minorEastAsia" w:cstheme="minorBidi"/>
          <w:noProof/>
          <w:lang w:val="en-US"/>
        </w:rPr>
      </w:pPr>
      <w:hyperlink w:anchor="_Toc132713880" w:history="1">
        <w:r w:rsidR="00DB7855" w:rsidRPr="00E95718">
          <w:rPr>
            <w:rStyle w:val="Kpr"/>
            <w:noProof/>
          </w:rPr>
          <w:t>14.1.1.</w:t>
        </w:r>
        <w:r w:rsidR="00DB7855">
          <w:rPr>
            <w:rFonts w:eastAsiaTheme="minorEastAsia" w:cstheme="minorBidi"/>
            <w:noProof/>
            <w:lang w:val="en-US"/>
          </w:rPr>
          <w:tab/>
        </w:r>
        <w:r w:rsidR="00DB7855" w:rsidRPr="00E95718">
          <w:rPr>
            <w:rStyle w:val="Kpr"/>
            <w:noProof/>
          </w:rPr>
          <w:t>Gelir Bütçesi</w:t>
        </w:r>
        <w:r w:rsidR="00DB7855">
          <w:rPr>
            <w:noProof/>
            <w:webHidden/>
          </w:rPr>
          <w:tab/>
        </w:r>
        <w:r w:rsidR="00DB7855">
          <w:rPr>
            <w:noProof/>
            <w:webHidden/>
          </w:rPr>
          <w:fldChar w:fldCharType="begin"/>
        </w:r>
        <w:r w:rsidR="00DB7855">
          <w:rPr>
            <w:noProof/>
            <w:webHidden/>
          </w:rPr>
          <w:instrText xml:space="preserve"> PAGEREF _Toc132713880 \h </w:instrText>
        </w:r>
        <w:r w:rsidR="00DB7855">
          <w:rPr>
            <w:noProof/>
            <w:webHidden/>
          </w:rPr>
        </w:r>
        <w:r w:rsidR="00DB7855">
          <w:rPr>
            <w:noProof/>
            <w:webHidden/>
          </w:rPr>
          <w:fldChar w:fldCharType="separate"/>
        </w:r>
        <w:r w:rsidR="00DB7855">
          <w:rPr>
            <w:noProof/>
            <w:webHidden/>
          </w:rPr>
          <w:t>225</w:t>
        </w:r>
        <w:r w:rsidR="00DB7855">
          <w:rPr>
            <w:noProof/>
            <w:webHidden/>
          </w:rPr>
          <w:fldChar w:fldCharType="end"/>
        </w:r>
      </w:hyperlink>
    </w:p>
    <w:p w:rsidR="00DB7855" w:rsidRDefault="00255FFC">
      <w:pPr>
        <w:pStyle w:val="T3"/>
        <w:rPr>
          <w:rFonts w:eastAsiaTheme="minorEastAsia" w:cstheme="minorBidi"/>
          <w:noProof/>
          <w:lang w:val="en-US"/>
        </w:rPr>
      </w:pPr>
      <w:hyperlink w:anchor="_Toc132713881" w:history="1">
        <w:r w:rsidR="00DB7855" w:rsidRPr="00E95718">
          <w:rPr>
            <w:rStyle w:val="Kpr"/>
            <w:noProof/>
          </w:rPr>
          <w:t>14.1.2.</w:t>
        </w:r>
        <w:r w:rsidR="00DB7855">
          <w:rPr>
            <w:rFonts w:eastAsiaTheme="minorEastAsia" w:cstheme="minorBidi"/>
            <w:noProof/>
            <w:lang w:val="en-US"/>
          </w:rPr>
          <w:tab/>
        </w:r>
        <w:r w:rsidR="00DB7855" w:rsidRPr="00E95718">
          <w:rPr>
            <w:rStyle w:val="Kpr"/>
            <w:noProof/>
          </w:rPr>
          <w:t>Gider Bütçesi</w:t>
        </w:r>
        <w:r w:rsidR="00DB7855">
          <w:rPr>
            <w:noProof/>
            <w:webHidden/>
          </w:rPr>
          <w:tab/>
        </w:r>
        <w:r w:rsidR="00DB7855">
          <w:rPr>
            <w:noProof/>
            <w:webHidden/>
          </w:rPr>
          <w:fldChar w:fldCharType="begin"/>
        </w:r>
        <w:r w:rsidR="00DB7855">
          <w:rPr>
            <w:noProof/>
            <w:webHidden/>
          </w:rPr>
          <w:instrText xml:space="preserve"> PAGEREF _Toc132713881 \h </w:instrText>
        </w:r>
        <w:r w:rsidR="00DB7855">
          <w:rPr>
            <w:noProof/>
            <w:webHidden/>
          </w:rPr>
        </w:r>
        <w:r w:rsidR="00DB7855">
          <w:rPr>
            <w:noProof/>
            <w:webHidden/>
          </w:rPr>
          <w:fldChar w:fldCharType="separate"/>
        </w:r>
        <w:r w:rsidR="00DB7855">
          <w:rPr>
            <w:noProof/>
            <w:webHidden/>
          </w:rPr>
          <w:t>225</w:t>
        </w:r>
        <w:r w:rsidR="00DB7855">
          <w:rPr>
            <w:noProof/>
            <w:webHidden/>
          </w:rPr>
          <w:fldChar w:fldCharType="end"/>
        </w:r>
      </w:hyperlink>
    </w:p>
    <w:p w:rsidR="00DB7855" w:rsidRDefault="00255FFC">
      <w:pPr>
        <w:pStyle w:val="T1"/>
        <w:rPr>
          <w:rFonts w:eastAsiaTheme="minorEastAsia" w:cstheme="minorBidi"/>
          <w:b w:val="0"/>
          <w:noProof/>
          <w:lang w:val="en-US"/>
        </w:rPr>
      </w:pPr>
      <w:hyperlink w:anchor="_Toc132713882" w:history="1">
        <w:r w:rsidR="00DB7855" w:rsidRPr="00E95718">
          <w:rPr>
            <w:rStyle w:val="Kpr"/>
            <w:noProof/>
          </w:rPr>
          <w:t>EKLER</w:t>
        </w:r>
        <w:r w:rsidR="00DB7855">
          <w:rPr>
            <w:noProof/>
            <w:webHidden/>
          </w:rPr>
          <w:tab/>
        </w:r>
        <w:r w:rsidR="00DB7855">
          <w:rPr>
            <w:noProof/>
            <w:webHidden/>
          </w:rPr>
          <w:fldChar w:fldCharType="begin"/>
        </w:r>
        <w:r w:rsidR="00DB7855">
          <w:rPr>
            <w:noProof/>
            <w:webHidden/>
          </w:rPr>
          <w:instrText xml:space="preserve"> PAGEREF _Toc132713882 \h </w:instrText>
        </w:r>
        <w:r w:rsidR="00DB7855">
          <w:rPr>
            <w:noProof/>
            <w:webHidden/>
          </w:rPr>
        </w:r>
        <w:r w:rsidR="00DB7855">
          <w:rPr>
            <w:noProof/>
            <w:webHidden/>
          </w:rPr>
          <w:fldChar w:fldCharType="separate"/>
        </w:r>
        <w:r w:rsidR="00DB7855">
          <w:rPr>
            <w:noProof/>
            <w:webHidden/>
          </w:rPr>
          <w:t>226</w:t>
        </w:r>
        <w:r w:rsidR="00DB7855">
          <w:rPr>
            <w:noProof/>
            <w:webHidden/>
          </w:rPr>
          <w:fldChar w:fldCharType="end"/>
        </w:r>
      </w:hyperlink>
    </w:p>
    <w:p w:rsidR="00F4087E" w:rsidRPr="005811A6" w:rsidRDefault="00364BDD" w:rsidP="00B35DE1">
      <w:pPr>
        <w:spacing w:after="0"/>
        <w:rPr>
          <w:b/>
        </w:rPr>
      </w:pPr>
      <w:r w:rsidRPr="006C1255">
        <w:rPr>
          <w:b/>
        </w:rPr>
        <w:fldChar w:fldCharType="end"/>
      </w:r>
      <w:r w:rsidR="00FC1275" w:rsidRPr="006C1255">
        <w:rPr>
          <w:b/>
        </w:rPr>
        <w:br w:type="page"/>
      </w:r>
      <w:r w:rsidR="00F4087E" w:rsidRPr="005811A6">
        <w:rPr>
          <w:b/>
        </w:rPr>
        <w:lastRenderedPageBreak/>
        <w:t xml:space="preserve">TABLOLAR </w:t>
      </w:r>
      <w:r w:rsidR="00172E74" w:rsidRPr="005811A6">
        <w:rPr>
          <w:b/>
        </w:rPr>
        <w:t xml:space="preserve">VE ŞEKİLLER </w:t>
      </w:r>
      <w:r w:rsidR="00F4087E" w:rsidRPr="005811A6">
        <w:rPr>
          <w:b/>
        </w:rPr>
        <w:t>LİSTESİ</w:t>
      </w:r>
    </w:p>
    <w:p w:rsidR="00DB7855" w:rsidRDefault="00364BDD">
      <w:pPr>
        <w:pStyle w:val="ekillerTablosu"/>
        <w:tabs>
          <w:tab w:val="right" w:leader="dot" w:pos="9060"/>
        </w:tabs>
        <w:rPr>
          <w:rFonts w:eastAsiaTheme="minorEastAsia" w:cstheme="minorBidi"/>
          <w:noProof/>
          <w:lang w:val="en-US"/>
        </w:rPr>
      </w:pPr>
      <w:r w:rsidRPr="008C40F5">
        <w:rPr>
          <w:rFonts w:cstheme="minorHAnsi"/>
        </w:rPr>
        <w:fldChar w:fldCharType="begin"/>
      </w:r>
      <w:r w:rsidR="00170052" w:rsidRPr="008C40F5">
        <w:rPr>
          <w:rFonts w:cstheme="minorHAnsi"/>
        </w:rPr>
        <w:instrText xml:space="preserve"> TOC \h \z \t "Başlık 5" \c </w:instrText>
      </w:r>
      <w:r w:rsidRPr="008C40F5">
        <w:rPr>
          <w:rFonts w:cstheme="minorHAnsi"/>
        </w:rPr>
        <w:fldChar w:fldCharType="separate"/>
      </w:r>
      <w:hyperlink w:anchor="_Toc132713883" w:history="1">
        <w:r w:rsidR="00DB7855" w:rsidRPr="007C1B8D">
          <w:rPr>
            <w:rStyle w:val="Kpr"/>
            <w:b/>
            <w:bCs/>
            <w:noProof/>
          </w:rPr>
          <w:t>Tablo 1.1: 2022 Yılında Alınan Kurul Kararlarının Kurum Hizmet Birimlerine Göre Dağılımı</w:t>
        </w:r>
        <w:r w:rsidR="00DB7855">
          <w:rPr>
            <w:noProof/>
            <w:webHidden/>
          </w:rPr>
          <w:tab/>
        </w:r>
        <w:r w:rsidR="00DB7855">
          <w:rPr>
            <w:noProof/>
            <w:webHidden/>
          </w:rPr>
          <w:fldChar w:fldCharType="begin"/>
        </w:r>
        <w:r w:rsidR="00DB7855">
          <w:rPr>
            <w:noProof/>
            <w:webHidden/>
          </w:rPr>
          <w:instrText xml:space="preserve"> PAGEREF _Toc132713883 \h </w:instrText>
        </w:r>
        <w:r w:rsidR="00DB7855">
          <w:rPr>
            <w:noProof/>
            <w:webHidden/>
          </w:rPr>
        </w:r>
        <w:r w:rsidR="00DB7855">
          <w:rPr>
            <w:noProof/>
            <w:webHidden/>
          </w:rPr>
          <w:fldChar w:fldCharType="separate"/>
        </w:r>
        <w:r w:rsidR="00DB7855">
          <w:rPr>
            <w:noProof/>
            <w:webHidden/>
          </w:rPr>
          <w:t>3</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884" w:history="1">
        <w:r w:rsidR="00DB7855" w:rsidRPr="007C1B8D">
          <w:rPr>
            <w:rStyle w:val="Kpr"/>
            <w:b/>
            <w:bCs/>
            <w:noProof/>
          </w:rPr>
          <w:t>Şekil 1.1: 2022 Yılı Hizmet Birimlerine Göre Alınan Kurul Kararları</w:t>
        </w:r>
        <w:r w:rsidR="00DB7855">
          <w:rPr>
            <w:noProof/>
            <w:webHidden/>
          </w:rPr>
          <w:tab/>
        </w:r>
        <w:r w:rsidR="00DB7855">
          <w:rPr>
            <w:noProof/>
            <w:webHidden/>
          </w:rPr>
          <w:fldChar w:fldCharType="begin"/>
        </w:r>
        <w:r w:rsidR="00DB7855">
          <w:rPr>
            <w:noProof/>
            <w:webHidden/>
          </w:rPr>
          <w:instrText xml:space="preserve"> PAGEREF _Toc132713884 \h </w:instrText>
        </w:r>
        <w:r w:rsidR="00DB7855">
          <w:rPr>
            <w:noProof/>
            <w:webHidden/>
          </w:rPr>
        </w:r>
        <w:r w:rsidR="00DB7855">
          <w:rPr>
            <w:noProof/>
            <w:webHidden/>
          </w:rPr>
          <w:fldChar w:fldCharType="separate"/>
        </w:r>
        <w:r w:rsidR="00DB7855">
          <w:rPr>
            <w:noProof/>
            <w:webHidden/>
          </w:rPr>
          <w:t>3</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885" w:history="1">
        <w:r w:rsidR="00DB7855" w:rsidRPr="007C1B8D">
          <w:rPr>
            <w:rStyle w:val="Kpr"/>
            <w:b/>
            <w:bCs/>
            <w:noProof/>
          </w:rPr>
          <w:t>Tablo 1.2: 2018-2022 Yılları Arasında Alınan Kurul Kararlarının Kurum Hizmet Birimlerine Göre Dağılımı</w:t>
        </w:r>
        <w:r w:rsidR="00DB7855">
          <w:rPr>
            <w:noProof/>
            <w:webHidden/>
          </w:rPr>
          <w:tab/>
        </w:r>
        <w:r w:rsidR="00DB7855">
          <w:rPr>
            <w:noProof/>
            <w:webHidden/>
          </w:rPr>
          <w:fldChar w:fldCharType="begin"/>
        </w:r>
        <w:r w:rsidR="00DB7855">
          <w:rPr>
            <w:noProof/>
            <w:webHidden/>
          </w:rPr>
          <w:instrText xml:space="preserve"> PAGEREF _Toc132713885 \h </w:instrText>
        </w:r>
        <w:r w:rsidR="00DB7855">
          <w:rPr>
            <w:noProof/>
            <w:webHidden/>
          </w:rPr>
        </w:r>
        <w:r w:rsidR="00DB7855">
          <w:rPr>
            <w:noProof/>
            <w:webHidden/>
          </w:rPr>
          <w:fldChar w:fldCharType="separate"/>
        </w:r>
        <w:r w:rsidR="00DB7855">
          <w:rPr>
            <w:noProof/>
            <w:webHidden/>
          </w:rPr>
          <w:t>4</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886" w:history="1">
        <w:r w:rsidR="00DB7855" w:rsidRPr="007C1B8D">
          <w:rPr>
            <w:rStyle w:val="Kpr"/>
            <w:b/>
            <w:bCs/>
            <w:noProof/>
          </w:rPr>
          <w:t>Tablo 1.3: 2018-2022 Yılları Arasında Alınan Kurul Kararlarının Genel Dağılımı</w:t>
        </w:r>
        <w:r w:rsidR="00DB7855">
          <w:rPr>
            <w:noProof/>
            <w:webHidden/>
          </w:rPr>
          <w:tab/>
        </w:r>
        <w:r w:rsidR="00DB7855">
          <w:rPr>
            <w:noProof/>
            <w:webHidden/>
          </w:rPr>
          <w:fldChar w:fldCharType="begin"/>
        </w:r>
        <w:r w:rsidR="00DB7855">
          <w:rPr>
            <w:noProof/>
            <w:webHidden/>
          </w:rPr>
          <w:instrText xml:space="preserve"> PAGEREF _Toc132713886 \h </w:instrText>
        </w:r>
        <w:r w:rsidR="00DB7855">
          <w:rPr>
            <w:noProof/>
            <w:webHidden/>
          </w:rPr>
        </w:r>
        <w:r w:rsidR="00DB7855">
          <w:rPr>
            <w:noProof/>
            <w:webHidden/>
          </w:rPr>
          <w:fldChar w:fldCharType="separate"/>
        </w:r>
        <w:r w:rsidR="00DB7855">
          <w:rPr>
            <w:noProof/>
            <w:webHidden/>
          </w:rPr>
          <w:t>4</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887" w:history="1">
        <w:r w:rsidR="00DB7855" w:rsidRPr="007C1B8D">
          <w:rPr>
            <w:rStyle w:val="Kpr"/>
            <w:b/>
            <w:bCs/>
            <w:noProof/>
          </w:rPr>
          <w:t xml:space="preserve">Şekil 1.2: </w:t>
        </w:r>
        <w:r w:rsidR="00DB7855" w:rsidRPr="007C1B8D">
          <w:rPr>
            <w:rStyle w:val="Kpr"/>
            <w:b/>
            <w:noProof/>
          </w:rPr>
          <w:t>2018-2022 Yılları Arasında Alınan Kurul Kararlarının Dağılımı</w:t>
        </w:r>
        <w:r w:rsidR="00DB7855">
          <w:rPr>
            <w:noProof/>
            <w:webHidden/>
          </w:rPr>
          <w:tab/>
        </w:r>
        <w:r w:rsidR="00DB7855">
          <w:rPr>
            <w:noProof/>
            <w:webHidden/>
          </w:rPr>
          <w:fldChar w:fldCharType="begin"/>
        </w:r>
        <w:r w:rsidR="00DB7855">
          <w:rPr>
            <w:noProof/>
            <w:webHidden/>
          </w:rPr>
          <w:instrText xml:space="preserve"> PAGEREF _Toc132713887 \h </w:instrText>
        </w:r>
        <w:r w:rsidR="00DB7855">
          <w:rPr>
            <w:noProof/>
            <w:webHidden/>
          </w:rPr>
        </w:r>
        <w:r w:rsidR="00DB7855">
          <w:rPr>
            <w:noProof/>
            <w:webHidden/>
          </w:rPr>
          <w:fldChar w:fldCharType="separate"/>
        </w:r>
        <w:r w:rsidR="00DB7855">
          <w:rPr>
            <w:noProof/>
            <w:webHidden/>
          </w:rPr>
          <w:t>5</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888" w:history="1">
        <w:r w:rsidR="00DB7855" w:rsidRPr="007C1B8D">
          <w:rPr>
            <w:rStyle w:val="Kpr"/>
            <w:rFonts w:cstheme="minorHAnsi"/>
            <w:b/>
            <w:bCs/>
            <w:noProof/>
          </w:rPr>
          <w:t>Tablo 2.1: Yıllar İtibarıyla Elektrik Piyasasında Serbest Tüketici Limitinin Değişimi (2003-2022)</w:t>
        </w:r>
        <w:r w:rsidR="00DB7855">
          <w:rPr>
            <w:noProof/>
            <w:webHidden/>
          </w:rPr>
          <w:tab/>
        </w:r>
        <w:r w:rsidR="00DB7855">
          <w:rPr>
            <w:noProof/>
            <w:webHidden/>
          </w:rPr>
          <w:fldChar w:fldCharType="begin"/>
        </w:r>
        <w:r w:rsidR="00DB7855">
          <w:rPr>
            <w:noProof/>
            <w:webHidden/>
          </w:rPr>
          <w:instrText xml:space="preserve"> PAGEREF _Toc132713888 \h </w:instrText>
        </w:r>
        <w:r w:rsidR="00DB7855">
          <w:rPr>
            <w:noProof/>
            <w:webHidden/>
          </w:rPr>
        </w:r>
        <w:r w:rsidR="00DB7855">
          <w:rPr>
            <w:noProof/>
            <w:webHidden/>
          </w:rPr>
          <w:fldChar w:fldCharType="separate"/>
        </w:r>
        <w:r w:rsidR="00DB7855">
          <w:rPr>
            <w:noProof/>
            <w:webHidden/>
          </w:rPr>
          <w:t>41</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889" w:history="1">
        <w:r w:rsidR="00DB7855" w:rsidRPr="007C1B8D">
          <w:rPr>
            <w:rStyle w:val="Kpr"/>
            <w:rFonts w:cstheme="minorHAnsi"/>
            <w:b/>
            <w:bCs/>
            <w:noProof/>
          </w:rPr>
          <w:t>Tablo 2.2: Yıllara Göre Doğal Gaz Tüketim Tahmini ve Gerçekleşme Verileri (2005-2022)</w:t>
        </w:r>
        <w:r w:rsidR="00DB7855">
          <w:rPr>
            <w:noProof/>
            <w:webHidden/>
          </w:rPr>
          <w:tab/>
        </w:r>
        <w:r w:rsidR="00DB7855">
          <w:rPr>
            <w:noProof/>
            <w:webHidden/>
          </w:rPr>
          <w:fldChar w:fldCharType="begin"/>
        </w:r>
        <w:r w:rsidR="00DB7855">
          <w:rPr>
            <w:noProof/>
            <w:webHidden/>
          </w:rPr>
          <w:instrText xml:space="preserve"> PAGEREF _Toc132713889 \h </w:instrText>
        </w:r>
        <w:r w:rsidR="00DB7855">
          <w:rPr>
            <w:noProof/>
            <w:webHidden/>
          </w:rPr>
        </w:r>
        <w:r w:rsidR="00DB7855">
          <w:rPr>
            <w:noProof/>
            <w:webHidden/>
          </w:rPr>
          <w:fldChar w:fldCharType="separate"/>
        </w:r>
        <w:r w:rsidR="00DB7855">
          <w:rPr>
            <w:noProof/>
            <w:webHidden/>
          </w:rPr>
          <w:t>90</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890" w:history="1">
        <w:r w:rsidR="00DB7855" w:rsidRPr="007C1B8D">
          <w:rPr>
            <w:rStyle w:val="Kpr"/>
            <w:rFonts w:cstheme="minorHAnsi"/>
            <w:b/>
            <w:bCs/>
            <w:noProof/>
          </w:rPr>
          <w:t>Tablo 2.3: Yıllar İtibarıyla Doğal Gaz Piyasasında Serbest Tüketici Limitinin Değişimi (2005-2022)</w:t>
        </w:r>
        <w:r w:rsidR="00DB7855">
          <w:rPr>
            <w:noProof/>
            <w:webHidden/>
          </w:rPr>
          <w:tab/>
        </w:r>
        <w:r w:rsidR="00DB7855">
          <w:rPr>
            <w:noProof/>
            <w:webHidden/>
          </w:rPr>
          <w:fldChar w:fldCharType="begin"/>
        </w:r>
        <w:r w:rsidR="00DB7855">
          <w:rPr>
            <w:noProof/>
            <w:webHidden/>
          </w:rPr>
          <w:instrText xml:space="preserve"> PAGEREF _Toc132713890 \h </w:instrText>
        </w:r>
        <w:r w:rsidR="00DB7855">
          <w:rPr>
            <w:noProof/>
            <w:webHidden/>
          </w:rPr>
        </w:r>
        <w:r w:rsidR="00DB7855">
          <w:rPr>
            <w:noProof/>
            <w:webHidden/>
          </w:rPr>
          <w:fldChar w:fldCharType="separate"/>
        </w:r>
        <w:r w:rsidR="00DB7855">
          <w:rPr>
            <w:noProof/>
            <w:webHidden/>
          </w:rPr>
          <w:t>111</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891" w:history="1">
        <w:r w:rsidR="00DB7855" w:rsidRPr="007C1B8D">
          <w:rPr>
            <w:rStyle w:val="Kpr"/>
            <w:b/>
            <w:bCs/>
            <w:noProof/>
          </w:rPr>
          <w:t>Tablo 3.1: Elektrik Piyasasında 2022 Yılında Gerçekleştirilen Lisans İşlemleri (Adet)</w:t>
        </w:r>
        <w:r w:rsidR="00DB7855">
          <w:rPr>
            <w:noProof/>
            <w:webHidden/>
          </w:rPr>
          <w:tab/>
        </w:r>
        <w:r w:rsidR="00DB7855">
          <w:rPr>
            <w:noProof/>
            <w:webHidden/>
          </w:rPr>
          <w:fldChar w:fldCharType="begin"/>
        </w:r>
        <w:r w:rsidR="00DB7855">
          <w:rPr>
            <w:noProof/>
            <w:webHidden/>
          </w:rPr>
          <w:instrText xml:space="preserve"> PAGEREF _Toc132713891 \h </w:instrText>
        </w:r>
        <w:r w:rsidR="00DB7855">
          <w:rPr>
            <w:noProof/>
            <w:webHidden/>
          </w:rPr>
        </w:r>
        <w:r w:rsidR="00DB7855">
          <w:rPr>
            <w:noProof/>
            <w:webHidden/>
          </w:rPr>
          <w:fldChar w:fldCharType="separate"/>
        </w:r>
        <w:r w:rsidR="00DB7855">
          <w:rPr>
            <w:noProof/>
            <w:webHidden/>
          </w:rPr>
          <w:t>132</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892" w:history="1">
        <w:r w:rsidR="00DB7855" w:rsidRPr="007C1B8D">
          <w:rPr>
            <w:rStyle w:val="Kpr"/>
            <w:b/>
            <w:bCs/>
            <w:noProof/>
          </w:rPr>
          <w:t>Tablo 3.2: Elektrik Piyasasında 2022 Yılında Üretim Faaliyeti Kapsamında Gerçekleştirilen Lisans İşlemleri</w:t>
        </w:r>
        <w:r w:rsidR="00DB7855">
          <w:rPr>
            <w:noProof/>
            <w:webHidden/>
          </w:rPr>
          <w:tab/>
        </w:r>
        <w:r w:rsidR="00DB7855">
          <w:rPr>
            <w:noProof/>
            <w:webHidden/>
          </w:rPr>
          <w:fldChar w:fldCharType="begin"/>
        </w:r>
        <w:r w:rsidR="00DB7855">
          <w:rPr>
            <w:noProof/>
            <w:webHidden/>
          </w:rPr>
          <w:instrText xml:space="preserve"> PAGEREF _Toc132713892 \h </w:instrText>
        </w:r>
        <w:r w:rsidR="00DB7855">
          <w:rPr>
            <w:noProof/>
            <w:webHidden/>
          </w:rPr>
        </w:r>
        <w:r w:rsidR="00DB7855">
          <w:rPr>
            <w:noProof/>
            <w:webHidden/>
          </w:rPr>
          <w:fldChar w:fldCharType="separate"/>
        </w:r>
        <w:r w:rsidR="00DB7855">
          <w:rPr>
            <w:noProof/>
            <w:webHidden/>
          </w:rPr>
          <w:t>133</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893" w:history="1">
        <w:r w:rsidR="00DB7855" w:rsidRPr="007C1B8D">
          <w:rPr>
            <w:rStyle w:val="Kpr"/>
            <w:b/>
            <w:bCs/>
            <w:noProof/>
          </w:rPr>
          <w:t>Tablo 3.3: Şarj Hizmeti Piyasasında 2022 Yılında Gerçekleştirilen Lisans İşlemleri (Adet)</w:t>
        </w:r>
        <w:r w:rsidR="00DB7855">
          <w:rPr>
            <w:noProof/>
            <w:webHidden/>
          </w:rPr>
          <w:tab/>
        </w:r>
        <w:r w:rsidR="00DB7855">
          <w:rPr>
            <w:noProof/>
            <w:webHidden/>
          </w:rPr>
          <w:fldChar w:fldCharType="begin"/>
        </w:r>
        <w:r w:rsidR="00DB7855">
          <w:rPr>
            <w:noProof/>
            <w:webHidden/>
          </w:rPr>
          <w:instrText xml:space="preserve"> PAGEREF _Toc132713893 \h </w:instrText>
        </w:r>
        <w:r w:rsidR="00DB7855">
          <w:rPr>
            <w:noProof/>
            <w:webHidden/>
          </w:rPr>
        </w:r>
        <w:r w:rsidR="00DB7855">
          <w:rPr>
            <w:noProof/>
            <w:webHidden/>
          </w:rPr>
          <w:fldChar w:fldCharType="separate"/>
        </w:r>
        <w:r w:rsidR="00DB7855">
          <w:rPr>
            <w:noProof/>
            <w:webHidden/>
          </w:rPr>
          <w:t>135</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894" w:history="1">
        <w:r w:rsidR="00DB7855" w:rsidRPr="007C1B8D">
          <w:rPr>
            <w:rStyle w:val="Kpr"/>
            <w:b/>
            <w:bCs/>
            <w:noProof/>
          </w:rPr>
          <w:t>Tablo 3.4: Doğal Gaz Piyasasında 2022 Yılında Gerçekleştirilen Lisans İşlemleri (Adet)</w:t>
        </w:r>
        <w:r w:rsidR="00DB7855">
          <w:rPr>
            <w:noProof/>
            <w:webHidden/>
          </w:rPr>
          <w:tab/>
        </w:r>
        <w:r w:rsidR="00DB7855">
          <w:rPr>
            <w:noProof/>
            <w:webHidden/>
          </w:rPr>
          <w:fldChar w:fldCharType="begin"/>
        </w:r>
        <w:r w:rsidR="00DB7855">
          <w:rPr>
            <w:noProof/>
            <w:webHidden/>
          </w:rPr>
          <w:instrText xml:space="preserve"> PAGEREF _Toc132713894 \h </w:instrText>
        </w:r>
        <w:r w:rsidR="00DB7855">
          <w:rPr>
            <w:noProof/>
            <w:webHidden/>
          </w:rPr>
        </w:r>
        <w:r w:rsidR="00DB7855">
          <w:rPr>
            <w:noProof/>
            <w:webHidden/>
          </w:rPr>
          <w:fldChar w:fldCharType="separate"/>
        </w:r>
        <w:r w:rsidR="00DB7855">
          <w:rPr>
            <w:noProof/>
            <w:webHidden/>
          </w:rPr>
          <w:t>136</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895" w:history="1">
        <w:r w:rsidR="00DB7855" w:rsidRPr="007C1B8D">
          <w:rPr>
            <w:rStyle w:val="Kpr"/>
            <w:b/>
            <w:bCs/>
            <w:noProof/>
          </w:rPr>
          <w:t>Tablo 3.5: Lisanslı Doğal Gaz Depolama Tesisi Bilgileri</w:t>
        </w:r>
        <w:r w:rsidR="00DB7855">
          <w:rPr>
            <w:noProof/>
            <w:webHidden/>
          </w:rPr>
          <w:tab/>
        </w:r>
        <w:r w:rsidR="00DB7855">
          <w:rPr>
            <w:noProof/>
            <w:webHidden/>
          </w:rPr>
          <w:fldChar w:fldCharType="begin"/>
        </w:r>
        <w:r w:rsidR="00DB7855">
          <w:rPr>
            <w:noProof/>
            <w:webHidden/>
          </w:rPr>
          <w:instrText xml:space="preserve"> PAGEREF _Toc132713895 \h </w:instrText>
        </w:r>
        <w:r w:rsidR="00DB7855">
          <w:rPr>
            <w:noProof/>
            <w:webHidden/>
          </w:rPr>
        </w:r>
        <w:r w:rsidR="00DB7855">
          <w:rPr>
            <w:noProof/>
            <w:webHidden/>
          </w:rPr>
          <w:fldChar w:fldCharType="separate"/>
        </w:r>
        <w:r w:rsidR="00DB7855">
          <w:rPr>
            <w:noProof/>
            <w:webHidden/>
          </w:rPr>
          <w:t>137</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896" w:history="1">
        <w:r w:rsidR="00DB7855" w:rsidRPr="007C1B8D">
          <w:rPr>
            <w:rStyle w:val="Kpr"/>
            <w:b/>
            <w:bCs/>
            <w:noProof/>
          </w:rPr>
          <w:t>Tablo 3.6: Doğal Gaz Piyasasında 2022 Yılında Gerçekleştirilen Sertifika İşlemleri (Adet)</w:t>
        </w:r>
        <w:r w:rsidR="00DB7855">
          <w:rPr>
            <w:noProof/>
            <w:webHidden/>
          </w:rPr>
          <w:tab/>
        </w:r>
        <w:r w:rsidR="00DB7855">
          <w:rPr>
            <w:noProof/>
            <w:webHidden/>
          </w:rPr>
          <w:fldChar w:fldCharType="begin"/>
        </w:r>
        <w:r w:rsidR="00DB7855">
          <w:rPr>
            <w:noProof/>
            <w:webHidden/>
          </w:rPr>
          <w:instrText xml:space="preserve"> PAGEREF _Toc132713896 \h </w:instrText>
        </w:r>
        <w:r w:rsidR="00DB7855">
          <w:rPr>
            <w:noProof/>
            <w:webHidden/>
          </w:rPr>
        </w:r>
        <w:r w:rsidR="00DB7855">
          <w:rPr>
            <w:noProof/>
            <w:webHidden/>
          </w:rPr>
          <w:fldChar w:fldCharType="separate"/>
        </w:r>
        <w:r w:rsidR="00DB7855">
          <w:rPr>
            <w:noProof/>
            <w:webHidden/>
          </w:rPr>
          <w:t>137</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897" w:history="1">
        <w:r w:rsidR="00DB7855" w:rsidRPr="007C1B8D">
          <w:rPr>
            <w:rStyle w:val="Kpr"/>
            <w:b/>
            <w:bCs/>
            <w:noProof/>
          </w:rPr>
          <w:t>Tablo 3.7: Petrol Piyasasında 2022 Yılında Gerçekleştirilen Lisans İşlemleri (Adet)</w:t>
        </w:r>
        <w:r w:rsidR="00DB7855">
          <w:rPr>
            <w:noProof/>
            <w:webHidden/>
          </w:rPr>
          <w:tab/>
        </w:r>
        <w:r w:rsidR="00DB7855">
          <w:rPr>
            <w:noProof/>
            <w:webHidden/>
          </w:rPr>
          <w:fldChar w:fldCharType="begin"/>
        </w:r>
        <w:r w:rsidR="00DB7855">
          <w:rPr>
            <w:noProof/>
            <w:webHidden/>
          </w:rPr>
          <w:instrText xml:space="preserve"> PAGEREF _Toc132713897 \h </w:instrText>
        </w:r>
        <w:r w:rsidR="00DB7855">
          <w:rPr>
            <w:noProof/>
            <w:webHidden/>
          </w:rPr>
        </w:r>
        <w:r w:rsidR="00DB7855">
          <w:rPr>
            <w:noProof/>
            <w:webHidden/>
          </w:rPr>
          <w:fldChar w:fldCharType="separate"/>
        </w:r>
        <w:r w:rsidR="00DB7855">
          <w:rPr>
            <w:noProof/>
            <w:webHidden/>
          </w:rPr>
          <w:t>138</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898" w:history="1">
        <w:r w:rsidR="00DB7855" w:rsidRPr="007C1B8D">
          <w:rPr>
            <w:rStyle w:val="Kpr"/>
            <w:b/>
            <w:bCs/>
            <w:noProof/>
          </w:rPr>
          <w:t>Tablo 3.8: 2022 Yılı Sonu İtibarıyla Lisanslı Rafineri Tesisi Bilgileri</w:t>
        </w:r>
        <w:r w:rsidR="00DB7855">
          <w:rPr>
            <w:noProof/>
            <w:webHidden/>
          </w:rPr>
          <w:tab/>
        </w:r>
        <w:r w:rsidR="00DB7855">
          <w:rPr>
            <w:noProof/>
            <w:webHidden/>
          </w:rPr>
          <w:fldChar w:fldCharType="begin"/>
        </w:r>
        <w:r w:rsidR="00DB7855">
          <w:rPr>
            <w:noProof/>
            <w:webHidden/>
          </w:rPr>
          <w:instrText xml:space="preserve"> PAGEREF _Toc132713898 \h </w:instrText>
        </w:r>
        <w:r w:rsidR="00DB7855">
          <w:rPr>
            <w:noProof/>
            <w:webHidden/>
          </w:rPr>
        </w:r>
        <w:r w:rsidR="00DB7855">
          <w:rPr>
            <w:noProof/>
            <w:webHidden/>
          </w:rPr>
          <w:fldChar w:fldCharType="separate"/>
        </w:r>
        <w:r w:rsidR="00DB7855">
          <w:rPr>
            <w:noProof/>
            <w:webHidden/>
          </w:rPr>
          <w:t>138</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899" w:history="1">
        <w:r w:rsidR="00DB7855" w:rsidRPr="007C1B8D">
          <w:rPr>
            <w:rStyle w:val="Kpr"/>
            <w:b/>
            <w:bCs/>
            <w:noProof/>
          </w:rPr>
          <w:t>Tablo 3.9: 2022 Yılı Sonu İtibarıyla Petrol Piyasası Depolama Lisansı Bilgileri</w:t>
        </w:r>
        <w:r w:rsidR="00DB7855">
          <w:rPr>
            <w:noProof/>
            <w:webHidden/>
          </w:rPr>
          <w:tab/>
        </w:r>
        <w:r w:rsidR="00DB7855">
          <w:rPr>
            <w:noProof/>
            <w:webHidden/>
          </w:rPr>
          <w:fldChar w:fldCharType="begin"/>
        </w:r>
        <w:r w:rsidR="00DB7855">
          <w:rPr>
            <w:noProof/>
            <w:webHidden/>
          </w:rPr>
          <w:instrText xml:space="preserve"> PAGEREF _Toc132713899 \h </w:instrText>
        </w:r>
        <w:r w:rsidR="00DB7855">
          <w:rPr>
            <w:noProof/>
            <w:webHidden/>
          </w:rPr>
        </w:r>
        <w:r w:rsidR="00DB7855">
          <w:rPr>
            <w:noProof/>
            <w:webHidden/>
          </w:rPr>
          <w:fldChar w:fldCharType="separate"/>
        </w:r>
        <w:r w:rsidR="00DB7855">
          <w:rPr>
            <w:noProof/>
            <w:webHidden/>
          </w:rPr>
          <w:t>139</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900" w:history="1">
        <w:r w:rsidR="00DB7855" w:rsidRPr="007C1B8D">
          <w:rPr>
            <w:rStyle w:val="Kpr"/>
            <w:b/>
            <w:bCs/>
            <w:noProof/>
          </w:rPr>
          <w:t>Tablo 3.10: Yıllar İtibarıyla Kullanılan Ulusal Marker ve İşaretlenen Akaryakıt Miktarları</w:t>
        </w:r>
        <w:r w:rsidR="00DB7855">
          <w:rPr>
            <w:noProof/>
            <w:webHidden/>
          </w:rPr>
          <w:tab/>
        </w:r>
        <w:r w:rsidR="00DB7855">
          <w:rPr>
            <w:noProof/>
            <w:webHidden/>
          </w:rPr>
          <w:fldChar w:fldCharType="begin"/>
        </w:r>
        <w:r w:rsidR="00DB7855">
          <w:rPr>
            <w:noProof/>
            <w:webHidden/>
          </w:rPr>
          <w:instrText xml:space="preserve"> PAGEREF _Toc132713900 \h </w:instrText>
        </w:r>
        <w:r w:rsidR="00DB7855">
          <w:rPr>
            <w:noProof/>
            <w:webHidden/>
          </w:rPr>
        </w:r>
        <w:r w:rsidR="00DB7855">
          <w:rPr>
            <w:noProof/>
            <w:webHidden/>
          </w:rPr>
          <w:fldChar w:fldCharType="separate"/>
        </w:r>
        <w:r w:rsidR="00DB7855">
          <w:rPr>
            <w:noProof/>
            <w:webHidden/>
          </w:rPr>
          <w:t>140</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901" w:history="1">
        <w:r w:rsidR="00DB7855" w:rsidRPr="007C1B8D">
          <w:rPr>
            <w:rStyle w:val="Kpr"/>
            <w:b/>
            <w:bCs/>
            <w:noProof/>
          </w:rPr>
          <w:t>Tablo 3.11: 2022 Yılında Yetkilendirilmiş Otomasyon Şirketleri</w:t>
        </w:r>
        <w:r w:rsidR="00DB7855">
          <w:rPr>
            <w:noProof/>
            <w:webHidden/>
          </w:rPr>
          <w:tab/>
        </w:r>
        <w:r w:rsidR="00DB7855">
          <w:rPr>
            <w:noProof/>
            <w:webHidden/>
          </w:rPr>
          <w:fldChar w:fldCharType="begin"/>
        </w:r>
        <w:r w:rsidR="00DB7855">
          <w:rPr>
            <w:noProof/>
            <w:webHidden/>
          </w:rPr>
          <w:instrText xml:space="preserve"> PAGEREF _Toc132713901 \h </w:instrText>
        </w:r>
        <w:r w:rsidR="00DB7855">
          <w:rPr>
            <w:noProof/>
            <w:webHidden/>
          </w:rPr>
        </w:r>
        <w:r w:rsidR="00DB7855">
          <w:rPr>
            <w:noProof/>
            <w:webHidden/>
          </w:rPr>
          <w:fldChar w:fldCharType="separate"/>
        </w:r>
        <w:r w:rsidR="00DB7855">
          <w:rPr>
            <w:noProof/>
            <w:webHidden/>
          </w:rPr>
          <w:t>143</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902" w:history="1">
        <w:r w:rsidR="00DB7855" w:rsidRPr="007C1B8D">
          <w:rPr>
            <w:rStyle w:val="Kpr"/>
            <w:b/>
            <w:bCs/>
            <w:noProof/>
          </w:rPr>
          <w:t>Tablo 3.12: LPG Piyasasında 2022 Yılında Gerçekleştirilen Lisans İşlemleri (Adet)</w:t>
        </w:r>
        <w:r w:rsidR="00DB7855">
          <w:rPr>
            <w:noProof/>
            <w:webHidden/>
          </w:rPr>
          <w:tab/>
        </w:r>
        <w:r w:rsidR="00DB7855">
          <w:rPr>
            <w:noProof/>
            <w:webHidden/>
          </w:rPr>
          <w:fldChar w:fldCharType="begin"/>
        </w:r>
        <w:r w:rsidR="00DB7855">
          <w:rPr>
            <w:noProof/>
            <w:webHidden/>
          </w:rPr>
          <w:instrText xml:space="preserve"> PAGEREF _Toc132713902 \h </w:instrText>
        </w:r>
        <w:r w:rsidR="00DB7855">
          <w:rPr>
            <w:noProof/>
            <w:webHidden/>
          </w:rPr>
        </w:r>
        <w:r w:rsidR="00DB7855">
          <w:rPr>
            <w:noProof/>
            <w:webHidden/>
          </w:rPr>
          <w:fldChar w:fldCharType="separate"/>
        </w:r>
        <w:r w:rsidR="00DB7855">
          <w:rPr>
            <w:noProof/>
            <w:webHidden/>
          </w:rPr>
          <w:t>144</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903" w:history="1">
        <w:r w:rsidR="00DB7855" w:rsidRPr="007C1B8D">
          <w:rPr>
            <w:rStyle w:val="Kpr"/>
            <w:b/>
            <w:bCs/>
            <w:noProof/>
          </w:rPr>
          <w:t>Tablo 3.13: 2022 Yılı Sonu İtibarıyla LPG Piyasası Depolama Lisansı Bilgileri</w:t>
        </w:r>
        <w:r w:rsidR="00DB7855">
          <w:rPr>
            <w:noProof/>
            <w:webHidden/>
          </w:rPr>
          <w:tab/>
        </w:r>
        <w:r w:rsidR="00DB7855">
          <w:rPr>
            <w:noProof/>
            <w:webHidden/>
          </w:rPr>
          <w:fldChar w:fldCharType="begin"/>
        </w:r>
        <w:r w:rsidR="00DB7855">
          <w:rPr>
            <w:noProof/>
            <w:webHidden/>
          </w:rPr>
          <w:instrText xml:space="preserve"> PAGEREF _Toc132713903 \h </w:instrText>
        </w:r>
        <w:r w:rsidR="00DB7855">
          <w:rPr>
            <w:noProof/>
            <w:webHidden/>
          </w:rPr>
        </w:r>
        <w:r w:rsidR="00DB7855">
          <w:rPr>
            <w:noProof/>
            <w:webHidden/>
          </w:rPr>
          <w:fldChar w:fldCharType="separate"/>
        </w:r>
        <w:r w:rsidR="00DB7855">
          <w:rPr>
            <w:noProof/>
            <w:webHidden/>
          </w:rPr>
          <w:t>144</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904" w:history="1">
        <w:r w:rsidR="00DB7855" w:rsidRPr="007C1B8D">
          <w:rPr>
            <w:rStyle w:val="Kpr"/>
            <w:b/>
            <w:bCs/>
            <w:noProof/>
          </w:rPr>
          <w:t>Tablo 4.1: TEİAŞ’ın 2023 Yılı Sistem Kullanım ve Sistem İşletim Gelir Tavanları</w:t>
        </w:r>
        <w:r w:rsidR="00DB7855">
          <w:rPr>
            <w:noProof/>
            <w:webHidden/>
          </w:rPr>
          <w:tab/>
        </w:r>
        <w:r w:rsidR="00DB7855">
          <w:rPr>
            <w:noProof/>
            <w:webHidden/>
          </w:rPr>
          <w:fldChar w:fldCharType="begin"/>
        </w:r>
        <w:r w:rsidR="00DB7855">
          <w:rPr>
            <w:noProof/>
            <w:webHidden/>
          </w:rPr>
          <w:instrText xml:space="preserve"> PAGEREF _Toc132713904 \h </w:instrText>
        </w:r>
        <w:r w:rsidR="00DB7855">
          <w:rPr>
            <w:noProof/>
            <w:webHidden/>
          </w:rPr>
        </w:r>
        <w:r w:rsidR="00DB7855">
          <w:rPr>
            <w:noProof/>
            <w:webHidden/>
          </w:rPr>
          <w:fldChar w:fldCharType="separate"/>
        </w:r>
        <w:r w:rsidR="00DB7855">
          <w:rPr>
            <w:noProof/>
            <w:webHidden/>
          </w:rPr>
          <w:t>146</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905" w:history="1">
        <w:r w:rsidR="00DB7855" w:rsidRPr="007C1B8D">
          <w:rPr>
            <w:rStyle w:val="Kpr"/>
            <w:b/>
            <w:bCs/>
            <w:noProof/>
          </w:rPr>
          <w:t>Tablo 4.2: İletim Sistemi Sistem Kullanım ve Sistem İşletim Tarifeleri</w:t>
        </w:r>
        <w:r w:rsidR="00DB7855">
          <w:rPr>
            <w:noProof/>
            <w:webHidden/>
          </w:rPr>
          <w:tab/>
        </w:r>
        <w:r w:rsidR="00DB7855">
          <w:rPr>
            <w:noProof/>
            <w:webHidden/>
          </w:rPr>
          <w:fldChar w:fldCharType="begin"/>
        </w:r>
        <w:r w:rsidR="00DB7855">
          <w:rPr>
            <w:noProof/>
            <w:webHidden/>
          </w:rPr>
          <w:instrText xml:space="preserve"> PAGEREF _Toc132713905 \h </w:instrText>
        </w:r>
        <w:r w:rsidR="00DB7855">
          <w:rPr>
            <w:noProof/>
            <w:webHidden/>
          </w:rPr>
        </w:r>
        <w:r w:rsidR="00DB7855">
          <w:rPr>
            <w:noProof/>
            <w:webHidden/>
          </w:rPr>
          <w:fldChar w:fldCharType="separate"/>
        </w:r>
        <w:r w:rsidR="00DB7855">
          <w:rPr>
            <w:noProof/>
            <w:webHidden/>
          </w:rPr>
          <w:t>146</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906" w:history="1">
        <w:r w:rsidR="00DB7855" w:rsidRPr="007C1B8D">
          <w:rPr>
            <w:rStyle w:val="Kpr"/>
            <w:b/>
            <w:bCs/>
            <w:noProof/>
          </w:rPr>
          <w:t>Tablo 4.3: Dağıtım ve Görevli Tedarik Şirketleri Tarife Tablolarına Dair Kurul Kararları</w:t>
        </w:r>
        <w:r w:rsidR="00DB7855">
          <w:rPr>
            <w:noProof/>
            <w:webHidden/>
          </w:rPr>
          <w:tab/>
        </w:r>
        <w:r w:rsidR="00DB7855">
          <w:rPr>
            <w:noProof/>
            <w:webHidden/>
          </w:rPr>
          <w:fldChar w:fldCharType="begin"/>
        </w:r>
        <w:r w:rsidR="00DB7855">
          <w:rPr>
            <w:noProof/>
            <w:webHidden/>
          </w:rPr>
          <w:instrText xml:space="preserve"> PAGEREF _Toc132713906 \h </w:instrText>
        </w:r>
        <w:r w:rsidR="00DB7855">
          <w:rPr>
            <w:noProof/>
            <w:webHidden/>
          </w:rPr>
        </w:r>
        <w:r w:rsidR="00DB7855">
          <w:rPr>
            <w:noProof/>
            <w:webHidden/>
          </w:rPr>
          <w:fldChar w:fldCharType="separate"/>
        </w:r>
        <w:r w:rsidR="00DB7855">
          <w:rPr>
            <w:noProof/>
            <w:webHidden/>
          </w:rPr>
          <w:t>147</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907" w:history="1">
        <w:r w:rsidR="00DB7855" w:rsidRPr="007C1B8D">
          <w:rPr>
            <w:rStyle w:val="Kpr"/>
            <w:b/>
            <w:bCs/>
            <w:noProof/>
          </w:rPr>
          <w:t>Tablo 4.4: Dağıtım Şirketlerinin 2023 Yılı Sistem İşletim Gelir Tavanlarının Onaylanmasına İlişkin Kurul Kararları</w:t>
        </w:r>
        <w:r w:rsidR="00DB7855">
          <w:rPr>
            <w:noProof/>
            <w:webHidden/>
          </w:rPr>
          <w:tab/>
        </w:r>
        <w:r w:rsidR="00DB7855">
          <w:rPr>
            <w:noProof/>
            <w:webHidden/>
          </w:rPr>
          <w:fldChar w:fldCharType="begin"/>
        </w:r>
        <w:r w:rsidR="00DB7855">
          <w:rPr>
            <w:noProof/>
            <w:webHidden/>
          </w:rPr>
          <w:instrText xml:space="preserve"> PAGEREF _Toc132713907 \h </w:instrText>
        </w:r>
        <w:r w:rsidR="00DB7855">
          <w:rPr>
            <w:noProof/>
            <w:webHidden/>
          </w:rPr>
        </w:r>
        <w:r w:rsidR="00DB7855">
          <w:rPr>
            <w:noProof/>
            <w:webHidden/>
          </w:rPr>
          <w:fldChar w:fldCharType="separate"/>
        </w:r>
        <w:r w:rsidR="00DB7855">
          <w:rPr>
            <w:noProof/>
            <w:webHidden/>
          </w:rPr>
          <w:t>147</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908" w:history="1">
        <w:r w:rsidR="00DB7855" w:rsidRPr="007C1B8D">
          <w:rPr>
            <w:rStyle w:val="Kpr"/>
            <w:b/>
            <w:bCs/>
            <w:noProof/>
          </w:rPr>
          <w:t>Tablo 4.5: Görevli Tedarik Şirketlerinin 2023 Yılı Perakende Satış Gelir Tavanlarının Onaylanmasına İlişkin Kurul Kararları</w:t>
        </w:r>
        <w:r w:rsidR="00DB7855">
          <w:rPr>
            <w:noProof/>
            <w:webHidden/>
          </w:rPr>
          <w:tab/>
        </w:r>
        <w:r w:rsidR="00DB7855">
          <w:rPr>
            <w:noProof/>
            <w:webHidden/>
          </w:rPr>
          <w:fldChar w:fldCharType="begin"/>
        </w:r>
        <w:r w:rsidR="00DB7855">
          <w:rPr>
            <w:noProof/>
            <w:webHidden/>
          </w:rPr>
          <w:instrText xml:space="preserve"> PAGEREF _Toc132713908 \h </w:instrText>
        </w:r>
        <w:r w:rsidR="00DB7855">
          <w:rPr>
            <w:noProof/>
            <w:webHidden/>
          </w:rPr>
        </w:r>
        <w:r w:rsidR="00DB7855">
          <w:rPr>
            <w:noProof/>
            <w:webHidden/>
          </w:rPr>
          <w:fldChar w:fldCharType="separate"/>
        </w:r>
        <w:r w:rsidR="00DB7855">
          <w:rPr>
            <w:noProof/>
            <w:webHidden/>
          </w:rPr>
          <w:t>148</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909" w:history="1">
        <w:r w:rsidR="00DB7855" w:rsidRPr="007C1B8D">
          <w:rPr>
            <w:rStyle w:val="Kpr"/>
            <w:b/>
            <w:bCs/>
            <w:noProof/>
          </w:rPr>
          <w:t>Tablo 4.6: 2021-2025 Yılları Yatırım Planlarının Revize Edilmesine Dair Kurul Kararları</w:t>
        </w:r>
        <w:r w:rsidR="00DB7855">
          <w:rPr>
            <w:noProof/>
            <w:webHidden/>
          </w:rPr>
          <w:tab/>
        </w:r>
        <w:r w:rsidR="00DB7855">
          <w:rPr>
            <w:noProof/>
            <w:webHidden/>
          </w:rPr>
          <w:fldChar w:fldCharType="begin"/>
        </w:r>
        <w:r w:rsidR="00DB7855">
          <w:rPr>
            <w:noProof/>
            <w:webHidden/>
          </w:rPr>
          <w:instrText xml:space="preserve"> PAGEREF _Toc132713909 \h </w:instrText>
        </w:r>
        <w:r w:rsidR="00DB7855">
          <w:rPr>
            <w:noProof/>
            <w:webHidden/>
          </w:rPr>
        </w:r>
        <w:r w:rsidR="00DB7855">
          <w:rPr>
            <w:noProof/>
            <w:webHidden/>
          </w:rPr>
          <w:fldChar w:fldCharType="separate"/>
        </w:r>
        <w:r w:rsidR="00DB7855">
          <w:rPr>
            <w:noProof/>
            <w:webHidden/>
          </w:rPr>
          <w:t>149</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910" w:history="1">
        <w:r w:rsidR="00DB7855" w:rsidRPr="007C1B8D">
          <w:rPr>
            <w:rStyle w:val="Kpr"/>
            <w:b/>
            <w:bCs/>
            <w:noProof/>
          </w:rPr>
          <w:t>Tablo 4.7: 2022 Yılında Dağıtım Bölgesi Bazında Gerçekleşen Yatırım Tutarları (Cari Fiyatlarla-TL)</w:t>
        </w:r>
        <w:r w:rsidR="00DB7855">
          <w:rPr>
            <w:noProof/>
            <w:webHidden/>
          </w:rPr>
          <w:tab/>
        </w:r>
        <w:r w:rsidR="00DB7855">
          <w:rPr>
            <w:noProof/>
            <w:webHidden/>
          </w:rPr>
          <w:fldChar w:fldCharType="begin"/>
        </w:r>
        <w:r w:rsidR="00DB7855">
          <w:rPr>
            <w:noProof/>
            <w:webHidden/>
          </w:rPr>
          <w:instrText xml:space="preserve"> PAGEREF _Toc132713910 \h </w:instrText>
        </w:r>
        <w:r w:rsidR="00DB7855">
          <w:rPr>
            <w:noProof/>
            <w:webHidden/>
          </w:rPr>
        </w:r>
        <w:r w:rsidR="00DB7855">
          <w:rPr>
            <w:noProof/>
            <w:webHidden/>
          </w:rPr>
          <w:fldChar w:fldCharType="separate"/>
        </w:r>
        <w:r w:rsidR="00DB7855">
          <w:rPr>
            <w:noProof/>
            <w:webHidden/>
          </w:rPr>
          <w:t>150</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911" w:history="1">
        <w:r w:rsidR="00DB7855" w:rsidRPr="007C1B8D">
          <w:rPr>
            <w:rStyle w:val="Kpr"/>
            <w:b/>
            <w:bCs/>
            <w:noProof/>
          </w:rPr>
          <w:t>Tablo 4.8: Dağıtım Sistemi Bağlantı Bedelleri</w:t>
        </w:r>
        <w:r w:rsidR="00DB7855">
          <w:rPr>
            <w:noProof/>
            <w:webHidden/>
          </w:rPr>
          <w:tab/>
        </w:r>
        <w:r w:rsidR="00DB7855">
          <w:rPr>
            <w:noProof/>
            <w:webHidden/>
          </w:rPr>
          <w:fldChar w:fldCharType="begin"/>
        </w:r>
        <w:r w:rsidR="00DB7855">
          <w:rPr>
            <w:noProof/>
            <w:webHidden/>
          </w:rPr>
          <w:instrText xml:space="preserve"> PAGEREF _Toc132713911 \h </w:instrText>
        </w:r>
        <w:r w:rsidR="00DB7855">
          <w:rPr>
            <w:noProof/>
            <w:webHidden/>
          </w:rPr>
        </w:r>
        <w:r w:rsidR="00DB7855">
          <w:rPr>
            <w:noProof/>
            <w:webHidden/>
          </w:rPr>
          <w:fldChar w:fldCharType="separate"/>
        </w:r>
        <w:r w:rsidR="00DB7855">
          <w:rPr>
            <w:noProof/>
            <w:webHidden/>
          </w:rPr>
          <w:t>151</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912" w:history="1">
        <w:r w:rsidR="00DB7855" w:rsidRPr="007C1B8D">
          <w:rPr>
            <w:rStyle w:val="Kpr"/>
            <w:b/>
            <w:bCs/>
            <w:noProof/>
          </w:rPr>
          <w:t>Tablo 4.9: Kesme-Bağlama Bedelleri</w:t>
        </w:r>
        <w:r w:rsidR="00DB7855">
          <w:rPr>
            <w:noProof/>
            <w:webHidden/>
          </w:rPr>
          <w:tab/>
        </w:r>
        <w:r w:rsidR="00DB7855">
          <w:rPr>
            <w:noProof/>
            <w:webHidden/>
          </w:rPr>
          <w:fldChar w:fldCharType="begin"/>
        </w:r>
        <w:r w:rsidR="00DB7855">
          <w:rPr>
            <w:noProof/>
            <w:webHidden/>
          </w:rPr>
          <w:instrText xml:space="preserve"> PAGEREF _Toc132713912 \h </w:instrText>
        </w:r>
        <w:r w:rsidR="00DB7855">
          <w:rPr>
            <w:noProof/>
            <w:webHidden/>
          </w:rPr>
        </w:r>
        <w:r w:rsidR="00DB7855">
          <w:rPr>
            <w:noProof/>
            <w:webHidden/>
          </w:rPr>
          <w:fldChar w:fldCharType="separate"/>
        </w:r>
        <w:r w:rsidR="00DB7855">
          <w:rPr>
            <w:noProof/>
            <w:webHidden/>
          </w:rPr>
          <w:t>152</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913" w:history="1">
        <w:r w:rsidR="00DB7855" w:rsidRPr="007C1B8D">
          <w:rPr>
            <w:rStyle w:val="Kpr"/>
            <w:b/>
            <w:bCs/>
            <w:noProof/>
          </w:rPr>
          <w:t>Tablo 4.10: Güvence Bedelleri</w:t>
        </w:r>
        <w:r w:rsidR="00DB7855">
          <w:rPr>
            <w:noProof/>
            <w:webHidden/>
          </w:rPr>
          <w:tab/>
        </w:r>
        <w:r w:rsidR="00DB7855">
          <w:rPr>
            <w:noProof/>
            <w:webHidden/>
          </w:rPr>
          <w:fldChar w:fldCharType="begin"/>
        </w:r>
        <w:r w:rsidR="00DB7855">
          <w:rPr>
            <w:noProof/>
            <w:webHidden/>
          </w:rPr>
          <w:instrText xml:space="preserve"> PAGEREF _Toc132713913 \h </w:instrText>
        </w:r>
        <w:r w:rsidR="00DB7855">
          <w:rPr>
            <w:noProof/>
            <w:webHidden/>
          </w:rPr>
        </w:r>
        <w:r w:rsidR="00DB7855">
          <w:rPr>
            <w:noProof/>
            <w:webHidden/>
          </w:rPr>
          <w:fldChar w:fldCharType="separate"/>
        </w:r>
        <w:r w:rsidR="00DB7855">
          <w:rPr>
            <w:noProof/>
            <w:webHidden/>
          </w:rPr>
          <w:t>152</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914" w:history="1">
        <w:r w:rsidR="00DB7855" w:rsidRPr="007C1B8D">
          <w:rPr>
            <w:rStyle w:val="Kpr"/>
            <w:b/>
            <w:bCs/>
            <w:noProof/>
          </w:rPr>
          <w:t>Tablo 4.11: Sayaç Kontrol Bedeli</w:t>
        </w:r>
        <w:r w:rsidR="00DB7855">
          <w:rPr>
            <w:noProof/>
            <w:webHidden/>
          </w:rPr>
          <w:tab/>
        </w:r>
        <w:r w:rsidR="00DB7855">
          <w:rPr>
            <w:noProof/>
            <w:webHidden/>
          </w:rPr>
          <w:fldChar w:fldCharType="begin"/>
        </w:r>
        <w:r w:rsidR="00DB7855">
          <w:rPr>
            <w:noProof/>
            <w:webHidden/>
          </w:rPr>
          <w:instrText xml:space="preserve"> PAGEREF _Toc132713914 \h </w:instrText>
        </w:r>
        <w:r w:rsidR="00DB7855">
          <w:rPr>
            <w:noProof/>
            <w:webHidden/>
          </w:rPr>
        </w:r>
        <w:r w:rsidR="00DB7855">
          <w:rPr>
            <w:noProof/>
            <w:webHidden/>
          </w:rPr>
          <w:fldChar w:fldCharType="separate"/>
        </w:r>
        <w:r w:rsidR="00DB7855">
          <w:rPr>
            <w:noProof/>
            <w:webHidden/>
          </w:rPr>
          <w:t>152</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915" w:history="1">
        <w:r w:rsidR="00DB7855" w:rsidRPr="007C1B8D">
          <w:rPr>
            <w:rStyle w:val="Kpr"/>
            <w:b/>
            <w:bCs/>
            <w:noProof/>
          </w:rPr>
          <w:t>Tablo 4.12: Lisanssız Üretim Başvuru Bedeli (Dağıtım Şirketleri)</w:t>
        </w:r>
        <w:r w:rsidR="00DB7855">
          <w:rPr>
            <w:noProof/>
            <w:webHidden/>
          </w:rPr>
          <w:tab/>
        </w:r>
        <w:r w:rsidR="00DB7855">
          <w:rPr>
            <w:noProof/>
            <w:webHidden/>
          </w:rPr>
          <w:fldChar w:fldCharType="begin"/>
        </w:r>
        <w:r w:rsidR="00DB7855">
          <w:rPr>
            <w:noProof/>
            <w:webHidden/>
          </w:rPr>
          <w:instrText xml:space="preserve"> PAGEREF _Toc132713915 \h </w:instrText>
        </w:r>
        <w:r w:rsidR="00DB7855">
          <w:rPr>
            <w:noProof/>
            <w:webHidden/>
          </w:rPr>
        </w:r>
        <w:r w:rsidR="00DB7855">
          <w:rPr>
            <w:noProof/>
            <w:webHidden/>
          </w:rPr>
          <w:fldChar w:fldCharType="separate"/>
        </w:r>
        <w:r w:rsidR="00DB7855">
          <w:rPr>
            <w:noProof/>
            <w:webHidden/>
          </w:rPr>
          <w:t>152</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916" w:history="1">
        <w:r w:rsidR="00DB7855" w:rsidRPr="007C1B8D">
          <w:rPr>
            <w:rStyle w:val="Kpr"/>
            <w:b/>
            <w:bCs/>
            <w:noProof/>
          </w:rPr>
          <w:t>Tablo 4.13: Lisanssız Üretim İşletim Bedeli (Görevli Tedarik Şirketleri)</w:t>
        </w:r>
        <w:r w:rsidR="00DB7855">
          <w:rPr>
            <w:noProof/>
            <w:webHidden/>
          </w:rPr>
          <w:tab/>
        </w:r>
        <w:r w:rsidR="00DB7855">
          <w:rPr>
            <w:noProof/>
            <w:webHidden/>
          </w:rPr>
          <w:fldChar w:fldCharType="begin"/>
        </w:r>
        <w:r w:rsidR="00DB7855">
          <w:rPr>
            <w:noProof/>
            <w:webHidden/>
          </w:rPr>
          <w:instrText xml:space="preserve"> PAGEREF _Toc132713916 \h </w:instrText>
        </w:r>
        <w:r w:rsidR="00DB7855">
          <w:rPr>
            <w:noProof/>
            <w:webHidden/>
          </w:rPr>
        </w:r>
        <w:r w:rsidR="00DB7855">
          <w:rPr>
            <w:noProof/>
            <w:webHidden/>
          </w:rPr>
          <w:fldChar w:fldCharType="separate"/>
        </w:r>
        <w:r w:rsidR="00DB7855">
          <w:rPr>
            <w:noProof/>
            <w:webHidden/>
          </w:rPr>
          <w:t>153</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917" w:history="1">
        <w:r w:rsidR="00DB7855" w:rsidRPr="007C1B8D">
          <w:rPr>
            <w:rStyle w:val="Kpr"/>
            <w:b/>
            <w:bCs/>
            <w:noProof/>
          </w:rPr>
          <w:t>Tablo 4.14: Lisanssız Üretim İşletim Bedeli (Elektrik Dağıtım Şirketleri)</w:t>
        </w:r>
        <w:r w:rsidR="00DB7855">
          <w:rPr>
            <w:noProof/>
            <w:webHidden/>
          </w:rPr>
          <w:tab/>
        </w:r>
        <w:r w:rsidR="00DB7855">
          <w:rPr>
            <w:noProof/>
            <w:webHidden/>
          </w:rPr>
          <w:fldChar w:fldCharType="begin"/>
        </w:r>
        <w:r w:rsidR="00DB7855">
          <w:rPr>
            <w:noProof/>
            <w:webHidden/>
          </w:rPr>
          <w:instrText xml:space="preserve"> PAGEREF _Toc132713917 \h </w:instrText>
        </w:r>
        <w:r w:rsidR="00DB7855">
          <w:rPr>
            <w:noProof/>
            <w:webHidden/>
          </w:rPr>
        </w:r>
        <w:r w:rsidR="00DB7855">
          <w:rPr>
            <w:noProof/>
            <w:webHidden/>
          </w:rPr>
          <w:fldChar w:fldCharType="separate"/>
        </w:r>
        <w:r w:rsidR="00DB7855">
          <w:rPr>
            <w:noProof/>
            <w:webHidden/>
          </w:rPr>
          <w:t>153</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918" w:history="1">
        <w:r w:rsidR="00DB7855" w:rsidRPr="007C1B8D">
          <w:rPr>
            <w:rStyle w:val="Kpr"/>
            <w:b/>
            <w:bCs/>
            <w:noProof/>
          </w:rPr>
          <w:t>Tablo 4.15: EPİAŞ 2023 Yılı Piyasa İşletim Gelir Tavanı (TL)</w:t>
        </w:r>
        <w:r w:rsidR="00DB7855">
          <w:rPr>
            <w:noProof/>
            <w:webHidden/>
          </w:rPr>
          <w:tab/>
        </w:r>
        <w:r w:rsidR="00DB7855">
          <w:rPr>
            <w:noProof/>
            <w:webHidden/>
          </w:rPr>
          <w:fldChar w:fldCharType="begin"/>
        </w:r>
        <w:r w:rsidR="00DB7855">
          <w:rPr>
            <w:noProof/>
            <w:webHidden/>
          </w:rPr>
          <w:instrText xml:space="preserve"> PAGEREF _Toc132713918 \h </w:instrText>
        </w:r>
        <w:r w:rsidR="00DB7855">
          <w:rPr>
            <w:noProof/>
            <w:webHidden/>
          </w:rPr>
        </w:r>
        <w:r w:rsidR="00DB7855">
          <w:rPr>
            <w:noProof/>
            <w:webHidden/>
          </w:rPr>
          <w:fldChar w:fldCharType="separate"/>
        </w:r>
        <w:r w:rsidR="00DB7855">
          <w:rPr>
            <w:noProof/>
            <w:webHidden/>
          </w:rPr>
          <w:t>154</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919" w:history="1">
        <w:r w:rsidR="00DB7855" w:rsidRPr="007C1B8D">
          <w:rPr>
            <w:rStyle w:val="Kpr"/>
            <w:b/>
            <w:bCs/>
            <w:noProof/>
          </w:rPr>
          <w:t xml:space="preserve">Tablo 4.16: EÜAŞ Toptan Satış Tarifeleri </w:t>
        </w:r>
        <w:r w:rsidR="00DB7855" w:rsidRPr="007C1B8D">
          <w:rPr>
            <w:rStyle w:val="Kpr"/>
            <w:bCs/>
            <w:noProof/>
          </w:rPr>
          <w:t>(</w:t>
        </w:r>
        <w:r w:rsidR="00DB7855" w:rsidRPr="007C1B8D">
          <w:rPr>
            <w:rStyle w:val="Kpr"/>
            <w:b/>
            <w:noProof/>
          </w:rPr>
          <w:t>Dağıtım Şirketlerine Teknik ve Teknik Olmayan Kayıp Enerji Satışları İle Görevli Tedarik Şirketlerine Yapılan Satışlarda)</w:t>
        </w:r>
        <w:r w:rsidR="00DB7855">
          <w:rPr>
            <w:noProof/>
            <w:webHidden/>
          </w:rPr>
          <w:tab/>
        </w:r>
        <w:r w:rsidR="00DB7855">
          <w:rPr>
            <w:noProof/>
            <w:webHidden/>
          </w:rPr>
          <w:fldChar w:fldCharType="begin"/>
        </w:r>
        <w:r w:rsidR="00DB7855">
          <w:rPr>
            <w:noProof/>
            <w:webHidden/>
          </w:rPr>
          <w:instrText xml:space="preserve"> PAGEREF _Toc132713919 \h </w:instrText>
        </w:r>
        <w:r w:rsidR="00DB7855">
          <w:rPr>
            <w:noProof/>
            <w:webHidden/>
          </w:rPr>
        </w:r>
        <w:r w:rsidR="00DB7855">
          <w:rPr>
            <w:noProof/>
            <w:webHidden/>
          </w:rPr>
          <w:fldChar w:fldCharType="separate"/>
        </w:r>
        <w:r w:rsidR="00DB7855">
          <w:rPr>
            <w:noProof/>
            <w:webHidden/>
          </w:rPr>
          <w:t>154</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920" w:history="1">
        <w:r w:rsidR="00DB7855" w:rsidRPr="007C1B8D">
          <w:rPr>
            <w:rStyle w:val="Kpr"/>
            <w:b/>
            <w:bCs/>
            <w:noProof/>
          </w:rPr>
          <w:t xml:space="preserve">Tablo 4.17: EÜAŞ Toptan Satış Tarifeleri </w:t>
        </w:r>
        <w:r w:rsidR="00DB7855" w:rsidRPr="007C1B8D">
          <w:rPr>
            <w:rStyle w:val="Kpr"/>
            <w:bCs/>
            <w:noProof/>
          </w:rPr>
          <w:t>(</w:t>
        </w:r>
        <w:r w:rsidR="00DB7855" w:rsidRPr="007C1B8D">
          <w:rPr>
            <w:rStyle w:val="Kpr"/>
            <w:b/>
            <w:noProof/>
          </w:rPr>
          <w:t>Dağıtım Şirketlerine Genel Aydınlatma Kapsamında Yapılan Satışlarda)</w:t>
        </w:r>
        <w:r w:rsidR="00DB7855">
          <w:rPr>
            <w:noProof/>
            <w:webHidden/>
          </w:rPr>
          <w:tab/>
        </w:r>
        <w:r w:rsidR="00DB7855">
          <w:rPr>
            <w:noProof/>
            <w:webHidden/>
          </w:rPr>
          <w:fldChar w:fldCharType="begin"/>
        </w:r>
        <w:r w:rsidR="00DB7855">
          <w:rPr>
            <w:noProof/>
            <w:webHidden/>
          </w:rPr>
          <w:instrText xml:space="preserve"> PAGEREF _Toc132713920 \h </w:instrText>
        </w:r>
        <w:r w:rsidR="00DB7855">
          <w:rPr>
            <w:noProof/>
            <w:webHidden/>
          </w:rPr>
        </w:r>
        <w:r w:rsidR="00DB7855">
          <w:rPr>
            <w:noProof/>
            <w:webHidden/>
          </w:rPr>
          <w:fldChar w:fldCharType="separate"/>
        </w:r>
        <w:r w:rsidR="00DB7855">
          <w:rPr>
            <w:noProof/>
            <w:webHidden/>
          </w:rPr>
          <w:t>155</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921" w:history="1">
        <w:r w:rsidR="00DB7855" w:rsidRPr="007C1B8D">
          <w:rPr>
            <w:rStyle w:val="Kpr"/>
            <w:b/>
            <w:bCs/>
            <w:noProof/>
          </w:rPr>
          <w:t>Tablo 4.18: İletim Kapasite Bedeli Üst Sınırları</w:t>
        </w:r>
        <w:r w:rsidR="00DB7855">
          <w:rPr>
            <w:noProof/>
            <w:webHidden/>
          </w:rPr>
          <w:tab/>
        </w:r>
        <w:r w:rsidR="00DB7855">
          <w:rPr>
            <w:noProof/>
            <w:webHidden/>
          </w:rPr>
          <w:fldChar w:fldCharType="begin"/>
        </w:r>
        <w:r w:rsidR="00DB7855">
          <w:rPr>
            <w:noProof/>
            <w:webHidden/>
          </w:rPr>
          <w:instrText xml:space="preserve"> PAGEREF _Toc132713921 \h </w:instrText>
        </w:r>
        <w:r w:rsidR="00DB7855">
          <w:rPr>
            <w:noProof/>
            <w:webHidden/>
          </w:rPr>
        </w:r>
        <w:r w:rsidR="00DB7855">
          <w:rPr>
            <w:noProof/>
            <w:webHidden/>
          </w:rPr>
          <w:fldChar w:fldCharType="separate"/>
        </w:r>
        <w:r w:rsidR="00DB7855">
          <w:rPr>
            <w:noProof/>
            <w:webHidden/>
          </w:rPr>
          <w:t>162</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922" w:history="1">
        <w:r w:rsidR="00DB7855" w:rsidRPr="007C1B8D">
          <w:rPr>
            <w:rStyle w:val="Kpr"/>
            <w:b/>
            <w:bCs/>
            <w:noProof/>
          </w:rPr>
          <w:t>Tablo 4.19: BOTAŞ’ın İletim Hizmet Bedeli Üst Sınırı</w:t>
        </w:r>
        <w:r w:rsidR="00DB7855">
          <w:rPr>
            <w:noProof/>
            <w:webHidden/>
          </w:rPr>
          <w:tab/>
        </w:r>
        <w:r w:rsidR="00DB7855">
          <w:rPr>
            <w:noProof/>
            <w:webHidden/>
          </w:rPr>
          <w:fldChar w:fldCharType="begin"/>
        </w:r>
        <w:r w:rsidR="00DB7855">
          <w:rPr>
            <w:noProof/>
            <w:webHidden/>
          </w:rPr>
          <w:instrText xml:space="preserve"> PAGEREF _Toc132713922 \h </w:instrText>
        </w:r>
        <w:r w:rsidR="00DB7855">
          <w:rPr>
            <w:noProof/>
            <w:webHidden/>
          </w:rPr>
        </w:r>
        <w:r w:rsidR="00DB7855">
          <w:rPr>
            <w:noProof/>
            <w:webHidden/>
          </w:rPr>
          <w:fldChar w:fldCharType="separate"/>
        </w:r>
        <w:r w:rsidR="00DB7855">
          <w:rPr>
            <w:noProof/>
            <w:webHidden/>
          </w:rPr>
          <w:t>162</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923" w:history="1">
        <w:r w:rsidR="00DB7855" w:rsidRPr="007C1B8D">
          <w:rPr>
            <w:rStyle w:val="Kpr"/>
            <w:b/>
            <w:bCs/>
            <w:noProof/>
          </w:rPr>
          <w:t>Tablo 4.20: BOTAŞ'ın Üçüncü Uygulama Dönemi Yatırım Tavanı</w:t>
        </w:r>
        <w:r w:rsidR="00DB7855">
          <w:rPr>
            <w:noProof/>
            <w:webHidden/>
          </w:rPr>
          <w:tab/>
        </w:r>
        <w:r w:rsidR="00DB7855">
          <w:rPr>
            <w:noProof/>
            <w:webHidden/>
          </w:rPr>
          <w:fldChar w:fldCharType="begin"/>
        </w:r>
        <w:r w:rsidR="00DB7855">
          <w:rPr>
            <w:noProof/>
            <w:webHidden/>
          </w:rPr>
          <w:instrText xml:space="preserve"> PAGEREF _Toc132713923 \h </w:instrText>
        </w:r>
        <w:r w:rsidR="00DB7855">
          <w:rPr>
            <w:noProof/>
            <w:webHidden/>
          </w:rPr>
        </w:r>
        <w:r w:rsidR="00DB7855">
          <w:rPr>
            <w:noProof/>
            <w:webHidden/>
          </w:rPr>
          <w:fldChar w:fldCharType="separate"/>
        </w:r>
        <w:r w:rsidR="00DB7855">
          <w:rPr>
            <w:noProof/>
            <w:webHidden/>
          </w:rPr>
          <w:t>163</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924" w:history="1">
        <w:r w:rsidR="00DB7855" w:rsidRPr="007C1B8D">
          <w:rPr>
            <w:rStyle w:val="Kpr"/>
            <w:b/>
            <w:bCs/>
            <w:noProof/>
          </w:rPr>
          <w:t>Tablo 4.21: BOTAŞ'ın Üçüncü Uygulama Dönemi Gelir Gereksinimi</w:t>
        </w:r>
        <w:r w:rsidR="00DB7855">
          <w:rPr>
            <w:noProof/>
            <w:webHidden/>
          </w:rPr>
          <w:tab/>
        </w:r>
        <w:r w:rsidR="00DB7855">
          <w:rPr>
            <w:noProof/>
            <w:webHidden/>
          </w:rPr>
          <w:fldChar w:fldCharType="begin"/>
        </w:r>
        <w:r w:rsidR="00DB7855">
          <w:rPr>
            <w:noProof/>
            <w:webHidden/>
          </w:rPr>
          <w:instrText xml:space="preserve"> PAGEREF _Toc132713924 \h </w:instrText>
        </w:r>
        <w:r w:rsidR="00DB7855">
          <w:rPr>
            <w:noProof/>
            <w:webHidden/>
          </w:rPr>
        </w:r>
        <w:r w:rsidR="00DB7855">
          <w:rPr>
            <w:noProof/>
            <w:webHidden/>
          </w:rPr>
          <w:fldChar w:fldCharType="separate"/>
        </w:r>
        <w:r w:rsidR="00DB7855">
          <w:rPr>
            <w:noProof/>
            <w:webHidden/>
          </w:rPr>
          <w:t>163</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925" w:history="1">
        <w:r w:rsidR="00DB7855" w:rsidRPr="007C1B8D">
          <w:rPr>
            <w:rStyle w:val="Kpr"/>
            <w:b/>
            <w:bCs/>
            <w:noProof/>
          </w:rPr>
          <w:t>Tablo 4.22: EPİAŞ 2023 Yılı Piyasa İşletim Gelir Tavanı (TL)</w:t>
        </w:r>
        <w:r w:rsidR="00DB7855">
          <w:rPr>
            <w:noProof/>
            <w:webHidden/>
          </w:rPr>
          <w:tab/>
        </w:r>
        <w:r w:rsidR="00DB7855">
          <w:rPr>
            <w:noProof/>
            <w:webHidden/>
          </w:rPr>
          <w:fldChar w:fldCharType="begin"/>
        </w:r>
        <w:r w:rsidR="00DB7855">
          <w:rPr>
            <w:noProof/>
            <w:webHidden/>
          </w:rPr>
          <w:instrText xml:space="preserve"> PAGEREF _Toc132713925 \h </w:instrText>
        </w:r>
        <w:r w:rsidR="00DB7855">
          <w:rPr>
            <w:noProof/>
            <w:webHidden/>
          </w:rPr>
        </w:r>
        <w:r w:rsidR="00DB7855">
          <w:rPr>
            <w:noProof/>
            <w:webHidden/>
          </w:rPr>
          <w:fldChar w:fldCharType="separate"/>
        </w:r>
        <w:r w:rsidR="00DB7855">
          <w:rPr>
            <w:noProof/>
            <w:webHidden/>
          </w:rPr>
          <w:t>163</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926" w:history="1">
        <w:r w:rsidR="00DB7855" w:rsidRPr="007C1B8D">
          <w:rPr>
            <w:rStyle w:val="Kpr"/>
            <w:b/>
            <w:bCs/>
            <w:noProof/>
          </w:rPr>
          <w:t>Tablo 4.23: Dağıtım Şirketleri İçin Belirlenen Bağlantı Tarifeleri</w:t>
        </w:r>
        <w:r w:rsidR="00DB7855">
          <w:rPr>
            <w:noProof/>
            <w:webHidden/>
          </w:rPr>
          <w:tab/>
        </w:r>
        <w:r w:rsidR="00DB7855">
          <w:rPr>
            <w:noProof/>
            <w:webHidden/>
          </w:rPr>
          <w:fldChar w:fldCharType="begin"/>
        </w:r>
        <w:r w:rsidR="00DB7855">
          <w:rPr>
            <w:noProof/>
            <w:webHidden/>
          </w:rPr>
          <w:instrText xml:space="preserve"> PAGEREF _Toc132713926 \h </w:instrText>
        </w:r>
        <w:r w:rsidR="00DB7855">
          <w:rPr>
            <w:noProof/>
            <w:webHidden/>
          </w:rPr>
        </w:r>
        <w:r w:rsidR="00DB7855">
          <w:rPr>
            <w:noProof/>
            <w:webHidden/>
          </w:rPr>
          <w:fldChar w:fldCharType="separate"/>
        </w:r>
        <w:r w:rsidR="00DB7855">
          <w:rPr>
            <w:noProof/>
            <w:webHidden/>
          </w:rPr>
          <w:t>163</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927" w:history="1">
        <w:r w:rsidR="00DB7855" w:rsidRPr="007C1B8D">
          <w:rPr>
            <w:rStyle w:val="Kpr"/>
            <w:b/>
            <w:bCs/>
            <w:noProof/>
          </w:rPr>
          <w:t>Tablo 4.24: Kurum Tarafından Belirlenen İç Tesisat Proje Onay, Kontrol, Test ve İşletmeye Alma Üst Bedelleri</w:t>
        </w:r>
        <w:r w:rsidR="00DB7855">
          <w:rPr>
            <w:noProof/>
            <w:webHidden/>
          </w:rPr>
          <w:tab/>
        </w:r>
        <w:r w:rsidR="00DB7855">
          <w:rPr>
            <w:noProof/>
            <w:webHidden/>
          </w:rPr>
          <w:fldChar w:fldCharType="begin"/>
        </w:r>
        <w:r w:rsidR="00DB7855">
          <w:rPr>
            <w:noProof/>
            <w:webHidden/>
          </w:rPr>
          <w:instrText xml:space="preserve"> PAGEREF _Toc132713927 \h </w:instrText>
        </w:r>
        <w:r w:rsidR="00DB7855">
          <w:rPr>
            <w:noProof/>
            <w:webHidden/>
          </w:rPr>
        </w:r>
        <w:r w:rsidR="00DB7855">
          <w:rPr>
            <w:noProof/>
            <w:webHidden/>
          </w:rPr>
          <w:fldChar w:fldCharType="separate"/>
        </w:r>
        <w:r w:rsidR="00DB7855">
          <w:rPr>
            <w:noProof/>
            <w:webHidden/>
          </w:rPr>
          <w:t>164</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928" w:history="1">
        <w:r w:rsidR="00DB7855" w:rsidRPr="007C1B8D">
          <w:rPr>
            <w:rStyle w:val="Kpr"/>
            <w:b/>
            <w:bCs/>
            <w:noProof/>
          </w:rPr>
          <w:t>Tablo 4.25: 2022 Yılında Perakende Satış Tarifeleri Hakkında Kurul Kararı Alınan Doğal Gaz Dağıtım Şirketleri</w:t>
        </w:r>
        <w:r w:rsidR="00DB7855">
          <w:rPr>
            <w:noProof/>
            <w:webHidden/>
          </w:rPr>
          <w:tab/>
        </w:r>
        <w:r w:rsidR="00DB7855">
          <w:rPr>
            <w:noProof/>
            <w:webHidden/>
          </w:rPr>
          <w:fldChar w:fldCharType="begin"/>
        </w:r>
        <w:r w:rsidR="00DB7855">
          <w:rPr>
            <w:noProof/>
            <w:webHidden/>
          </w:rPr>
          <w:instrText xml:space="preserve"> PAGEREF _Toc132713928 \h </w:instrText>
        </w:r>
        <w:r w:rsidR="00DB7855">
          <w:rPr>
            <w:noProof/>
            <w:webHidden/>
          </w:rPr>
        </w:r>
        <w:r w:rsidR="00DB7855">
          <w:rPr>
            <w:noProof/>
            <w:webHidden/>
          </w:rPr>
          <w:fldChar w:fldCharType="separate"/>
        </w:r>
        <w:r w:rsidR="00DB7855">
          <w:rPr>
            <w:noProof/>
            <w:webHidden/>
          </w:rPr>
          <w:t>165</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929" w:history="1">
        <w:r w:rsidR="00DB7855" w:rsidRPr="007C1B8D">
          <w:rPr>
            <w:rStyle w:val="Kpr"/>
            <w:b/>
            <w:bCs/>
            <w:noProof/>
          </w:rPr>
          <w:t>Tablo 6.1:</w:t>
        </w:r>
        <w:r w:rsidR="00DB7855" w:rsidRPr="007C1B8D">
          <w:rPr>
            <w:rStyle w:val="Kpr"/>
            <w:noProof/>
          </w:rPr>
          <w:t xml:space="preserve"> </w:t>
        </w:r>
        <w:r w:rsidR="00DB7855" w:rsidRPr="007C1B8D">
          <w:rPr>
            <w:rStyle w:val="Kpr"/>
            <w:b/>
            <w:bCs/>
            <w:noProof/>
          </w:rPr>
          <w:t>2022 Yılı Denetim Kapsamında Protokolcü Kuruluşlara Ait Araç Listesi</w:t>
        </w:r>
        <w:r w:rsidR="00DB7855">
          <w:rPr>
            <w:noProof/>
            <w:webHidden/>
          </w:rPr>
          <w:tab/>
        </w:r>
        <w:r w:rsidR="00DB7855">
          <w:rPr>
            <w:noProof/>
            <w:webHidden/>
          </w:rPr>
          <w:fldChar w:fldCharType="begin"/>
        </w:r>
        <w:r w:rsidR="00DB7855">
          <w:rPr>
            <w:noProof/>
            <w:webHidden/>
          </w:rPr>
          <w:instrText xml:space="preserve"> PAGEREF _Toc132713929 \h </w:instrText>
        </w:r>
        <w:r w:rsidR="00DB7855">
          <w:rPr>
            <w:noProof/>
            <w:webHidden/>
          </w:rPr>
        </w:r>
        <w:r w:rsidR="00DB7855">
          <w:rPr>
            <w:noProof/>
            <w:webHidden/>
          </w:rPr>
          <w:fldChar w:fldCharType="separate"/>
        </w:r>
        <w:r w:rsidR="00DB7855">
          <w:rPr>
            <w:noProof/>
            <w:webHidden/>
          </w:rPr>
          <w:t>183</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930" w:history="1">
        <w:r w:rsidR="00DB7855" w:rsidRPr="007C1B8D">
          <w:rPr>
            <w:rStyle w:val="Kpr"/>
            <w:b/>
            <w:bCs/>
            <w:noProof/>
          </w:rPr>
          <w:t>Tablo 6.2: 2022 Yılı Denetim Kapsamında Protokolcü Kuruluşlar Denetçi Sayıları</w:t>
        </w:r>
        <w:r w:rsidR="00DB7855">
          <w:rPr>
            <w:noProof/>
            <w:webHidden/>
          </w:rPr>
          <w:tab/>
        </w:r>
        <w:r w:rsidR="00DB7855">
          <w:rPr>
            <w:noProof/>
            <w:webHidden/>
          </w:rPr>
          <w:fldChar w:fldCharType="begin"/>
        </w:r>
        <w:r w:rsidR="00DB7855">
          <w:rPr>
            <w:noProof/>
            <w:webHidden/>
          </w:rPr>
          <w:instrText xml:space="preserve"> PAGEREF _Toc132713930 \h </w:instrText>
        </w:r>
        <w:r w:rsidR="00DB7855">
          <w:rPr>
            <w:noProof/>
            <w:webHidden/>
          </w:rPr>
        </w:r>
        <w:r w:rsidR="00DB7855">
          <w:rPr>
            <w:noProof/>
            <w:webHidden/>
          </w:rPr>
          <w:fldChar w:fldCharType="separate"/>
        </w:r>
        <w:r w:rsidR="00DB7855">
          <w:rPr>
            <w:noProof/>
            <w:webHidden/>
          </w:rPr>
          <w:t>183</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931" w:history="1">
        <w:r w:rsidR="00DB7855" w:rsidRPr="007C1B8D">
          <w:rPr>
            <w:rStyle w:val="Kpr"/>
            <w:b/>
            <w:bCs/>
            <w:noProof/>
          </w:rPr>
          <w:t>Tablo 6.3: 2021 ve 2022 Yıllarında Denetim Kapsamında Protokolcü Kuruluşlara Ödenek Aktarımı</w:t>
        </w:r>
        <w:r w:rsidR="00DB7855">
          <w:rPr>
            <w:noProof/>
            <w:webHidden/>
          </w:rPr>
          <w:tab/>
        </w:r>
        <w:r w:rsidR="00DB7855">
          <w:rPr>
            <w:noProof/>
            <w:webHidden/>
          </w:rPr>
          <w:fldChar w:fldCharType="begin"/>
        </w:r>
        <w:r w:rsidR="00DB7855">
          <w:rPr>
            <w:noProof/>
            <w:webHidden/>
          </w:rPr>
          <w:instrText xml:space="preserve"> PAGEREF _Toc132713931 \h </w:instrText>
        </w:r>
        <w:r w:rsidR="00DB7855">
          <w:rPr>
            <w:noProof/>
            <w:webHidden/>
          </w:rPr>
        </w:r>
        <w:r w:rsidR="00DB7855">
          <w:rPr>
            <w:noProof/>
            <w:webHidden/>
          </w:rPr>
          <w:fldChar w:fldCharType="separate"/>
        </w:r>
        <w:r w:rsidR="00DB7855">
          <w:rPr>
            <w:noProof/>
            <w:webHidden/>
          </w:rPr>
          <w:t>183</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932" w:history="1">
        <w:r w:rsidR="00DB7855" w:rsidRPr="007C1B8D">
          <w:rPr>
            <w:rStyle w:val="Kpr"/>
            <w:b/>
            <w:bCs/>
            <w:noProof/>
          </w:rPr>
          <w:t>Tablo 6.4: 2020-2022 Yılları Ulusal Marker Saha Cihazı (XP) Analiz Sonuçları Karşılaştırması</w:t>
        </w:r>
        <w:r w:rsidR="00DB7855">
          <w:rPr>
            <w:noProof/>
            <w:webHidden/>
          </w:rPr>
          <w:tab/>
        </w:r>
        <w:r w:rsidR="00DB7855">
          <w:rPr>
            <w:noProof/>
            <w:webHidden/>
          </w:rPr>
          <w:fldChar w:fldCharType="begin"/>
        </w:r>
        <w:r w:rsidR="00DB7855">
          <w:rPr>
            <w:noProof/>
            <w:webHidden/>
          </w:rPr>
          <w:instrText xml:space="preserve"> PAGEREF _Toc132713932 \h </w:instrText>
        </w:r>
        <w:r w:rsidR="00DB7855">
          <w:rPr>
            <w:noProof/>
            <w:webHidden/>
          </w:rPr>
        </w:r>
        <w:r w:rsidR="00DB7855">
          <w:rPr>
            <w:noProof/>
            <w:webHidden/>
          </w:rPr>
          <w:fldChar w:fldCharType="separate"/>
        </w:r>
        <w:r w:rsidR="00DB7855">
          <w:rPr>
            <w:noProof/>
            <w:webHidden/>
          </w:rPr>
          <w:t>184</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933" w:history="1">
        <w:r w:rsidR="00DB7855" w:rsidRPr="007C1B8D">
          <w:rPr>
            <w:rStyle w:val="Kpr"/>
            <w:b/>
            <w:bCs/>
            <w:noProof/>
          </w:rPr>
          <w:t>Tablo 6.5: Petrol Piyasasında 2022 Yılında Uygulanan İdari Para Cezalarının Lisans Tipine Göre Dağılımı</w:t>
        </w:r>
        <w:r w:rsidR="00DB7855">
          <w:rPr>
            <w:noProof/>
            <w:webHidden/>
          </w:rPr>
          <w:tab/>
        </w:r>
        <w:r w:rsidR="00DB7855">
          <w:rPr>
            <w:noProof/>
            <w:webHidden/>
          </w:rPr>
          <w:fldChar w:fldCharType="begin"/>
        </w:r>
        <w:r w:rsidR="00DB7855">
          <w:rPr>
            <w:noProof/>
            <w:webHidden/>
          </w:rPr>
          <w:instrText xml:space="preserve"> PAGEREF _Toc132713933 \h </w:instrText>
        </w:r>
        <w:r w:rsidR="00DB7855">
          <w:rPr>
            <w:noProof/>
            <w:webHidden/>
          </w:rPr>
        </w:r>
        <w:r w:rsidR="00DB7855">
          <w:rPr>
            <w:noProof/>
            <w:webHidden/>
          </w:rPr>
          <w:fldChar w:fldCharType="separate"/>
        </w:r>
        <w:r w:rsidR="00DB7855">
          <w:rPr>
            <w:noProof/>
            <w:webHidden/>
          </w:rPr>
          <w:t>184</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934" w:history="1">
        <w:r w:rsidR="00DB7855" w:rsidRPr="007C1B8D">
          <w:rPr>
            <w:rStyle w:val="Kpr"/>
            <w:b/>
            <w:bCs/>
            <w:noProof/>
          </w:rPr>
          <w:t>Tablo 6.6: Petrol Piyasasında 2021-2022 Yıllarında Uygulanan İdari Para Cezalarının Lisans Tipine Göre Dağılımı</w:t>
        </w:r>
        <w:r w:rsidR="00DB7855">
          <w:rPr>
            <w:noProof/>
            <w:webHidden/>
          </w:rPr>
          <w:tab/>
        </w:r>
        <w:r w:rsidR="00DB7855">
          <w:rPr>
            <w:noProof/>
            <w:webHidden/>
          </w:rPr>
          <w:fldChar w:fldCharType="begin"/>
        </w:r>
        <w:r w:rsidR="00DB7855">
          <w:rPr>
            <w:noProof/>
            <w:webHidden/>
          </w:rPr>
          <w:instrText xml:space="preserve"> PAGEREF _Toc132713934 \h </w:instrText>
        </w:r>
        <w:r w:rsidR="00DB7855">
          <w:rPr>
            <w:noProof/>
            <w:webHidden/>
          </w:rPr>
        </w:r>
        <w:r w:rsidR="00DB7855">
          <w:rPr>
            <w:noProof/>
            <w:webHidden/>
          </w:rPr>
          <w:fldChar w:fldCharType="separate"/>
        </w:r>
        <w:r w:rsidR="00DB7855">
          <w:rPr>
            <w:noProof/>
            <w:webHidden/>
          </w:rPr>
          <w:t>185</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935" w:history="1">
        <w:r w:rsidR="00DB7855" w:rsidRPr="007C1B8D">
          <w:rPr>
            <w:rStyle w:val="Kpr"/>
            <w:b/>
            <w:bCs/>
            <w:noProof/>
          </w:rPr>
          <w:t>Tablo 6.7: Petrol Piyasasında 2022 Yılında Uygulanan İdari Para Cezalarının İdari Para Cezasına Konu Fiillere Göre Dağılımı</w:t>
        </w:r>
        <w:r w:rsidR="00DB7855">
          <w:rPr>
            <w:noProof/>
            <w:webHidden/>
          </w:rPr>
          <w:tab/>
        </w:r>
        <w:r w:rsidR="00DB7855">
          <w:rPr>
            <w:noProof/>
            <w:webHidden/>
          </w:rPr>
          <w:fldChar w:fldCharType="begin"/>
        </w:r>
        <w:r w:rsidR="00DB7855">
          <w:rPr>
            <w:noProof/>
            <w:webHidden/>
          </w:rPr>
          <w:instrText xml:space="preserve"> PAGEREF _Toc132713935 \h </w:instrText>
        </w:r>
        <w:r w:rsidR="00DB7855">
          <w:rPr>
            <w:noProof/>
            <w:webHidden/>
          </w:rPr>
        </w:r>
        <w:r w:rsidR="00DB7855">
          <w:rPr>
            <w:noProof/>
            <w:webHidden/>
          </w:rPr>
          <w:fldChar w:fldCharType="separate"/>
        </w:r>
        <w:r w:rsidR="00DB7855">
          <w:rPr>
            <w:noProof/>
            <w:webHidden/>
          </w:rPr>
          <w:t>185</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936" w:history="1">
        <w:r w:rsidR="00DB7855" w:rsidRPr="007C1B8D">
          <w:rPr>
            <w:rStyle w:val="Kpr"/>
            <w:b/>
            <w:bCs/>
            <w:noProof/>
          </w:rPr>
          <w:t>Tablo 6.8: 5015 sayılı Kanunun 20 nci maddesinin ikinci fıkrasının (g) bendi çerçevesinde yapılan işlemler</w:t>
        </w:r>
        <w:r w:rsidR="00DB7855">
          <w:rPr>
            <w:noProof/>
            <w:webHidden/>
          </w:rPr>
          <w:tab/>
        </w:r>
        <w:r w:rsidR="00DB7855">
          <w:rPr>
            <w:noProof/>
            <w:webHidden/>
          </w:rPr>
          <w:fldChar w:fldCharType="begin"/>
        </w:r>
        <w:r w:rsidR="00DB7855">
          <w:rPr>
            <w:noProof/>
            <w:webHidden/>
          </w:rPr>
          <w:instrText xml:space="preserve"> PAGEREF _Toc132713936 \h </w:instrText>
        </w:r>
        <w:r w:rsidR="00DB7855">
          <w:rPr>
            <w:noProof/>
            <w:webHidden/>
          </w:rPr>
        </w:r>
        <w:r w:rsidR="00DB7855">
          <w:rPr>
            <w:noProof/>
            <w:webHidden/>
          </w:rPr>
          <w:fldChar w:fldCharType="separate"/>
        </w:r>
        <w:r w:rsidR="00DB7855">
          <w:rPr>
            <w:noProof/>
            <w:webHidden/>
          </w:rPr>
          <w:t>186</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937" w:history="1">
        <w:r w:rsidR="00DB7855" w:rsidRPr="007C1B8D">
          <w:rPr>
            <w:rStyle w:val="Kpr"/>
            <w:b/>
            <w:bCs/>
            <w:noProof/>
          </w:rPr>
          <w:t>Tablo 6.9: 5015 sayılı Kanunun 20 nci maddesinin ikinci fıkrası (h) bendi kapsamında yapılan işlemler</w:t>
        </w:r>
        <w:r w:rsidR="00DB7855">
          <w:rPr>
            <w:noProof/>
            <w:webHidden/>
          </w:rPr>
          <w:tab/>
        </w:r>
        <w:r w:rsidR="00DB7855">
          <w:rPr>
            <w:noProof/>
            <w:webHidden/>
          </w:rPr>
          <w:fldChar w:fldCharType="begin"/>
        </w:r>
        <w:r w:rsidR="00DB7855">
          <w:rPr>
            <w:noProof/>
            <w:webHidden/>
          </w:rPr>
          <w:instrText xml:space="preserve"> PAGEREF _Toc132713937 \h </w:instrText>
        </w:r>
        <w:r w:rsidR="00DB7855">
          <w:rPr>
            <w:noProof/>
            <w:webHidden/>
          </w:rPr>
        </w:r>
        <w:r w:rsidR="00DB7855">
          <w:rPr>
            <w:noProof/>
            <w:webHidden/>
          </w:rPr>
          <w:fldChar w:fldCharType="separate"/>
        </w:r>
        <w:r w:rsidR="00DB7855">
          <w:rPr>
            <w:noProof/>
            <w:webHidden/>
          </w:rPr>
          <w:t>186</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938" w:history="1">
        <w:r w:rsidR="00DB7855" w:rsidRPr="007C1B8D">
          <w:rPr>
            <w:rStyle w:val="Kpr"/>
            <w:b/>
            <w:bCs/>
            <w:noProof/>
          </w:rPr>
          <w:t>Tablo 6.10: 531 Sıra Nolu V.U.K Genel Tebliği Uygulaması Kapsamında uygulanan Teminat Yükümlülüğüne Dair İl Bazında Veriler</w:t>
        </w:r>
        <w:r w:rsidR="00DB7855">
          <w:rPr>
            <w:noProof/>
            <w:webHidden/>
          </w:rPr>
          <w:tab/>
        </w:r>
        <w:r w:rsidR="00DB7855">
          <w:rPr>
            <w:noProof/>
            <w:webHidden/>
          </w:rPr>
          <w:fldChar w:fldCharType="begin"/>
        </w:r>
        <w:r w:rsidR="00DB7855">
          <w:rPr>
            <w:noProof/>
            <w:webHidden/>
          </w:rPr>
          <w:instrText xml:space="preserve"> PAGEREF _Toc132713938 \h </w:instrText>
        </w:r>
        <w:r w:rsidR="00DB7855">
          <w:rPr>
            <w:noProof/>
            <w:webHidden/>
          </w:rPr>
        </w:r>
        <w:r w:rsidR="00DB7855">
          <w:rPr>
            <w:noProof/>
            <w:webHidden/>
          </w:rPr>
          <w:fldChar w:fldCharType="separate"/>
        </w:r>
        <w:r w:rsidR="00DB7855">
          <w:rPr>
            <w:noProof/>
            <w:webHidden/>
          </w:rPr>
          <w:t>186</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939" w:history="1">
        <w:r w:rsidR="00DB7855" w:rsidRPr="007C1B8D">
          <w:rPr>
            <w:rStyle w:val="Kpr"/>
            <w:b/>
            <w:bCs/>
            <w:noProof/>
          </w:rPr>
          <w:t>Tablo 6.11: LPG Piyasasında 2022 Yılında Uygulanan İdari Para Cezalarının Lisans Tipine Göre Dağılımı</w:t>
        </w:r>
        <w:r w:rsidR="00DB7855">
          <w:rPr>
            <w:noProof/>
            <w:webHidden/>
          </w:rPr>
          <w:tab/>
        </w:r>
        <w:r w:rsidR="00DB7855">
          <w:rPr>
            <w:noProof/>
            <w:webHidden/>
          </w:rPr>
          <w:fldChar w:fldCharType="begin"/>
        </w:r>
        <w:r w:rsidR="00DB7855">
          <w:rPr>
            <w:noProof/>
            <w:webHidden/>
          </w:rPr>
          <w:instrText xml:space="preserve"> PAGEREF _Toc132713939 \h </w:instrText>
        </w:r>
        <w:r w:rsidR="00DB7855">
          <w:rPr>
            <w:noProof/>
            <w:webHidden/>
          </w:rPr>
        </w:r>
        <w:r w:rsidR="00DB7855">
          <w:rPr>
            <w:noProof/>
            <w:webHidden/>
          </w:rPr>
          <w:fldChar w:fldCharType="separate"/>
        </w:r>
        <w:r w:rsidR="00DB7855">
          <w:rPr>
            <w:noProof/>
            <w:webHidden/>
          </w:rPr>
          <w:t>189</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940" w:history="1">
        <w:r w:rsidR="00DB7855" w:rsidRPr="007C1B8D">
          <w:rPr>
            <w:rStyle w:val="Kpr"/>
            <w:b/>
            <w:bCs/>
            <w:noProof/>
          </w:rPr>
          <w:t>Tablo 6.12: LPG Piyasasında 2021-2022 Yıllarında Uygulanan İdari Para Cezalarının Lisans Tipine Göre Dağılımı</w:t>
        </w:r>
        <w:r w:rsidR="00DB7855">
          <w:rPr>
            <w:noProof/>
            <w:webHidden/>
          </w:rPr>
          <w:tab/>
        </w:r>
        <w:r w:rsidR="00DB7855">
          <w:rPr>
            <w:noProof/>
            <w:webHidden/>
          </w:rPr>
          <w:fldChar w:fldCharType="begin"/>
        </w:r>
        <w:r w:rsidR="00DB7855">
          <w:rPr>
            <w:noProof/>
            <w:webHidden/>
          </w:rPr>
          <w:instrText xml:space="preserve"> PAGEREF _Toc132713940 \h </w:instrText>
        </w:r>
        <w:r w:rsidR="00DB7855">
          <w:rPr>
            <w:noProof/>
            <w:webHidden/>
          </w:rPr>
        </w:r>
        <w:r w:rsidR="00DB7855">
          <w:rPr>
            <w:noProof/>
            <w:webHidden/>
          </w:rPr>
          <w:fldChar w:fldCharType="separate"/>
        </w:r>
        <w:r w:rsidR="00DB7855">
          <w:rPr>
            <w:noProof/>
            <w:webHidden/>
          </w:rPr>
          <w:t>189</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941" w:history="1">
        <w:r w:rsidR="00DB7855" w:rsidRPr="007C1B8D">
          <w:rPr>
            <w:rStyle w:val="Kpr"/>
            <w:b/>
            <w:bCs/>
            <w:noProof/>
          </w:rPr>
          <w:t>Tablo 6.13: LPG Piyasasında 2022 Yılında Uygulanan İdari Para Cezalarının İdari Para Cezasına Konu Fiillere Göre Dağılımı</w:t>
        </w:r>
        <w:r w:rsidR="00DB7855">
          <w:rPr>
            <w:noProof/>
            <w:webHidden/>
          </w:rPr>
          <w:tab/>
        </w:r>
        <w:r w:rsidR="00DB7855">
          <w:rPr>
            <w:noProof/>
            <w:webHidden/>
          </w:rPr>
          <w:fldChar w:fldCharType="begin"/>
        </w:r>
        <w:r w:rsidR="00DB7855">
          <w:rPr>
            <w:noProof/>
            <w:webHidden/>
          </w:rPr>
          <w:instrText xml:space="preserve"> PAGEREF _Toc132713941 \h </w:instrText>
        </w:r>
        <w:r w:rsidR="00DB7855">
          <w:rPr>
            <w:noProof/>
            <w:webHidden/>
          </w:rPr>
        </w:r>
        <w:r w:rsidR="00DB7855">
          <w:rPr>
            <w:noProof/>
            <w:webHidden/>
          </w:rPr>
          <w:fldChar w:fldCharType="separate"/>
        </w:r>
        <w:r w:rsidR="00DB7855">
          <w:rPr>
            <w:noProof/>
            <w:webHidden/>
          </w:rPr>
          <w:t>189</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942" w:history="1">
        <w:r w:rsidR="00DB7855" w:rsidRPr="007C1B8D">
          <w:rPr>
            <w:rStyle w:val="Kpr"/>
            <w:b/>
            <w:noProof/>
          </w:rPr>
          <w:t>Şekil 7.1: 2022 Yılında Taşınmaz Teminine İlişkin Alınan Kurul Kararlarının İşlem Bazında Dağılımı</w:t>
        </w:r>
        <w:r w:rsidR="00DB7855">
          <w:rPr>
            <w:noProof/>
            <w:webHidden/>
          </w:rPr>
          <w:tab/>
        </w:r>
        <w:r w:rsidR="00DB7855">
          <w:rPr>
            <w:noProof/>
            <w:webHidden/>
          </w:rPr>
          <w:fldChar w:fldCharType="begin"/>
        </w:r>
        <w:r w:rsidR="00DB7855">
          <w:rPr>
            <w:noProof/>
            <w:webHidden/>
          </w:rPr>
          <w:instrText xml:space="preserve"> PAGEREF _Toc132713942 \h </w:instrText>
        </w:r>
        <w:r w:rsidR="00DB7855">
          <w:rPr>
            <w:noProof/>
            <w:webHidden/>
          </w:rPr>
        </w:r>
        <w:r w:rsidR="00DB7855">
          <w:rPr>
            <w:noProof/>
            <w:webHidden/>
          </w:rPr>
          <w:fldChar w:fldCharType="separate"/>
        </w:r>
        <w:r w:rsidR="00DB7855">
          <w:rPr>
            <w:noProof/>
            <w:webHidden/>
          </w:rPr>
          <w:t>191</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943" w:history="1">
        <w:r w:rsidR="00DB7855" w:rsidRPr="007C1B8D">
          <w:rPr>
            <w:rStyle w:val="Kpr"/>
            <w:b/>
            <w:bCs/>
            <w:noProof/>
          </w:rPr>
          <w:t>Şekil 7.2: 2022 Yılında Taşınmaz Teminine İlişkin Alınan Kurul Kararlarının Sektörel Dağılımı</w:t>
        </w:r>
        <w:r w:rsidR="00DB7855">
          <w:rPr>
            <w:noProof/>
            <w:webHidden/>
          </w:rPr>
          <w:tab/>
        </w:r>
        <w:r w:rsidR="00DB7855">
          <w:rPr>
            <w:noProof/>
            <w:webHidden/>
          </w:rPr>
          <w:fldChar w:fldCharType="begin"/>
        </w:r>
        <w:r w:rsidR="00DB7855">
          <w:rPr>
            <w:noProof/>
            <w:webHidden/>
          </w:rPr>
          <w:instrText xml:space="preserve"> PAGEREF _Toc132713943 \h </w:instrText>
        </w:r>
        <w:r w:rsidR="00DB7855">
          <w:rPr>
            <w:noProof/>
            <w:webHidden/>
          </w:rPr>
        </w:r>
        <w:r w:rsidR="00DB7855">
          <w:rPr>
            <w:noProof/>
            <w:webHidden/>
          </w:rPr>
          <w:fldChar w:fldCharType="separate"/>
        </w:r>
        <w:r w:rsidR="00DB7855">
          <w:rPr>
            <w:noProof/>
            <w:webHidden/>
          </w:rPr>
          <w:t>192</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944" w:history="1">
        <w:r w:rsidR="00DB7855" w:rsidRPr="007C1B8D">
          <w:rPr>
            <w:rStyle w:val="Kpr"/>
            <w:b/>
            <w:noProof/>
          </w:rPr>
          <w:t>Tablo 8.1: 2022 Yılı Sonu İtibariyle Kurumumuzun Taraf Olduğu Toplam Dava Sayısı</w:t>
        </w:r>
        <w:r w:rsidR="00DB7855">
          <w:rPr>
            <w:noProof/>
            <w:webHidden/>
          </w:rPr>
          <w:tab/>
        </w:r>
        <w:r w:rsidR="00DB7855">
          <w:rPr>
            <w:noProof/>
            <w:webHidden/>
          </w:rPr>
          <w:fldChar w:fldCharType="begin"/>
        </w:r>
        <w:r w:rsidR="00DB7855">
          <w:rPr>
            <w:noProof/>
            <w:webHidden/>
          </w:rPr>
          <w:instrText xml:space="preserve"> PAGEREF _Toc132713944 \h </w:instrText>
        </w:r>
        <w:r w:rsidR="00DB7855">
          <w:rPr>
            <w:noProof/>
            <w:webHidden/>
          </w:rPr>
        </w:r>
        <w:r w:rsidR="00DB7855">
          <w:rPr>
            <w:noProof/>
            <w:webHidden/>
          </w:rPr>
          <w:fldChar w:fldCharType="separate"/>
        </w:r>
        <w:r w:rsidR="00DB7855">
          <w:rPr>
            <w:noProof/>
            <w:webHidden/>
          </w:rPr>
          <w:t>194</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945" w:history="1">
        <w:r w:rsidR="00DB7855" w:rsidRPr="007C1B8D">
          <w:rPr>
            <w:rStyle w:val="Kpr"/>
            <w:b/>
            <w:bCs/>
            <w:noProof/>
          </w:rPr>
          <w:t>Tablo 8.2: 2022 Yılı Sonu İtibariyle Kurumumuzun Taraf Olduğu Davaların Piyasalara Dağılımı</w:t>
        </w:r>
        <w:r w:rsidR="00DB7855">
          <w:rPr>
            <w:noProof/>
            <w:webHidden/>
          </w:rPr>
          <w:tab/>
        </w:r>
        <w:r w:rsidR="00DB7855">
          <w:rPr>
            <w:noProof/>
            <w:webHidden/>
          </w:rPr>
          <w:fldChar w:fldCharType="begin"/>
        </w:r>
        <w:r w:rsidR="00DB7855">
          <w:rPr>
            <w:noProof/>
            <w:webHidden/>
          </w:rPr>
          <w:instrText xml:space="preserve"> PAGEREF _Toc132713945 \h </w:instrText>
        </w:r>
        <w:r w:rsidR="00DB7855">
          <w:rPr>
            <w:noProof/>
            <w:webHidden/>
          </w:rPr>
        </w:r>
        <w:r w:rsidR="00DB7855">
          <w:rPr>
            <w:noProof/>
            <w:webHidden/>
          </w:rPr>
          <w:fldChar w:fldCharType="separate"/>
        </w:r>
        <w:r w:rsidR="00DB7855">
          <w:rPr>
            <w:noProof/>
            <w:webHidden/>
          </w:rPr>
          <w:t>194</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946" w:history="1">
        <w:r w:rsidR="00DB7855" w:rsidRPr="007C1B8D">
          <w:rPr>
            <w:rStyle w:val="Kpr"/>
            <w:b/>
            <w:noProof/>
          </w:rPr>
          <w:t>Tablo 8.3: 2022 Yılında Kurumumuzun Taraf Olduğu Davaların Dağılımı</w:t>
        </w:r>
        <w:r w:rsidR="00DB7855">
          <w:rPr>
            <w:noProof/>
            <w:webHidden/>
          </w:rPr>
          <w:tab/>
        </w:r>
        <w:r w:rsidR="00DB7855">
          <w:rPr>
            <w:noProof/>
            <w:webHidden/>
          </w:rPr>
          <w:fldChar w:fldCharType="begin"/>
        </w:r>
        <w:r w:rsidR="00DB7855">
          <w:rPr>
            <w:noProof/>
            <w:webHidden/>
          </w:rPr>
          <w:instrText xml:space="preserve"> PAGEREF _Toc132713946 \h </w:instrText>
        </w:r>
        <w:r w:rsidR="00DB7855">
          <w:rPr>
            <w:noProof/>
            <w:webHidden/>
          </w:rPr>
        </w:r>
        <w:r w:rsidR="00DB7855">
          <w:rPr>
            <w:noProof/>
            <w:webHidden/>
          </w:rPr>
          <w:fldChar w:fldCharType="separate"/>
        </w:r>
        <w:r w:rsidR="00DB7855">
          <w:rPr>
            <w:noProof/>
            <w:webHidden/>
          </w:rPr>
          <w:t>194</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947" w:history="1">
        <w:r w:rsidR="00DB7855" w:rsidRPr="007C1B8D">
          <w:rPr>
            <w:rStyle w:val="Kpr"/>
            <w:b/>
            <w:bCs/>
            <w:noProof/>
          </w:rPr>
          <w:t>Şekil 8.1: Yıllar İtibarıyla Kuruma Açılan Davaların Piyasa Bazında Dağılımı</w:t>
        </w:r>
        <w:r w:rsidR="00DB7855">
          <w:rPr>
            <w:noProof/>
            <w:webHidden/>
          </w:rPr>
          <w:tab/>
        </w:r>
        <w:r w:rsidR="00DB7855">
          <w:rPr>
            <w:noProof/>
            <w:webHidden/>
          </w:rPr>
          <w:fldChar w:fldCharType="begin"/>
        </w:r>
        <w:r w:rsidR="00DB7855">
          <w:rPr>
            <w:noProof/>
            <w:webHidden/>
          </w:rPr>
          <w:instrText xml:space="preserve"> PAGEREF _Toc132713947 \h </w:instrText>
        </w:r>
        <w:r w:rsidR="00DB7855">
          <w:rPr>
            <w:noProof/>
            <w:webHidden/>
          </w:rPr>
        </w:r>
        <w:r w:rsidR="00DB7855">
          <w:rPr>
            <w:noProof/>
            <w:webHidden/>
          </w:rPr>
          <w:fldChar w:fldCharType="separate"/>
        </w:r>
        <w:r w:rsidR="00DB7855">
          <w:rPr>
            <w:noProof/>
            <w:webHidden/>
          </w:rPr>
          <w:t>195</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948" w:history="1">
        <w:r w:rsidR="00DB7855" w:rsidRPr="007C1B8D">
          <w:rPr>
            <w:rStyle w:val="Kpr"/>
            <w:b/>
            <w:bCs/>
            <w:noProof/>
          </w:rPr>
          <w:t>Tablo 8.4: 2022 Yılında Takip Edilen Dava Dışı Dosyaların Dağılımı</w:t>
        </w:r>
        <w:r w:rsidR="00DB7855">
          <w:rPr>
            <w:noProof/>
            <w:webHidden/>
          </w:rPr>
          <w:tab/>
        </w:r>
        <w:r w:rsidR="00DB7855">
          <w:rPr>
            <w:noProof/>
            <w:webHidden/>
          </w:rPr>
          <w:fldChar w:fldCharType="begin"/>
        </w:r>
        <w:r w:rsidR="00DB7855">
          <w:rPr>
            <w:noProof/>
            <w:webHidden/>
          </w:rPr>
          <w:instrText xml:space="preserve"> PAGEREF _Toc132713948 \h </w:instrText>
        </w:r>
        <w:r w:rsidR="00DB7855">
          <w:rPr>
            <w:noProof/>
            <w:webHidden/>
          </w:rPr>
        </w:r>
        <w:r w:rsidR="00DB7855">
          <w:rPr>
            <w:noProof/>
            <w:webHidden/>
          </w:rPr>
          <w:fldChar w:fldCharType="separate"/>
        </w:r>
        <w:r w:rsidR="00DB7855">
          <w:rPr>
            <w:noProof/>
            <w:webHidden/>
          </w:rPr>
          <w:t>195</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949" w:history="1">
        <w:r w:rsidR="00DB7855" w:rsidRPr="007C1B8D">
          <w:rPr>
            <w:rStyle w:val="Kpr"/>
            <w:b/>
            <w:noProof/>
          </w:rPr>
          <w:t>Tablo 8.5: 2022 Yılı Sonu İtibariyle Kurumumuzun Takip Ettiği İdari Davaların Kesinleşme Durumu</w:t>
        </w:r>
        <w:r w:rsidR="00DB7855">
          <w:rPr>
            <w:noProof/>
            <w:webHidden/>
          </w:rPr>
          <w:tab/>
        </w:r>
        <w:r w:rsidR="00DB7855">
          <w:rPr>
            <w:noProof/>
            <w:webHidden/>
          </w:rPr>
          <w:fldChar w:fldCharType="begin"/>
        </w:r>
        <w:r w:rsidR="00DB7855">
          <w:rPr>
            <w:noProof/>
            <w:webHidden/>
          </w:rPr>
          <w:instrText xml:space="preserve"> PAGEREF _Toc132713949 \h </w:instrText>
        </w:r>
        <w:r w:rsidR="00DB7855">
          <w:rPr>
            <w:noProof/>
            <w:webHidden/>
          </w:rPr>
        </w:r>
        <w:r w:rsidR="00DB7855">
          <w:rPr>
            <w:noProof/>
            <w:webHidden/>
          </w:rPr>
          <w:fldChar w:fldCharType="separate"/>
        </w:r>
        <w:r w:rsidR="00DB7855">
          <w:rPr>
            <w:noProof/>
            <w:webHidden/>
          </w:rPr>
          <w:t>196</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950" w:history="1">
        <w:r w:rsidR="00DB7855" w:rsidRPr="007C1B8D">
          <w:rPr>
            <w:rStyle w:val="Kpr"/>
            <w:b/>
            <w:bCs/>
            <w:noProof/>
          </w:rPr>
          <w:t>Tablo 8.6: 2022 Yılı Sonu İtibariyle Kurumumuzun Taraf Olduğu Davalardan Kesinleştiği Tespit Edilen Davaların, Sonuçları Bakımından Dağılımı</w:t>
        </w:r>
        <w:r w:rsidR="00DB7855">
          <w:rPr>
            <w:noProof/>
            <w:webHidden/>
          </w:rPr>
          <w:tab/>
        </w:r>
        <w:r w:rsidR="00DB7855">
          <w:rPr>
            <w:noProof/>
            <w:webHidden/>
          </w:rPr>
          <w:fldChar w:fldCharType="begin"/>
        </w:r>
        <w:r w:rsidR="00DB7855">
          <w:rPr>
            <w:noProof/>
            <w:webHidden/>
          </w:rPr>
          <w:instrText xml:space="preserve"> PAGEREF _Toc132713950 \h </w:instrText>
        </w:r>
        <w:r w:rsidR="00DB7855">
          <w:rPr>
            <w:noProof/>
            <w:webHidden/>
          </w:rPr>
        </w:r>
        <w:r w:rsidR="00DB7855">
          <w:rPr>
            <w:noProof/>
            <w:webHidden/>
          </w:rPr>
          <w:fldChar w:fldCharType="separate"/>
        </w:r>
        <w:r w:rsidR="00DB7855">
          <w:rPr>
            <w:noProof/>
            <w:webHidden/>
          </w:rPr>
          <w:t>196</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951" w:history="1">
        <w:r w:rsidR="00DB7855" w:rsidRPr="007C1B8D">
          <w:rPr>
            <w:rStyle w:val="Kpr"/>
            <w:b/>
            <w:noProof/>
          </w:rPr>
          <w:t>Tablo 8.7: 2022 Yılı Sonu İtibariyle Kurumumuzun Taraf Olduğu Davalardan Sona Eren Davaların, Sonuçları Bakımından Dağılımı</w:t>
        </w:r>
        <w:r w:rsidR="00DB7855">
          <w:rPr>
            <w:noProof/>
            <w:webHidden/>
          </w:rPr>
          <w:tab/>
        </w:r>
        <w:r w:rsidR="00DB7855">
          <w:rPr>
            <w:noProof/>
            <w:webHidden/>
          </w:rPr>
          <w:fldChar w:fldCharType="begin"/>
        </w:r>
        <w:r w:rsidR="00DB7855">
          <w:rPr>
            <w:noProof/>
            <w:webHidden/>
          </w:rPr>
          <w:instrText xml:space="preserve"> PAGEREF _Toc132713951 \h </w:instrText>
        </w:r>
        <w:r w:rsidR="00DB7855">
          <w:rPr>
            <w:noProof/>
            <w:webHidden/>
          </w:rPr>
        </w:r>
        <w:r w:rsidR="00DB7855">
          <w:rPr>
            <w:noProof/>
            <w:webHidden/>
          </w:rPr>
          <w:fldChar w:fldCharType="separate"/>
        </w:r>
        <w:r w:rsidR="00DB7855">
          <w:rPr>
            <w:noProof/>
            <w:webHidden/>
          </w:rPr>
          <w:t>196</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952" w:history="1">
        <w:r w:rsidR="00DB7855" w:rsidRPr="007C1B8D">
          <w:rPr>
            <w:rStyle w:val="Kpr"/>
            <w:b/>
            <w:noProof/>
          </w:rPr>
          <w:t>Şekil 8.2:</w:t>
        </w:r>
        <w:r w:rsidR="00DB7855" w:rsidRPr="007C1B8D">
          <w:rPr>
            <w:rStyle w:val="Kpr"/>
            <w:b/>
            <w:bCs/>
            <w:noProof/>
          </w:rPr>
          <w:t xml:space="preserve"> 2022 Yılı Sonu İtibariyle Kurumumuzun Taraf Olduğu Davaların Sonuçları Bakımından Dağılımı</w:t>
        </w:r>
        <w:r w:rsidR="00DB7855">
          <w:rPr>
            <w:noProof/>
            <w:webHidden/>
          </w:rPr>
          <w:tab/>
        </w:r>
        <w:r w:rsidR="00DB7855">
          <w:rPr>
            <w:noProof/>
            <w:webHidden/>
          </w:rPr>
          <w:fldChar w:fldCharType="begin"/>
        </w:r>
        <w:r w:rsidR="00DB7855">
          <w:rPr>
            <w:noProof/>
            <w:webHidden/>
          </w:rPr>
          <w:instrText xml:space="preserve"> PAGEREF _Toc132713952 \h </w:instrText>
        </w:r>
        <w:r w:rsidR="00DB7855">
          <w:rPr>
            <w:noProof/>
            <w:webHidden/>
          </w:rPr>
        </w:r>
        <w:r w:rsidR="00DB7855">
          <w:rPr>
            <w:noProof/>
            <w:webHidden/>
          </w:rPr>
          <w:fldChar w:fldCharType="separate"/>
        </w:r>
        <w:r w:rsidR="00DB7855">
          <w:rPr>
            <w:noProof/>
            <w:webHidden/>
          </w:rPr>
          <w:t>197</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953" w:history="1">
        <w:r w:rsidR="00DB7855" w:rsidRPr="007C1B8D">
          <w:rPr>
            <w:rStyle w:val="Kpr"/>
            <w:b/>
            <w:bCs/>
            <w:noProof/>
          </w:rPr>
          <w:t>Tablo 8.8: Yıllar İtibariyle Arabuluculuk Dosya Sayısı Dağılımı</w:t>
        </w:r>
        <w:r w:rsidR="00DB7855">
          <w:rPr>
            <w:noProof/>
            <w:webHidden/>
          </w:rPr>
          <w:tab/>
        </w:r>
        <w:r w:rsidR="00DB7855">
          <w:rPr>
            <w:noProof/>
            <w:webHidden/>
          </w:rPr>
          <w:fldChar w:fldCharType="begin"/>
        </w:r>
        <w:r w:rsidR="00DB7855">
          <w:rPr>
            <w:noProof/>
            <w:webHidden/>
          </w:rPr>
          <w:instrText xml:space="preserve"> PAGEREF _Toc132713953 \h </w:instrText>
        </w:r>
        <w:r w:rsidR="00DB7855">
          <w:rPr>
            <w:noProof/>
            <w:webHidden/>
          </w:rPr>
        </w:r>
        <w:r w:rsidR="00DB7855">
          <w:rPr>
            <w:noProof/>
            <w:webHidden/>
          </w:rPr>
          <w:fldChar w:fldCharType="separate"/>
        </w:r>
        <w:r w:rsidR="00DB7855">
          <w:rPr>
            <w:noProof/>
            <w:webHidden/>
          </w:rPr>
          <w:t>197</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954" w:history="1">
        <w:r w:rsidR="00DB7855" w:rsidRPr="007C1B8D">
          <w:rPr>
            <w:rStyle w:val="Kpr"/>
            <w:b/>
            <w:bCs/>
            <w:noProof/>
          </w:rPr>
          <w:t>Tablo 8.9: 2022 Yılı Sonu İtibariyle Hukuk Dairesi Başkanlığı Tarafından Verilen Görüşlerin Dağılımı</w:t>
        </w:r>
        <w:r w:rsidR="00DB7855">
          <w:rPr>
            <w:noProof/>
            <w:webHidden/>
          </w:rPr>
          <w:tab/>
        </w:r>
        <w:r w:rsidR="00DB7855">
          <w:rPr>
            <w:noProof/>
            <w:webHidden/>
          </w:rPr>
          <w:fldChar w:fldCharType="begin"/>
        </w:r>
        <w:r w:rsidR="00DB7855">
          <w:rPr>
            <w:noProof/>
            <w:webHidden/>
          </w:rPr>
          <w:instrText xml:space="preserve"> PAGEREF _Toc132713954 \h </w:instrText>
        </w:r>
        <w:r w:rsidR="00DB7855">
          <w:rPr>
            <w:noProof/>
            <w:webHidden/>
          </w:rPr>
        </w:r>
        <w:r w:rsidR="00DB7855">
          <w:rPr>
            <w:noProof/>
            <w:webHidden/>
          </w:rPr>
          <w:fldChar w:fldCharType="separate"/>
        </w:r>
        <w:r w:rsidR="00DB7855">
          <w:rPr>
            <w:noProof/>
            <w:webHidden/>
          </w:rPr>
          <w:t>198</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955" w:history="1">
        <w:r w:rsidR="00DB7855" w:rsidRPr="007C1B8D">
          <w:rPr>
            <w:rStyle w:val="Kpr"/>
            <w:b/>
            <w:noProof/>
          </w:rPr>
          <w:t>Tablo 8.10: Yıllar İtibariyle Hukuk Dairesi Başkanlığı Tarafından Verilen Görüşlerin Dağılımı</w:t>
        </w:r>
        <w:r w:rsidR="00DB7855">
          <w:rPr>
            <w:noProof/>
            <w:webHidden/>
          </w:rPr>
          <w:tab/>
        </w:r>
        <w:r w:rsidR="00DB7855">
          <w:rPr>
            <w:noProof/>
            <w:webHidden/>
          </w:rPr>
          <w:fldChar w:fldCharType="begin"/>
        </w:r>
        <w:r w:rsidR="00DB7855">
          <w:rPr>
            <w:noProof/>
            <w:webHidden/>
          </w:rPr>
          <w:instrText xml:space="preserve"> PAGEREF _Toc132713955 \h </w:instrText>
        </w:r>
        <w:r w:rsidR="00DB7855">
          <w:rPr>
            <w:noProof/>
            <w:webHidden/>
          </w:rPr>
        </w:r>
        <w:r w:rsidR="00DB7855">
          <w:rPr>
            <w:noProof/>
            <w:webHidden/>
          </w:rPr>
          <w:fldChar w:fldCharType="separate"/>
        </w:r>
        <w:r w:rsidR="00DB7855">
          <w:rPr>
            <w:noProof/>
            <w:webHidden/>
          </w:rPr>
          <w:t>198</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956" w:history="1">
        <w:r w:rsidR="00DB7855" w:rsidRPr="007C1B8D">
          <w:rPr>
            <w:rStyle w:val="Kpr"/>
            <w:b/>
            <w:noProof/>
          </w:rPr>
          <w:t>Şekil 8.3: Yıllar İtibariyle Hukuk Dairesi Başkanlığı Tarafından Verilen Görüşlerin Dağılımı</w:t>
        </w:r>
        <w:r w:rsidR="00DB7855">
          <w:rPr>
            <w:noProof/>
            <w:webHidden/>
          </w:rPr>
          <w:tab/>
        </w:r>
        <w:r w:rsidR="00DB7855">
          <w:rPr>
            <w:noProof/>
            <w:webHidden/>
          </w:rPr>
          <w:fldChar w:fldCharType="begin"/>
        </w:r>
        <w:r w:rsidR="00DB7855">
          <w:rPr>
            <w:noProof/>
            <w:webHidden/>
          </w:rPr>
          <w:instrText xml:space="preserve"> PAGEREF _Toc132713956 \h </w:instrText>
        </w:r>
        <w:r w:rsidR="00DB7855">
          <w:rPr>
            <w:noProof/>
            <w:webHidden/>
          </w:rPr>
        </w:r>
        <w:r w:rsidR="00DB7855">
          <w:rPr>
            <w:noProof/>
            <w:webHidden/>
          </w:rPr>
          <w:fldChar w:fldCharType="separate"/>
        </w:r>
        <w:r w:rsidR="00DB7855">
          <w:rPr>
            <w:noProof/>
            <w:webHidden/>
          </w:rPr>
          <w:t>199</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957" w:history="1">
        <w:r w:rsidR="00DB7855" w:rsidRPr="007C1B8D">
          <w:rPr>
            <w:rStyle w:val="Kpr"/>
            <w:b/>
            <w:bCs/>
            <w:noProof/>
          </w:rPr>
          <w:t>Şekil 9.1: Şikâyet Başlığı Altında İşlem Gören Bildirimlerin 2022 Yılı Aylar İtibarıyla Yüzdesel Dağılımı</w:t>
        </w:r>
        <w:r w:rsidR="00DB7855">
          <w:rPr>
            <w:noProof/>
            <w:webHidden/>
          </w:rPr>
          <w:tab/>
        </w:r>
        <w:r w:rsidR="00DB7855">
          <w:rPr>
            <w:noProof/>
            <w:webHidden/>
          </w:rPr>
          <w:fldChar w:fldCharType="begin"/>
        </w:r>
        <w:r w:rsidR="00DB7855">
          <w:rPr>
            <w:noProof/>
            <w:webHidden/>
          </w:rPr>
          <w:instrText xml:space="preserve"> PAGEREF _Toc132713957 \h </w:instrText>
        </w:r>
        <w:r w:rsidR="00DB7855">
          <w:rPr>
            <w:noProof/>
            <w:webHidden/>
          </w:rPr>
        </w:r>
        <w:r w:rsidR="00DB7855">
          <w:rPr>
            <w:noProof/>
            <w:webHidden/>
          </w:rPr>
          <w:fldChar w:fldCharType="separate"/>
        </w:r>
        <w:r w:rsidR="00DB7855">
          <w:rPr>
            <w:noProof/>
            <w:webHidden/>
          </w:rPr>
          <w:t>201</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958" w:history="1">
        <w:r w:rsidR="00DB7855" w:rsidRPr="007C1B8D">
          <w:rPr>
            <w:rStyle w:val="Kpr"/>
            <w:b/>
            <w:bCs/>
            <w:noProof/>
          </w:rPr>
          <w:t>Şekil 9.2: Şikâyet Bildirimlerinin Şikâyet Kanallarına Göre Yüzdesel Dağılımı</w:t>
        </w:r>
        <w:r w:rsidR="00DB7855">
          <w:rPr>
            <w:noProof/>
            <w:webHidden/>
          </w:rPr>
          <w:tab/>
        </w:r>
        <w:r w:rsidR="00DB7855">
          <w:rPr>
            <w:noProof/>
            <w:webHidden/>
          </w:rPr>
          <w:fldChar w:fldCharType="begin"/>
        </w:r>
        <w:r w:rsidR="00DB7855">
          <w:rPr>
            <w:noProof/>
            <w:webHidden/>
          </w:rPr>
          <w:instrText xml:space="preserve"> PAGEREF _Toc132713958 \h </w:instrText>
        </w:r>
        <w:r w:rsidR="00DB7855">
          <w:rPr>
            <w:noProof/>
            <w:webHidden/>
          </w:rPr>
        </w:r>
        <w:r w:rsidR="00DB7855">
          <w:rPr>
            <w:noProof/>
            <w:webHidden/>
          </w:rPr>
          <w:fldChar w:fldCharType="separate"/>
        </w:r>
        <w:r w:rsidR="00DB7855">
          <w:rPr>
            <w:noProof/>
            <w:webHidden/>
          </w:rPr>
          <w:t>202</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959" w:history="1">
        <w:r w:rsidR="00DB7855" w:rsidRPr="007C1B8D">
          <w:rPr>
            <w:rStyle w:val="Kpr"/>
            <w:b/>
            <w:bCs/>
            <w:noProof/>
          </w:rPr>
          <w:t>Şekil 9.3: Şikâyet Bildirimlerinin Sektörel Dağılımı</w:t>
        </w:r>
        <w:r w:rsidR="00DB7855">
          <w:rPr>
            <w:noProof/>
            <w:webHidden/>
          </w:rPr>
          <w:tab/>
        </w:r>
        <w:r w:rsidR="00DB7855">
          <w:rPr>
            <w:noProof/>
            <w:webHidden/>
          </w:rPr>
          <w:fldChar w:fldCharType="begin"/>
        </w:r>
        <w:r w:rsidR="00DB7855">
          <w:rPr>
            <w:noProof/>
            <w:webHidden/>
          </w:rPr>
          <w:instrText xml:space="preserve"> PAGEREF _Toc132713959 \h </w:instrText>
        </w:r>
        <w:r w:rsidR="00DB7855">
          <w:rPr>
            <w:noProof/>
            <w:webHidden/>
          </w:rPr>
        </w:r>
        <w:r w:rsidR="00DB7855">
          <w:rPr>
            <w:noProof/>
            <w:webHidden/>
          </w:rPr>
          <w:fldChar w:fldCharType="separate"/>
        </w:r>
        <w:r w:rsidR="00DB7855">
          <w:rPr>
            <w:noProof/>
            <w:webHidden/>
          </w:rPr>
          <w:t>203</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960" w:history="1">
        <w:r w:rsidR="00DB7855" w:rsidRPr="007C1B8D">
          <w:rPr>
            <w:rStyle w:val="Kpr"/>
            <w:b/>
            <w:bCs/>
            <w:noProof/>
          </w:rPr>
          <w:t>Şekil 9.4: Şikâyet Bildirimlerinin Gönderildikleri Yerlere Göre Dağılımı</w:t>
        </w:r>
        <w:r w:rsidR="00DB7855">
          <w:rPr>
            <w:noProof/>
            <w:webHidden/>
          </w:rPr>
          <w:tab/>
        </w:r>
        <w:r w:rsidR="00DB7855">
          <w:rPr>
            <w:noProof/>
            <w:webHidden/>
          </w:rPr>
          <w:fldChar w:fldCharType="begin"/>
        </w:r>
        <w:r w:rsidR="00DB7855">
          <w:rPr>
            <w:noProof/>
            <w:webHidden/>
          </w:rPr>
          <w:instrText xml:space="preserve"> PAGEREF _Toc132713960 \h </w:instrText>
        </w:r>
        <w:r w:rsidR="00DB7855">
          <w:rPr>
            <w:noProof/>
            <w:webHidden/>
          </w:rPr>
        </w:r>
        <w:r w:rsidR="00DB7855">
          <w:rPr>
            <w:noProof/>
            <w:webHidden/>
          </w:rPr>
          <w:fldChar w:fldCharType="separate"/>
        </w:r>
        <w:r w:rsidR="00DB7855">
          <w:rPr>
            <w:noProof/>
            <w:webHidden/>
          </w:rPr>
          <w:t>203</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961" w:history="1">
        <w:r w:rsidR="00DB7855" w:rsidRPr="007C1B8D">
          <w:rPr>
            <w:rStyle w:val="Kpr"/>
            <w:b/>
            <w:bCs/>
            <w:noProof/>
          </w:rPr>
          <w:t>Şekil 9.5: Elektrik Sektörüne Ait Şikâyetlerin Alt Sınıflandırmasının Yüzdesel Dağılımı</w:t>
        </w:r>
        <w:r w:rsidR="00DB7855">
          <w:rPr>
            <w:noProof/>
            <w:webHidden/>
          </w:rPr>
          <w:tab/>
        </w:r>
        <w:r w:rsidR="00DB7855">
          <w:rPr>
            <w:noProof/>
            <w:webHidden/>
          </w:rPr>
          <w:fldChar w:fldCharType="begin"/>
        </w:r>
        <w:r w:rsidR="00DB7855">
          <w:rPr>
            <w:noProof/>
            <w:webHidden/>
          </w:rPr>
          <w:instrText xml:space="preserve"> PAGEREF _Toc132713961 \h </w:instrText>
        </w:r>
        <w:r w:rsidR="00DB7855">
          <w:rPr>
            <w:noProof/>
            <w:webHidden/>
          </w:rPr>
        </w:r>
        <w:r w:rsidR="00DB7855">
          <w:rPr>
            <w:noProof/>
            <w:webHidden/>
          </w:rPr>
          <w:fldChar w:fldCharType="separate"/>
        </w:r>
        <w:r w:rsidR="00DB7855">
          <w:rPr>
            <w:noProof/>
            <w:webHidden/>
          </w:rPr>
          <w:t>204</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962" w:history="1">
        <w:r w:rsidR="00DB7855" w:rsidRPr="007C1B8D">
          <w:rPr>
            <w:rStyle w:val="Kpr"/>
            <w:b/>
            <w:bCs/>
            <w:noProof/>
          </w:rPr>
          <w:t>Şekil 9.6: Elektrik Sektöründe İşlem Gören Bildirimlerin Aylara Göre Yüzdesel Dağılımı</w:t>
        </w:r>
        <w:r w:rsidR="00DB7855">
          <w:rPr>
            <w:noProof/>
            <w:webHidden/>
          </w:rPr>
          <w:tab/>
        </w:r>
        <w:r w:rsidR="00DB7855">
          <w:rPr>
            <w:noProof/>
            <w:webHidden/>
          </w:rPr>
          <w:fldChar w:fldCharType="begin"/>
        </w:r>
        <w:r w:rsidR="00DB7855">
          <w:rPr>
            <w:noProof/>
            <w:webHidden/>
          </w:rPr>
          <w:instrText xml:space="preserve"> PAGEREF _Toc132713962 \h </w:instrText>
        </w:r>
        <w:r w:rsidR="00DB7855">
          <w:rPr>
            <w:noProof/>
            <w:webHidden/>
          </w:rPr>
        </w:r>
        <w:r w:rsidR="00DB7855">
          <w:rPr>
            <w:noProof/>
            <w:webHidden/>
          </w:rPr>
          <w:fldChar w:fldCharType="separate"/>
        </w:r>
        <w:r w:rsidR="00DB7855">
          <w:rPr>
            <w:noProof/>
            <w:webHidden/>
          </w:rPr>
          <w:t>205</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963" w:history="1">
        <w:r w:rsidR="00DB7855" w:rsidRPr="007C1B8D">
          <w:rPr>
            <w:rStyle w:val="Kpr"/>
            <w:b/>
            <w:bCs/>
            <w:noProof/>
          </w:rPr>
          <w:t>Şekil 9.7: Doğal Gaz Sektörüne Ait Şikâyetlerin Alt Sınıflandırmasının Yüzdesel Dağılımı</w:t>
        </w:r>
        <w:r w:rsidR="00DB7855">
          <w:rPr>
            <w:noProof/>
            <w:webHidden/>
          </w:rPr>
          <w:tab/>
        </w:r>
        <w:r w:rsidR="00DB7855">
          <w:rPr>
            <w:noProof/>
            <w:webHidden/>
          </w:rPr>
          <w:fldChar w:fldCharType="begin"/>
        </w:r>
        <w:r w:rsidR="00DB7855">
          <w:rPr>
            <w:noProof/>
            <w:webHidden/>
          </w:rPr>
          <w:instrText xml:space="preserve"> PAGEREF _Toc132713963 \h </w:instrText>
        </w:r>
        <w:r w:rsidR="00DB7855">
          <w:rPr>
            <w:noProof/>
            <w:webHidden/>
          </w:rPr>
        </w:r>
        <w:r w:rsidR="00DB7855">
          <w:rPr>
            <w:noProof/>
            <w:webHidden/>
          </w:rPr>
          <w:fldChar w:fldCharType="separate"/>
        </w:r>
        <w:r w:rsidR="00DB7855">
          <w:rPr>
            <w:noProof/>
            <w:webHidden/>
          </w:rPr>
          <w:t>206</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964" w:history="1">
        <w:r w:rsidR="00DB7855" w:rsidRPr="007C1B8D">
          <w:rPr>
            <w:rStyle w:val="Kpr"/>
            <w:b/>
            <w:bCs/>
            <w:noProof/>
          </w:rPr>
          <w:t>Şekil 9.8: Doğal Gaz Sektöründe İşlem Gören Bildirimlerin Aylara Göre Yüzdesel Dağılımı</w:t>
        </w:r>
        <w:r w:rsidR="00DB7855">
          <w:rPr>
            <w:noProof/>
            <w:webHidden/>
          </w:rPr>
          <w:tab/>
        </w:r>
        <w:r w:rsidR="00DB7855">
          <w:rPr>
            <w:noProof/>
            <w:webHidden/>
          </w:rPr>
          <w:fldChar w:fldCharType="begin"/>
        </w:r>
        <w:r w:rsidR="00DB7855">
          <w:rPr>
            <w:noProof/>
            <w:webHidden/>
          </w:rPr>
          <w:instrText xml:space="preserve"> PAGEREF _Toc132713964 \h </w:instrText>
        </w:r>
        <w:r w:rsidR="00DB7855">
          <w:rPr>
            <w:noProof/>
            <w:webHidden/>
          </w:rPr>
        </w:r>
        <w:r w:rsidR="00DB7855">
          <w:rPr>
            <w:noProof/>
            <w:webHidden/>
          </w:rPr>
          <w:fldChar w:fldCharType="separate"/>
        </w:r>
        <w:r w:rsidR="00DB7855">
          <w:rPr>
            <w:noProof/>
            <w:webHidden/>
          </w:rPr>
          <w:t>206</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965" w:history="1">
        <w:r w:rsidR="00DB7855" w:rsidRPr="007C1B8D">
          <w:rPr>
            <w:rStyle w:val="Kpr"/>
            <w:b/>
            <w:bCs/>
            <w:noProof/>
          </w:rPr>
          <w:t>Şekil 9.9: Petrol Sektörüne Ait Şikâyetlerin Alt Sınıflandırmasının Yüzdesel Dağılımı</w:t>
        </w:r>
        <w:r w:rsidR="00DB7855">
          <w:rPr>
            <w:noProof/>
            <w:webHidden/>
          </w:rPr>
          <w:tab/>
        </w:r>
        <w:r w:rsidR="00DB7855">
          <w:rPr>
            <w:noProof/>
            <w:webHidden/>
          </w:rPr>
          <w:fldChar w:fldCharType="begin"/>
        </w:r>
        <w:r w:rsidR="00DB7855">
          <w:rPr>
            <w:noProof/>
            <w:webHidden/>
          </w:rPr>
          <w:instrText xml:space="preserve"> PAGEREF _Toc132713965 \h </w:instrText>
        </w:r>
        <w:r w:rsidR="00DB7855">
          <w:rPr>
            <w:noProof/>
            <w:webHidden/>
          </w:rPr>
        </w:r>
        <w:r w:rsidR="00DB7855">
          <w:rPr>
            <w:noProof/>
            <w:webHidden/>
          </w:rPr>
          <w:fldChar w:fldCharType="separate"/>
        </w:r>
        <w:r w:rsidR="00DB7855">
          <w:rPr>
            <w:noProof/>
            <w:webHidden/>
          </w:rPr>
          <w:t>207</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966" w:history="1">
        <w:r w:rsidR="00DB7855" w:rsidRPr="007C1B8D">
          <w:rPr>
            <w:rStyle w:val="Kpr"/>
            <w:b/>
            <w:bCs/>
            <w:noProof/>
          </w:rPr>
          <w:t>Şekil 9.10: LPG Sektörüne Ait Şikâyetlerin Alt Sınıflandırmasının Yüzdesel Dağılımı</w:t>
        </w:r>
        <w:r w:rsidR="00DB7855">
          <w:rPr>
            <w:noProof/>
            <w:webHidden/>
          </w:rPr>
          <w:tab/>
        </w:r>
        <w:r w:rsidR="00DB7855">
          <w:rPr>
            <w:noProof/>
            <w:webHidden/>
          </w:rPr>
          <w:fldChar w:fldCharType="begin"/>
        </w:r>
        <w:r w:rsidR="00DB7855">
          <w:rPr>
            <w:noProof/>
            <w:webHidden/>
          </w:rPr>
          <w:instrText xml:space="preserve"> PAGEREF _Toc132713966 \h </w:instrText>
        </w:r>
        <w:r w:rsidR="00DB7855">
          <w:rPr>
            <w:noProof/>
            <w:webHidden/>
          </w:rPr>
        </w:r>
        <w:r w:rsidR="00DB7855">
          <w:rPr>
            <w:noProof/>
            <w:webHidden/>
          </w:rPr>
          <w:fldChar w:fldCharType="separate"/>
        </w:r>
        <w:r w:rsidR="00DB7855">
          <w:rPr>
            <w:noProof/>
            <w:webHidden/>
          </w:rPr>
          <w:t>208</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967" w:history="1">
        <w:r w:rsidR="00DB7855" w:rsidRPr="007C1B8D">
          <w:rPr>
            <w:rStyle w:val="Kpr"/>
            <w:b/>
            <w:bCs/>
            <w:noProof/>
          </w:rPr>
          <w:t>Tablo 11.1: 2022 Yılında Gelen Soru Önergelerinin Konu Bazında Dağılımı</w:t>
        </w:r>
        <w:r w:rsidR="00DB7855">
          <w:rPr>
            <w:noProof/>
            <w:webHidden/>
          </w:rPr>
          <w:tab/>
        </w:r>
        <w:r w:rsidR="00DB7855">
          <w:rPr>
            <w:noProof/>
            <w:webHidden/>
          </w:rPr>
          <w:fldChar w:fldCharType="begin"/>
        </w:r>
        <w:r w:rsidR="00DB7855">
          <w:rPr>
            <w:noProof/>
            <w:webHidden/>
          </w:rPr>
          <w:instrText xml:space="preserve"> PAGEREF _Toc132713967 \h </w:instrText>
        </w:r>
        <w:r w:rsidR="00DB7855">
          <w:rPr>
            <w:noProof/>
            <w:webHidden/>
          </w:rPr>
        </w:r>
        <w:r w:rsidR="00DB7855">
          <w:rPr>
            <w:noProof/>
            <w:webHidden/>
          </w:rPr>
          <w:fldChar w:fldCharType="separate"/>
        </w:r>
        <w:r w:rsidR="00DB7855">
          <w:rPr>
            <w:noProof/>
            <w:webHidden/>
          </w:rPr>
          <w:t>210</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968" w:history="1">
        <w:r w:rsidR="00DB7855" w:rsidRPr="007C1B8D">
          <w:rPr>
            <w:rStyle w:val="Kpr"/>
            <w:b/>
            <w:bCs/>
            <w:noProof/>
          </w:rPr>
          <w:t>Şekil 11.1: 2022 Yılında Gelen Soru Önergelerinin Konu Bazında Yüzdesel Dağılımı</w:t>
        </w:r>
        <w:r w:rsidR="00DB7855">
          <w:rPr>
            <w:noProof/>
            <w:webHidden/>
          </w:rPr>
          <w:tab/>
        </w:r>
        <w:r w:rsidR="00DB7855">
          <w:rPr>
            <w:noProof/>
            <w:webHidden/>
          </w:rPr>
          <w:fldChar w:fldCharType="begin"/>
        </w:r>
        <w:r w:rsidR="00DB7855">
          <w:rPr>
            <w:noProof/>
            <w:webHidden/>
          </w:rPr>
          <w:instrText xml:space="preserve"> PAGEREF _Toc132713968 \h </w:instrText>
        </w:r>
        <w:r w:rsidR="00DB7855">
          <w:rPr>
            <w:noProof/>
            <w:webHidden/>
          </w:rPr>
        </w:r>
        <w:r w:rsidR="00DB7855">
          <w:rPr>
            <w:noProof/>
            <w:webHidden/>
          </w:rPr>
          <w:fldChar w:fldCharType="separate"/>
        </w:r>
        <w:r w:rsidR="00DB7855">
          <w:rPr>
            <w:noProof/>
            <w:webHidden/>
          </w:rPr>
          <w:t>211</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969" w:history="1">
        <w:r w:rsidR="00DB7855" w:rsidRPr="007C1B8D">
          <w:rPr>
            <w:rStyle w:val="Kpr"/>
            <w:b/>
            <w:noProof/>
          </w:rPr>
          <w:t>Tablo 13.1: 2022 Yılında Kurumda Göreve Başlayan Personele İlişkin Bilgiler</w:t>
        </w:r>
        <w:r w:rsidR="00DB7855">
          <w:rPr>
            <w:noProof/>
            <w:webHidden/>
          </w:rPr>
          <w:tab/>
        </w:r>
        <w:r w:rsidR="00DB7855">
          <w:rPr>
            <w:noProof/>
            <w:webHidden/>
          </w:rPr>
          <w:fldChar w:fldCharType="begin"/>
        </w:r>
        <w:r w:rsidR="00DB7855">
          <w:rPr>
            <w:noProof/>
            <w:webHidden/>
          </w:rPr>
          <w:instrText xml:space="preserve"> PAGEREF _Toc132713969 \h </w:instrText>
        </w:r>
        <w:r w:rsidR="00DB7855">
          <w:rPr>
            <w:noProof/>
            <w:webHidden/>
          </w:rPr>
        </w:r>
        <w:r w:rsidR="00DB7855">
          <w:rPr>
            <w:noProof/>
            <w:webHidden/>
          </w:rPr>
          <w:fldChar w:fldCharType="separate"/>
        </w:r>
        <w:r w:rsidR="00DB7855">
          <w:rPr>
            <w:noProof/>
            <w:webHidden/>
          </w:rPr>
          <w:t>216</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970" w:history="1">
        <w:r w:rsidR="00DB7855" w:rsidRPr="007C1B8D">
          <w:rPr>
            <w:rStyle w:val="Kpr"/>
            <w:b/>
            <w:noProof/>
          </w:rPr>
          <w:t>Tablo 13.2: 2022 Yılında Kurumdan Ayrılan Personele İlişkin Bilgiler</w:t>
        </w:r>
        <w:r w:rsidR="00DB7855">
          <w:rPr>
            <w:noProof/>
            <w:webHidden/>
          </w:rPr>
          <w:tab/>
        </w:r>
        <w:r w:rsidR="00DB7855">
          <w:rPr>
            <w:noProof/>
            <w:webHidden/>
          </w:rPr>
          <w:fldChar w:fldCharType="begin"/>
        </w:r>
        <w:r w:rsidR="00DB7855">
          <w:rPr>
            <w:noProof/>
            <w:webHidden/>
          </w:rPr>
          <w:instrText xml:space="preserve"> PAGEREF _Toc132713970 \h </w:instrText>
        </w:r>
        <w:r w:rsidR="00DB7855">
          <w:rPr>
            <w:noProof/>
            <w:webHidden/>
          </w:rPr>
        </w:r>
        <w:r w:rsidR="00DB7855">
          <w:rPr>
            <w:noProof/>
            <w:webHidden/>
          </w:rPr>
          <w:fldChar w:fldCharType="separate"/>
        </w:r>
        <w:r w:rsidR="00DB7855">
          <w:rPr>
            <w:noProof/>
            <w:webHidden/>
          </w:rPr>
          <w:t>217</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971" w:history="1">
        <w:r w:rsidR="00DB7855" w:rsidRPr="007C1B8D">
          <w:rPr>
            <w:rStyle w:val="Kpr"/>
            <w:b/>
            <w:noProof/>
          </w:rPr>
          <w:t>Tablo 13.3:  Kurum Personeli Kadro Dağılımı</w:t>
        </w:r>
        <w:r w:rsidR="00DB7855">
          <w:rPr>
            <w:noProof/>
            <w:webHidden/>
          </w:rPr>
          <w:tab/>
        </w:r>
        <w:r w:rsidR="00DB7855">
          <w:rPr>
            <w:noProof/>
            <w:webHidden/>
          </w:rPr>
          <w:fldChar w:fldCharType="begin"/>
        </w:r>
        <w:r w:rsidR="00DB7855">
          <w:rPr>
            <w:noProof/>
            <w:webHidden/>
          </w:rPr>
          <w:instrText xml:space="preserve"> PAGEREF _Toc132713971 \h </w:instrText>
        </w:r>
        <w:r w:rsidR="00DB7855">
          <w:rPr>
            <w:noProof/>
            <w:webHidden/>
          </w:rPr>
        </w:r>
        <w:r w:rsidR="00DB7855">
          <w:rPr>
            <w:noProof/>
            <w:webHidden/>
          </w:rPr>
          <w:fldChar w:fldCharType="separate"/>
        </w:r>
        <w:r w:rsidR="00DB7855">
          <w:rPr>
            <w:noProof/>
            <w:webHidden/>
          </w:rPr>
          <w:t>217</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972" w:history="1">
        <w:r w:rsidR="00DB7855" w:rsidRPr="007C1B8D">
          <w:rPr>
            <w:rStyle w:val="Kpr"/>
            <w:b/>
            <w:noProof/>
          </w:rPr>
          <w:t>Tablo 13.4:  Yıllara Göre Kurum Personel Sayısı</w:t>
        </w:r>
        <w:r w:rsidR="00DB7855">
          <w:rPr>
            <w:noProof/>
            <w:webHidden/>
          </w:rPr>
          <w:tab/>
        </w:r>
        <w:r w:rsidR="00DB7855">
          <w:rPr>
            <w:noProof/>
            <w:webHidden/>
          </w:rPr>
          <w:fldChar w:fldCharType="begin"/>
        </w:r>
        <w:r w:rsidR="00DB7855">
          <w:rPr>
            <w:noProof/>
            <w:webHidden/>
          </w:rPr>
          <w:instrText xml:space="preserve"> PAGEREF _Toc132713972 \h </w:instrText>
        </w:r>
        <w:r w:rsidR="00DB7855">
          <w:rPr>
            <w:noProof/>
            <w:webHidden/>
          </w:rPr>
        </w:r>
        <w:r w:rsidR="00DB7855">
          <w:rPr>
            <w:noProof/>
            <w:webHidden/>
          </w:rPr>
          <w:fldChar w:fldCharType="separate"/>
        </w:r>
        <w:r w:rsidR="00DB7855">
          <w:rPr>
            <w:noProof/>
            <w:webHidden/>
          </w:rPr>
          <w:t>219</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973" w:history="1">
        <w:r w:rsidR="00DB7855" w:rsidRPr="007C1B8D">
          <w:rPr>
            <w:rStyle w:val="Kpr"/>
            <w:b/>
            <w:noProof/>
          </w:rPr>
          <w:t>Tablo 13.5: 2022 Yılında Kurumdan Ayrılan Personele İlişkin Bilgiler (Sürekli İşçi)</w:t>
        </w:r>
        <w:r w:rsidR="00DB7855">
          <w:rPr>
            <w:noProof/>
            <w:webHidden/>
          </w:rPr>
          <w:tab/>
        </w:r>
        <w:r w:rsidR="00DB7855">
          <w:rPr>
            <w:noProof/>
            <w:webHidden/>
          </w:rPr>
          <w:fldChar w:fldCharType="begin"/>
        </w:r>
        <w:r w:rsidR="00DB7855">
          <w:rPr>
            <w:noProof/>
            <w:webHidden/>
          </w:rPr>
          <w:instrText xml:space="preserve"> PAGEREF _Toc132713973 \h </w:instrText>
        </w:r>
        <w:r w:rsidR="00DB7855">
          <w:rPr>
            <w:noProof/>
            <w:webHidden/>
          </w:rPr>
        </w:r>
        <w:r w:rsidR="00DB7855">
          <w:rPr>
            <w:noProof/>
            <w:webHidden/>
          </w:rPr>
          <w:fldChar w:fldCharType="separate"/>
        </w:r>
        <w:r w:rsidR="00DB7855">
          <w:rPr>
            <w:noProof/>
            <w:webHidden/>
          </w:rPr>
          <w:t>219</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974" w:history="1">
        <w:r w:rsidR="00DB7855" w:rsidRPr="007C1B8D">
          <w:rPr>
            <w:rStyle w:val="Kpr"/>
            <w:b/>
            <w:noProof/>
          </w:rPr>
          <w:t>Tablo 13.6: Kurum Personeli Kadro Dağılımı (Sürekli İşçi)</w:t>
        </w:r>
        <w:r w:rsidR="00DB7855">
          <w:rPr>
            <w:noProof/>
            <w:webHidden/>
          </w:rPr>
          <w:tab/>
        </w:r>
        <w:r w:rsidR="00DB7855">
          <w:rPr>
            <w:noProof/>
            <w:webHidden/>
          </w:rPr>
          <w:fldChar w:fldCharType="begin"/>
        </w:r>
        <w:r w:rsidR="00DB7855">
          <w:rPr>
            <w:noProof/>
            <w:webHidden/>
          </w:rPr>
          <w:instrText xml:space="preserve"> PAGEREF _Toc132713974 \h </w:instrText>
        </w:r>
        <w:r w:rsidR="00DB7855">
          <w:rPr>
            <w:noProof/>
            <w:webHidden/>
          </w:rPr>
        </w:r>
        <w:r w:rsidR="00DB7855">
          <w:rPr>
            <w:noProof/>
            <w:webHidden/>
          </w:rPr>
          <w:fldChar w:fldCharType="separate"/>
        </w:r>
        <w:r w:rsidR="00DB7855">
          <w:rPr>
            <w:noProof/>
            <w:webHidden/>
          </w:rPr>
          <w:t>219</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975" w:history="1">
        <w:r w:rsidR="00DB7855" w:rsidRPr="007C1B8D">
          <w:rPr>
            <w:rStyle w:val="Kpr"/>
            <w:b/>
            <w:noProof/>
          </w:rPr>
          <w:t>Tablo 13.7: 2022 Yılında Yapılan Hizmet İçi Eğitim Faaliyetleri</w:t>
        </w:r>
        <w:r w:rsidR="00DB7855">
          <w:rPr>
            <w:noProof/>
            <w:webHidden/>
          </w:rPr>
          <w:tab/>
        </w:r>
        <w:r w:rsidR="00DB7855">
          <w:rPr>
            <w:noProof/>
            <w:webHidden/>
          </w:rPr>
          <w:fldChar w:fldCharType="begin"/>
        </w:r>
        <w:r w:rsidR="00DB7855">
          <w:rPr>
            <w:noProof/>
            <w:webHidden/>
          </w:rPr>
          <w:instrText xml:space="preserve"> PAGEREF _Toc132713975 \h </w:instrText>
        </w:r>
        <w:r w:rsidR="00DB7855">
          <w:rPr>
            <w:noProof/>
            <w:webHidden/>
          </w:rPr>
        </w:r>
        <w:r w:rsidR="00DB7855">
          <w:rPr>
            <w:noProof/>
            <w:webHidden/>
          </w:rPr>
          <w:fldChar w:fldCharType="separate"/>
        </w:r>
        <w:r w:rsidR="00DB7855">
          <w:rPr>
            <w:noProof/>
            <w:webHidden/>
          </w:rPr>
          <w:t>220</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976" w:history="1">
        <w:r w:rsidR="00DB7855" w:rsidRPr="007C1B8D">
          <w:rPr>
            <w:rStyle w:val="Kpr"/>
            <w:b/>
            <w:noProof/>
            <w:lang w:eastAsia="tr-TR"/>
          </w:rPr>
          <w:t>Tablo 13.8: 2022 Yılında Yapılan Yurt Dışı Eğitim Faaliyetleri</w:t>
        </w:r>
        <w:r w:rsidR="00DB7855">
          <w:rPr>
            <w:noProof/>
            <w:webHidden/>
          </w:rPr>
          <w:tab/>
        </w:r>
        <w:r w:rsidR="00DB7855">
          <w:rPr>
            <w:noProof/>
            <w:webHidden/>
          </w:rPr>
          <w:fldChar w:fldCharType="begin"/>
        </w:r>
        <w:r w:rsidR="00DB7855">
          <w:rPr>
            <w:noProof/>
            <w:webHidden/>
          </w:rPr>
          <w:instrText xml:space="preserve"> PAGEREF _Toc132713976 \h </w:instrText>
        </w:r>
        <w:r w:rsidR="00DB7855">
          <w:rPr>
            <w:noProof/>
            <w:webHidden/>
          </w:rPr>
        </w:r>
        <w:r w:rsidR="00DB7855">
          <w:rPr>
            <w:noProof/>
            <w:webHidden/>
          </w:rPr>
          <w:fldChar w:fldCharType="separate"/>
        </w:r>
        <w:r w:rsidR="00DB7855">
          <w:rPr>
            <w:noProof/>
            <w:webHidden/>
          </w:rPr>
          <w:t>221</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977" w:history="1">
        <w:r w:rsidR="00DB7855" w:rsidRPr="007C1B8D">
          <w:rPr>
            <w:rStyle w:val="Kpr"/>
            <w:b/>
            <w:noProof/>
          </w:rPr>
          <w:t>Tablo 13.9: 2022 Yılında Alınan Yabancı Dil Eğitim Faaliyetleri</w:t>
        </w:r>
        <w:r w:rsidR="00DB7855">
          <w:rPr>
            <w:noProof/>
            <w:webHidden/>
          </w:rPr>
          <w:tab/>
        </w:r>
        <w:r w:rsidR="00DB7855">
          <w:rPr>
            <w:noProof/>
            <w:webHidden/>
          </w:rPr>
          <w:fldChar w:fldCharType="begin"/>
        </w:r>
        <w:r w:rsidR="00DB7855">
          <w:rPr>
            <w:noProof/>
            <w:webHidden/>
          </w:rPr>
          <w:instrText xml:space="preserve"> PAGEREF _Toc132713977 \h </w:instrText>
        </w:r>
        <w:r w:rsidR="00DB7855">
          <w:rPr>
            <w:noProof/>
            <w:webHidden/>
          </w:rPr>
        </w:r>
        <w:r w:rsidR="00DB7855">
          <w:rPr>
            <w:noProof/>
            <w:webHidden/>
          </w:rPr>
          <w:fldChar w:fldCharType="separate"/>
        </w:r>
        <w:r w:rsidR="00DB7855">
          <w:rPr>
            <w:noProof/>
            <w:webHidden/>
          </w:rPr>
          <w:t>222</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978" w:history="1">
        <w:r w:rsidR="00DB7855" w:rsidRPr="007C1B8D">
          <w:rPr>
            <w:rStyle w:val="Kpr"/>
            <w:b/>
            <w:bCs/>
            <w:noProof/>
          </w:rPr>
          <w:t>Tablo 13.10: 2022 Yılında Kurumda Staj Yapan Kişi Bilgileri</w:t>
        </w:r>
        <w:r w:rsidR="00DB7855">
          <w:rPr>
            <w:noProof/>
            <w:webHidden/>
          </w:rPr>
          <w:tab/>
        </w:r>
        <w:r w:rsidR="00DB7855">
          <w:rPr>
            <w:noProof/>
            <w:webHidden/>
          </w:rPr>
          <w:fldChar w:fldCharType="begin"/>
        </w:r>
        <w:r w:rsidR="00DB7855">
          <w:rPr>
            <w:noProof/>
            <w:webHidden/>
          </w:rPr>
          <w:instrText xml:space="preserve"> PAGEREF _Toc132713978 \h </w:instrText>
        </w:r>
        <w:r w:rsidR="00DB7855">
          <w:rPr>
            <w:noProof/>
            <w:webHidden/>
          </w:rPr>
        </w:r>
        <w:r w:rsidR="00DB7855">
          <w:rPr>
            <w:noProof/>
            <w:webHidden/>
          </w:rPr>
          <w:fldChar w:fldCharType="separate"/>
        </w:r>
        <w:r w:rsidR="00DB7855">
          <w:rPr>
            <w:noProof/>
            <w:webHidden/>
          </w:rPr>
          <w:t>222</w:t>
        </w:r>
        <w:r w:rsidR="00DB7855">
          <w:rPr>
            <w:noProof/>
            <w:webHidden/>
          </w:rPr>
          <w:fldChar w:fldCharType="end"/>
        </w:r>
      </w:hyperlink>
    </w:p>
    <w:p w:rsidR="00DB7855" w:rsidRDefault="00255FFC">
      <w:pPr>
        <w:pStyle w:val="ekillerTablosu"/>
        <w:tabs>
          <w:tab w:val="right" w:leader="dot" w:pos="9060"/>
        </w:tabs>
        <w:rPr>
          <w:rFonts w:eastAsiaTheme="minorEastAsia" w:cstheme="minorBidi"/>
          <w:noProof/>
          <w:lang w:val="en-US"/>
        </w:rPr>
      </w:pPr>
      <w:hyperlink w:anchor="_Toc132713979" w:history="1">
        <w:r w:rsidR="00DB7855" w:rsidRPr="007C1B8D">
          <w:rPr>
            <w:rStyle w:val="Kpr"/>
            <w:b/>
            <w:noProof/>
          </w:rPr>
          <w:t>Tablo 14.1: Yıllar İtibarıyla T.C. Hazine ve Maliye Bakanlığına Aktarılan Gelir Fazlası (TL)</w:t>
        </w:r>
        <w:r w:rsidR="00DB7855">
          <w:rPr>
            <w:noProof/>
            <w:webHidden/>
          </w:rPr>
          <w:tab/>
        </w:r>
        <w:r w:rsidR="00DB7855">
          <w:rPr>
            <w:noProof/>
            <w:webHidden/>
          </w:rPr>
          <w:fldChar w:fldCharType="begin"/>
        </w:r>
        <w:r w:rsidR="00DB7855">
          <w:rPr>
            <w:noProof/>
            <w:webHidden/>
          </w:rPr>
          <w:instrText xml:space="preserve"> PAGEREF _Toc132713979 \h </w:instrText>
        </w:r>
        <w:r w:rsidR="00DB7855">
          <w:rPr>
            <w:noProof/>
            <w:webHidden/>
          </w:rPr>
        </w:r>
        <w:r w:rsidR="00DB7855">
          <w:rPr>
            <w:noProof/>
            <w:webHidden/>
          </w:rPr>
          <w:fldChar w:fldCharType="separate"/>
        </w:r>
        <w:r w:rsidR="00DB7855">
          <w:rPr>
            <w:noProof/>
            <w:webHidden/>
          </w:rPr>
          <w:t>224</w:t>
        </w:r>
        <w:r w:rsidR="00DB7855">
          <w:rPr>
            <w:noProof/>
            <w:webHidden/>
          </w:rPr>
          <w:fldChar w:fldCharType="end"/>
        </w:r>
      </w:hyperlink>
    </w:p>
    <w:p w:rsidR="00F4087E" w:rsidRPr="00DB64E1" w:rsidRDefault="00364BDD" w:rsidP="008C40F5">
      <w:pPr>
        <w:spacing w:after="0"/>
      </w:pPr>
      <w:r w:rsidRPr="008C40F5">
        <w:rPr>
          <w:rFonts w:cstheme="minorHAnsi"/>
        </w:rPr>
        <w:fldChar w:fldCharType="end"/>
      </w:r>
    </w:p>
    <w:p w:rsidR="00F4087E" w:rsidRPr="00E9291A" w:rsidRDefault="00F4087E" w:rsidP="00A02EDE">
      <w:pPr>
        <w:spacing w:after="0"/>
      </w:pPr>
    </w:p>
    <w:p w:rsidR="005720F4" w:rsidRPr="00E9291A" w:rsidRDefault="005720F4" w:rsidP="00A02EDE">
      <w:pPr>
        <w:spacing w:after="0"/>
      </w:pPr>
    </w:p>
    <w:p w:rsidR="003528E3" w:rsidRPr="00E9291A" w:rsidRDefault="003528E3" w:rsidP="00A02EDE">
      <w:pPr>
        <w:spacing w:after="0"/>
      </w:pPr>
    </w:p>
    <w:p w:rsidR="00EE3616" w:rsidRDefault="00EE3616">
      <w:pPr>
        <w:rPr>
          <w:rFonts w:eastAsiaTheme="minorHAnsi" w:cstheme="minorBidi"/>
          <w:b/>
        </w:rPr>
      </w:pPr>
      <w:r>
        <w:rPr>
          <w:rFonts w:eastAsiaTheme="minorHAnsi" w:cstheme="minorBidi"/>
          <w:b/>
        </w:rPr>
        <w:br w:type="page"/>
      </w:r>
    </w:p>
    <w:p w:rsidR="003528E3" w:rsidRPr="008C0C45" w:rsidRDefault="003528E3" w:rsidP="008C0C45">
      <w:pPr>
        <w:rPr>
          <w:b/>
        </w:rPr>
      </w:pPr>
      <w:r w:rsidRPr="008C0C45">
        <w:rPr>
          <w:b/>
        </w:rPr>
        <w:lastRenderedPageBreak/>
        <w:t>KISALTMALAR</w:t>
      </w:r>
    </w:p>
    <w:p w:rsidR="009E6287" w:rsidRPr="00E9291A" w:rsidRDefault="009E6287" w:rsidP="00A02EDE">
      <w:pPr>
        <w:spacing w:after="100"/>
        <w:rPr>
          <w:rFonts w:eastAsiaTheme="minorHAnsi" w:cstheme="minorBidi"/>
          <w:b/>
        </w:rPr>
      </w:pPr>
      <w:r w:rsidRPr="00E9291A">
        <w:rPr>
          <w:rFonts w:eastAsiaTheme="minorHAnsi" w:cstheme="minorBidi"/>
          <w:b/>
        </w:rPr>
        <w:t xml:space="preserve">AB: </w:t>
      </w:r>
      <w:r w:rsidRPr="00E9291A">
        <w:rPr>
          <w:rFonts w:eastAsiaTheme="minorHAnsi" w:cstheme="minorBidi"/>
        </w:rPr>
        <w:t>Avrupa Birliği</w:t>
      </w:r>
    </w:p>
    <w:p w:rsidR="003528E3" w:rsidRPr="00E9291A" w:rsidRDefault="003528E3" w:rsidP="00A02EDE">
      <w:pPr>
        <w:spacing w:after="100"/>
        <w:rPr>
          <w:rFonts w:eastAsiaTheme="minorHAnsi" w:cstheme="minorBidi"/>
          <w:bCs/>
          <w:color w:val="000000" w:themeColor="text1"/>
        </w:rPr>
      </w:pPr>
      <w:r w:rsidRPr="00E9291A">
        <w:rPr>
          <w:rFonts w:eastAsiaTheme="minorHAnsi" w:cstheme="minorBidi"/>
          <w:b/>
          <w:bCs/>
          <w:color w:val="000000" w:themeColor="text1"/>
        </w:rPr>
        <w:t xml:space="preserve">AG: </w:t>
      </w:r>
      <w:r w:rsidRPr="00E9291A">
        <w:rPr>
          <w:rFonts w:eastAsiaTheme="minorHAnsi" w:cstheme="minorBidi"/>
          <w:bCs/>
          <w:color w:val="000000" w:themeColor="text1"/>
        </w:rPr>
        <w:t>Alçak Gerilim</w:t>
      </w:r>
    </w:p>
    <w:p w:rsidR="003528E3" w:rsidRPr="00E9291A" w:rsidRDefault="003528E3" w:rsidP="00A02EDE">
      <w:pPr>
        <w:spacing w:after="100"/>
        <w:rPr>
          <w:rFonts w:eastAsiaTheme="minorHAnsi" w:cstheme="minorBidi"/>
        </w:rPr>
      </w:pPr>
      <w:r w:rsidRPr="00E9291A">
        <w:rPr>
          <w:rFonts w:eastAsiaTheme="minorHAnsi" w:cstheme="minorBidi"/>
          <w:b/>
        </w:rPr>
        <w:t>Bakanlık</w:t>
      </w:r>
      <w:r w:rsidR="00797745" w:rsidRPr="00E9291A">
        <w:rPr>
          <w:rFonts w:eastAsiaTheme="minorHAnsi" w:cstheme="minorBidi"/>
          <w:b/>
        </w:rPr>
        <w:t>/ETKB</w:t>
      </w:r>
      <w:r w:rsidRPr="00E9291A">
        <w:rPr>
          <w:rFonts w:eastAsiaTheme="minorHAnsi" w:cstheme="minorBidi"/>
          <w:b/>
        </w:rPr>
        <w:t xml:space="preserve">: </w:t>
      </w:r>
      <w:r w:rsidRPr="00E9291A">
        <w:rPr>
          <w:rFonts w:eastAsiaTheme="minorHAnsi" w:cstheme="minorBidi"/>
        </w:rPr>
        <w:t>Enerji ve Tabii Kaynaklar Bakanlığı</w:t>
      </w:r>
    </w:p>
    <w:p w:rsidR="003528E3" w:rsidRPr="00E9291A" w:rsidRDefault="003528E3" w:rsidP="00A02EDE">
      <w:pPr>
        <w:spacing w:after="100"/>
        <w:rPr>
          <w:rFonts w:eastAsiaTheme="minorHAnsi" w:cstheme="minorBidi"/>
        </w:rPr>
      </w:pPr>
      <w:r w:rsidRPr="00E9291A">
        <w:rPr>
          <w:rFonts w:eastAsiaTheme="minorHAnsi" w:cstheme="minorBidi"/>
          <w:b/>
        </w:rPr>
        <w:t>BGYS:</w:t>
      </w:r>
      <w:r w:rsidRPr="00E9291A">
        <w:rPr>
          <w:rFonts w:eastAsiaTheme="minorHAnsi" w:cstheme="minorBidi"/>
        </w:rPr>
        <w:t xml:space="preserve"> Bilgi Güvenliği Yönetim Sistemi</w:t>
      </w:r>
    </w:p>
    <w:p w:rsidR="003528E3" w:rsidRPr="00E9291A" w:rsidRDefault="003528E3" w:rsidP="00A02EDE">
      <w:pPr>
        <w:spacing w:after="100"/>
        <w:rPr>
          <w:rFonts w:eastAsiaTheme="minorHAnsi" w:cstheme="minorBidi"/>
          <w:color w:val="000000" w:themeColor="text1"/>
        </w:rPr>
      </w:pPr>
      <w:r w:rsidRPr="00E9291A">
        <w:rPr>
          <w:rFonts w:eastAsiaTheme="minorHAnsi" w:cstheme="minorBidi"/>
          <w:b/>
          <w:color w:val="000000" w:themeColor="text1"/>
        </w:rPr>
        <w:t>BOTAŞ:</w:t>
      </w:r>
      <w:r w:rsidR="001F14C3">
        <w:rPr>
          <w:rFonts w:eastAsiaTheme="minorHAnsi" w:cstheme="minorBidi"/>
          <w:b/>
          <w:color w:val="000000" w:themeColor="text1"/>
        </w:rPr>
        <w:t xml:space="preserve"> </w:t>
      </w:r>
      <w:hyperlink r:id="rId11" w:tgtFrame="_blank" w:history="1">
        <w:r w:rsidRPr="00E9291A">
          <w:rPr>
            <w:rFonts w:eastAsiaTheme="minorHAnsi" w:cstheme="minorBidi"/>
            <w:color w:val="000000" w:themeColor="text1"/>
          </w:rPr>
          <w:t>Boru Hatları İle Petrol Taşıma Anonim Şirketi</w:t>
        </w:r>
      </w:hyperlink>
    </w:p>
    <w:p w:rsidR="00FD2C95" w:rsidRPr="00E9291A" w:rsidRDefault="00FD2C95" w:rsidP="00A02EDE">
      <w:pPr>
        <w:spacing w:after="100"/>
        <w:rPr>
          <w:rFonts w:eastAsiaTheme="minorHAnsi" w:cstheme="minorBidi"/>
          <w:b/>
          <w:color w:val="000000" w:themeColor="text1"/>
        </w:rPr>
      </w:pPr>
      <w:r w:rsidRPr="00E9291A">
        <w:rPr>
          <w:rFonts w:eastAsiaTheme="minorHAnsi" w:cstheme="minorBidi"/>
          <w:b/>
          <w:color w:val="000000" w:themeColor="text1"/>
        </w:rPr>
        <w:t xml:space="preserve">CİMER: </w:t>
      </w:r>
      <w:r w:rsidRPr="00E9291A">
        <w:rPr>
          <w:rFonts w:eastAsiaTheme="minorHAnsi" w:cstheme="minorBidi"/>
          <w:color w:val="000000" w:themeColor="text1"/>
        </w:rPr>
        <w:t>Cumhurbaşkanlığı İletişim Merkezi</w:t>
      </w:r>
    </w:p>
    <w:p w:rsidR="003528E3" w:rsidRDefault="003528E3" w:rsidP="00A02EDE">
      <w:pPr>
        <w:spacing w:after="100"/>
        <w:rPr>
          <w:rFonts w:eastAsiaTheme="minorHAnsi" w:cstheme="minorBidi"/>
          <w:bCs/>
          <w:color w:val="000000" w:themeColor="text1"/>
        </w:rPr>
      </w:pPr>
      <w:r w:rsidRPr="00E9291A">
        <w:rPr>
          <w:rFonts w:eastAsiaTheme="minorHAnsi" w:cstheme="minorBidi"/>
          <w:b/>
          <w:bCs/>
          <w:color w:val="000000" w:themeColor="text1"/>
        </w:rPr>
        <w:t>CNG:</w:t>
      </w:r>
      <w:r w:rsidRPr="00E9291A">
        <w:rPr>
          <w:rFonts w:eastAsiaTheme="minorHAnsi" w:cstheme="minorBidi"/>
          <w:bCs/>
          <w:color w:val="000000" w:themeColor="text1"/>
        </w:rPr>
        <w:t xml:space="preserve"> Sıkıştırılmış Doğal Gaz</w:t>
      </w:r>
    </w:p>
    <w:p w:rsidR="008C0C45" w:rsidRPr="00E9291A" w:rsidRDefault="008C0C45" w:rsidP="00A02EDE">
      <w:pPr>
        <w:spacing w:after="100"/>
        <w:rPr>
          <w:rFonts w:eastAsiaTheme="minorHAnsi" w:cstheme="minorBidi"/>
          <w:bCs/>
          <w:color w:val="000000" w:themeColor="text1"/>
        </w:rPr>
      </w:pPr>
      <w:r w:rsidRPr="008C0C45">
        <w:rPr>
          <w:rFonts w:eastAsiaTheme="minorHAnsi" w:cstheme="minorBidi"/>
          <w:b/>
          <w:bCs/>
          <w:color w:val="000000" w:themeColor="text1"/>
        </w:rPr>
        <w:t>DTÖ:</w:t>
      </w:r>
      <w:r>
        <w:rPr>
          <w:rFonts w:eastAsiaTheme="minorHAnsi" w:cstheme="minorBidi"/>
          <w:bCs/>
          <w:color w:val="000000" w:themeColor="text1"/>
        </w:rPr>
        <w:t xml:space="preserve"> Dünya Ticaret Örgütü</w:t>
      </w:r>
    </w:p>
    <w:p w:rsidR="003528E3" w:rsidRPr="00E9291A" w:rsidRDefault="003528E3" w:rsidP="00A02EDE">
      <w:pPr>
        <w:spacing w:after="100"/>
        <w:rPr>
          <w:rFonts w:eastAsiaTheme="minorHAnsi" w:cstheme="minorBidi"/>
        </w:rPr>
      </w:pPr>
      <w:r w:rsidRPr="00E9291A">
        <w:rPr>
          <w:rFonts w:eastAsiaTheme="minorHAnsi" w:cstheme="minorBidi"/>
          <w:b/>
        </w:rPr>
        <w:t>EBİS:</w:t>
      </w:r>
      <w:r w:rsidRPr="00E9291A">
        <w:rPr>
          <w:rFonts w:eastAsiaTheme="minorHAnsi" w:cstheme="minorBidi"/>
        </w:rPr>
        <w:t xml:space="preserve"> E</w:t>
      </w:r>
      <w:r w:rsidR="009D3193">
        <w:rPr>
          <w:rFonts w:eastAsiaTheme="minorHAnsi" w:cstheme="minorBidi"/>
        </w:rPr>
        <w:t>nerji Piyasası</w:t>
      </w:r>
      <w:r w:rsidRPr="00E9291A">
        <w:rPr>
          <w:rFonts w:eastAsiaTheme="minorHAnsi" w:cstheme="minorBidi"/>
        </w:rPr>
        <w:t xml:space="preserve"> Bildirim Sistemi</w:t>
      </w:r>
    </w:p>
    <w:p w:rsidR="003528E3" w:rsidRDefault="003528E3" w:rsidP="00A02EDE">
      <w:pPr>
        <w:spacing w:after="100"/>
        <w:rPr>
          <w:rFonts w:eastAsiaTheme="minorHAnsi" w:cstheme="minorBidi"/>
        </w:rPr>
      </w:pPr>
      <w:r w:rsidRPr="00E9291A">
        <w:rPr>
          <w:rFonts w:eastAsia="Times New Roman" w:cstheme="minorBidi"/>
          <w:b/>
          <w:color w:val="000000"/>
          <w:lang w:eastAsia="tr-TR"/>
        </w:rPr>
        <w:t>EBYS:</w:t>
      </w:r>
      <w:r w:rsidR="00F078B2" w:rsidRPr="00E9291A">
        <w:rPr>
          <w:rFonts w:eastAsia="Times New Roman" w:cstheme="minorBidi"/>
          <w:b/>
          <w:color w:val="000000"/>
          <w:lang w:eastAsia="tr-TR"/>
        </w:rPr>
        <w:t xml:space="preserve"> </w:t>
      </w:r>
      <w:r w:rsidRPr="00E9291A">
        <w:rPr>
          <w:rFonts w:eastAsiaTheme="minorHAnsi" w:cstheme="minorBidi"/>
        </w:rPr>
        <w:t>Elektronik Belge Yönetim Sistemi</w:t>
      </w:r>
    </w:p>
    <w:p w:rsidR="008C0C45" w:rsidRPr="00E9291A" w:rsidRDefault="008C0C45" w:rsidP="00A02EDE">
      <w:pPr>
        <w:spacing w:after="100"/>
        <w:rPr>
          <w:rFonts w:eastAsiaTheme="minorHAnsi" w:cstheme="minorBidi"/>
        </w:rPr>
      </w:pPr>
      <w:r w:rsidRPr="008C0C45">
        <w:rPr>
          <w:rFonts w:eastAsiaTheme="minorHAnsi" w:cstheme="minorBidi"/>
          <w:b/>
        </w:rPr>
        <w:t>ECRB:</w:t>
      </w:r>
      <w:r>
        <w:rPr>
          <w:rFonts w:eastAsiaTheme="minorHAnsi" w:cstheme="minorBidi"/>
          <w:b/>
        </w:rPr>
        <w:t xml:space="preserve"> </w:t>
      </w:r>
      <w:r>
        <w:rPr>
          <w:rFonts w:eastAsiaTheme="minorHAnsi" w:cstheme="minorBidi"/>
        </w:rPr>
        <w:t>Enerji Topluluğu Düzenleme Kurulu</w:t>
      </w:r>
    </w:p>
    <w:p w:rsidR="00FD2C95" w:rsidRDefault="00FD2C95" w:rsidP="00A02EDE">
      <w:pPr>
        <w:spacing w:after="100"/>
      </w:pPr>
      <w:r w:rsidRPr="00E9291A">
        <w:rPr>
          <w:b/>
        </w:rPr>
        <w:t xml:space="preserve">EGE-PAL: </w:t>
      </w:r>
      <w:r w:rsidRPr="00E9291A">
        <w:t xml:space="preserve">Ege </w:t>
      </w:r>
      <w:r w:rsidR="00D4132F" w:rsidRPr="00E9291A">
        <w:t>Üniversitesi-</w:t>
      </w:r>
      <w:r w:rsidRPr="00E9291A">
        <w:t xml:space="preserve"> Petrol Araştırma Laboratuvarı</w:t>
      </w:r>
    </w:p>
    <w:p w:rsidR="008C0C45" w:rsidRDefault="008C0C45" w:rsidP="00A02EDE">
      <w:pPr>
        <w:spacing w:after="100"/>
      </w:pPr>
      <w:r w:rsidRPr="008C0C45">
        <w:rPr>
          <w:b/>
        </w:rPr>
        <w:t>EİT:</w:t>
      </w:r>
      <w:r>
        <w:rPr>
          <w:b/>
        </w:rPr>
        <w:t xml:space="preserve"> </w:t>
      </w:r>
      <w:r>
        <w:t>Ekonomik İş Birliği Teşkilatı</w:t>
      </w:r>
    </w:p>
    <w:p w:rsidR="003528E3" w:rsidRPr="00E9291A" w:rsidRDefault="003528E3" w:rsidP="00A02EDE">
      <w:pPr>
        <w:spacing w:after="100"/>
        <w:rPr>
          <w:rFonts w:eastAsiaTheme="minorHAnsi" w:cstheme="minorBidi"/>
        </w:rPr>
      </w:pPr>
      <w:r w:rsidRPr="00E9291A">
        <w:rPr>
          <w:rFonts w:eastAsiaTheme="minorHAnsi" w:cstheme="minorBidi"/>
          <w:b/>
        </w:rPr>
        <w:t>ENTSO-E:</w:t>
      </w:r>
      <w:r w:rsidRPr="00E9291A">
        <w:rPr>
          <w:rFonts w:eastAsiaTheme="minorHAnsi" w:cstheme="minorBidi"/>
        </w:rPr>
        <w:t xml:space="preserve"> Avrupa Elektrik İletim Sistemi İşletmecileri</w:t>
      </w:r>
    </w:p>
    <w:p w:rsidR="003528E3" w:rsidRPr="00E9291A" w:rsidRDefault="003528E3" w:rsidP="00A02EDE">
      <w:pPr>
        <w:spacing w:after="100"/>
        <w:rPr>
          <w:rFonts w:eastAsiaTheme="minorHAnsi" w:cstheme="minorBidi"/>
        </w:rPr>
      </w:pPr>
      <w:r w:rsidRPr="00E9291A">
        <w:rPr>
          <w:rFonts w:eastAsiaTheme="minorHAnsi" w:cstheme="minorBidi"/>
          <w:b/>
        </w:rPr>
        <w:t>EPARS:</w:t>
      </w:r>
      <w:r w:rsidRPr="00E9291A">
        <w:rPr>
          <w:rFonts w:eastAsiaTheme="minorHAnsi" w:cstheme="minorBidi"/>
        </w:rPr>
        <w:t xml:space="preserve"> Enerji Piyasası Analiz ve Raporlama Sistemi</w:t>
      </w:r>
    </w:p>
    <w:p w:rsidR="003528E3" w:rsidRPr="00E9291A" w:rsidRDefault="003528E3" w:rsidP="00A02EDE">
      <w:pPr>
        <w:spacing w:after="100"/>
        <w:rPr>
          <w:rFonts w:eastAsiaTheme="minorHAnsi" w:cstheme="minorBidi"/>
          <w:bCs/>
          <w:color w:val="000000" w:themeColor="text1"/>
        </w:rPr>
      </w:pPr>
      <w:r w:rsidRPr="00E9291A">
        <w:rPr>
          <w:rFonts w:eastAsiaTheme="minorHAnsi" w:cstheme="minorBidi"/>
          <w:b/>
        </w:rPr>
        <w:t>EPİAŞ:</w:t>
      </w:r>
      <w:r w:rsidR="00F078B2" w:rsidRPr="00E9291A">
        <w:rPr>
          <w:rFonts w:eastAsiaTheme="minorHAnsi" w:cstheme="minorBidi"/>
          <w:b/>
        </w:rPr>
        <w:t xml:space="preserve"> </w:t>
      </w:r>
      <w:r w:rsidRPr="00E9291A">
        <w:rPr>
          <w:rFonts w:eastAsia="ヒラギノ明朝 Pro W3" w:cstheme="minorBidi"/>
        </w:rPr>
        <w:t>Enerji Piyasaları İşletme Anonim Şirketi</w:t>
      </w:r>
    </w:p>
    <w:p w:rsidR="003528E3" w:rsidRPr="00E9291A" w:rsidRDefault="003528E3" w:rsidP="00A02EDE">
      <w:pPr>
        <w:spacing w:after="100"/>
        <w:rPr>
          <w:rFonts w:eastAsiaTheme="minorHAnsi" w:cstheme="minorBidi"/>
        </w:rPr>
      </w:pPr>
      <w:r w:rsidRPr="00E9291A">
        <w:rPr>
          <w:rFonts w:eastAsiaTheme="minorHAnsi" w:cstheme="minorBidi"/>
          <w:b/>
        </w:rPr>
        <w:t xml:space="preserve">EPVYS: </w:t>
      </w:r>
      <w:r w:rsidRPr="00E9291A">
        <w:rPr>
          <w:rFonts w:eastAsiaTheme="minorHAnsi" w:cstheme="minorBidi"/>
        </w:rPr>
        <w:t>Enerji Piyasası Veri Tabanı Yönetim Sistemi</w:t>
      </w:r>
    </w:p>
    <w:p w:rsidR="003528E3" w:rsidRPr="00E9291A" w:rsidRDefault="003528E3" w:rsidP="00A02EDE">
      <w:pPr>
        <w:spacing w:after="100"/>
        <w:rPr>
          <w:rFonts w:eastAsia="Times New Roman" w:cs="Arial"/>
          <w:lang w:eastAsia="tr-TR"/>
        </w:rPr>
      </w:pPr>
      <w:r w:rsidRPr="00E9291A">
        <w:rPr>
          <w:rFonts w:eastAsiaTheme="minorHAnsi" w:cstheme="minorBidi"/>
          <w:b/>
        </w:rPr>
        <w:t>ERRA:</w:t>
      </w:r>
      <w:r w:rsidR="00F078B2" w:rsidRPr="00E9291A">
        <w:rPr>
          <w:rFonts w:eastAsiaTheme="minorHAnsi" w:cstheme="minorBidi"/>
          <w:b/>
        </w:rPr>
        <w:t xml:space="preserve"> </w:t>
      </w:r>
      <w:r w:rsidRPr="00E9291A">
        <w:rPr>
          <w:rFonts w:eastAsia="Times New Roman" w:cs="Arial"/>
          <w:lang w:eastAsia="tr-TR"/>
        </w:rPr>
        <w:t>Enerji Düzenleyicileri Bölgesel Birliği</w:t>
      </w:r>
    </w:p>
    <w:p w:rsidR="009E6287" w:rsidRPr="00E9291A" w:rsidRDefault="009E6287" w:rsidP="00A02EDE">
      <w:pPr>
        <w:spacing w:after="100"/>
        <w:rPr>
          <w:rFonts w:eastAsiaTheme="minorHAnsi" w:cstheme="minorBidi"/>
          <w:b/>
        </w:rPr>
      </w:pPr>
      <w:r w:rsidRPr="00E9291A">
        <w:rPr>
          <w:rFonts w:eastAsiaTheme="minorHAnsi" w:cstheme="minorBidi"/>
          <w:b/>
        </w:rPr>
        <w:t xml:space="preserve">ICER: </w:t>
      </w:r>
      <w:r w:rsidR="00797745" w:rsidRPr="00E9291A">
        <w:rPr>
          <w:rFonts w:eastAsiaTheme="minorHAnsi" w:cstheme="minorBidi"/>
        </w:rPr>
        <w:t>Uluslararası Enerji Düzenleyicileri Konfederasyonu</w:t>
      </w:r>
    </w:p>
    <w:p w:rsidR="00D42084" w:rsidRPr="00E9291A" w:rsidRDefault="00D42084" w:rsidP="00A02EDE">
      <w:pPr>
        <w:spacing w:after="100"/>
        <w:rPr>
          <w:rFonts w:eastAsiaTheme="minorHAnsi" w:cstheme="minorBidi"/>
        </w:rPr>
      </w:pPr>
      <w:r w:rsidRPr="00D42084">
        <w:rPr>
          <w:rFonts w:eastAsiaTheme="minorHAnsi" w:cstheme="minorBidi"/>
          <w:b/>
        </w:rPr>
        <w:t>KBK:</w:t>
      </w:r>
      <w:r>
        <w:rPr>
          <w:rFonts w:eastAsiaTheme="minorHAnsi" w:cstheme="minorBidi"/>
        </w:rPr>
        <w:t xml:space="preserve"> Kurulca Belirlenen Katsayı</w:t>
      </w:r>
    </w:p>
    <w:p w:rsidR="009E6287" w:rsidRDefault="009E6287" w:rsidP="00A02EDE">
      <w:pPr>
        <w:spacing w:after="100"/>
      </w:pPr>
      <w:r w:rsidRPr="00E9291A">
        <w:rPr>
          <w:b/>
        </w:rPr>
        <w:t>KEİ:</w:t>
      </w:r>
      <w:r w:rsidR="00F078B2" w:rsidRPr="00E9291A">
        <w:rPr>
          <w:b/>
        </w:rPr>
        <w:t xml:space="preserve"> </w:t>
      </w:r>
      <w:r w:rsidRPr="00E9291A">
        <w:t>Karadeniz Ekonomik İşbirliği</w:t>
      </w:r>
    </w:p>
    <w:p w:rsidR="00FD2C95" w:rsidRDefault="00FD2C95" w:rsidP="00A02EDE">
      <w:pPr>
        <w:spacing w:after="100"/>
      </w:pPr>
      <w:r w:rsidRPr="00E9291A">
        <w:rPr>
          <w:b/>
        </w:rPr>
        <w:t>KEP:</w:t>
      </w:r>
      <w:r w:rsidR="00F078B2" w:rsidRPr="00E9291A">
        <w:rPr>
          <w:b/>
        </w:rPr>
        <w:t xml:space="preserve"> </w:t>
      </w:r>
      <w:r w:rsidRPr="00E9291A">
        <w:t>Kayıtlı Elektronik Posta</w:t>
      </w:r>
    </w:p>
    <w:p w:rsidR="00D045F0" w:rsidRPr="00E9291A" w:rsidRDefault="00D045F0" w:rsidP="00A02EDE">
      <w:pPr>
        <w:spacing w:after="100"/>
        <w:rPr>
          <w:b/>
        </w:rPr>
      </w:pPr>
      <w:r w:rsidRPr="00D045F0">
        <w:rPr>
          <w:b/>
        </w:rPr>
        <w:t>KKP:</w:t>
      </w:r>
      <w:r>
        <w:t xml:space="preserve"> Kurumsal Kaynak Planlama</w:t>
      </w:r>
    </w:p>
    <w:p w:rsidR="003528E3" w:rsidRPr="00E9291A" w:rsidRDefault="003528E3" w:rsidP="00A02EDE">
      <w:pPr>
        <w:spacing w:after="100"/>
        <w:rPr>
          <w:rFonts w:eastAsiaTheme="minorHAnsi" w:cstheme="minorBidi"/>
        </w:rPr>
      </w:pPr>
      <w:r w:rsidRPr="00E9291A">
        <w:rPr>
          <w:rFonts w:eastAsiaTheme="minorHAnsi" w:cstheme="minorBidi"/>
          <w:b/>
        </w:rPr>
        <w:t>Kurul:</w:t>
      </w:r>
      <w:r w:rsidRPr="00E9291A">
        <w:rPr>
          <w:rFonts w:eastAsiaTheme="minorHAnsi" w:cstheme="minorBidi"/>
        </w:rPr>
        <w:t xml:space="preserve"> Enerji Piyasası Düzenleme Kurulu</w:t>
      </w:r>
    </w:p>
    <w:p w:rsidR="003528E3" w:rsidRPr="00E9291A" w:rsidRDefault="003528E3" w:rsidP="00A02EDE">
      <w:pPr>
        <w:spacing w:after="100"/>
        <w:rPr>
          <w:rFonts w:eastAsiaTheme="minorHAnsi" w:cstheme="minorBidi"/>
        </w:rPr>
      </w:pPr>
      <w:r w:rsidRPr="00E9291A">
        <w:rPr>
          <w:rFonts w:eastAsiaTheme="minorHAnsi" w:cstheme="minorBidi"/>
          <w:b/>
        </w:rPr>
        <w:t>K</w:t>
      </w:r>
      <w:r w:rsidR="00FD2C95" w:rsidRPr="00E9291A">
        <w:rPr>
          <w:rFonts w:eastAsiaTheme="minorHAnsi" w:cstheme="minorBidi"/>
          <w:b/>
        </w:rPr>
        <w:t>urum/</w:t>
      </w:r>
      <w:r w:rsidRPr="00E9291A">
        <w:rPr>
          <w:rFonts w:eastAsiaTheme="minorHAnsi" w:cstheme="minorBidi"/>
          <w:b/>
        </w:rPr>
        <w:t>EPDK:</w:t>
      </w:r>
      <w:r w:rsidRPr="00E9291A">
        <w:rPr>
          <w:rFonts w:eastAsiaTheme="minorHAnsi" w:cstheme="minorBidi"/>
        </w:rPr>
        <w:t xml:space="preserve"> Enerji Piyasası Düzenleme Kurumu</w:t>
      </w:r>
    </w:p>
    <w:p w:rsidR="003528E3" w:rsidRPr="00E9291A" w:rsidRDefault="003528E3" w:rsidP="00A02EDE">
      <w:pPr>
        <w:spacing w:after="100"/>
        <w:rPr>
          <w:rFonts w:eastAsiaTheme="minorHAnsi" w:cstheme="minorBidi"/>
          <w:bCs/>
          <w:color w:val="000000" w:themeColor="text1"/>
        </w:rPr>
      </w:pPr>
      <w:r w:rsidRPr="00E9291A">
        <w:rPr>
          <w:rFonts w:eastAsiaTheme="minorHAnsi" w:cstheme="minorBidi"/>
          <w:b/>
        </w:rPr>
        <w:t xml:space="preserve">LNG: </w:t>
      </w:r>
      <w:r w:rsidRPr="00E9291A">
        <w:rPr>
          <w:rFonts w:eastAsiaTheme="minorHAnsi" w:cstheme="minorBidi"/>
          <w:color w:val="000000" w:themeColor="text1"/>
        </w:rPr>
        <w:t>S</w:t>
      </w:r>
      <w:r w:rsidRPr="00E9291A">
        <w:rPr>
          <w:rFonts w:eastAsiaTheme="minorHAnsi" w:cstheme="minorBidi"/>
          <w:bCs/>
          <w:color w:val="000000" w:themeColor="text1"/>
        </w:rPr>
        <w:t>ıvılaştırılmış Doğal Gaz</w:t>
      </w:r>
    </w:p>
    <w:p w:rsidR="003528E3" w:rsidRDefault="003528E3" w:rsidP="00A02EDE">
      <w:pPr>
        <w:spacing w:after="100"/>
        <w:rPr>
          <w:rFonts w:eastAsiaTheme="minorHAnsi" w:cstheme="minorBidi"/>
        </w:rPr>
      </w:pPr>
      <w:r w:rsidRPr="00E9291A">
        <w:rPr>
          <w:rFonts w:eastAsiaTheme="minorHAnsi" w:cstheme="minorBidi"/>
          <w:b/>
          <w:color w:val="000000" w:themeColor="text1"/>
          <w:lang w:bidi="ta-IN"/>
        </w:rPr>
        <w:t>LPG:</w:t>
      </w:r>
      <w:r w:rsidR="00F078B2" w:rsidRPr="00E9291A">
        <w:rPr>
          <w:rFonts w:eastAsiaTheme="minorHAnsi" w:cstheme="minorBidi"/>
          <w:b/>
          <w:color w:val="000000" w:themeColor="text1"/>
          <w:lang w:bidi="ta-IN"/>
        </w:rPr>
        <w:t xml:space="preserve"> </w:t>
      </w:r>
      <w:r w:rsidRPr="00E9291A">
        <w:rPr>
          <w:rFonts w:eastAsiaTheme="minorHAnsi" w:cstheme="minorBidi"/>
        </w:rPr>
        <w:t>Sıvılaştırılmış Petrol Gazları</w:t>
      </w:r>
    </w:p>
    <w:p w:rsidR="00727E8D" w:rsidRPr="00E9291A" w:rsidRDefault="00727E8D" w:rsidP="00A02EDE">
      <w:pPr>
        <w:spacing w:after="100"/>
        <w:rPr>
          <w:rFonts w:eastAsiaTheme="minorHAnsi" w:cstheme="minorBidi"/>
        </w:rPr>
      </w:pPr>
      <w:r w:rsidRPr="00727E8D">
        <w:rPr>
          <w:rFonts w:eastAsiaTheme="minorHAnsi" w:cstheme="minorBidi"/>
          <w:b/>
        </w:rPr>
        <w:t>LÜY:</w:t>
      </w:r>
      <w:r w:rsidRPr="00727E8D">
        <w:rPr>
          <w:rFonts w:eastAsiaTheme="minorHAnsi" w:cstheme="minorBidi"/>
        </w:rPr>
        <w:t xml:space="preserve"> </w:t>
      </w:r>
      <w:r w:rsidR="00D44F80">
        <w:rPr>
          <w:rFonts w:eastAsiaTheme="minorHAnsi" w:cstheme="minorBidi"/>
        </w:rPr>
        <w:t xml:space="preserve">Elektrik Piyasasında </w:t>
      </w:r>
      <w:r w:rsidRPr="00727E8D">
        <w:rPr>
          <w:rFonts w:eastAsiaTheme="minorHAnsi" w:cstheme="minorBidi"/>
        </w:rPr>
        <w:t>Lisanssız Elektrik Üretim Yönetmeliği</w:t>
      </w:r>
    </w:p>
    <w:p w:rsidR="003528E3" w:rsidRPr="00E9291A" w:rsidRDefault="003528E3" w:rsidP="00A02EDE">
      <w:pPr>
        <w:spacing w:after="100"/>
        <w:rPr>
          <w:rFonts w:eastAsia="Times New Roman" w:cs="Arial"/>
          <w:lang w:eastAsia="tr-TR"/>
        </w:rPr>
      </w:pPr>
      <w:r w:rsidRPr="00E9291A">
        <w:rPr>
          <w:rFonts w:eastAsia="Times New Roman" w:cs="Arial"/>
          <w:b/>
          <w:lang w:eastAsia="tr-TR"/>
        </w:rPr>
        <w:t>MEDREG:</w:t>
      </w:r>
      <w:r w:rsidRPr="00E9291A">
        <w:rPr>
          <w:rFonts w:eastAsia="Times New Roman" w:cs="Arial"/>
          <w:lang w:eastAsia="tr-TR"/>
        </w:rPr>
        <w:t xml:space="preserve"> Akdeniz Elektrik ve Gaz Düzenleyicileri Birliği</w:t>
      </w:r>
    </w:p>
    <w:p w:rsidR="009E6287" w:rsidRPr="00E9291A" w:rsidRDefault="009E6287" w:rsidP="00A02EDE">
      <w:pPr>
        <w:spacing w:after="100"/>
        <w:rPr>
          <w:rFonts w:eastAsia="Times New Roman" w:cs="Arial"/>
          <w:lang w:eastAsia="tr-TR"/>
        </w:rPr>
      </w:pPr>
      <w:r w:rsidRPr="00E9291A">
        <w:rPr>
          <w:rFonts w:eastAsia="Times New Roman" w:cs="Arial"/>
          <w:b/>
          <w:lang w:eastAsia="tr-TR"/>
        </w:rPr>
        <w:t xml:space="preserve">OECD: </w:t>
      </w:r>
      <w:r w:rsidRPr="00E9291A">
        <w:rPr>
          <w:rFonts w:eastAsia="Times New Roman" w:cs="Arial"/>
          <w:lang w:eastAsia="tr-TR"/>
        </w:rPr>
        <w:t>Ekonomik İşbirliği ve Kalkınma Örgütü</w:t>
      </w:r>
    </w:p>
    <w:p w:rsidR="003528E3" w:rsidRPr="00E9291A" w:rsidRDefault="003528E3" w:rsidP="00A02EDE">
      <w:pPr>
        <w:spacing w:after="100"/>
        <w:rPr>
          <w:rFonts w:eastAsiaTheme="minorHAnsi" w:cstheme="minorBidi"/>
          <w:bCs/>
          <w:color w:val="000000" w:themeColor="text1"/>
        </w:rPr>
      </w:pPr>
      <w:r w:rsidRPr="00E9291A">
        <w:rPr>
          <w:rFonts w:eastAsiaTheme="minorHAnsi" w:cstheme="minorBidi"/>
          <w:b/>
          <w:bCs/>
          <w:color w:val="000000" w:themeColor="text1"/>
        </w:rPr>
        <w:t>OG:</w:t>
      </w:r>
      <w:r w:rsidRPr="00E9291A">
        <w:rPr>
          <w:rFonts w:eastAsiaTheme="minorHAnsi" w:cstheme="minorBidi"/>
          <w:bCs/>
          <w:color w:val="000000" w:themeColor="text1"/>
        </w:rPr>
        <w:t xml:space="preserve"> Orta Gerilim</w:t>
      </w:r>
    </w:p>
    <w:p w:rsidR="003528E3" w:rsidRDefault="003528E3" w:rsidP="00A02EDE">
      <w:pPr>
        <w:spacing w:after="100"/>
        <w:rPr>
          <w:rFonts w:eastAsiaTheme="minorHAnsi" w:cstheme="minorBidi"/>
        </w:rPr>
      </w:pPr>
      <w:r w:rsidRPr="00E9291A">
        <w:rPr>
          <w:rFonts w:eastAsiaTheme="minorHAnsi" w:cstheme="minorBidi"/>
          <w:b/>
        </w:rPr>
        <w:t>OSB:</w:t>
      </w:r>
      <w:r w:rsidRPr="00E9291A">
        <w:rPr>
          <w:rFonts w:eastAsiaTheme="minorHAnsi" w:cstheme="minorBidi"/>
        </w:rPr>
        <w:t xml:space="preserve"> Organize Sanayi Bölgesi</w:t>
      </w:r>
    </w:p>
    <w:p w:rsidR="006343EC" w:rsidRPr="00E9291A" w:rsidRDefault="006343EC" w:rsidP="00A02EDE">
      <w:pPr>
        <w:spacing w:after="100"/>
        <w:rPr>
          <w:color w:val="000000" w:themeColor="text1"/>
        </w:rPr>
      </w:pPr>
      <w:r w:rsidRPr="00E9291A">
        <w:rPr>
          <w:b/>
          <w:color w:val="000000" w:themeColor="text1"/>
        </w:rPr>
        <w:t xml:space="preserve">SOME: </w:t>
      </w:r>
      <w:r w:rsidRPr="00E9291A">
        <w:rPr>
          <w:color w:val="000000" w:themeColor="text1"/>
        </w:rPr>
        <w:t>Siber Olaylara Müdahale Ekibi</w:t>
      </w:r>
    </w:p>
    <w:p w:rsidR="006343EC" w:rsidRPr="00E9291A" w:rsidRDefault="006343EC" w:rsidP="00A02EDE">
      <w:pPr>
        <w:spacing w:after="100"/>
        <w:rPr>
          <w:rFonts w:eastAsiaTheme="minorHAnsi" w:cstheme="minorBidi"/>
        </w:rPr>
      </w:pPr>
      <w:r w:rsidRPr="00E9291A">
        <w:rPr>
          <w:b/>
          <w:color w:val="000000" w:themeColor="text1"/>
        </w:rPr>
        <w:lastRenderedPageBreak/>
        <w:t>TBMM:</w:t>
      </w:r>
      <w:r w:rsidRPr="00E9291A">
        <w:rPr>
          <w:color w:val="000000" w:themeColor="text1"/>
        </w:rPr>
        <w:t xml:space="preserve"> Türkiye Büyük Millet Meclisi</w:t>
      </w:r>
    </w:p>
    <w:p w:rsidR="003528E3" w:rsidRPr="00E9291A" w:rsidRDefault="003528E3" w:rsidP="00A02EDE">
      <w:pPr>
        <w:spacing w:after="100"/>
        <w:rPr>
          <w:rFonts w:eastAsiaTheme="minorHAnsi" w:cstheme="minorBidi"/>
          <w:color w:val="000000" w:themeColor="text1"/>
        </w:rPr>
      </w:pPr>
      <w:r w:rsidRPr="00E9291A">
        <w:rPr>
          <w:rFonts w:eastAsiaTheme="minorHAnsi" w:cstheme="minorBidi"/>
          <w:b/>
          <w:bCs/>
          <w:color w:val="000000" w:themeColor="text1"/>
        </w:rPr>
        <w:t>TEİAŞ:</w:t>
      </w:r>
      <w:r w:rsidR="00F078B2" w:rsidRPr="00E9291A">
        <w:rPr>
          <w:rFonts w:eastAsiaTheme="minorHAnsi" w:cstheme="minorBidi"/>
          <w:b/>
          <w:bCs/>
          <w:color w:val="000000" w:themeColor="text1"/>
        </w:rPr>
        <w:t xml:space="preserve"> </w:t>
      </w:r>
      <w:r w:rsidRPr="00E9291A">
        <w:rPr>
          <w:rFonts w:eastAsiaTheme="minorHAnsi" w:cstheme="minorBidi"/>
          <w:color w:val="000000" w:themeColor="text1"/>
        </w:rPr>
        <w:t>Türkiye Elektrik İletim Anonim Şirketi</w:t>
      </w:r>
    </w:p>
    <w:p w:rsidR="003528E3" w:rsidRPr="00E9291A" w:rsidRDefault="003528E3" w:rsidP="00A02EDE">
      <w:pPr>
        <w:spacing w:after="100"/>
        <w:rPr>
          <w:rFonts w:eastAsia="Times New Roman" w:cstheme="minorBidi"/>
          <w:color w:val="000000"/>
          <w:lang w:eastAsia="tr-TR"/>
        </w:rPr>
      </w:pPr>
      <w:r w:rsidRPr="00E9291A">
        <w:rPr>
          <w:rFonts w:eastAsia="Times New Roman" w:cstheme="minorBidi"/>
          <w:b/>
          <w:color w:val="000000"/>
          <w:lang w:eastAsia="tr-TR"/>
        </w:rPr>
        <w:t>TÜBİTAK:</w:t>
      </w:r>
      <w:r w:rsidRPr="00E9291A">
        <w:rPr>
          <w:rFonts w:eastAsia="Times New Roman" w:cstheme="minorBidi"/>
          <w:color w:val="000000"/>
          <w:lang w:eastAsia="tr-TR"/>
        </w:rPr>
        <w:t xml:space="preserve"> Türkiye Bilimsel ve Teknolojik Araştırma Kurumu</w:t>
      </w:r>
    </w:p>
    <w:p w:rsidR="003528E3" w:rsidRPr="00E9291A" w:rsidRDefault="003528E3" w:rsidP="00A02EDE">
      <w:pPr>
        <w:spacing w:after="100"/>
        <w:rPr>
          <w:rFonts w:eastAsia="Times New Roman" w:cstheme="minorBidi"/>
          <w:color w:val="000000"/>
          <w:lang w:eastAsia="tr-TR"/>
        </w:rPr>
      </w:pPr>
      <w:r w:rsidRPr="00E9291A">
        <w:rPr>
          <w:rFonts w:eastAsiaTheme="minorHAnsi" w:cstheme="minorBidi"/>
          <w:b/>
          <w:bCs/>
          <w:color w:val="000000" w:themeColor="text1"/>
        </w:rPr>
        <w:t xml:space="preserve">TÜPRAŞ: </w:t>
      </w:r>
      <w:r w:rsidRPr="00E9291A">
        <w:rPr>
          <w:rFonts w:eastAsia="Times New Roman" w:cstheme="minorBidi"/>
          <w:color w:val="000000"/>
          <w:lang w:eastAsia="tr-TR"/>
        </w:rPr>
        <w:t>Türkiye Petrol Rafinerileri A.Ş.</w:t>
      </w:r>
    </w:p>
    <w:p w:rsidR="003528E3" w:rsidRPr="00E9291A" w:rsidRDefault="003528E3" w:rsidP="00A02EDE">
      <w:pPr>
        <w:spacing w:after="100"/>
        <w:rPr>
          <w:rFonts w:eastAsiaTheme="minorHAnsi" w:cstheme="minorBidi"/>
        </w:rPr>
      </w:pPr>
      <w:r w:rsidRPr="00E9291A">
        <w:rPr>
          <w:rFonts w:eastAsiaTheme="minorHAnsi" w:cstheme="minorBidi"/>
          <w:b/>
        </w:rPr>
        <w:t>UEA:</w:t>
      </w:r>
      <w:r w:rsidRPr="00E9291A">
        <w:rPr>
          <w:rFonts w:eastAsiaTheme="minorHAnsi" w:cstheme="minorBidi"/>
        </w:rPr>
        <w:t xml:space="preserve"> Uluslararası Enerji Ajansı</w:t>
      </w:r>
    </w:p>
    <w:p w:rsidR="006343EC" w:rsidRPr="00E9291A" w:rsidRDefault="006343EC" w:rsidP="00A02EDE">
      <w:pPr>
        <w:spacing w:after="100"/>
        <w:rPr>
          <w:rFonts w:eastAsiaTheme="minorHAnsi" w:cstheme="minorBidi"/>
        </w:rPr>
      </w:pPr>
      <w:r w:rsidRPr="00E9291A">
        <w:rPr>
          <w:rFonts w:eastAsiaTheme="minorHAnsi" w:cstheme="minorBidi"/>
          <w:b/>
        </w:rPr>
        <w:t>UGETAM:</w:t>
      </w:r>
      <w:r w:rsidR="00F078B2" w:rsidRPr="00E9291A">
        <w:rPr>
          <w:rFonts w:eastAsiaTheme="minorHAnsi" w:cstheme="minorBidi"/>
          <w:b/>
        </w:rPr>
        <w:t xml:space="preserve"> </w:t>
      </w:r>
      <w:r w:rsidR="00C23E1D" w:rsidRPr="00E9291A">
        <w:rPr>
          <w:rFonts w:eastAsiaTheme="minorHAnsi" w:cstheme="minorBidi"/>
        </w:rPr>
        <w:t>İstanbul Uygulamalı Gaz ve Enerji Teknolojileri Araştırma Mühendislik Sanayi Ticaret A.Ş.</w:t>
      </w:r>
    </w:p>
    <w:p w:rsidR="007E4989" w:rsidRPr="007E4989" w:rsidRDefault="00BC6D92" w:rsidP="004E2C12">
      <w:pPr>
        <w:spacing w:after="100"/>
        <w:jc w:val="left"/>
        <w:rPr>
          <w:rFonts w:eastAsiaTheme="minorHAnsi" w:cstheme="minorBidi"/>
        </w:rPr>
        <w:sectPr w:rsidR="007E4989" w:rsidRPr="007E4989" w:rsidSect="008D594C">
          <w:footerReference w:type="first" r:id="rId12"/>
          <w:pgSz w:w="11906" w:h="16838"/>
          <w:pgMar w:top="1418" w:right="1418" w:bottom="1418" w:left="1418" w:header="709" w:footer="709" w:gutter="0"/>
          <w:pgNumType w:fmt="lowerRoman" w:start="1"/>
          <w:cols w:space="708"/>
          <w:titlePg/>
          <w:docGrid w:linePitch="360"/>
        </w:sectPr>
      </w:pPr>
      <w:r w:rsidRPr="00E9291A">
        <w:rPr>
          <w:rFonts w:eastAsiaTheme="minorHAnsi" w:cstheme="minorBidi"/>
          <w:b/>
        </w:rPr>
        <w:t>UM:</w:t>
      </w:r>
      <w:r w:rsidR="004E2C12">
        <w:rPr>
          <w:rFonts w:eastAsiaTheme="minorHAnsi" w:cstheme="minorBidi"/>
          <w:b/>
        </w:rPr>
        <w:t xml:space="preserve"> </w:t>
      </w:r>
      <w:r w:rsidRPr="00E9291A">
        <w:rPr>
          <w:rFonts w:eastAsiaTheme="minorHAnsi" w:cstheme="minorBidi"/>
        </w:rPr>
        <w:t>Ulusal</w:t>
      </w:r>
      <w:r w:rsidR="004E2C12">
        <w:rPr>
          <w:rFonts w:eastAsiaTheme="minorHAnsi" w:cstheme="minorBidi"/>
        </w:rPr>
        <w:t xml:space="preserve"> </w:t>
      </w:r>
      <w:r w:rsidRPr="00E9291A">
        <w:rPr>
          <w:rFonts w:eastAsiaTheme="minorHAnsi" w:cstheme="minorBidi"/>
        </w:rPr>
        <w:t>Marker</w:t>
      </w:r>
    </w:p>
    <w:p w:rsidR="004367E4" w:rsidRPr="00E9291A" w:rsidRDefault="004367E4" w:rsidP="00A02EDE">
      <w:pPr>
        <w:pStyle w:val="KonuBal"/>
        <w:outlineLvl w:val="0"/>
        <w:rPr>
          <w:rStyle w:val="KitapBal"/>
          <w:rFonts w:asciiTheme="minorHAnsi" w:hAnsiTheme="minorHAnsi"/>
          <w:color w:val="auto"/>
          <w:sz w:val="22"/>
          <w:szCs w:val="22"/>
        </w:rPr>
      </w:pPr>
      <w:bookmarkStart w:id="0" w:name="_Toc132713746"/>
      <w:r w:rsidRPr="00E9291A">
        <w:rPr>
          <w:rStyle w:val="KitapBal"/>
          <w:rFonts w:asciiTheme="minorHAnsi" w:hAnsiTheme="minorHAnsi"/>
          <w:color w:val="auto"/>
          <w:sz w:val="22"/>
          <w:szCs w:val="22"/>
        </w:rPr>
        <w:lastRenderedPageBreak/>
        <w:t>BİRİNCİ BÖLÜM</w:t>
      </w:r>
      <w:bookmarkEnd w:id="0"/>
    </w:p>
    <w:p w:rsidR="004367E4" w:rsidRPr="00E9291A" w:rsidRDefault="004367E4" w:rsidP="00A02EDE">
      <w:pPr>
        <w:pStyle w:val="KonuBal"/>
        <w:rPr>
          <w:rStyle w:val="KitapBal"/>
          <w:rFonts w:asciiTheme="minorHAnsi" w:hAnsiTheme="minorHAnsi"/>
          <w:color w:val="auto"/>
          <w:sz w:val="22"/>
          <w:szCs w:val="22"/>
        </w:rPr>
      </w:pPr>
      <w:r w:rsidRPr="00E9291A">
        <w:rPr>
          <w:rStyle w:val="KitapBal"/>
          <w:rFonts w:asciiTheme="minorHAnsi" w:hAnsiTheme="minorHAnsi"/>
          <w:color w:val="auto"/>
          <w:sz w:val="22"/>
          <w:szCs w:val="22"/>
        </w:rPr>
        <w:t>GENEL BİLGİLER</w:t>
      </w:r>
    </w:p>
    <w:p w:rsidR="00C553AB" w:rsidRDefault="00C553AB" w:rsidP="000A5A56">
      <w:pPr>
        <w:pStyle w:val="Balk1"/>
        <w:numPr>
          <w:ilvl w:val="0"/>
          <w:numId w:val="12"/>
        </w:numPr>
        <w:rPr>
          <w:rFonts w:asciiTheme="minorHAnsi" w:hAnsiTheme="minorHAnsi"/>
          <w:color w:val="auto"/>
          <w:sz w:val="22"/>
          <w:szCs w:val="22"/>
        </w:rPr>
      </w:pPr>
      <w:bookmarkStart w:id="1" w:name="_Toc442431223"/>
      <w:bookmarkStart w:id="2" w:name="_Toc132713747"/>
      <w:r w:rsidRPr="00E9291A">
        <w:rPr>
          <w:rFonts w:asciiTheme="minorHAnsi" w:hAnsiTheme="minorHAnsi"/>
          <w:color w:val="auto"/>
          <w:sz w:val="22"/>
          <w:szCs w:val="22"/>
        </w:rPr>
        <w:t>ENERJİ PİYASASI DÜZENLEME KURUMU</w:t>
      </w:r>
      <w:bookmarkEnd w:id="1"/>
      <w:bookmarkEnd w:id="2"/>
    </w:p>
    <w:p w:rsidR="009824D9" w:rsidRDefault="009824D9" w:rsidP="00A02EDE">
      <w:pPr>
        <w:spacing w:after="0"/>
      </w:pPr>
    </w:p>
    <w:p w:rsidR="00C553AB" w:rsidRPr="00E9291A" w:rsidRDefault="003146EF" w:rsidP="00A02EDE">
      <w:pPr>
        <w:spacing w:after="0"/>
      </w:pPr>
      <w:r>
        <w:t>Kurum</w:t>
      </w:r>
      <w:r w:rsidR="003950FF">
        <w:t>un</w:t>
      </w:r>
      <w:r w:rsidR="00C553AB" w:rsidRPr="00E9291A">
        <w:t xml:space="preserve"> görev, yetki ve sorumlulukları ile Kurumun yapısı hakkında bilgiler yer almaktadır. </w:t>
      </w:r>
    </w:p>
    <w:p w:rsidR="00C553AB" w:rsidRPr="00E9291A" w:rsidRDefault="00A920AC" w:rsidP="000A5A56">
      <w:pPr>
        <w:pStyle w:val="Balk2"/>
        <w:numPr>
          <w:ilvl w:val="1"/>
          <w:numId w:val="11"/>
        </w:numPr>
        <w:spacing w:after="240"/>
        <w:rPr>
          <w:rFonts w:asciiTheme="minorHAnsi" w:hAnsiTheme="minorHAnsi"/>
          <w:color w:val="auto"/>
          <w:sz w:val="22"/>
          <w:szCs w:val="22"/>
        </w:rPr>
      </w:pPr>
      <w:bookmarkStart w:id="3" w:name="_Toc442431224"/>
      <w:bookmarkStart w:id="4" w:name="_Toc132713748"/>
      <w:r w:rsidRPr="00E9291A">
        <w:rPr>
          <w:rFonts w:asciiTheme="minorHAnsi" w:hAnsiTheme="minorHAnsi"/>
          <w:color w:val="auto"/>
          <w:sz w:val="22"/>
          <w:szCs w:val="22"/>
        </w:rPr>
        <w:t xml:space="preserve">Kurumun </w:t>
      </w:r>
      <w:r w:rsidR="00C553AB" w:rsidRPr="00E9291A">
        <w:rPr>
          <w:rFonts w:asciiTheme="minorHAnsi" w:hAnsiTheme="minorHAnsi"/>
          <w:color w:val="auto"/>
          <w:sz w:val="22"/>
          <w:szCs w:val="22"/>
        </w:rPr>
        <w:t>Görev, Yetki ve Sorumluluklar</w:t>
      </w:r>
      <w:bookmarkEnd w:id="3"/>
      <w:r w:rsidRPr="00E9291A">
        <w:rPr>
          <w:rFonts w:asciiTheme="minorHAnsi" w:hAnsiTheme="minorHAnsi"/>
          <w:color w:val="auto"/>
          <w:sz w:val="22"/>
          <w:szCs w:val="22"/>
        </w:rPr>
        <w:t>ı</w:t>
      </w:r>
      <w:bookmarkEnd w:id="4"/>
    </w:p>
    <w:p w:rsidR="00C553AB" w:rsidRPr="00E9291A" w:rsidRDefault="004C4E00" w:rsidP="00A02EDE">
      <w:pPr>
        <w:rPr>
          <w:rFonts w:ascii="Arial" w:eastAsia="Times New Roman" w:hAnsi="Arial" w:cs="Arial"/>
          <w:sz w:val="25"/>
          <w:szCs w:val="25"/>
          <w:lang w:eastAsia="tr-TR"/>
        </w:rPr>
      </w:pPr>
      <w:r>
        <w:t>Kurum, 03.03.</w:t>
      </w:r>
      <w:r w:rsidR="00C553AB" w:rsidRPr="00E9291A">
        <w:t xml:space="preserve">2001 tarihli </w:t>
      </w:r>
      <w:r w:rsidR="00A920AC" w:rsidRPr="00E9291A">
        <w:t xml:space="preserve">ve 24335 (Mükerrer) sayılı </w:t>
      </w:r>
      <w:r w:rsidR="009B64F4" w:rsidRPr="00E9291A">
        <w:t>Resmî</w:t>
      </w:r>
      <w:r w:rsidR="00827052" w:rsidRPr="00E9291A">
        <w:t xml:space="preserve"> </w:t>
      </w:r>
      <w:r w:rsidR="00274939">
        <w:t>Gazetede</w:t>
      </w:r>
      <w:r w:rsidR="00C553AB" w:rsidRPr="00E9291A">
        <w:t xml:space="preserve"> yayımlanan 4628 sayılı eski </w:t>
      </w:r>
      <w:r w:rsidR="00C553AB" w:rsidRPr="00285DA3">
        <w:rPr>
          <w:i/>
        </w:rPr>
        <w:t>“Elektrik Piyasası Kanunu”</w:t>
      </w:r>
      <w:r w:rsidR="00C553AB" w:rsidRPr="00E9291A">
        <w:t xml:space="preserve"> ile </w:t>
      </w:r>
      <w:r w:rsidR="00C553AB" w:rsidRPr="00285DA3">
        <w:rPr>
          <w:i/>
        </w:rPr>
        <w:t>“Elektrik Piyasası Düzenleme Ku</w:t>
      </w:r>
      <w:r w:rsidR="00C22DF8" w:rsidRPr="00285DA3">
        <w:rPr>
          <w:i/>
        </w:rPr>
        <w:t>rumu”</w:t>
      </w:r>
      <w:r w:rsidR="00C22DF8">
        <w:t xml:space="preserve"> adı altında kurulmuş olup</w:t>
      </w:r>
      <w:r>
        <w:t xml:space="preserve"> 02.05.</w:t>
      </w:r>
      <w:r w:rsidR="00C553AB" w:rsidRPr="00E9291A">
        <w:t>2001 tarih</w:t>
      </w:r>
      <w:r w:rsidR="00827052" w:rsidRPr="00E9291A">
        <w:t xml:space="preserve">li ve 24390 sayılı </w:t>
      </w:r>
      <w:r w:rsidR="009B64F4" w:rsidRPr="00E9291A">
        <w:t>Resmî</w:t>
      </w:r>
      <w:r w:rsidR="00827052" w:rsidRPr="00E9291A">
        <w:t xml:space="preserve"> </w:t>
      </w:r>
      <w:r w:rsidR="00274939">
        <w:t>Gazetede</w:t>
      </w:r>
      <w:r w:rsidR="00C553AB" w:rsidRPr="00E9291A">
        <w:t xml:space="preserve"> ya</w:t>
      </w:r>
      <w:r w:rsidR="00A920AC" w:rsidRPr="00E9291A">
        <w:t xml:space="preserve">yımlanan 4646 sayılı </w:t>
      </w:r>
      <w:r w:rsidR="00A920AC" w:rsidRPr="00A00E1C">
        <w:rPr>
          <w:i/>
        </w:rPr>
        <w:t>“Doğal Gaz</w:t>
      </w:r>
      <w:r w:rsidR="00C553AB" w:rsidRPr="00A00E1C">
        <w:rPr>
          <w:i/>
        </w:rPr>
        <w:t xml:space="preserve"> Piyasası Kanunu</w:t>
      </w:r>
      <w:r w:rsidR="007647D3" w:rsidRPr="00A00E1C">
        <w:rPr>
          <w:i/>
        </w:rPr>
        <w:t xml:space="preserve"> </w:t>
      </w:r>
      <w:r w:rsidR="00C553AB" w:rsidRPr="00A00E1C">
        <w:rPr>
          <w:i/>
        </w:rPr>
        <w:t>(Elektrik Piyasası Kanununda Değişiklik Yapılması ve Doğal Gaz Piyasası</w:t>
      </w:r>
      <w:r w:rsidR="00F078B2" w:rsidRPr="00A00E1C">
        <w:rPr>
          <w:i/>
        </w:rPr>
        <w:t xml:space="preserve"> </w:t>
      </w:r>
      <w:r w:rsidR="00C553AB" w:rsidRPr="00A00E1C">
        <w:rPr>
          <w:i/>
        </w:rPr>
        <w:t>Hakkında Kanun)”</w:t>
      </w:r>
      <w:r w:rsidR="00C553AB" w:rsidRPr="00E9291A">
        <w:t xml:space="preserve"> ile </w:t>
      </w:r>
      <w:r w:rsidR="00C553AB" w:rsidRPr="00A00E1C">
        <w:rPr>
          <w:i/>
        </w:rPr>
        <w:t>“Enerji Piyasası Düzenleme Kurumu”</w:t>
      </w:r>
      <w:r w:rsidR="00C553AB" w:rsidRPr="00E9291A">
        <w:t xml:space="preserve"> adını almıştır.</w:t>
      </w:r>
    </w:p>
    <w:p w:rsidR="00C553AB" w:rsidRPr="00E9291A" w:rsidRDefault="00C553AB" w:rsidP="00A02EDE">
      <w:r w:rsidRPr="00E9291A">
        <w:t>4628 sayılı Kanunun adı,</w:t>
      </w:r>
      <w:r w:rsidR="00F078B2" w:rsidRPr="00E9291A">
        <w:t xml:space="preserve"> </w:t>
      </w:r>
      <w:r w:rsidR="004C4E00">
        <w:t>30.03.</w:t>
      </w:r>
      <w:r w:rsidRPr="00E9291A">
        <w:t>2013 tarih</w:t>
      </w:r>
      <w:r w:rsidR="00827052" w:rsidRPr="00E9291A">
        <w:t xml:space="preserve">li ve 28603 sayılı </w:t>
      </w:r>
      <w:r w:rsidR="009B64F4" w:rsidRPr="00E9291A">
        <w:t>Resmî</w:t>
      </w:r>
      <w:r w:rsidR="00827052" w:rsidRPr="00E9291A">
        <w:t xml:space="preserve"> </w:t>
      </w:r>
      <w:r w:rsidR="00274939">
        <w:t>Gazetede</w:t>
      </w:r>
      <w:r w:rsidRPr="00E9291A">
        <w:t xml:space="preserve"> yayımlanan 6446 s</w:t>
      </w:r>
      <w:r w:rsidR="00A920AC" w:rsidRPr="00E9291A">
        <w:t>ayılı Elektrik Piyasası Kanunu</w:t>
      </w:r>
      <w:r w:rsidR="00A00E1C">
        <w:t xml:space="preserve">nun 30 </w:t>
      </w:r>
      <w:r w:rsidRPr="00E9291A">
        <w:t xml:space="preserve">uncu maddesiyle </w:t>
      </w:r>
      <w:r w:rsidRPr="00A00E1C">
        <w:rPr>
          <w:i/>
        </w:rPr>
        <w:t>“Enerji Piyasası Düzenleme Kurumunun Teşkilat ve Görevleri Hakkında Kanun”</w:t>
      </w:r>
      <w:r w:rsidRPr="00E9291A">
        <w:t xml:space="preserve"> olarak değiştirilmiştir.</w:t>
      </w:r>
    </w:p>
    <w:p w:rsidR="00C553AB" w:rsidRPr="00E9291A" w:rsidRDefault="00C553AB" w:rsidP="00495438">
      <w:r w:rsidRPr="00E9291A">
        <w:t xml:space="preserve">Kurum, </w:t>
      </w:r>
      <w:r w:rsidR="00C22DF8">
        <w:t>kamu tüzel kişiliğini haiz olup</w:t>
      </w:r>
      <w:r w:rsidRPr="00E9291A">
        <w:t xml:space="preserve"> idari ve mali özerkliğe sahiptir. İlişkili olduğu Bakanlık, </w:t>
      </w:r>
      <w:r w:rsidR="007647D3">
        <w:t>ETKB’dir</w:t>
      </w:r>
      <w:r w:rsidR="00495438">
        <w:t xml:space="preserve">. </w:t>
      </w:r>
    </w:p>
    <w:p w:rsidR="00617F97" w:rsidRPr="00E9291A" w:rsidRDefault="00C553AB" w:rsidP="00495438">
      <w:r w:rsidRPr="00E9291A">
        <w:t xml:space="preserve">Kurumun </w:t>
      </w:r>
      <w:r w:rsidR="00A00E1C">
        <w:t>merkezi Ankara’dadır;</w:t>
      </w:r>
      <w:r w:rsidRPr="00E9291A">
        <w:t xml:space="preserve"> taşra teşkilatı yoktur. Kurum, dağıtım bölgelerinde müşteri ilişkilerini sağlamak amacıyla irt</w:t>
      </w:r>
      <w:r w:rsidR="00495438">
        <w:t xml:space="preserve">ibat büroları kurabilmektedir. </w:t>
      </w:r>
      <w:r w:rsidR="007647D3">
        <w:t xml:space="preserve">Bu kapsamda İstanbul’da bir irtibat bürosu bulunmaktadır. </w:t>
      </w:r>
    </w:p>
    <w:p w:rsidR="00C553AB" w:rsidRPr="00E9291A" w:rsidRDefault="00C553AB" w:rsidP="00495438">
      <w:pPr>
        <w:spacing w:after="0"/>
      </w:pPr>
      <w:r w:rsidRPr="00E9291A">
        <w:t xml:space="preserve">Kurum; </w:t>
      </w:r>
    </w:p>
    <w:p w:rsidR="00C553AB" w:rsidRPr="00E9291A" w:rsidRDefault="00C553AB" w:rsidP="00495438">
      <w:pPr>
        <w:pStyle w:val="ListeParagraf"/>
        <w:numPr>
          <w:ilvl w:val="0"/>
          <w:numId w:val="2"/>
        </w:numPr>
        <w:tabs>
          <w:tab w:val="left" w:pos="284"/>
          <w:tab w:val="left" w:pos="709"/>
          <w:tab w:val="left" w:pos="851"/>
        </w:tabs>
        <w:spacing w:after="0"/>
      </w:pPr>
      <w:r w:rsidRPr="00E9291A">
        <w:t>4628 sayılı Enerji Piyasası Düzenleme Kurumunun Teşkilat ve Görevleri Hakkında Kanun,</w:t>
      </w:r>
    </w:p>
    <w:p w:rsidR="00C553AB" w:rsidRPr="00E9291A" w:rsidRDefault="00C553AB" w:rsidP="00495438">
      <w:pPr>
        <w:pStyle w:val="ListeParagraf"/>
        <w:numPr>
          <w:ilvl w:val="0"/>
          <w:numId w:val="2"/>
        </w:numPr>
        <w:tabs>
          <w:tab w:val="left" w:pos="284"/>
          <w:tab w:val="left" w:pos="709"/>
          <w:tab w:val="left" w:pos="851"/>
        </w:tabs>
        <w:spacing w:after="0"/>
      </w:pPr>
      <w:r w:rsidRPr="00E9291A">
        <w:t>4646 sayılı Doğal Gaz Piyasası Kanunu,</w:t>
      </w:r>
    </w:p>
    <w:p w:rsidR="00C553AB" w:rsidRDefault="00C553AB" w:rsidP="00495438">
      <w:pPr>
        <w:pStyle w:val="ListeParagraf"/>
        <w:numPr>
          <w:ilvl w:val="0"/>
          <w:numId w:val="2"/>
        </w:numPr>
        <w:tabs>
          <w:tab w:val="left" w:pos="284"/>
          <w:tab w:val="left" w:pos="709"/>
          <w:tab w:val="left" w:pos="851"/>
        </w:tabs>
        <w:spacing w:after="0"/>
      </w:pPr>
      <w:r w:rsidRPr="00E9291A">
        <w:t>5015 sayılı Petrol Piyasası Kanunu,</w:t>
      </w:r>
    </w:p>
    <w:p w:rsidR="00F23E20" w:rsidRPr="00E9291A" w:rsidRDefault="00F23E20" w:rsidP="00F23E20">
      <w:pPr>
        <w:pStyle w:val="ListeParagraf"/>
        <w:numPr>
          <w:ilvl w:val="0"/>
          <w:numId w:val="2"/>
        </w:numPr>
        <w:tabs>
          <w:tab w:val="left" w:pos="851"/>
        </w:tabs>
        <w:spacing w:after="0"/>
        <w:ind w:left="709" w:hanging="283"/>
      </w:pPr>
      <w:r w:rsidRPr="00E9291A">
        <w:t>5307 sayılı Sıvılaştırılmış Petro</w:t>
      </w:r>
      <w:r>
        <w:t>l Gazları (LPG) Piyasası Kanunu ve Elektrik Piyasası Kanununda Değişiklik Yapılmasına Dair Kanun</w:t>
      </w:r>
    </w:p>
    <w:p w:rsidR="00C553AB" w:rsidRPr="00E9291A" w:rsidRDefault="00C553AB" w:rsidP="00495438">
      <w:pPr>
        <w:pStyle w:val="ListeParagraf"/>
        <w:numPr>
          <w:ilvl w:val="0"/>
          <w:numId w:val="2"/>
        </w:numPr>
        <w:tabs>
          <w:tab w:val="left" w:pos="284"/>
          <w:tab w:val="left" w:pos="709"/>
          <w:tab w:val="left" w:pos="851"/>
        </w:tabs>
        <w:spacing w:after="0"/>
      </w:pPr>
      <w:r w:rsidRPr="00E9291A">
        <w:t>6446 sayılı Elektrik Piyasası Kanunu</w:t>
      </w:r>
    </w:p>
    <w:p w:rsidR="00C553AB" w:rsidRPr="00E9291A" w:rsidRDefault="00C553AB" w:rsidP="00495438">
      <w:pPr>
        <w:spacing w:after="120"/>
      </w:pPr>
      <w:r w:rsidRPr="00E9291A">
        <w:t xml:space="preserve">ile kendisine verilen görevleri </w:t>
      </w:r>
      <w:r w:rsidR="001E4F7C" w:rsidRPr="00E9291A">
        <w:t>yerine getirmekte</w:t>
      </w:r>
      <w:r w:rsidRPr="00E9291A">
        <w:t xml:space="preserve"> ve yetkileri kullanmaktadır.</w:t>
      </w:r>
    </w:p>
    <w:p w:rsidR="00C553AB" w:rsidRPr="00E9291A" w:rsidRDefault="00A920AC" w:rsidP="00495438">
      <w:r w:rsidRPr="00E9291A">
        <w:t>Anılan</w:t>
      </w:r>
      <w:r w:rsidR="00C553AB" w:rsidRPr="00E9291A">
        <w:t xml:space="preserve"> Kanunlar</w:t>
      </w:r>
      <w:r w:rsidR="003D1167" w:rsidRPr="00E9291A">
        <w:t xml:space="preserve">, </w:t>
      </w:r>
      <w:r w:rsidR="00C553AB" w:rsidRPr="00E9291A">
        <w:t>elektrik, doğal gaz, petrol ve LPG'nin; yeterli, kaliteli, sürekli, düşük maliyetli ve çevreyle uyumlu bir şekilde tüketicilerin kullanımına sunulması için, rekabet ortamında özel hukuk hükümlerine tabi faaliyet gösterilebilecek, mali açıdan güçlü, istikrarlı ve şeffaf bir enerji piyasasının oluşturulması</w:t>
      </w:r>
      <w:r w:rsidR="003D1167" w:rsidRPr="00E9291A">
        <w:t>nı</w:t>
      </w:r>
      <w:r w:rsidR="00C553AB" w:rsidRPr="00E9291A">
        <w:t xml:space="preserve"> ve bu piyasada bağımsız bir dü</w:t>
      </w:r>
      <w:r w:rsidR="003D1167" w:rsidRPr="00E9291A">
        <w:t>zenleme ve denetimin sağlanmasını amaçlamaktadır.</w:t>
      </w:r>
    </w:p>
    <w:p w:rsidR="00C553AB" w:rsidRPr="00E9291A" w:rsidRDefault="00C553AB" w:rsidP="00495438">
      <w:pPr>
        <w:spacing w:after="120"/>
      </w:pPr>
      <w:r w:rsidRPr="00E9291A">
        <w:t>Bu amacın yerine getirilmesinde Kurum;</w:t>
      </w:r>
    </w:p>
    <w:p w:rsidR="00C553AB" w:rsidRPr="00E9291A" w:rsidRDefault="004C63B0" w:rsidP="00495438">
      <w:pPr>
        <w:pStyle w:val="ListeParagraf"/>
        <w:numPr>
          <w:ilvl w:val="0"/>
          <w:numId w:val="2"/>
        </w:numPr>
        <w:tabs>
          <w:tab w:val="left" w:pos="284"/>
          <w:tab w:val="left" w:pos="567"/>
          <w:tab w:val="left" w:pos="709"/>
          <w:tab w:val="left" w:pos="851"/>
        </w:tabs>
        <w:spacing w:after="120"/>
        <w:ind w:left="284" w:firstLine="0"/>
        <w:contextualSpacing w:val="0"/>
      </w:pPr>
      <w:r w:rsidRPr="00E9291A">
        <w:t>Elektrik p</w:t>
      </w:r>
      <w:r w:rsidR="00C553AB" w:rsidRPr="00E9291A">
        <w:t>iyasasında; tüzel kişilerin yetkili oldukları faaliyetlerden kaynaklanan hak ve yükümlülüklerini tanımlayan lisansların verilmesi ve ilgili diğer işlemlerin yapılması; piyasa performanslarının izlenip, performans standartlarının oluşturulması; ikincil mevzuatın oluşturulması, geliştirilmesi ve uygulanmasının sağlanması; lisans sahibi tüzel kişilerin denetlenmesi; düzenlemeye tabi tarifelerin hazırlanması, tadili ve uygulanmasının sağlanması; piyasada Elektrik Piyasası Kanununa uygun şekilde davranılmasının sağlanması,</w:t>
      </w:r>
    </w:p>
    <w:p w:rsidR="00C553AB" w:rsidRPr="00E9291A" w:rsidRDefault="004C63B0" w:rsidP="00495438">
      <w:pPr>
        <w:pStyle w:val="ListeParagraf"/>
        <w:numPr>
          <w:ilvl w:val="0"/>
          <w:numId w:val="2"/>
        </w:numPr>
        <w:tabs>
          <w:tab w:val="left" w:pos="284"/>
          <w:tab w:val="left" w:pos="567"/>
          <w:tab w:val="left" w:pos="709"/>
          <w:tab w:val="left" w:pos="851"/>
        </w:tabs>
        <w:spacing w:after="120"/>
        <w:ind w:left="284" w:firstLine="0"/>
        <w:contextualSpacing w:val="0"/>
      </w:pPr>
      <w:r w:rsidRPr="00E9291A">
        <w:t>Doğal gaz p</w:t>
      </w:r>
      <w:r w:rsidR="00C553AB" w:rsidRPr="00E9291A">
        <w:t xml:space="preserve">iyasasında; doğal gazın ithalatı, iletimi, dağıtımı, depolanması, ticareti ve ihracatı ile bu faaliyetlere ilişkin tüm gerçek ve tüzel kişilerin hak ve yükümlülüklerini tanımlayan lisans ve sertifikaların verilmesi ve ilgili diğer işlemlerin yapılması; piyasa ve sistem işleyişinin incelenmesi; ikincil mevzuatın oluşturulması, geliştirilmesi, uygulanmasının sağlanması; lisans ve sertifika sahiplerinin, denetlenmesi, </w:t>
      </w:r>
      <w:r w:rsidR="00C553AB" w:rsidRPr="00E9291A">
        <w:lastRenderedPageBreak/>
        <w:t>düzenlemeye tabi tarifelerin hazırlanması, tadili ve uygulanmasının sağlanması; piyasada Doğal Gaz Piyasası Kanununa uygun şekilde davranılmasının sağlanması,</w:t>
      </w:r>
    </w:p>
    <w:p w:rsidR="00C553AB" w:rsidRPr="00E9291A" w:rsidRDefault="004C63B0" w:rsidP="00495438">
      <w:pPr>
        <w:pStyle w:val="ListeParagraf"/>
        <w:numPr>
          <w:ilvl w:val="0"/>
          <w:numId w:val="2"/>
        </w:numPr>
        <w:tabs>
          <w:tab w:val="left" w:pos="284"/>
          <w:tab w:val="left" w:pos="567"/>
          <w:tab w:val="left" w:pos="709"/>
          <w:tab w:val="left" w:pos="851"/>
        </w:tabs>
        <w:spacing w:after="120"/>
        <w:ind w:left="284" w:firstLine="0"/>
        <w:contextualSpacing w:val="0"/>
      </w:pPr>
      <w:r w:rsidRPr="00E9291A">
        <w:t>Petrol p</w:t>
      </w:r>
      <w:r w:rsidR="00C553AB" w:rsidRPr="00E9291A">
        <w:t xml:space="preserve">iyasasında; </w:t>
      </w:r>
      <w:r w:rsidR="00271033">
        <w:t>p</w:t>
      </w:r>
      <w:r w:rsidR="00C553AB" w:rsidRPr="00E9291A">
        <w:t>etrol ile ilgili rafinaj, işleme, madeni yağ üretimi, depolama, iletim, serbest kullanıcı ve ihrakiye faaliyetlerinin yapılması amacıyla tesis kurulması, işletilmesi, akaryakıt dağıtımı, taşıması ve bayilik faaliyetleri için lisans verilmesi ve ilgili diğer işlemlerin yapılması; lisans gerektiren faaliyet ve işlemlerin kapsamları, lisans ile kazanılan hak ve üstlenilen yükümlülükler, lisans kapsamındaki faaliyetlerin kısıtlanması, faaliyetin yürütülmesine ilişkin olarak özel şartların belirlenmesi; ikincil mevzuatın oluşturulması, geliştirilmesi ve uygulanmasının sağlanması; tarifelerin onaylanması; piyasada oluşan fiyatların ve fiyat listelerinin takibi, piyasada Petrol Piyasası Kanununa uygun şekilde davranılmasının sağlanması,</w:t>
      </w:r>
    </w:p>
    <w:p w:rsidR="00C553AB" w:rsidRPr="00E9291A" w:rsidRDefault="00B34FA4" w:rsidP="00495438">
      <w:pPr>
        <w:pStyle w:val="ListeParagraf"/>
        <w:numPr>
          <w:ilvl w:val="0"/>
          <w:numId w:val="2"/>
        </w:numPr>
        <w:tabs>
          <w:tab w:val="left" w:pos="0"/>
          <w:tab w:val="left" w:pos="567"/>
          <w:tab w:val="left" w:pos="709"/>
          <w:tab w:val="left" w:pos="851"/>
        </w:tabs>
        <w:spacing w:after="120"/>
        <w:ind w:left="284" w:firstLine="0"/>
        <w:contextualSpacing w:val="0"/>
      </w:pPr>
      <w:r>
        <w:t>LPG p</w:t>
      </w:r>
      <w:r w:rsidR="00C553AB" w:rsidRPr="00E9291A">
        <w:t xml:space="preserve">iyasasında; LPG dağıtımı, taşınması, otogaz bayilik faaliyetleri, depolanması, LPG tüpü imalatı, muayenesi, tamiri ve bakımı amacıyla tesis kurulması ve işletilmesi için lisans verilmesi ve ilgili diğer işlemlerin yapılması; lisans gerektiren faaliyet ve/veya işlemlerin kapsamları, lisans ile kazanılan hak ve yükümlülükler, faaliyetin yürütülmesine ilişkin olarak özel koşulların belirlenmesi; ikincil mevzuatın oluşturulması, geliştirilmesi ve uygulanmasının sağlanması; piyasa faaliyetlerine ilişkin gerekli yönlendirme, gözetim ve denetim faaliyetlerinin yapılması; piyasada oluşan fiyatların takibi, piyasada </w:t>
      </w:r>
      <w:r>
        <w:t>5307 sayılı Kanu</w:t>
      </w:r>
      <w:r w:rsidR="00C553AB" w:rsidRPr="00E9291A">
        <w:t>na uygun şekilde davranılmasının sağlanması,</w:t>
      </w:r>
    </w:p>
    <w:p w:rsidR="00C553AB" w:rsidRPr="00E9291A" w:rsidRDefault="00C553AB" w:rsidP="00495438">
      <w:pPr>
        <w:tabs>
          <w:tab w:val="left" w:pos="0"/>
          <w:tab w:val="left" w:pos="567"/>
          <w:tab w:val="left" w:pos="709"/>
          <w:tab w:val="left" w:pos="851"/>
        </w:tabs>
        <w:spacing w:after="120"/>
        <w:ind w:left="284"/>
      </w:pPr>
      <w:r w:rsidRPr="00E9291A">
        <w:t xml:space="preserve">konularında yetkili ve sorumludur. </w:t>
      </w:r>
    </w:p>
    <w:p w:rsidR="00C553AB" w:rsidRPr="00E9291A" w:rsidRDefault="00C553AB" w:rsidP="000A5A56">
      <w:pPr>
        <w:pStyle w:val="Balk2"/>
        <w:numPr>
          <w:ilvl w:val="1"/>
          <w:numId w:val="11"/>
        </w:numPr>
        <w:spacing w:after="240"/>
        <w:rPr>
          <w:rFonts w:asciiTheme="minorHAnsi" w:hAnsiTheme="minorHAnsi"/>
          <w:color w:val="auto"/>
          <w:sz w:val="22"/>
          <w:szCs w:val="22"/>
        </w:rPr>
      </w:pPr>
      <w:bookmarkStart w:id="5" w:name="_Toc442431225"/>
      <w:bookmarkStart w:id="6" w:name="_Toc132713749"/>
      <w:r w:rsidRPr="00E9291A">
        <w:rPr>
          <w:rFonts w:asciiTheme="minorHAnsi" w:hAnsiTheme="minorHAnsi"/>
          <w:color w:val="auto"/>
          <w:sz w:val="22"/>
          <w:szCs w:val="22"/>
        </w:rPr>
        <w:t>Kurumun Yapısı</w:t>
      </w:r>
      <w:bookmarkEnd w:id="5"/>
      <w:bookmarkEnd w:id="6"/>
    </w:p>
    <w:p w:rsidR="00C553AB" w:rsidRPr="00E9291A" w:rsidRDefault="00C553AB" w:rsidP="00A02EDE">
      <w:pPr>
        <w:spacing w:after="0"/>
      </w:pPr>
      <w:r w:rsidRPr="00E9291A">
        <w:t xml:space="preserve">Kurumun </w:t>
      </w:r>
      <w:r w:rsidR="00171B65" w:rsidRPr="00E9291A">
        <w:t>teşkilatı;</w:t>
      </w:r>
      <w:r w:rsidR="00171B65">
        <w:t xml:space="preserve"> Kurul</w:t>
      </w:r>
      <w:r w:rsidRPr="00E9291A">
        <w:t>, Başkanlık ve Hizmet Birimlerinden oluşmaktadır.</w:t>
      </w:r>
    </w:p>
    <w:p w:rsidR="00C553AB" w:rsidRPr="00E9291A" w:rsidRDefault="00C553AB" w:rsidP="000A5A56">
      <w:pPr>
        <w:pStyle w:val="Balk3"/>
        <w:numPr>
          <w:ilvl w:val="2"/>
          <w:numId w:val="11"/>
        </w:numPr>
        <w:spacing w:after="240"/>
        <w:rPr>
          <w:rFonts w:asciiTheme="minorHAnsi" w:hAnsiTheme="minorHAnsi"/>
          <w:color w:val="auto"/>
        </w:rPr>
      </w:pPr>
      <w:bookmarkStart w:id="7" w:name="_Toc442431226"/>
      <w:bookmarkStart w:id="8" w:name="_Toc132713750"/>
      <w:r w:rsidRPr="00E9291A">
        <w:rPr>
          <w:rFonts w:asciiTheme="minorHAnsi" w:hAnsiTheme="minorHAnsi"/>
          <w:color w:val="auto"/>
        </w:rPr>
        <w:t>Enerji Piyasası Düzenleme Kurulu</w:t>
      </w:r>
      <w:bookmarkEnd w:id="7"/>
      <w:bookmarkEnd w:id="8"/>
    </w:p>
    <w:p w:rsidR="009F6B4A" w:rsidRDefault="009F6B4A" w:rsidP="00DF5CA1">
      <w:pPr>
        <w:spacing w:after="0"/>
      </w:pPr>
      <w:r w:rsidRPr="00E9291A">
        <w:t xml:space="preserve">Kurum, görevlerini yerine getirirken yetkilerini </w:t>
      </w:r>
      <w:r w:rsidR="003146EF">
        <w:t>Kurul</w:t>
      </w:r>
      <w:r w:rsidRPr="00E9291A">
        <w:t xml:space="preserve"> vasıtasıyla kullanmaktadır. Kurumun temsil ve karar organı Kuru</w:t>
      </w:r>
      <w:r w:rsidR="004C4E00">
        <w:t>ldur. Kurulun ilk üyeleri, 02.11.</w:t>
      </w:r>
      <w:r w:rsidRPr="00E9291A">
        <w:t xml:space="preserve">2001 tarihli </w:t>
      </w:r>
      <w:r w:rsidR="00986371" w:rsidRPr="00E9291A">
        <w:t>Resmî</w:t>
      </w:r>
      <w:r w:rsidRPr="00E9291A">
        <w:t xml:space="preserve"> </w:t>
      </w:r>
      <w:r w:rsidR="00274939">
        <w:t>Gazetede</w:t>
      </w:r>
      <w:r w:rsidRPr="00E9291A">
        <w:t xml:space="preserve"> yayımlanan 2001/3168 sayılı Bakanlar Kurulu Kararı ile</w:t>
      </w:r>
      <w:r w:rsidR="004C4E00">
        <w:t xml:space="preserve"> atanmıştır. Atanan üyelerin 19.11.</w:t>
      </w:r>
      <w:r w:rsidRPr="00E9291A">
        <w:t>2001 tarihinde Yargıtay Birinci Başkanlık Kurulu önünde yemin etmesiyle Kurul göreve başlamıştır. Kurul; biri Başkan, biri İkinci Başkan olmak üzere</w:t>
      </w:r>
      <w:r w:rsidR="00DF5CA1">
        <w:t xml:space="preserve"> </w:t>
      </w:r>
      <w:r w:rsidR="00DF5CA1" w:rsidRPr="00DF5CA1">
        <w:t>en az dört yıllık yükseköğrenim görmüş olanlar arasından Cumhurbaşkanı taraf</w:t>
      </w:r>
      <w:r w:rsidR="003146EF">
        <w:t xml:space="preserve">ından </w:t>
      </w:r>
      <w:r w:rsidR="00CF2283">
        <w:t>(4628 sayılı Kanun</w:t>
      </w:r>
      <w:r w:rsidR="00EF5C36">
        <w:t>un beşinci maddesi ve</w:t>
      </w:r>
      <w:r w:rsidR="00CF2283">
        <w:t xml:space="preserve"> 3 sayılı Cumhurbaşkanlığı </w:t>
      </w:r>
      <w:r w:rsidR="00406F87">
        <w:t>Kararnamesinin 2</w:t>
      </w:r>
      <w:r w:rsidR="00CF2283">
        <w:t xml:space="preserve">, 3 ve 7 nci maddeleri gereğince) </w:t>
      </w:r>
      <w:r w:rsidR="003146EF">
        <w:t>atanan yedi üyeden oluşur.</w:t>
      </w:r>
    </w:p>
    <w:p w:rsidR="009F6B4A" w:rsidRPr="00E9291A" w:rsidRDefault="009F6B4A" w:rsidP="009F6B4A">
      <w:pPr>
        <w:spacing w:after="0"/>
      </w:pPr>
    </w:p>
    <w:p w:rsidR="009F6B4A" w:rsidRPr="00E9291A" w:rsidRDefault="003F00A0" w:rsidP="009F6B4A">
      <w:pPr>
        <w:spacing w:after="0"/>
      </w:pPr>
      <w:r>
        <w:t>Kurul üyelerinin görevi atanma tarihi itibar</w:t>
      </w:r>
      <w:r w:rsidR="00A54CE2">
        <w:t>ı</w:t>
      </w:r>
      <w:r>
        <w:t>yl</w:t>
      </w:r>
      <w:r w:rsidR="00A54CE2">
        <w:t>a</w:t>
      </w:r>
      <w:r>
        <w:t xml:space="preserve"> görevde dördüncü yılını doldurdukları tarih itibar</w:t>
      </w:r>
      <w:r w:rsidR="00A54CE2">
        <w:t>ı</w:t>
      </w:r>
      <w:r>
        <w:t>yl</w:t>
      </w:r>
      <w:r w:rsidR="00A54CE2">
        <w:t>a</w:t>
      </w:r>
      <w:r>
        <w:t xml:space="preserve"> başka bir işleme gerek kalmaksızın sona erer.  </w:t>
      </w:r>
      <w:r w:rsidR="009F6B4A" w:rsidRPr="00E9291A">
        <w:t xml:space="preserve">Kurul üyelerinin görev süreleri dolmadan görevlerine son verilemez. Ancak, 4628 sayılı </w:t>
      </w:r>
      <w:r w:rsidR="009F44E0">
        <w:t>Kurum</w:t>
      </w:r>
      <w:r w:rsidR="003950FF">
        <w:t xml:space="preserve">un </w:t>
      </w:r>
      <w:r w:rsidR="009F6B4A" w:rsidRPr="00E9291A">
        <w:t xml:space="preserve">Teşkilat ve Görevleri Hakkında Kanunun 6 ncı maddesindeki yasakları ihlal ettiği veya 4628 sayılı Kanun ile kendilerine verilen görevler ile ilgili olarak işlediği suçlardan dolayı haklarında mahkûmiyet kararı kesinleşen Kurul Başkanı ve üyeleri, 657 sayılı Devlet Memurları Kanunu uyarınca devlet memuru olmak için aranan şartları kaybettikleri tespit edilen veya üç aydan fazla bir süre ile hastalık, kaza veya başka bir nedenle görevlerini yapamaz durumda olan veya görev süresinin kalan kısmında görevine devam edemeyeceği, üç aylık süre beklenmeksizin tam teşekküllü bir hastaneden alınacak heyet raporu ile tevsik edilen Kurul üyeleri, süreleri dolmadan </w:t>
      </w:r>
      <w:r w:rsidR="00DF4C9F">
        <w:t>Cumhurbaşkanı</w:t>
      </w:r>
      <w:r w:rsidR="00D47307">
        <w:t xml:space="preserve"> tarafından görevden alınır. </w:t>
      </w:r>
      <w:r w:rsidR="009F6B4A" w:rsidRPr="00E9291A">
        <w:t xml:space="preserve">Başkanlık veya üyelikler, görev süresi dolmadan herhangi bir sebeple boşaldığı takdirde, boşalan üyeliklere bir ay içinde atama yapılır. Görev süresi sona eren üyelerin tekrar </w:t>
      </w:r>
      <w:r w:rsidR="00271033">
        <w:t xml:space="preserve">atanabilmesi </w:t>
      </w:r>
      <w:r w:rsidR="009F6B4A" w:rsidRPr="00E9291A">
        <w:t>mümkündür.</w:t>
      </w:r>
    </w:p>
    <w:p w:rsidR="009F6B4A" w:rsidRPr="00E9291A" w:rsidRDefault="009F6B4A" w:rsidP="009F6B4A">
      <w:pPr>
        <w:spacing w:after="0"/>
      </w:pPr>
    </w:p>
    <w:p w:rsidR="009F6B4A" w:rsidRDefault="009F6B4A" w:rsidP="009F6B4A">
      <w:pPr>
        <w:spacing w:after="0"/>
      </w:pPr>
      <w:r w:rsidRPr="00E9291A">
        <w:lastRenderedPageBreak/>
        <w:t xml:space="preserve">Kurul, haftada en az bir defa olmak üzere, gerekli gördüğü sıklıkta toplanır. Toplantıyı Kurul Başkanı veya yokluğunda İkinci Başkan yönetir. Her bir toplantının gündemi toplantıdan önce Başkan ya da yokluğunda İkinci Başkan tarafından hazırlanarak Kurul üyelerine bildirilir. </w:t>
      </w:r>
    </w:p>
    <w:p w:rsidR="009F6B4A" w:rsidRPr="00E9291A" w:rsidRDefault="009F6B4A" w:rsidP="009F6B4A">
      <w:pPr>
        <w:spacing w:after="0"/>
      </w:pPr>
    </w:p>
    <w:p w:rsidR="009F6B4A" w:rsidRPr="00E9291A" w:rsidRDefault="009F6B4A" w:rsidP="009F6B4A">
      <w:pPr>
        <w:spacing w:after="0"/>
        <w:rPr>
          <w:color w:val="000000" w:themeColor="text1"/>
        </w:rPr>
      </w:pPr>
      <w:r w:rsidRPr="00E9291A">
        <w:rPr>
          <w:color w:val="000000" w:themeColor="text1"/>
        </w:rPr>
        <w:t xml:space="preserve">Kurul, salt çoğunlukla toplanır ve kararları toplantıya katılanların çoğunluğunun oyuyla alır. </w:t>
      </w:r>
      <w:r w:rsidRPr="00540509">
        <w:rPr>
          <w:color w:val="000000" w:themeColor="text1"/>
        </w:rPr>
        <w:t xml:space="preserve">Tablo 1.1’de </w:t>
      </w:r>
      <w:r w:rsidR="001978FE" w:rsidRPr="00540509">
        <w:t>202</w:t>
      </w:r>
      <w:r w:rsidR="006F16AB">
        <w:t>2</w:t>
      </w:r>
      <w:r w:rsidRPr="00540509">
        <w:t xml:space="preserve"> </w:t>
      </w:r>
      <w:r w:rsidRPr="00540509">
        <w:rPr>
          <w:color w:val="000000" w:themeColor="text1"/>
        </w:rPr>
        <w:t xml:space="preserve">yılında alınan Kurul Kararlarının, Kurum hizmet birimlerine dağılımı gösterilmektedir. </w:t>
      </w:r>
      <w:r w:rsidR="002060AD" w:rsidRPr="00540509">
        <w:rPr>
          <w:color w:val="000000" w:themeColor="text1"/>
        </w:rPr>
        <w:t>Tablo 1.2’de is</w:t>
      </w:r>
      <w:r w:rsidR="00C322CB" w:rsidRPr="00540509">
        <w:rPr>
          <w:color w:val="000000" w:themeColor="text1"/>
        </w:rPr>
        <w:t>e 201</w:t>
      </w:r>
      <w:r w:rsidR="006F16AB">
        <w:rPr>
          <w:color w:val="000000" w:themeColor="text1"/>
        </w:rPr>
        <w:t>8</w:t>
      </w:r>
      <w:r w:rsidR="001978FE" w:rsidRPr="00540509">
        <w:rPr>
          <w:color w:val="000000" w:themeColor="text1"/>
        </w:rPr>
        <w:t>-202</w:t>
      </w:r>
      <w:r w:rsidR="006F16AB">
        <w:rPr>
          <w:color w:val="000000" w:themeColor="text1"/>
        </w:rPr>
        <w:t>2</w:t>
      </w:r>
      <w:r w:rsidR="002060AD" w:rsidRPr="00540509">
        <w:rPr>
          <w:color w:val="000000" w:themeColor="text1"/>
        </w:rPr>
        <w:t xml:space="preserve"> yıllarında alınan, Kurul Kararlarının Kurum hizmet birimlerine göre dağılımına yer verilmektedir. </w:t>
      </w:r>
      <w:r w:rsidRPr="00540509">
        <w:rPr>
          <w:color w:val="000000" w:themeColor="text1"/>
        </w:rPr>
        <w:t xml:space="preserve">Tablo 1.3’te görüldüğü </w:t>
      </w:r>
      <w:r w:rsidR="001978FE" w:rsidRPr="00540509">
        <w:rPr>
          <w:color w:val="000000" w:themeColor="text1"/>
        </w:rPr>
        <w:t>üzere 202</w:t>
      </w:r>
      <w:r w:rsidR="006F16AB">
        <w:rPr>
          <w:color w:val="000000" w:themeColor="text1"/>
        </w:rPr>
        <w:t>2</w:t>
      </w:r>
      <w:r w:rsidRPr="00540509">
        <w:rPr>
          <w:color w:val="000000" w:themeColor="text1"/>
        </w:rPr>
        <w:t xml:space="preserve"> yılında Kurul, </w:t>
      </w:r>
      <w:r w:rsidRPr="002E2CF5">
        <w:rPr>
          <w:color w:val="000000" w:themeColor="text1"/>
        </w:rPr>
        <w:t>haftada y</w:t>
      </w:r>
      <w:r w:rsidR="003E0739" w:rsidRPr="002E2CF5">
        <w:rPr>
          <w:color w:val="000000" w:themeColor="text1"/>
        </w:rPr>
        <w:t xml:space="preserve">aklaşık ortalama </w:t>
      </w:r>
      <w:r w:rsidR="006F16AB">
        <w:rPr>
          <w:color w:val="000000" w:themeColor="text1"/>
        </w:rPr>
        <w:t>89</w:t>
      </w:r>
      <w:r w:rsidRPr="002E2CF5">
        <w:rPr>
          <w:color w:val="000000" w:themeColor="text1"/>
        </w:rPr>
        <w:t xml:space="preserve"> karar almıştır. Söz kon</w:t>
      </w:r>
      <w:r w:rsidR="007D5333" w:rsidRPr="002E2CF5">
        <w:rPr>
          <w:color w:val="000000" w:themeColor="text1"/>
        </w:rPr>
        <w:t>usu Kurul Kararlarının büyük çoğunluğu</w:t>
      </w:r>
      <w:r w:rsidR="00727E8D">
        <w:rPr>
          <w:color w:val="000000" w:themeColor="text1"/>
        </w:rPr>
        <w:t xml:space="preserve"> elektrik piyasası</w:t>
      </w:r>
      <w:r w:rsidRPr="002E2CF5">
        <w:rPr>
          <w:color w:val="000000" w:themeColor="text1"/>
        </w:rPr>
        <w:t xml:space="preserve"> </w:t>
      </w:r>
      <w:r w:rsidR="006F16AB">
        <w:rPr>
          <w:color w:val="000000" w:themeColor="text1"/>
        </w:rPr>
        <w:t xml:space="preserve">ve </w:t>
      </w:r>
      <w:r w:rsidR="006F16AB" w:rsidRPr="002E2CF5">
        <w:rPr>
          <w:color w:val="000000" w:themeColor="text1"/>
        </w:rPr>
        <w:t>denetim faaliyetleri</w:t>
      </w:r>
      <w:r w:rsidR="006F16AB">
        <w:rPr>
          <w:color w:val="000000" w:themeColor="text1"/>
        </w:rPr>
        <w:t xml:space="preserve"> </w:t>
      </w:r>
      <w:r w:rsidRPr="002E2CF5">
        <w:rPr>
          <w:color w:val="000000" w:themeColor="text1"/>
        </w:rPr>
        <w:t>ile ilgilid</w:t>
      </w:r>
      <w:r w:rsidR="001978FE" w:rsidRPr="002E2CF5">
        <w:rPr>
          <w:color w:val="000000" w:themeColor="text1"/>
        </w:rPr>
        <w:t>ir. Diğer yandan 202</w:t>
      </w:r>
      <w:r w:rsidR="006F16AB">
        <w:rPr>
          <w:color w:val="000000" w:themeColor="text1"/>
        </w:rPr>
        <w:t>2</w:t>
      </w:r>
      <w:r w:rsidRPr="002E2CF5">
        <w:rPr>
          <w:color w:val="000000" w:themeColor="text1"/>
        </w:rPr>
        <w:t xml:space="preserve"> yılında </w:t>
      </w:r>
      <w:r w:rsidR="001978FE" w:rsidRPr="002E2CF5">
        <w:rPr>
          <w:color w:val="000000" w:themeColor="text1"/>
        </w:rPr>
        <w:t>5</w:t>
      </w:r>
      <w:r w:rsidR="006F16AB">
        <w:rPr>
          <w:color w:val="000000" w:themeColor="text1"/>
        </w:rPr>
        <w:t>8</w:t>
      </w:r>
      <w:r w:rsidRPr="002E2CF5">
        <w:rPr>
          <w:color w:val="000000" w:themeColor="text1"/>
        </w:rPr>
        <w:t xml:space="preserve"> adet Kurul toplantı</w:t>
      </w:r>
      <w:r w:rsidR="001978FE" w:rsidRPr="002E2CF5">
        <w:rPr>
          <w:color w:val="000000" w:themeColor="text1"/>
        </w:rPr>
        <w:t>sı yapılmıştır. Dolayısıyla 202</w:t>
      </w:r>
      <w:r w:rsidR="006F16AB">
        <w:rPr>
          <w:color w:val="000000" w:themeColor="text1"/>
        </w:rPr>
        <w:t>2</w:t>
      </w:r>
      <w:r w:rsidRPr="002E2CF5">
        <w:rPr>
          <w:color w:val="000000" w:themeColor="text1"/>
        </w:rPr>
        <w:t xml:space="preserve"> yılında Kurul, her </w:t>
      </w:r>
      <w:r w:rsidR="00FE29E7" w:rsidRPr="002E2CF5">
        <w:rPr>
          <w:color w:val="000000" w:themeColor="text1"/>
        </w:rPr>
        <w:t xml:space="preserve">toplantıda </w:t>
      </w:r>
      <w:r w:rsidR="00BE17E4" w:rsidRPr="002E2CF5">
        <w:rPr>
          <w:color w:val="000000" w:themeColor="text1"/>
        </w:rPr>
        <w:t xml:space="preserve">ortalama </w:t>
      </w:r>
      <w:r w:rsidR="006F16AB">
        <w:rPr>
          <w:color w:val="000000" w:themeColor="text1"/>
        </w:rPr>
        <w:t>80</w:t>
      </w:r>
      <w:r w:rsidRPr="002E2CF5">
        <w:rPr>
          <w:color w:val="000000" w:themeColor="text1"/>
        </w:rPr>
        <w:t xml:space="preserve"> karar almıştır.</w:t>
      </w:r>
    </w:p>
    <w:p w:rsidR="009F6B4A" w:rsidRPr="00E9291A" w:rsidRDefault="00C96A99" w:rsidP="00E411DD">
      <w:pPr>
        <w:pStyle w:val="Balk5"/>
        <w:jc w:val="center"/>
        <w:rPr>
          <w:rStyle w:val="Gl"/>
          <w:color w:val="auto"/>
        </w:rPr>
      </w:pPr>
      <w:bookmarkStart w:id="9" w:name="_Toc416447566"/>
      <w:bookmarkStart w:id="10" w:name="_Toc442441723"/>
      <w:bookmarkStart w:id="11" w:name="_Toc505346151"/>
      <w:bookmarkStart w:id="12" w:name="_Toc132713883"/>
      <w:r>
        <w:rPr>
          <w:rStyle w:val="Gl"/>
          <w:color w:val="auto"/>
        </w:rPr>
        <w:t xml:space="preserve">Tablo 1.1: </w:t>
      </w:r>
      <w:r w:rsidRPr="00F52C09">
        <w:rPr>
          <w:rStyle w:val="Gl"/>
          <w:color w:val="auto"/>
        </w:rPr>
        <w:t>202</w:t>
      </w:r>
      <w:r w:rsidR="006F16AB">
        <w:rPr>
          <w:rStyle w:val="Gl"/>
          <w:color w:val="auto"/>
        </w:rPr>
        <w:t>2</w:t>
      </w:r>
      <w:r w:rsidR="009F6B4A" w:rsidRPr="00F52C09">
        <w:rPr>
          <w:rStyle w:val="Gl"/>
          <w:color w:val="auto"/>
        </w:rPr>
        <w:t xml:space="preserve"> Yılında Alınan Kurul Kararlarının Kurum Hizmet Birimlerine Göre Dağılımı</w:t>
      </w:r>
      <w:bookmarkEnd w:id="9"/>
      <w:bookmarkEnd w:id="10"/>
      <w:bookmarkEnd w:id="11"/>
      <w:bookmarkEnd w:id="12"/>
    </w:p>
    <w:tbl>
      <w:tblPr>
        <w:tblW w:w="5000" w:type="pct"/>
        <w:tblCellMar>
          <w:left w:w="70" w:type="dxa"/>
          <w:right w:w="70" w:type="dxa"/>
        </w:tblCellMar>
        <w:tblLook w:val="04A0" w:firstRow="1" w:lastRow="0" w:firstColumn="1" w:lastColumn="0" w:noHBand="0" w:noVBand="1"/>
      </w:tblPr>
      <w:tblGrid>
        <w:gridCol w:w="5803"/>
        <w:gridCol w:w="1984"/>
        <w:gridCol w:w="2115"/>
      </w:tblGrid>
      <w:tr w:rsidR="00C96A99" w:rsidRPr="00C96A99" w:rsidTr="00C96A99">
        <w:trPr>
          <w:trHeight w:val="20"/>
        </w:trPr>
        <w:tc>
          <w:tcPr>
            <w:tcW w:w="2930" w:type="pct"/>
            <w:tcBorders>
              <w:top w:val="single" w:sz="8" w:space="0" w:color="D9D9D9"/>
              <w:left w:val="single" w:sz="8" w:space="0" w:color="D9D9D9"/>
              <w:bottom w:val="single" w:sz="8" w:space="0" w:color="D9D9D9"/>
              <w:right w:val="single" w:sz="8" w:space="0" w:color="D9D9D9"/>
            </w:tcBorders>
            <w:shd w:val="clear" w:color="000000" w:fill="6E9ECA"/>
            <w:vAlign w:val="center"/>
            <w:hideMark/>
          </w:tcPr>
          <w:p w:rsidR="00C96A99" w:rsidRPr="00C96A99" w:rsidRDefault="00C96A99" w:rsidP="00C96A99">
            <w:pPr>
              <w:spacing w:after="0" w:line="240" w:lineRule="auto"/>
              <w:jc w:val="center"/>
              <w:rPr>
                <w:rFonts w:ascii="Calibri" w:eastAsia="Times New Roman" w:hAnsi="Calibri" w:cs="Calibri"/>
                <w:b/>
                <w:bCs/>
                <w:color w:val="FFFFFF"/>
                <w:lang w:eastAsia="tr-TR"/>
              </w:rPr>
            </w:pPr>
            <w:bookmarkStart w:id="13" w:name="_Toc416447567"/>
            <w:bookmarkStart w:id="14" w:name="_Toc442441724"/>
            <w:r w:rsidRPr="00C96A99">
              <w:rPr>
                <w:rFonts w:ascii="Calibri" w:eastAsia="Times New Roman" w:hAnsi="Calibri" w:cs="Calibri"/>
                <w:b/>
                <w:bCs/>
                <w:color w:val="FFFFFF"/>
                <w:lang w:eastAsia="tr-TR"/>
              </w:rPr>
              <w:t>Hizmet Biriminin Adı</w:t>
            </w:r>
          </w:p>
        </w:tc>
        <w:tc>
          <w:tcPr>
            <w:tcW w:w="1002" w:type="pct"/>
            <w:tcBorders>
              <w:top w:val="single" w:sz="8" w:space="0" w:color="D9D9D9"/>
              <w:left w:val="nil"/>
              <w:bottom w:val="single" w:sz="8" w:space="0" w:color="D9D9D9"/>
              <w:right w:val="single" w:sz="8" w:space="0" w:color="D9D9D9"/>
            </w:tcBorders>
            <w:shd w:val="clear" w:color="000000" w:fill="6E9ECA"/>
            <w:vAlign w:val="center"/>
            <w:hideMark/>
          </w:tcPr>
          <w:p w:rsidR="00C96A99" w:rsidRPr="00C96A99" w:rsidRDefault="00C96A99" w:rsidP="00C96A99">
            <w:pPr>
              <w:spacing w:after="0" w:line="240" w:lineRule="auto"/>
              <w:jc w:val="center"/>
              <w:rPr>
                <w:rFonts w:ascii="Calibri" w:eastAsia="Times New Roman" w:hAnsi="Calibri" w:cs="Calibri"/>
                <w:b/>
                <w:bCs/>
                <w:color w:val="FFFFFF"/>
                <w:lang w:eastAsia="tr-TR"/>
              </w:rPr>
            </w:pPr>
            <w:r w:rsidRPr="00C96A99">
              <w:rPr>
                <w:rFonts w:ascii="Calibri" w:eastAsia="Times New Roman" w:hAnsi="Calibri" w:cs="Calibri"/>
                <w:b/>
                <w:bCs/>
                <w:color w:val="FFFFFF"/>
                <w:lang w:eastAsia="tr-TR"/>
              </w:rPr>
              <w:t>Karar Sayısı</w:t>
            </w:r>
          </w:p>
        </w:tc>
        <w:tc>
          <w:tcPr>
            <w:tcW w:w="1068" w:type="pct"/>
            <w:tcBorders>
              <w:top w:val="single" w:sz="8" w:space="0" w:color="D9D9D9"/>
              <w:left w:val="nil"/>
              <w:bottom w:val="single" w:sz="8" w:space="0" w:color="D9D9D9"/>
              <w:right w:val="single" w:sz="8" w:space="0" w:color="D9D9D9"/>
            </w:tcBorders>
            <w:shd w:val="clear" w:color="000000" w:fill="6E9ECA"/>
            <w:vAlign w:val="center"/>
            <w:hideMark/>
          </w:tcPr>
          <w:p w:rsidR="00C96A99" w:rsidRPr="00C96A99" w:rsidRDefault="00C96A99" w:rsidP="00C96A99">
            <w:pPr>
              <w:spacing w:after="0" w:line="240" w:lineRule="auto"/>
              <w:jc w:val="center"/>
              <w:rPr>
                <w:rFonts w:ascii="Calibri" w:eastAsia="Times New Roman" w:hAnsi="Calibri" w:cs="Calibri"/>
                <w:b/>
                <w:bCs/>
                <w:color w:val="FFFFFF"/>
                <w:lang w:eastAsia="tr-TR"/>
              </w:rPr>
            </w:pPr>
            <w:r w:rsidRPr="00C96A99">
              <w:rPr>
                <w:rFonts w:ascii="Calibri" w:eastAsia="Times New Roman" w:hAnsi="Calibri" w:cs="Calibri"/>
                <w:b/>
                <w:bCs/>
                <w:color w:val="FFFFFF"/>
                <w:lang w:eastAsia="tr-TR"/>
              </w:rPr>
              <w:t>Oranı</w:t>
            </w:r>
            <w:r w:rsidR="00BB280F">
              <w:rPr>
                <w:rFonts w:ascii="Calibri" w:eastAsia="Times New Roman" w:hAnsi="Calibri" w:cs="Calibri"/>
                <w:b/>
                <w:bCs/>
                <w:color w:val="FFFFFF"/>
                <w:lang w:eastAsia="tr-TR"/>
              </w:rPr>
              <w:t xml:space="preserve"> </w:t>
            </w:r>
            <w:r w:rsidRPr="00C96A99">
              <w:rPr>
                <w:rFonts w:ascii="Calibri" w:eastAsia="Times New Roman" w:hAnsi="Calibri" w:cs="Calibri"/>
                <w:b/>
                <w:bCs/>
                <w:color w:val="FFFFFF"/>
                <w:lang w:eastAsia="tr-TR"/>
              </w:rPr>
              <w:t>(%)</w:t>
            </w:r>
          </w:p>
        </w:tc>
      </w:tr>
      <w:tr w:rsidR="0002480D" w:rsidRPr="00C96A99" w:rsidTr="0002480D">
        <w:trPr>
          <w:trHeight w:val="20"/>
        </w:trPr>
        <w:tc>
          <w:tcPr>
            <w:tcW w:w="2930" w:type="pct"/>
            <w:tcBorders>
              <w:top w:val="nil"/>
              <w:left w:val="single" w:sz="8" w:space="0" w:color="D9D9D9"/>
              <w:bottom w:val="single" w:sz="8" w:space="0" w:color="D9D9D9"/>
              <w:right w:val="single" w:sz="8" w:space="0" w:color="D9D9D9"/>
            </w:tcBorders>
            <w:vAlign w:val="center"/>
          </w:tcPr>
          <w:p w:rsidR="0002480D" w:rsidRDefault="0002480D" w:rsidP="0002480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Elektrik Piyasası Dairesi Başkanlığı (EPD)</w:t>
            </w:r>
          </w:p>
        </w:tc>
        <w:tc>
          <w:tcPr>
            <w:tcW w:w="1002" w:type="pct"/>
            <w:tcBorders>
              <w:top w:val="nil"/>
              <w:left w:val="nil"/>
              <w:bottom w:val="single" w:sz="8" w:space="0" w:color="D9D9D9"/>
              <w:right w:val="single" w:sz="8" w:space="0" w:color="D9D9D9"/>
            </w:tcBorders>
            <w:vAlign w:val="center"/>
          </w:tcPr>
          <w:p w:rsidR="0002480D" w:rsidRPr="005779F9" w:rsidRDefault="0002480D" w:rsidP="0002480D">
            <w:pPr>
              <w:spacing w:after="0" w:line="240" w:lineRule="auto"/>
              <w:jc w:val="right"/>
              <w:rPr>
                <w:rFonts w:ascii="Calibri" w:eastAsia="Times New Roman" w:hAnsi="Calibri" w:cs="Calibri"/>
                <w:color w:val="000000"/>
                <w:lang w:eastAsia="tr-TR"/>
              </w:rPr>
            </w:pPr>
            <w:r w:rsidRPr="00B60B1C">
              <w:rPr>
                <w:rFonts w:ascii="Calibri" w:eastAsia="Times New Roman" w:hAnsi="Calibri" w:cs="Calibri"/>
                <w:color w:val="000000"/>
                <w:lang w:eastAsia="tr-TR"/>
              </w:rPr>
              <w:t>1</w:t>
            </w:r>
            <w:r w:rsidR="0048340C">
              <w:rPr>
                <w:rFonts w:ascii="Calibri" w:eastAsia="Times New Roman" w:hAnsi="Calibri" w:cs="Calibri"/>
                <w:color w:val="000000"/>
                <w:lang w:eastAsia="tr-TR"/>
              </w:rPr>
              <w:t>.</w:t>
            </w:r>
            <w:r w:rsidRPr="00B60B1C">
              <w:rPr>
                <w:rFonts w:ascii="Calibri" w:eastAsia="Times New Roman" w:hAnsi="Calibri" w:cs="Calibri"/>
                <w:color w:val="000000"/>
                <w:lang w:eastAsia="tr-TR"/>
              </w:rPr>
              <w:t>94</w:t>
            </w:r>
            <w:r>
              <w:rPr>
                <w:rFonts w:ascii="Calibri" w:eastAsia="Times New Roman" w:hAnsi="Calibri" w:cs="Calibri"/>
                <w:color w:val="000000"/>
                <w:lang w:eastAsia="tr-TR"/>
              </w:rPr>
              <w:t>2</w:t>
            </w:r>
          </w:p>
        </w:tc>
        <w:tc>
          <w:tcPr>
            <w:tcW w:w="1068" w:type="pct"/>
            <w:tcBorders>
              <w:top w:val="nil"/>
              <w:left w:val="nil"/>
              <w:bottom w:val="single" w:sz="8" w:space="0" w:color="D9D9D9"/>
              <w:right w:val="single" w:sz="8" w:space="0" w:color="D9D9D9"/>
            </w:tcBorders>
            <w:vAlign w:val="bottom"/>
          </w:tcPr>
          <w:p w:rsidR="0002480D" w:rsidRPr="005779F9" w:rsidRDefault="0002480D" w:rsidP="0002480D">
            <w:pPr>
              <w:spacing w:after="0" w:line="240" w:lineRule="auto"/>
              <w:jc w:val="right"/>
              <w:rPr>
                <w:rFonts w:ascii="Calibri" w:eastAsia="Times New Roman" w:hAnsi="Calibri" w:cs="Calibri"/>
                <w:color w:val="000000"/>
                <w:lang w:eastAsia="tr-TR"/>
              </w:rPr>
            </w:pPr>
            <w:r>
              <w:rPr>
                <w:rFonts w:ascii="Arial TUR" w:hAnsi="Arial TUR" w:cs="Arial TUR"/>
                <w:sz w:val="20"/>
                <w:szCs w:val="20"/>
              </w:rPr>
              <w:t>42,20</w:t>
            </w:r>
          </w:p>
        </w:tc>
      </w:tr>
      <w:tr w:rsidR="0048340C" w:rsidRPr="00C96A99" w:rsidTr="0002480D">
        <w:trPr>
          <w:trHeight w:val="20"/>
        </w:trPr>
        <w:tc>
          <w:tcPr>
            <w:tcW w:w="2930" w:type="pct"/>
            <w:tcBorders>
              <w:top w:val="nil"/>
              <w:left w:val="single" w:sz="8" w:space="0" w:color="D9D9D9"/>
              <w:bottom w:val="single" w:sz="8" w:space="0" w:color="D9D9D9"/>
              <w:right w:val="single" w:sz="8" w:space="0" w:color="D9D9D9"/>
            </w:tcBorders>
            <w:vAlign w:val="center"/>
          </w:tcPr>
          <w:p w:rsidR="0048340C" w:rsidRDefault="0048340C" w:rsidP="0048340C">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Denetim Dairesi Başkanlığı (DDB)</w:t>
            </w:r>
          </w:p>
        </w:tc>
        <w:tc>
          <w:tcPr>
            <w:tcW w:w="1002" w:type="pct"/>
            <w:tcBorders>
              <w:top w:val="nil"/>
              <w:left w:val="nil"/>
              <w:bottom w:val="single" w:sz="8" w:space="0" w:color="D9D9D9"/>
              <w:right w:val="single" w:sz="8" w:space="0" w:color="D9D9D9"/>
            </w:tcBorders>
            <w:vAlign w:val="center"/>
          </w:tcPr>
          <w:p w:rsidR="0048340C" w:rsidRPr="00B60B1C" w:rsidRDefault="0048340C" w:rsidP="0048340C">
            <w:pPr>
              <w:spacing w:after="0" w:line="240" w:lineRule="auto"/>
              <w:jc w:val="right"/>
              <w:rPr>
                <w:rFonts w:ascii="Calibri" w:eastAsia="Times New Roman" w:hAnsi="Calibri" w:cs="Calibri"/>
                <w:color w:val="000000"/>
                <w:lang w:eastAsia="tr-TR"/>
              </w:rPr>
            </w:pPr>
            <w:r w:rsidRPr="002D4D82">
              <w:rPr>
                <w:rFonts w:ascii="Calibri" w:eastAsia="Times New Roman" w:hAnsi="Calibri" w:cs="Calibri"/>
                <w:color w:val="000000"/>
                <w:lang w:eastAsia="tr-TR"/>
              </w:rPr>
              <w:t>1</w:t>
            </w:r>
            <w:r>
              <w:rPr>
                <w:rFonts w:ascii="Calibri" w:eastAsia="Times New Roman" w:hAnsi="Calibri" w:cs="Calibri"/>
                <w:color w:val="000000"/>
                <w:lang w:eastAsia="tr-TR"/>
              </w:rPr>
              <w:t>.</w:t>
            </w:r>
            <w:r w:rsidRPr="002D4D82">
              <w:rPr>
                <w:rFonts w:ascii="Calibri" w:eastAsia="Times New Roman" w:hAnsi="Calibri" w:cs="Calibri"/>
                <w:color w:val="000000"/>
                <w:lang w:eastAsia="tr-TR"/>
              </w:rPr>
              <w:t>093</w:t>
            </w:r>
          </w:p>
        </w:tc>
        <w:tc>
          <w:tcPr>
            <w:tcW w:w="1068" w:type="pct"/>
            <w:tcBorders>
              <w:top w:val="nil"/>
              <w:left w:val="nil"/>
              <w:bottom w:val="single" w:sz="8" w:space="0" w:color="D9D9D9"/>
              <w:right w:val="single" w:sz="8" w:space="0" w:color="D9D9D9"/>
            </w:tcBorders>
            <w:vAlign w:val="bottom"/>
          </w:tcPr>
          <w:p w:rsidR="0048340C" w:rsidRDefault="0048340C" w:rsidP="0048340C">
            <w:pPr>
              <w:spacing w:after="0" w:line="240" w:lineRule="auto"/>
              <w:jc w:val="right"/>
              <w:rPr>
                <w:rFonts w:ascii="Arial TUR" w:hAnsi="Arial TUR" w:cs="Arial TUR"/>
                <w:sz w:val="20"/>
                <w:szCs w:val="20"/>
              </w:rPr>
            </w:pPr>
            <w:r>
              <w:rPr>
                <w:rFonts w:ascii="Arial TUR" w:hAnsi="Arial TUR" w:cs="Arial TUR"/>
                <w:sz w:val="20"/>
                <w:szCs w:val="20"/>
              </w:rPr>
              <w:t>23,75</w:t>
            </w:r>
          </w:p>
        </w:tc>
      </w:tr>
      <w:tr w:rsidR="0048340C" w:rsidRPr="00C96A99" w:rsidTr="0002480D">
        <w:trPr>
          <w:trHeight w:val="20"/>
        </w:trPr>
        <w:tc>
          <w:tcPr>
            <w:tcW w:w="2930" w:type="pct"/>
            <w:tcBorders>
              <w:top w:val="nil"/>
              <w:left w:val="single" w:sz="8" w:space="0" w:color="D9D9D9"/>
              <w:bottom w:val="single" w:sz="8" w:space="0" w:color="D9D9D9"/>
              <w:right w:val="single" w:sz="8" w:space="0" w:color="D9D9D9"/>
            </w:tcBorders>
            <w:vAlign w:val="center"/>
            <w:hideMark/>
          </w:tcPr>
          <w:p w:rsidR="0048340C" w:rsidRPr="00C96A99" w:rsidRDefault="0048340C" w:rsidP="0048340C">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Tarifeler Dairesi Başkanlığı (TDB)</w:t>
            </w:r>
          </w:p>
        </w:tc>
        <w:tc>
          <w:tcPr>
            <w:tcW w:w="1002" w:type="pct"/>
            <w:tcBorders>
              <w:top w:val="nil"/>
              <w:left w:val="nil"/>
              <w:bottom w:val="single" w:sz="8" w:space="0" w:color="D9D9D9"/>
              <w:right w:val="single" w:sz="8" w:space="0" w:color="D9D9D9"/>
            </w:tcBorders>
            <w:vAlign w:val="center"/>
            <w:hideMark/>
          </w:tcPr>
          <w:p w:rsidR="0048340C" w:rsidRPr="005779F9" w:rsidRDefault="0048340C" w:rsidP="0048340C">
            <w:pPr>
              <w:spacing w:after="0" w:line="240" w:lineRule="auto"/>
              <w:jc w:val="right"/>
              <w:rPr>
                <w:rFonts w:ascii="Calibri" w:eastAsia="Times New Roman" w:hAnsi="Calibri" w:cs="Calibri"/>
                <w:color w:val="000000"/>
                <w:lang w:eastAsia="tr-TR"/>
              </w:rPr>
            </w:pPr>
            <w:r w:rsidRPr="00B60B1C">
              <w:rPr>
                <w:rFonts w:ascii="Calibri" w:eastAsia="Times New Roman" w:hAnsi="Calibri" w:cs="Calibri"/>
                <w:color w:val="000000"/>
                <w:lang w:eastAsia="tr-TR"/>
              </w:rPr>
              <w:t>614</w:t>
            </w:r>
          </w:p>
        </w:tc>
        <w:tc>
          <w:tcPr>
            <w:tcW w:w="1068" w:type="pct"/>
            <w:tcBorders>
              <w:top w:val="nil"/>
              <w:left w:val="nil"/>
              <w:bottom w:val="single" w:sz="8" w:space="0" w:color="D9D9D9"/>
              <w:right w:val="single" w:sz="8" w:space="0" w:color="D9D9D9"/>
            </w:tcBorders>
            <w:vAlign w:val="bottom"/>
            <w:hideMark/>
          </w:tcPr>
          <w:p w:rsidR="0048340C" w:rsidRPr="005779F9" w:rsidRDefault="0048340C" w:rsidP="0048340C">
            <w:pPr>
              <w:spacing w:after="0" w:line="240" w:lineRule="auto"/>
              <w:jc w:val="right"/>
              <w:rPr>
                <w:rFonts w:ascii="Calibri" w:eastAsia="Times New Roman" w:hAnsi="Calibri" w:cs="Calibri"/>
                <w:color w:val="000000"/>
                <w:lang w:eastAsia="tr-TR"/>
              </w:rPr>
            </w:pPr>
            <w:r>
              <w:rPr>
                <w:rFonts w:ascii="Arial TUR" w:hAnsi="Arial TUR" w:cs="Arial TUR"/>
                <w:sz w:val="20"/>
                <w:szCs w:val="20"/>
              </w:rPr>
              <w:t>13,34</w:t>
            </w:r>
          </w:p>
        </w:tc>
      </w:tr>
      <w:tr w:rsidR="0048340C" w:rsidRPr="00C96A99" w:rsidTr="0002480D">
        <w:trPr>
          <w:trHeight w:val="20"/>
        </w:trPr>
        <w:tc>
          <w:tcPr>
            <w:tcW w:w="2930" w:type="pct"/>
            <w:tcBorders>
              <w:top w:val="nil"/>
              <w:left w:val="single" w:sz="8" w:space="0" w:color="D9D9D9"/>
              <w:bottom w:val="single" w:sz="8" w:space="0" w:color="D9D9D9"/>
              <w:right w:val="single" w:sz="8" w:space="0" w:color="D9D9D9"/>
            </w:tcBorders>
            <w:vAlign w:val="center"/>
          </w:tcPr>
          <w:p w:rsidR="0048340C" w:rsidRDefault="0048340C" w:rsidP="0048340C">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Kamulaştırma Dairesi Başkanlığı (KDB)</w:t>
            </w:r>
          </w:p>
        </w:tc>
        <w:tc>
          <w:tcPr>
            <w:tcW w:w="1002" w:type="pct"/>
            <w:tcBorders>
              <w:top w:val="nil"/>
              <w:left w:val="nil"/>
              <w:bottom w:val="single" w:sz="8" w:space="0" w:color="D9D9D9"/>
              <w:right w:val="single" w:sz="8" w:space="0" w:color="D9D9D9"/>
            </w:tcBorders>
            <w:vAlign w:val="center"/>
          </w:tcPr>
          <w:p w:rsidR="0048340C" w:rsidRPr="005779F9" w:rsidRDefault="0048340C" w:rsidP="0048340C">
            <w:pPr>
              <w:spacing w:after="0" w:line="240" w:lineRule="auto"/>
              <w:jc w:val="right"/>
              <w:rPr>
                <w:rFonts w:ascii="Calibri" w:eastAsia="Times New Roman" w:hAnsi="Calibri" w:cs="Calibri"/>
                <w:color w:val="000000"/>
                <w:lang w:eastAsia="tr-TR"/>
              </w:rPr>
            </w:pPr>
            <w:r w:rsidRPr="00B60B1C">
              <w:rPr>
                <w:rFonts w:ascii="Calibri" w:eastAsia="Times New Roman" w:hAnsi="Calibri" w:cs="Calibri"/>
                <w:color w:val="000000"/>
                <w:lang w:eastAsia="tr-TR"/>
              </w:rPr>
              <w:t>442</w:t>
            </w:r>
          </w:p>
        </w:tc>
        <w:tc>
          <w:tcPr>
            <w:tcW w:w="1068" w:type="pct"/>
            <w:tcBorders>
              <w:top w:val="nil"/>
              <w:left w:val="nil"/>
              <w:bottom w:val="single" w:sz="8" w:space="0" w:color="D9D9D9"/>
              <w:right w:val="single" w:sz="8" w:space="0" w:color="D9D9D9"/>
            </w:tcBorders>
            <w:vAlign w:val="bottom"/>
          </w:tcPr>
          <w:p w:rsidR="0048340C" w:rsidRPr="005779F9" w:rsidRDefault="0048340C" w:rsidP="0048340C">
            <w:pPr>
              <w:spacing w:after="0" w:line="240" w:lineRule="auto"/>
              <w:jc w:val="right"/>
              <w:rPr>
                <w:rFonts w:ascii="Calibri" w:eastAsia="Times New Roman" w:hAnsi="Calibri" w:cs="Calibri"/>
                <w:color w:val="000000"/>
                <w:lang w:eastAsia="tr-TR"/>
              </w:rPr>
            </w:pPr>
            <w:r>
              <w:rPr>
                <w:rFonts w:ascii="Arial TUR" w:hAnsi="Arial TUR" w:cs="Arial TUR"/>
                <w:sz w:val="20"/>
                <w:szCs w:val="20"/>
              </w:rPr>
              <w:t>9,60</w:t>
            </w:r>
          </w:p>
        </w:tc>
      </w:tr>
      <w:tr w:rsidR="0048340C" w:rsidRPr="00C96A99" w:rsidTr="0002480D">
        <w:trPr>
          <w:trHeight w:val="20"/>
        </w:trPr>
        <w:tc>
          <w:tcPr>
            <w:tcW w:w="2930" w:type="pct"/>
            <w:tcBorders>
              <w:top w:val="nil"/>
              <w:left w:val="single" w:sz="8" w:space="0" w:color="D9D9D9"/>
              <w:bottom w:val="single" w:sz="8" w:space="0" w:color="D9D9D9"/>
              <w:right w:val="single" w:sz="8" w:space="0" w:color="D9D9D9"/>
            </w:tcBorders>
            <w:vAlign w:val="center"/>
          </w:tcPr>
          <w:p w:rsidR="0048340C" w:rsidRDefault="0048340C" w:rsidP="0048340C">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Doğal Gaz Piyasası Dairesi Başkanlığı (DPD)</w:t>
            </w:r>
          </w:p>
        </w:tc>
        <w:tc>
          <w:tcPr>
            <w:tcW w:w="1002" w:type="pct"/>
            <w:tcBorders>
              <w:top w:val="nil"/>
              <w:left w:val="nil"/>
              <w:bottom w:val="single" w:sz="8" w:space="0" w:color="D9D9D9"/>
              <w:right w:val="single" w:sz="8" w:space="0" w:color="D9D9D9"/>
            </w:tcBorders>
            <w:vAlign w:val="center"/>
          </w:tcPr>
          <w:p w:rsidR="0048340C" w:rsidRPr="005779F9" w:rsidRDefault="0048340C" w:rsidP="0048340C">
            <w:pPr>
              <w:spacing w:after="0" w:line="240" w:lineRule="auto"/>
              <w:jc w:val="right"/>
              <w:rPr>
                <w:rFonts w:ascii="Calibri" w:eastAsia="Times New Roman" w:hAnsi="Calibri" w:cs="Calibri"/>
                <w:color w:val="000000"/>
                <w:lang w:eastAsia="tr-TR"/>
              </w:rPr>
            </w:pPr>
            <w:r w:rsidRPr="00B60B1C">
              <w:rPr>
                <w:rFonts w:ascii="Calibri" w:eastAsia="Times New Roman" w:hAnsi="Calibri" w:cs="Calibri"/>
                <w:color w:val="000000"/>
                <w:lang w:eastAsia="tr-TR"/>
              </w:rPr>
              <w:t>213</w:t>
            </w:r>
          </w:p>
        </w:tc>
        <w:tc>
          <w:tcPr>
            <w:tcW w:w="1068" w:type="pct"/>
            <w:tcBorders>
              <w:top w:val="nil"/>
              <w:left w:val="nil"/>
              <w:bottom w:val="single" w:sz="8" w:space="0" w:color="D9D9D9"/>
              <w:right w:val="single" w:sz="8" w:space="0" w:color="D9D9D9"/>
            </w:tcBorders>
            <w:vAlign w:val="bottom"/>
          </w:tcPr>
          <w:p w:rsidR="0048340C" w:rsidRPr="005779F9" w:rsidRDefault="0048340C" w:rsidP="0048340C">
            <w:pPr>
              <w:spacing w:after="0" w:line="240" w:lineRule="auto"/>
              <w:jc w:val="right"/>
              <w:rPr>
                <w:rFonts w:ascii="Calibri" w:eastAsia="Times New Roman" w:hAnsi="Calibri" w:cs="Calibri"/>
                <w:color w:val="000000"/>
                <w:lang w:eastAsia="tr-TR"/>
              </w:rPr>
            </w:pPr>
            <w:r>
              <w:rPr>
                <w:rFonts w:ascii="Arial TUR" w:hAnsi="Arial TUR" w:cs="Arial TUR"/>
                <w:sz w:val="20"/>
                <w:szCs w:val="20"/>
              </w:rPr>
              <w:t>4,63</w:t>
            </w:r>
          </w:p>
        </w:tc>
      </w:tr>
      <w:tr w:rsidR="0048340C" w:rsidRPr="00C96A99" w:rsidTr="0002480D">
        <w:trPr>
          <w:trHeight w:val="20"/>
        </w:trPr>
        <w:tc>
          <w:tcPr>
            <w:tcW w:w="2930" w:type="pct"/>
            <w:tcBorders>
              <w:top w:val="nil"/>
              <w:left w:val="single" w:sz="8" w:space="0" w:color="D9D9D9"/>
              <w:bottom w:val="single" w:sz="8" w:space="0" w:color="D9D9D9"/>
              <w:right w:val="single" w:sz="8" w:space="0" w:color="D9D9D9"/>
            </w:tcBorders>
            <w:vAlign w:val="center"/>
            <w:hideMark/>
          </w:tcPr>
          <w:p w:rsidR="0048340C" w:rsidRPr="00C96A99" w:rsidRDefault="0048340C" w:rsidP="0048340C">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Petrol Piyasası Dairesi Başkanlığı (PPD)</w:t>
            </w:r>
          </w:p>
        </w:tc>
        <w:tc>
          <w:tcPr>
            <w:tcW w:w="1002" w:type="pct"/>
            <w:tcBorders>
              <w:top w:val="nil"/>
              <w:left w:val="nil"/>
              <w:bottom w:val="single" w:sz="8" w:space="0" w:color="D9D9D9"/>
              <w:right w:val="single" w:sz="8" w:space="0" w:color="D9D9D9"/>
            </w:tcBorders>
            <w:vAlign w:val="center"/>
            <w:hideMark/>
          </w:tcPr>
          <w:p w:rsidR="0048340C" w:rsidRPr="005779F9" w:rsidRDefault="0048340C" w:rsidP="0048340C">
            <w:pPr>
              <w:spacing w:after="0" w:line="240" w:lineRule="auto"/>
              <w:jc w:val="right"/>
              <w:rPr>
                <w:rFonts w:ascii="Calibri" w:eastAsia="Times New Roman" w:hAnsi="Calibri" w:cs="Calibri"/>
                <w:color w:val="000000"/>
                <w:lang w:eastAsia="tr-TR"/>
              </w:rPr>
            </w:pPr>
            <w:r w:rsidRPr="00B60B1C">
              <w:rPr>
                <w:rFonts w:ascii="Calibri" w:eastAsia="Times New Roman" w:hAnsi="Calibri" w:cs="Calibri"/>
                <w:color w:val="000000"/>
                <w:lang w:eastAsia="tr-TR"/>
              </w:rPr>
              <w:t>134</w:t>
            </w:r>
          </w:p>
        </w:tc>
        <w:tc>
          <w:tcPr>
            <w:tcW w:w="1068" w:type="pct"/>
            <w:tcBorders>
              <w:top w:val="nil"/>
              <w:left w:val="nil"/>
              <w:bottom w:val="single" w:sz="8" w:space="0" w:color="D9D9D9"/>
              <w:right w:val="single" w:sz="8" w:space="0" w:color="D9D9D9"/>
            </w:tcBorders>
            <w:vAlign w:val="bottom"/>
            <w:hideMark/>
          </w:tcPr>
          <w:p w:rsidR="0048340C" w:rsidRPr="005779F9" w:rsidRDefault="0048340C" w:rsidP="0048340C">
            <w:pPr>
              <w:spacing w:after="0" w:line="240" w:lineRule="auto"/>
              <w:jc w:val="right"/>
              <w:rPr>
                <w:rFonts w:ascii="Calibri" w:eastAsia="Times New Roman" w:hAnsi="Calibri" w:cs="Calibri"/>
                <w:color w:val="000000"/>
                <w:lang w:eastAsia="tr-TR"/>
              </w:rPr>
            </w:pPr>
            <w:r>
              <w:rPr>
                <w:rFonts w:ascii="Arial TUR" w:hAnsi="Arial TUR" w:cs="Arial TUR"/>
                <w:sz w:val="20"/>
                <w:szCs w:val="20"/>
              </w:rPr>
              <w:t>2,91</w:t>
            </w:r>
          </w:p>
        </w:tc>
      </w:tr>
      <w:tr w:rsidR="0048340C" w:rsidRPr="00C96A99" w:rsidTr="0002480D">
        <w:trPr>
          <w:trHeight w:val="20"/>
        </w:trPr>
        <w:tc>
          <w:tcPr>
            <w:tcW w:w="2930" w:type="pct"/>
            <w:tcBorders>
              <w:top w:val="nil"/>
              <w:left w:val="single" w:sz="8" w:space="0" w:color="D9D9D9"/>
              <w:bottom w:val="single" w:sz="8" w:space="0" w:color="D9D9D9"/>
              <w:right w:val="single" w:sz="8" w:space="0" w:color="D9D9D9"/>
            </w:tcBorders>
            <w:vAlign w:val="center"/>
          </w:tcPr>
          <w:p w:rsidR="0048340C" w:rsidRDefault="0048340C" w:rsidP="0048340C">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Enerji Dönüşüm Dairesi Başkanlığı (EDD)</w:t>
            </w:r>
          </w:p>
        </w:tc>
        <w:tc>
          <w:tcPr>
            <w:tcW w:w="1002" w:type="pct"/>
            <w:tcBorders>
              <w:top w:val="nil"/>
              <w:left w:val="nil"/>
              <w:bottom w:val="single" w:sz="8" w:space="0" w:color="D9D9D9"/>
              <w:right w:val="single" w:sz="8" w:space="0" w:color="D9D9D9"/>
            </w:tcBorders>
            <w:vAlign w:val="center"/>
          </w:tcPr>
          <w:p w:rsidR="0048340C" w:rsidRPr="00B60B1C" w:rsidRDefault="0048340C" w:rsidP="0048340C">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84</w:t>
            </w:r>
          </w:p>
        </w:tc>
        <w:tc>
          <w:tcPr>
            <w:tcW w:w="1068" w:type="pct"/>
            <w:tcBorders>
              <w:top w:val="nil"/>
              <w:left w:val="nil"/>
              <w:bottom w:val="single" w:sz="8" w:space="0" w:color="D9D9D9"/>
              <w:right w:val="single" w:sz="8" w:space="0" w:color="D9D9D9"/>
            </w:tcBorders>
            <w:vAlign w:val="bottom"/>
          </w:tcPr>
          <w:p w:rsidR="0048340C" w:rsidRPr="005779F9" w:rsidRDefault="0048340C" w:rsidP="0048340C">
            <w:pPr>
              <w:spacing w:after="0" w:line="240" w:lineRule="auto"/>
              <w:jc w:val="right"/>
              <w:rPr>
                <w:rFonts w:ascii="Calibri" w:eastAsia="Times New Roman" w:hAnsi="Calibri" w:cs="Calibri"/>
                <w:color w:val="000000"/>
                <w:lang w:eastAsia="tr-TR"/>
              </w:rPr>
            </w:pPr>
            <w:r>
              <w:rPr>
                <w:rFonts w:ascii="Arial TUR" w:hAnsi="Arial TUR" w:cs="Arial TUR"/>
                <w:sz w:val="20"/>
                <w:szCs w:val="20"/>
              </w:rPr>
              <w:t>1,83</w:t>
            </w:r>
          </w:p>
        </w:tc>
      </w:tr>
      <w:tr w:rsidR="0048340C" w:rsidRPr="00C96A99" w:rsidTr="0002480D">
        <w:trPr>
          <w:trHeight w:val="20"/>
        </w:trPr>
        <w:tc>
          <w:tcPr>
            <w:tcW w:w="2930" w:type="pct"/>
            <w:tcBorders>
              <w:top w:val="nil"/>
              <w:left w:val="single" w:sz="8" w:space="0" w:color="D9D9D9"/>
              <w:bottom w:val="single" w:sz="8" w:space="0" w:color="D9D9D9"/>
              <w:right w:val="single" w:sz="8" w:space="0" w:color="D9D9D9"/>
            </w:tcBorders>
            <w:vAlign w:val="center"/>
            <w:hideMark/>
          </w:tcPr>
          <w:p w:rsidR="0048340C" w:rsidRPr="00C96A99" w:rsidRDefault="0048340C" w:rsidP="0048340C">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LPG Piyasası Dairesi Başkanlığı (LPG)</w:t>
            </w:r>
          </w:p>
        </w:tc>
        <w:tc>
          <w:tcPr>
            <w:tcW w:w="1002" w:type="pct"/>
            <w:tcBorders>
              <w:top w:val="nil"/>
              <w:left w:val="nil"/>
              <w:bottom w:val="single" w:sz="8" w:space="0" w:color="D9D9D9"/>
              <w:right w:val="single" w:sz="8" w:space="0" w:color="D9D9D9"/>
            </w:tcBorders>
            <w:vAlign w:val="center"/>
            <w:hideMark/>
          </w:tcPr>
          <w:p w:rsidR="0048340C" w:rsidRPr="005779F9" w:rsidRDefault="0048340C" w:rsidP="0048340C">
            <w:pPr>
              <w:spacing w:after="0" w:line="240" w:lineRule="auto"/>
              <w:jc w:val="right"/>
              <w:rPr>
                <w:rFonts w:ascii="Calibri" w:eastAsia="Times New Roman" w:hAnsi="Calibri" w:cs="Calibri"/>
                <w:color w:val="000000"/>
                <w:lang w:eastAsia="tr-TR"/>
              </w:rPr>
            </w:pPr>
            <w:r w:rsidRPr="00B60B1C">
              <w:rPr>
                <w:rFonts w:ascii="Calibri" w:eastAsia="Times New Roman" w:hAnsi="Calibri" w:cs="Calibri"/>
                <w:color w:val="000000"/>
                <w:lang w:eastAsia="tr-TR"/>
              </w:rPr>
              <w:t>38</w:t>
            </w:r>
          </w:p>
        </w:tc>
        <w:tc>
          <w:tcPr>
            <w:tcW w:w="1068" w:type="pct"/>
            <w:tcBorders>
              <w:top w:val="nil"/>
              <w:left w:val="nil"/>
              <w:bottom w:val="single" w:sz="8" w:space="0" w:color="D9D9D9"/>
              <w:right w:val="single" w:sz="8" w:space="0" w:color="D9D9D9"/>
            </w:tcBorders>
            <w:vAlign w:val="bottom"/>
            <w:hideMark/>
          </w:tcPr>
          <w:p w:rsidR="0048340C" w:rsidRPr="005779F9" w:rsidRDefault="0048340C" w:rsidP="0048340C">
            <w:pPr>
              <w:spacing w:after="0" w:line="240" w:lineRule="auto"/>
              <w:jc w:val="right"/>
              <w:rPr>
                <w:rFonts w:ascii="Calibri" w:eastAsia="Times New Roman" w:hAnsi="Calibri" w:cs="Calibri"/>
                <w:color w:val="000000"/>
                <w:lang w:eastAsia="tr-TR"/>
              </w:rPr>
            </w:pPr>
            <w:r>
              <w:rPr>
                <w:rFonts w:ascii="Arial TUR" w:hAnsi="Arial TUR" w:cs="Arial TUR"/>
                <w:sz w:val="20"/>
                <w:szCs w:val="20"/>
              </w:rPr>
              <w:t>0,83</w:t>
            </w:r>
          </w:p>
        </w:tc>
      </w:tr>
      <w:tr w:rsidR="0048340C" w:rsidRPr="00C96A99" w:rsidTr="0002480D">
        <w:trPr>
          <w:trHeight w:val="20"/>
        </w:trPr>
        <w:tc>
          <w:tcPr>
            <w:tcW w:w="2930" w:type="pct"/>
            <w:tcBorders>
              <w:top w:val="nil"/>
              <w:left w:val="single" w:sz="8" w:space="0" w:color="D9D9D9"/>
              <w:bottom w:val="single" w:sz="8" w:space="0" w:color="D9D9D9"/>
              <w:right w:val="single" w:sz="8" w:space="0" w:color="D9D9D9"/>
            </w:tcBorders>
            <w:vAlign w:val="center"/>
            <w:hideMark/>
          </w:tcPr>
          <w:p w:rsidR="0048340C" w:rsidRPr="00C96A99" w:rsidRDefault="0048340C" w:rsidP="0048340C">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İnsan Kaynakları ve Destek Hizmetleri Dairesi Başkanlığı (İK</w:t>
            </w:r>
            <w:r w:rsidR="00C84B12">
              <w:rPr>
                <w:rFonts w:ascii="Calibri" w:eastAsia="Times New Roman" w:hAnsi="Calibri" w:cs="Calibri"/>
                <w:color w:val="000000"/>
                <w:lang w:eastAsia="tr-TR"/>
              </w:rPr>
              <w:t>D</w:t>
            </w:r>
            <w:r>
              <w:rPr>
                <w:rFonts w:ascii="Calibri" w:eastAsia="Times New Roman" w:hAnsi="Calibri" w:cs="Calibri"/>
                <w:color w:val="000000"/>
                <w:lang w:eastAsia="tr-TR"/>
              </w:rPr>
              <w:t>)</w:t>
            </w:r>
          </w:p>
        </w:tc>
        <w:tc>
          <w:tcPr>
            <w:tcW w:w="1002" w:type="pct"/>
            <w:tcBorders>
              <w:top w:val="nil"/>
              <w:left w:val="nil"/>
              <w:bottom w:val="single" w:sz="8" w:space="0" w:color="D9D9D9"/>
              <w:right w:val="single" w:sz="8" w:space="0" w:color="D9D9D9"/>
            </w:tcBorders>
            <w:vAlign w:val="center"/>
            <w:hideMark/>
          </w:tcPr>
          <w:p w:rsidR="0048340C" w:rsidRPr="005779F9" w:rsidRDefault="0048340C" w:rsidP="0048340C">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23</w:t>
            </w:r>
          </w:p>
        </w:tc>
        <w:tc>
          <w:tcPr>
            <w:tcW w:w="1068" w:type="pct"/>
            <w:tcBorders>
              <w:top w:val="nil"/>
              <w:left w:val="nil"/>
              <w:bottom w:val="single" w:sz="8" w:space="0" w:color="D9D9D9"/>
              <w:right w:val="single" w:sz="8" w:space="0" w:color="D9D9D9"/>
            </w:tcBorders>
            <w:vAlign w:val="bottom"/>
            <w:hideMark/>
          </w:tcPr>
          <w:p w:rsidR="0048340C" w:rsidRPr="005779F9" w:rsidRDefault="0048340C" w:rsidP="0048340C">
            <w:pPr>
              <w:spacing w:after="0" w:line="240" w:lineRule="auto"/>
              <w:jc w:val="right"/>
              <w:rPr>
                <w:rFonts w:ascii="Calibri" w:eastAsia="Times New Roman" w:hAnsi="Calibri" w:cs="Calibri"/>
                <w:color w:val="000000"/>
                <w:lang w:eastAsia="tr-TR"/>
              </w:rPr>
            </w:pPr>
            <w:r>
              <w:rPr>
                <w:rFonts w:ascii="Arial TUR" w:hAnsi="Arial TUR" w:cs="Arial TUR"/>
                <w:sz w:val="20"/>
                <w:szCs w:val="20"/>
              </w:rPr>
              <w:t>0,50</w:t>
            </w:r>
          </w:p>
        </w:tc>
      </w:tr>
      <w:tr w:rsidR="0048340C" w:rsidRPr="00C96A99" w:rsidTr="0002480D">
        <w:trPr>
          <w:trHeight w:val="20"/>
        </w:trPr>
        <w:tc>
          <w:tcPr>
            <w:tcW w:w="2930" w:type="pct"/>
            <w:tcBorders>
              <w:top w:val="nil"/>
              <w:left w:val="single" w:sz="8" w:space="0" w:color="D9D9D9"/>
              <w:bottom w:val="single" w:sz="8" w:space="0" w:color="D9D9D9"/>
              <w:right w:val="single" w:sz="8" w:space="0" w:color="D9D9D9"/>
            </w:tcBorders>
            <w:vAlign w:val="center"/>
            <w:hideMark/>
          </w:tcPr>
          <w:p w:rsidR="0048340C" w:rsidRPr="00C96A99" w:rsidRDefault="0048340C" w:rsidP="0048340C">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Strateji Geliştirme Dairesi Başkanlığı (SGD)</w:t>
            </w:r>
          </w:p>
        </w:tc>
        <w:tc>
          <w:tcPr>
            <w:tcW w:w="1002" w:type="pct"/>
            <w:tcBorders>
              <w:top w:val="nil"/>
              <w:left w:val="nil"/>
              <w:bottom w:val="single" w:sz="8" w:space="0" w:color="D9D9D9"/>
              <w:right w:val="single" w:sz="8" w:space="0" w:color="D9D9D9"/>
            </w:tcBorders>
            <w:vAlign w:val="center"/>
            <w:hideMark/>
          </w:tcPr>
          <w:p w:rsidR="0048340C" w:rsidRPr="005779F9" w:rsidRDefault="0048340C" w:rsidP="0048340C">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17</w:t>
            </w:r>
          </w:p>
        </w:tc>
        <w:tc>
          <w:tcPr>
            <w:tcW w:w="1068" w:type="pct"/>
            <w:tcBorders>
              <w:top w:val="nil"/>
              <w:left w:val="nil"/>
              <w:bottom w:val="single" w:sz="8" w:space="0" w:color="D9D9D9"/>
              <w:right w:val="single" w:sz="8" w:space="0" w:color="D9D9D9"/>
            </w:tcBorders>
            <w:vAlign w:val="bottom"/>
            <w:hideMark/>
          </w:tcPr>
          <w:p w:rsidR="0048340C" w:rsidRPr="005779F9" w:rsidRDefault="0048340C" w:rsidP="0048340C">
            <w:pPr>
              <w:spacing w:after="0" w:line="240" w:lineRule="auto"/>
              <w:jc w:val="right"/>
              <w:rPr>
                <w:rFonts w:ascii="Calibri" w:eastAsia="Times New Roman" w:hAnsi="Calibri" w:cs="Calibri"/>
                <w:color w:val="000000"/>
                <w:lang w:eastAsia="tr-TR"/>
              </w:rPr>
            </w:pPr>
            <w:r>
              <w:rPr>
                <w:rFonts w:ascii="Arial TUR" w:hAnsi="Arial TUR" w:cs="Arial TUR"/>
                <w:sz w:val="20"/>
                <w:szCs w:val="20"/>
              </w:rPr>
              <w:t>0,37</w:t>
            </w:r>
          </w:p>
        </w:tc>
      </w:tr>
      <w:tr w:rsidR="0048340C" w:rsidRPr="00C96A99" w:rsidTr="0002480D">
        <w:trPr>
          <w:trHeight w:val="20"/>
        </w:trPr>
        <w:tc>
          <w:tcPr>
            <w:tcW w:w="2930" w:type="pct"/>
            <w:tcBorders>
              <w:top w:val="nil"/>
              <w:left w:val="single" w:sz="8" w:space="0" w:color="D9D9D9"/>
              <w:bottom w:val="single" w:sz="8" w:space="0" w:color="D9D9D9"/>
              <w:right w:val="single" w:sz="8" w:space="0" w:color="D9D9D9"/>
            </w:tcBorders>
            <w:vAlign w:val="center"/>
          </w:tcPr>
          <w:p w:rsidR="0048340C" w:rsidRDefault="0048340C" w:rsidP="0048340C">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Hukuk Dairesi Başkanlığı (HDB)</w:t>
            </w:r>
          </w:p>
        </w:tc>
        <w:tc>
          <w:tcPr>
            <w:tcW w:w="1002" w:type="pct"/>
            <w:tcBorders>
              <w:top w:val="nil"/>
              <w:left w:val="nil"/>
              <w:bottom w:val="single" w:sz="8" w:space="0" w:color="D9D9D9"/>
              <w:right w:val="single" w:sz="8" w:space="0" w:color="D9D9D9"/>
            </w:tcBorders>
            <w:vAlign w:val="center"/>
          </w:tcPr>
          <w:p w:rsidR="0048340C" w:rsidRPr="005779F9" w:rsidRDefault="0048340C" w:rsidP="0048340C">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2</w:t>
            </w:r>
          </w:p>
        </w:tc>
        <w:tc>
          <w:tcPr>
            <w:tcW w:w="1068" w:type="pct"/>
            <w:tcBorders>
              <w:top w:val="nil"/>
              <w:left w:val="nil"/>
              <w:bottom w:val="single" w:sz="8" w:space="0" w:color="D9D9D9"/>
              <w:right w:val="single" w:sz="8" w:space="0" w:color="D9D9D9"/>
            </w:tcBorders>
            <w:vAlign w:val="bottom"/>
          </w:tcPr>
          <w:p w:rsidR="0048340C" w:rsidRPr="005779F9" w:rsidRDefault="0048340C" w:rsidP="0048340C">
            <w:pPr>
              <w:spacing w:after="0" w:line="240" w:lineRule="auto"/>
              <w:jc w:val="right"/>
              <w:rPr>
                <w:rFonts w:ascii="Calibri" w:eastAsia="Times New Roman" w:hAnsi="Calibri" w:cs="Calibri"/>
                <w:color w:val="000000"/>
                <w:lang w:eastAsia="tr-TR"/>
              </w:rPr>
            </w:pPr>
            <w:r>
              <w:rPr>
                <w:rFonts w:ascii="Arial TUR" w:hAnsi="Arial TUR" w:cs="Arial TUR"/>
                <w:sz w:val="20"/>
                <w:szCs w:val="20"/>
              </w:rPr>
              <w:t>0,04</w:t>
            </w:r>
          </w:p>
        </w:tc>
      </w:tr>
      <w:tr w:rsidR="0048340C" w:rsidRPr="00C96A99" w:rsidTr="00A24C69">
        <w:trPr>
          <w:trHeight w:val="20"/>
        </w:trPr>
        <w:tc>
          <w:tcPr>
            <w:tcW w:w="2930" w:type="pct"/>
            <w:tcBorders>
              <w:top w:val="nil"/>
              <w:left w:val="single" w:sz="8" w:space="0" w:color="D9D9D9"/>
              <w:bottom w:val="single" w:sz="8" w:space="0" w:color="D9D9D9"/>
              <w:right w:val="single" w:sz="8" w:space="0" w:color="D9D9D9"/>
            </w:tcBorders>
            <w:vAlign w:val="center"/>
            <w:hideMark/>
          </w:tcPr>
          <w:p w:rsidR="0048340C" w:rsidRPr="00C96A99" w:rsidRDefault="0048340C" w:rsidP="0048340C">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Bilgi İşlem Dairesi Başkanlığı (BİD)</w:t>
            </w:r>
          </w:p>
        </w:tc>
        <w:tc>
          <w:tcPr>
            <w:tcW w:w="1002" w:type="pct"/>
            <w:tcBorders>
              <w:top w:val="nil"/>
              <w:left w:val="nil"/>
              <w:bottom w:val="single" w:sz="8" w:space="0" w:color="D9D9D9"/>
              <w:right w:val="single" w:sz="8" w:space="0" w:color="D9D9D9"/>
            </w:tcBorders>
            <w:vAlign w:val="center"/>
            <w:hideMark/>
          </w:tcPr>
          <w:p w:rsidR="0048340C" w:rsidRPr="005779F9" w:rsidRDefault="0048340C" w:rsidP="0048340C">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1068" w:type="pct"/>
            <w:tcBorders>
              <w:top w:val="nil"/>
              <w:left w:val="nil"/>
              <w:bottom w:val="single" w:sz="8" w:space="0" w:color="D9D9D9"/>
              <w:right w:val="single" w:sz="8" w:space="0" w:color="D9D9D9"/>
            </w:tcBorders>
            <w:vAlign w:val="center"/>
            <w:hideMark/>
          </w:tcPr>
          <w:p w:rsidR="0048340C" w:rsidRPr="005779F9" w:rsidRDefault="0048340C" w:rsidP="0048340C">
            <w:pPr>
              <w:spacing w:after="0" w:line="240" w:lineRule="auto"/>
              <w:jc w:val="right"/>
              <w:rPr>
                <w:rFonts w:ascii="Calibri" w:eastAsia="Times New Roman" w:hAnsi="Calibri" w:cs="Calibri"/>
                <w:color w:val="000000"/>
                <w:lang w:eastAsia="tr-TR"/>
              </w:rPr>
            </w:pPr>
            <w:r w:rsidRPr="005779F9">
              <w:rPr>
                <w:rFonts w:ascii="Calibri" w:eastAsia="Times New Roman" w:hAnsi="Calibri" w:cs="Calibri"/>
                <w:color w:val="000000"/>
                <w:lang w:eastAsia="tr-TR"/>
              </w:rPr>
              <w:t>0</w:t>
            </w:r>
          </w:p>
        </w:tc>
      </w:tr>
      <w:tr w:rsidR="0048340C" w:rsidRPr="00C96A99" w:rsidTr="00A24C69">
        <w:trPr>
          <w:trHeight w:val="20"/>
        </w:trPr>
        <w:tc>
          <w:tcPr>
            <w:tcW w:w="2930" w:type="pct"/>
            <w:tcBorders>
              <w:top w:val="nil"/>
              <w:left w:val="single" w:sz="8" w:space="0" w:color="D9D9D9"/>
              <w:bottom w:val="single" w:sz="8" w:space="0" w:color="D9D9D9"/>
              <w:right w:val="single" w:sz="8" w:space="0" w:color="D9D9D9"/>
            </w:tcBorders>
            <w:vAlign w:val="center"/>
            <w:hideMark/>
          </w:tcPr>
          <w:p w:rsidR="0048340C" w:rsidRPr="00C96A99" w:rsidRDefault="0048340C" w:rsidP="0048340C">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Kurul Hizmetleri Müdürlüğü (KHM)</w:t>
            </w:r>
          </w:p>
        </w:tc>
        <w:tc>
          <w:tcPr>
            <w:tcW w:w="1002" w:type="pct"/>
            <w:tcBorders>
              <w:top w:val="nil"/>
              <w:left w:val="nil"/>
              <w:bottom w:val="single" w:sz="8" w:space="0" w:color="D9D9D9"/>
              <w:right w:val="single" w:sz="8" w:space="0" w:color="D9D9D9"/>
            </w:tcBorders>
            <w:vAlign w:val="center"/>
            <w:hideMark/>
          </w:tcPr>
          <w:p w:rsidR="0048340C" w:rsidRPr="005779F9" w:rsidRDefault="0048340C" w:rsidP="0048340C">
            <w:pPr>
              <w:spacing w:after="0" w:line="240" w:lineRule="auto"/>
              <w:jc w:val="right"/>
              <w:rPr>
                <w:rFonts w:ascii="Calibri" w:eastAsia="Times New Roman" w:hAnsi="Calibri" w:cs="Calibri"/>
                <w:color w:val="000000"/>
                <w:lang w:eastAsia="tr-TR"/>
              </w:rPr>
            </w:pPr>
            <w:r w:rsidRPr="005779F9">
              <w:rPr>
                <w:rFonts w:ascii="Calibri" w:eastAsia="Times New Roman" w:hAnsi="Calibri" w:cs="Calibri"/>
                <w:color w:val="000000"/>
                <w:lang w:eastAsia="tr-TR"/>
              </w:rPr>
              <w:t>0</w:t>
            </w:r>
          </w:p>
        </w:tc>
        <w:tc>
          <w:tcPr>
            <w:tcW w:w="1068" w:type="pct"/>
            <w:tcBorders>
              <w:top w:val="nil"/>
              <w:left w:val="nil"/>
              <w:bottom w:val="single" w:sz="8" w:space="0" w:color="D9D9D9"/>
              <w:right w:val="single" w:sz="8" w:space="0" w:color="D9D9D9"/>
            </w:tcBorders>
            <w:vAlign w:val="center"/>
            <w:hideMark/>
          </w:tcPr>
          <w:p w:rsidR="0048340C" w:rsidRPr="005779F9" w:rsidRDefault="0048340C" w:rsidP="0048340C">
            <w:pPr>
              <w:spacing w:after="0" w:line="240" w:lineRule="auto"/>
              <w:jc w:val="right"/>
              <w:rPr>
                <w:rFonts w:ascii="Calibri" w:eastAsia="Times New Roman" w:hAnsi="Calibri" w:cs="Calibri"/>
                <w:color w:val="000000"/>
                <w:lang w:eastAsia="tr-TR"/>
              </w:rPr>
            </w:pPr>
            <w:r w:rsidRPr="005779F9">
              <w:rPr>
                <w:rFonts w:ascii="Calibri" w:eastAsia="Times New Roman" w:hAnsi="Calibri" w:cs="Calibri"/>
                <w:color w:val="000000"/>
                <w:lang w:eastAsia="tr-TR"/>
              </w:rPr>
              <w:t>0</w:t>
            </w:r>
          </w:p>
        </w:tc>
      </w:tr>
      <w:tr w:rsidR="0048340C" w:rsidRPr="00C96A99" w:rsidTr="00A24C69">
        <w:trPr>
          <w:trHeight w:val="20"/>
        </w:trPr>
        <w:tc>
          <w:tcPr>
            <w:tcW w:w="2930" w:type="pct"/>
            <w:tcBorders>
              <w:top w:val="nil"/>
              <w:left w:val="single" w:sz="8" w:space="0" w:color="D9D9D9"/>
              <w:bottom w:val="single" w:sz="8" w:space="0" w:color="D9D9D9"/>
              <w:right w:val="single" w:sz="8" w:space="0" w:color="D9D9D9"/>
            </w:tcBorders>
            <w:vAlign w:val="center"/>
            <w:hideMark/>
          </w:tcPr>
          <w:p w:rsidR="0048340C" w:rsidRPr="00C96A99" w:rsidRDefault="0048340C" w:rsidP="0048340C">
            <w:pPr>
              <w:spacing w:after="0" w:line="240" w:lineRule="auto"/>
              <w:rPr>
                <w:rFonts w:ascii="Calibri" w:eastAsia="Times New Roman" w:hAnsi="Calibri" w:cs="Calibri"/>
                <w:b/>
                <w:bCs/>
                <w:color w:val="000000"/>
                <w:lang w:eastAsia="tr-TR"/>
              </w:rPr>
            </w:pPr>
            <w:r>
              <w:rPr>
                <w:rFonts w:ascii="Calibri" w:eastAsia="Times New Roman" w:hAnsi="Calibri" w:cs="Calibri"/>
                <w:b/>
                <w:bCs/>
                <w:color w:val="000000"/>
                <w:lang w:eastAsia="tr-TR"/>
              </w:rPr>
              <w:t>Toplam</w:t>
            </w:r>
          </w:p>
        </w:tc>
        <w:tc>
          <w:tcPr>
            <w:tcW w:w="1002" w:type="pct"/>
            <w:tcBorders>
              <w:top w:val="nil"/>
              <w:left w:val="nil"/>
              <w:bottom w:val="single" w:sz="8" w:space="0" w:color="D9D9D9"/>
              <w:right w:val="single" w:sz="8" w:space="0" w:color="D9D9D9"/>
            </w:tcBorders>
            <w:vAlign w:val="center"/>
            <w:hideMark/>
          </w:tcPr>
          <w:p w:rsidR="0048340C" w:rsidRPr="005779F9" w:rsidRDefault="0048340C" w:rsidP="0048340C">
            <w:pPr>
              <w:spacing w:after="0" w:line="240" w:lineRule="auto"/>
              <w:jc w:val="right"/>
              <w:rPr>
                <w:rFonts w:ascii="Calibri" w:eastAsia="Times New Roman" w:hAnsi="Calibri" w:cs="Calibri"/>
                <w:b/>
                <w:bCs/>
                <w:color w:val="000000"/>
                <w:lang w:eastAsia="tr-TR"/>
              </w:rPr>
            </w:pPr>
            <w:r>
              <w:rPr>
                <w:rFonts w:ascii="Calibri" w:eastAsia="Times New Roman" w:hAnsi="Calibri" w:cs="Calibri"/>
                <w:b/>
                <w:bCs/>
                <w:color w:val="000000"/>
                <w:lang w:eastAsia="tr-TR"/>
              </w:rPr>
              <w:t>4.602</w:t>
            </w:r>
          </w:p>
        </w:tc>
        <w:tc>
          <w:tcPr>
            <w:tcW w:w="1068" w:type="pct"/>
            <w:tcBorders>
              <w:top w:val="nil"/>
              <w:left w:val="nil"/>
              <w:bottom w:val="single" w:sz="8" w:space="0" w:color="D9D9D9"/>
              <w:right w:val="single" w:sz="8" w:space="0" w:color="D9D9D9"/>
            </w:tcBorders>
            <w:vAlign w:val="center"/>
            <w:hideMark/>
          </w:tcPr>
          <w:p w:rsidR="0048340C" w:rsidRPr="005779F9" w:rsidRDefault="0048340C" w:rsidP="0048340C">
            <w:pPr>
              <w:spacing w:after="0" w:line="240" w:lineRule="auto"/>
              <w:jc w:val="right"/>
              <w:rPr>
                <w:rFonts w:ascii="Calibri" w:eastAsia="Times New Roman" w:hAnsi="Calibri" w:cs="Calibri"/>
                <w:b/>
                <w:bCs/>
                <w:color w:val="000000"/>
                <w:lang w:eastAsia="tr-TR"/>
              </w:rPr>
            </w:pPr>
            <w:r w:rsidRPr="005779F9">
              <w:rPr>
                <w:rFonts w:ascii="Calibri" w:eastAsia="Times New Roman" w:hAnsi="Calibri" w:cs="Calibri"/>
                <w:b/>
                <w:bCs/>
                <w:color w:val="000000"/>
                <w:lang w:eastAsia="tr-TR"/>
              </w:rPr>
              <w:t>100</w:t>
            </w:r>
          </w:p>
        </w:tc>
      </w:tr>
    </w:tbl>
    <w:p w:rsidR="003C56A2" w:rsidRPr="00751D17" w:rsidRDefault="00C96A99" w:rsidP="00F91931">
      <w:pPr>
        <w:pStyle w:val="Balk5"/>
        <w:spacing w:before="120"/>
        <w:jc w:val="center"/>
        <w:rPr>
          <w:rStyle w:val="Gl"/>
          <w:color w:val="auto"/>
        </w:rPr>
      </w:pPr>
      <w:bookmarkStart w:id="15" w:name="_Toc132713884"/>
      <w:r w:rsidRPr="00751D17">
        <w:rPr>
          <w:rStyle w:val="Gl"/>
          <w:color w:val="auto"/>
        </w:rPr>
        <w:t>Şekil 1.1: 202</w:t>
      </w:r>
      <w:r w:rsidR="0048340C">
        <w:rPr>
          <w:rStyle w:val="Gl"/>
          <w:color w:val="auto"/>
        </w:rPr>
        <w:t>2</w:t>
      </w:r>
      <w:r w:rsidR="003C56A2" w:rsidRPr="00751D17">
        <w:rPr>
          <w:rStyle w:val="Gl"/>
          <w:color w:val="auto"/>
        </w:rPr>
        <w:t xml:space="preserve"> Yılı Hizmet Birimlerine Göre Alınan Kurul Kararları</w:t>
      </w:r>
      <w:bookmarkEnd w:id="15"/>
    </w:p>
    <w:p w:rsidR="00751D17" w:rsidRPr="00751D17" w:rsidRDefault="002504D2">
      <w:pPr>
        <w:rPr>
          <w:rStyle w:val="Gl"/>
          <w:b w:val="0"/>
          <w:bCs w:val="0"/>
        </w:rPr>
      </w:pPr>
      <w:bookmarkStart w:id="16" w:name="_Toc505346152"/>
      <w:r>
        <w:rPr>
          <w:noProof/>
          <w:lang w:eastAsia="tr-TR"/>
        </w:rPr>
        <w:drawing>
          <wp:inline distT="0" distB="0" distL="0" distR="0" wp14:anchorId="28A6FE6A" wp14:editId="70B1C561">
            <wp:extent cx="6412613" cy="2708694"/>
            <wp:effectExtent l="0" t="0" r="7620" b="15875"/>
            <wp:docPr id="26" name="Grafik 26">
              <a:extLst xmlns:a="http://schemas.openxmlformats.org/drawingml/2006/main">
                <a:ext uri="{FF2B5EF4-FFF2-40B4-BE49-F238E27FC236}">
                  <a16:creationId xmlns:a16="http://schemas.microsoft.com/office/drawing/2014/main" id="{00000000-0008-0000-02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9F6B4A" w:rsidRPr="00E9291A" w:rsidRDefault="009F6B4A" w:rsidP="00CF408B">
      <w:pPr>
        <w:pStyle w:val="Balk5"/>
        <w:jc w:val="center"/>
        <w:rPr>
          <w:rStyle w:val="Gl"/>
          <w:color w:val="000000" w:themeColor="text1"/>
        </w:rPr>
      </w:pPr>
      <w:bookmarkStart w:id="17" w:name="_Toc132713885"/>
      <w:r w:rsidRPr="00E9291A">
        <w:rPr>
          <w:rStyle w:val="Gl"/>
          <w:color w:val="000000" w:themeColor="text1"/>
        </w:rPr>
        <w:lastRenderedPageBreak/>
        <w:t>Tablo 1.2: 201</w:t>
      </w:r>
      <w:r w:rsidR="001F39FB">
        <w:rPr>
          <w:rStyle w:val="Gl"/>
          <w:color w:val="000000" w:themeColor="text1"/>
        </w:rPr>
        <w:t>8</w:t>
      </w:r>
      <w:r w:rsidR="001978FE">
        <w:rPr>
          <w:rStyle w:val="Gl"/>
          <w:color w:val="000000" w:themeColor="text1"/>
        </w:rPr>
        <w:t>-202</w:t>
      </w:r>
      <w:r w:rsidR="001F39FB">
        <w:rPr>
          <w:rStyle w:val="Gl"/>
          <w:color w:val="000000" w:themeColor="text1"/>
        </w:rPr>
        <w:t>2</w:t>
      </w:r>
      <w:r w:rsidRPr="00E9291A">
        <w:rPr>
          <w:rStyle w:val="Gl"/>
          <w:color w:val="000000" w:themeColor="text1"/>
        </w:rPr>
        <w:t xml:space="preserve"> Yılları Arasında Alınan Kurul Kararlarının Kurum Hizmet Birimlerine Göre Dağılımı</w:t>
      </w:r>
      <w:bookmarkEnd w:id="13"/>
      <w:bookmarkEnd w:id="14"/>
      <w:bookmarkEnd w:id="16"/>
      <w:bookmarkEnd w:id="17"/>
    </w:p>
    <w:tbl>
      <w:tblPr>
        <w:tblW w:w="5000" w:type="pct"/>
        <w:jc w:val="center"/>
        <w:tblCellMar>
          <w:left w:w="70" w:type="dxa"/>
          <w:right w:w="70" w:type="dxa"/>
        </w:tblCellMar>
        <w:tblLook w:val="04A0" w:firstRow="1" w:lastRow="0" w:firstColumn="1" w:lastColumn="0" w:noHBand="0" w:noVBand="1"/>
      </w:tblPr>
      <w:tblGrid>
        <w:gridCol w:w="973"/>
        <w:gridCol w:w="718"/>
        <w:gridCol w:w="718"/>
        <w:gridCol w:w="719"/>
        <w:gridCol w:w="719"/>
        <w:gridCol w:w="719"/>
        <w:gridCol w:w="719"/>
        <w:gridCol w:w="719"/>
        <w:gridCol w:w="719"/>
        <w:gridCol w:w="719"/>
        <w:gridCol w:w="721"/>
        <w:gridCol w:w="828"/>
        <w:gridCol w:w="911"/>
      </w:tblGrid>
      <w:tr w:rsidR="001C7885" w:rsidRPr="00CB0F5B" w:rsidTr="002A1509">
        <w:trPr>
          <w:trHeight w:val="737"/>
          <w:jc w:val="center"/>
        </w:trPr>
        <w:tc>
          <w:tcPr>
            <w:tcW w:w="491" w:type="pct"/>
            <w:tcBorders>
              <w:top w:val="single" w:sz="8" w:space="0" w:color="D9D9D9"/>
              <w:left w:val="single" w:sz="8" w:space="0" w:color="D9D9D9"/>
              <w:bottom w:val="single" w:sz="8" w:space="0" w:color="D9D9D9"/>
              <w:right w:val="single" w:sz="8" w:space="0" w:color="D9D9D9"/>
            </w:tcBorders>
            <w:shd w:val="clear" w:color="000000" w:fill="6E9ECA"/>
            <w:vAlign w:val="center"/>
            <w:hideMark/>
          </w:tcPr>
          <w:p w:rsidR="001C7885" w:rsidRPr="00CB0F5B" w:rsidRDefault="001C7885" w:rsidP="001C7885">
            <w:pPr>
              <w:spacing w:after="0" w:line="240" w:lineRule="auto"/>
              <w:jc w:val="center"/>
              <w:rPr>
                <w:rFonts w:ascii="Calibri" w:eastAsia="Times New Roman" w:hAnsi="Calibri" w:cs="Calibri"/>
                <w:b/>
                <w:bCs/>
                <w:color w:val="FFFFFF"/>
                <w:lang w:eastAsia="tr-TR"/>
              </w:rPr>
            </w:pPr>
            <w:bookmarkStart w:id="18" w:name="_Toc416447568"/>
            <w:bookmarkStart w:id="19" w:name="_Toc442441725"/>
            <w:bookmarkStart w:id="20" w:name="_Toc505346153"/>
            <w:r w:rsidRPr="00CB0F5B">
              <w:rPr>
                <w:rFonts w:ascii="Calibri" w:eastAsia="Times New Roman" w:hAnsi="Calibri" w:cs="Calibri"/>
                <w:b/>
                <w:bCs/>
                <w:color w:val="FFFFFF"/>
                <w:lang w:eastAsia="tr-TR"/>
              </w:rPr>
              <w:t>Hizmet Biriminin Adı</w:t>
            </w:r>
          </w:p>
        </w:tc>
        <w:tc>
          <w:tcPr>
            <w:tcW w:w="363" w:type="pct"/>
            <w:tcBorders>
              <w:top w:val="single" w:sz="8" w:space="0" w:color="D9D9D9"/>
              <w:left w:val="nil"/>
              <w:right w:val="single" w:sz="8" w:space="0" w:color="D9D9D9"/>
            </w:tcBorders>
            <w:shd w:val="clear" w:color="000000" w:fill="6E9ECA"/>
            <w:vAlign w:val="center"/>
            <w:hideMark/>
          </w:tcPr>
          <w:p w:rsidR="001C7885" w:rsidRPr="00CB0F5B" w:rsidRDefault="001C7885" w:rsidP="001C7885">
            <w:pPr>
              <w:spacing w:after="0" w:line="240" w:lineRule="auto"/>
              <w:jc w:val="center"/>
              <w:rPr>
                <w:rFonts w:ascii="Calibri" w:eastAsia="Times New Roman" w:hAnsi="Calibri" w:cs="Calibri"/>
                <w:b/>
                <w:bCs/>
                <w:color w:val="FFFFFF"/>
                <w:lang w:eastAsia="tr-TR"/>
              </w:rPr>
            </w:pPr>
          </w:p>
          <w:p w:rsidR="001C7885" w:rsidRPr="00CB0F5B" w:rsidRDefault="001C7885" w:rsidP="001C7885">
            <w:pPr>
              <w:spacing w:after="0" w:line="240" w:lineRule="auto"/>
              <w:jc w:val="center"/>
              <w:rPr>
                <w:rFonts w:ascii="Calibri" w:eastAsia="Times New Roman" w:hAnsi="Calibri" w:cs="Calibri"/>
                <w:b/>
                <w:bCs/>
                <w:color w:val="FFFFFF"/>
                <w:lang w:eastAsia="tr-TR"/>
              </w:rPr>
            </w:pPr>
            <w:r w:rsidRPr="00CB0F5B">
              <w:rPr>
                <w:rFonts w:ascii="Calibri" w:eastAsia="Times New Roman" w:hAnsi="Calibri" w:cs="Calibri"/>
                <w:b/>
                <w:bCs/>
                <w:color w:val="FFFFFF"/>
                <w:lang w:eastAsia="tr-TR"/>
              </w:rPr>
              <w:t>2018</w:t>
            </w:r>
          </w:p>
          <w:p w:rsidR="001C7885" w:rsidRPr="00CB0F5B" w:rsidRDefault="001C7885" w:rsidP="001C7885">
            <w:pPr>
              <w:spacing w:after="0" w:line="240" w:lineRule="auto"/>
              <w:jc w:val="center"/>
              <w:rPr>
                <w:rFonts w:ascii="Calibri" w:eastAsia="Times New Roman" w:hAnsi="Calibri" w:cs="Calibri"/>
                <w:b/>
                <w:bCs/>
                <w:color w:val="FFFFFF"/>
                <w:lang w:eastAsia="tr-TR"/>
              </w:rPr>
            </w:pPr>
            <w:r w:rsidRPr="00CB0F5B">
              <w:rPr>
                <w:rFonts w:ascii="Calibri" w:eastAsia="Times New Roman" w:hAnsi="Calibri" w:cs="Calibri"/>
                <w:b/>
                <w:bCs/>
                <w:color w:val="FFFFFF"/>
                <w:lang w:eastAsia="tr-TR"/>
              </w:rPr>
              <w:t> </w:t>
            </w:r>
          </w:p>
        </w:tc>
        <w:tc>
          <w:tcPr>
            <w:tcW w:w="363" w:type="pct"/>
            <w:tcBorders>
              <w:top w:val="single" w:sz="8" w:space="0" w:color="D9D9D9"/>
              <w:left w:val="nil"/>
              <w:right w:val="single" w:sz="8" w:space="0" w:color="D9D9D9"/>
            </w:tcBorders>
            <w:shd w:val="clear" w:color="000000" w:fill="6E9ECA"/>
            <w:vAlign w:val="center"/>
            <w:hideMark/>
          </w:tcPr>
          <w:p w:rsidR="001C7885" w:rsidRPr="00CB0F5B" w:rsidRDefault="001C7885" w:rsidP="001C7885">
            <w:pPr>
              <w:spacing w:after="0" w:line="240" w:lineRule="auto"/>
              <w:jc w:val="center"/>
              <w:rPr>
                <w:rFonts w:ascii="Calibri" w:eastAsia="Times New Roman" w:hAnsi="Calibri" w:cs="Calibri"/>
                <w:b/>
                <w:bCs/>
                <w:color w:val="FFFFFF"/>
                <w:lang w:eastAsia="tr-TR"/>
              </w:rPr>
            </w:pPr>
          </w:p>
          <w:p w:rsidR="001C7885" w:rsidRPr="00CB0F5B" w:rsidRDefault="001C7885" w:rsidP="001C7885">
            <w:pPr>
              <w:spacing w:after="0" w:line="240" w:lineRule="auto"/>
              <w:jc w:val="center"/>
              <w:rPr>
                <w:rFonts w:ascii="Calibri" w:eastAsia="Times New Roman" w:hAnsi="Calibri" w:cs="Calibri"/>
                <w:b/>
                <w:bCs/>
                <w:color w:val="FFFFFF"/>
                <w:lang w:eastAsia="tr-TR"/>
              </w:rPr>
            </w:pPr>
            <w:r w:rsidRPr="00CB0F5B">
              <w:rPr>
                <w:rFonts w:ascii="Calibri" w:eastAsia="Times New Roman" w:hAnsi="Calibri" w:cs="Calibri"/>
                <w:b/>
                <w:bCs/>
                <w:color w:val="FFFFFF"/>
                <w:lang w:eastAsia="tr-TR"/>
              </w:rPr>
              <w:t>Pay (%)</w:t>
            </w:r>
          </w:p>
          <w:p w:rsidR="001C7885" w:rsidRPr="00CB0F5B" w:rsidRDefault="001C7885" w:rsidP="001C7885">
            <w:pPr>
              <w:spacing w:after="0" w:line="240" w:lineRule="auto"/>
              <w:jc w:val="center"/>
              <w:rPr>
                <w:rFonts w:ascii="Calibri" w:eastAsia="Times New Roman" w:hAnsi="Calibri" w:cs="Calibri"/>
                <w:b/>
                <w:bCs/>
                <w:color w:val="FFFFFF"/>
                <w:lang w:eastAsia="tr-TR"/>
              </w:rPr>
            </w:pPr>
            <w:r w:rsidRPr="00CB0F5B">
              <w:rPr>
                <w:rFonts w:ascii="Calibri" w:eastAsia="Times New Roman" w:hAnsi="Calibri" w:cs="Calibri"/>
                <w:b/>
                <w:bCs/>
                <w:color w:val="FFFFFF"/>
                <w:lang w:eastAsia="tr-TR"/>
              </w:rPr>
              <w:t> </w:t>
            </w:r>
          </w:p>
        </w:tc>
        <w:tc>
          <w:tcPr>
            <w:tcW w:w="363" w:type="pct"/>
            <w:tcBorders>
              <w:top w:val="single" w:sz="8" w:space="0" w:color="D9D9D9"/>
              <w:left w:val="nil"/>
              <w:right w:val="single" w:sz="8" w:space="0" w:color="D9D9D9"/>
            </w:tcBorders>
            <w:shd w:val="clear" w:color="000000" w:fill="6E9ECA"/>
            <w:vAlign w:val="center"/>
            <w:hideMark/>
          </w:tcPr>
          <w:p w:rsidR="001C7885" w:rsidRPr="00CB0F5B" w:rsidRDefault="001C7885" w:rsidP="001C7885">
            <w:pPr>
              <w:spacing w:after="0" w:line="240" w:lineRule="auto"/>
              <w:jc w:val="center"/>
              <w:rPr>
                <w:rFonts w:ascii="Calibri" w:eastAsia="Times New Roman" w:hAnsi="Calibri" w:cs="Calibri"/>
                <w:b/>
                <w:bCs/>
                <w:color w:val="FFFFFF"/>
                <w:lang w:eastAsia="tr-TR"/>
              </w:rPr>
            </w:pPr>
          </w:p>
          <w:p w:rsidR="001C7885" w:rsidRPr="00CB0F5B" w:rsidRDefault="001C7885" w:rsidP="001C7885">
            <w:pPr>
              <w:spacing w:after="0" w:line="240" w:lineRule="auto"/>
              <w:jc w:val="center"/>
              <w:rPr>
                <w:rFonts w:ascii="Calibri" w:eastAsia="Times New Roman" w:hAnsi="Calibri" w:cs="Calibri"/>
                <w:b/>
                <w:bCs/>
                <w:color w:val="FFFFFF"/>
                <w:lang w:eastAsia="tr-TR"/>
              </w:rPr>
            </w:pPr>
            <w:r w:rsidRPr="00CB0F5B">
              <w:rPr>
                <w:rFonts w:ascii="Calibri" w:eastAsia="Times New Roman" w:hAnsi="Calibri" w:cs="Calibri"/>
                <w:b/>
                <w:bCs/>
                <w:color w:val="FFFFFF"/>
                <w:lang w:eastAsia="tr-TR"/>
              </w:rPr>
              <w:t>2019</w:t>
            </w:r>
          </w:p>
          <w:p w:rsidR="001C7885" w:rsidRPr="00CB0F5B" w:rsidRDefault="001C7885" w:rsidP="001C7885">
            <w:pPr>
              <w:spacing w:after="0" w:line="240" w:lineRule="auto"/>
              <w:jc w:val="center"/>
              <w:rPr>
                <w:rFonts w:ascii="Calibri" w:eastAsia="Times New Roman" w:hAnsi="Calibri" w:cs="Calibri"/>
                <w:b/>
                <w:bCs/>
                <w:color w:val="FFFFFF"/>
                <w:lang w:eastAsia="tr-TR"/>
              </w:rPr>
            </w:pPr>
            <w:r w:rsidRPr="00CB0F5B">
              <w:rPr>
                <w:rFonts w:ascii="Calibri" w:eastAsia="Times New Roman" w:hAnsi="Calibri" w:cs="Calibri"/>
                <w:b/>
                <w:bCs/>
                <w:color w:val="FFFFFF"/>
                <w:lang w:eastAsia="tr-TR"/>
              </w:rPr>
              <w:t> </w:t>
            </w:r>
          </w:p>
        </w:tc>
        <w:tc>
          <w:tcPr>
            <w:tcW w:w="363" w:type="pct"/>
            <w:tcBorders>
              <w:top w:val="single" w:sz="8" w:space="0" w:color="D9D9D9"/>
              <w:left w:val="nil"/>
              <w:right w:val="single" w:sz="8" w:space="0" w:color="D9D9D9"/>
            </w:tcBorders>
            <w:shd w:val="clear" w:color="000000" w:fill="6E9ECA"/>
            <w:vAlign w:val="center"/>
            <w:hideMark/>
          </w:tcPr>
          <w:p w:rsidR="001C7885" w:rsidRPr="00CB0F5B" w:rsidRDefault="001C7885" w:rsidP="001C7885">
            <w:pPr>
              <w:spacing w:after="0" w:line="240" w:lineRule="auto"/>
              <w:jc w:val="center"/>
              <w:rPr>
                <w:rFonts w:ascii="Calibri" w:eastAsia="Times New Roman" w:hAnsi="Calibri" w:cs="Calibri"/>
                <w:b/>
                <w:bCs/>
                <w:color w:val="FFFFFF"/>
                <w:lang w:eastAsia="tr-TR"/>
              </w:rPr>
            </w:pPr>
          </w:p>
          <w:p w:rsidR="001C7885" w:rsidRPr="00CB0F5B" w:rsidRDefault="001C7885" w:rsidP="001C7885">
            <w:pPr>
              <w:spacing w:after="0" w:line="240" w:lineRule="auto"/>
              <w:jc w:val="center"/>
              <w:rPr>
                <w:rFonts w:ascii="Calibri" w:eastAsia="Times New Roman" w:hAnsi="Calibri" w:cs="Calibri"/>
                <w:b/>
                <w:bCs/>
                <w:color w:val="FFFFFF"/>
                <w:lang w:eastAsia="tr-TR"/>
              </w:rPr>
            </w:pPr>
            <w:r w:rsidRPr="00CB0F5B">
              <w:rPr>
                <w:rFonts w:ascii="Calibri" w:eastAsia="Times New Roman" w:hAnsi="Calibri" w:cs="Calibri"/>
                <w:b/>
                <w:bCs/>
                <w:color w:val="FFFFFF"/>
                <w:lang w:eastAsia="tr-TR"/>
              </w:rPr>
              <w:t>Pay (%)</w:t>
            </w:r>
          </w:p>
          <w:p w:rsidR="001C7885" w:rsidRPr="00CB0F5B" w:rsidRDefault="001C7885" w:rsidP="001C7885">
            <w:pPr>
              <w:spacing w:after="0" w:line="240" w:lineRule="auto"/>
              <w:jc w:val="center"/>
              <w:rPr>
                <w:rFonts w:ascii="Calibri" w:eastAsia="Times New Roman" w:hAnsi="Calibri" w:cs="Calibri"/>
                <w:b/>
                <w:bCs/>
                <w:color w:val="FFFFFF"/>
                <w:lang w:eastAsia="tr-TR"/>
              </w:rPr>
            </w:pPr>
            <w:r w:rsidRPr="00CB0F5B">
              <w:rPr>
                <w:rFonts w:ascii="Calibri" w:eastAsia="Times New Roman" w:hAnsi="Calibri" w:cs="Calibri"/>
                <w:b/>
                <w:bCs/>
                <w:color w:val="FFFFFF"/>
                <w:lang w:eastAsia="tr-TR"/>
              </w:rPr>
              <w:t> </w:t>
            </w:r>
          </w:p>
        </w:tc>
        <w:tc>
          <w:tcPr>
            <w:tcW w:w="363" w:type="pct"/>
            <w:tcBorders>
              <w:top w:val="single" w:sz="8" w:space="0" w:color="D9D9D9"/>
              <w:left w:val="nil"/>
              <w:right w:val="single" w:sz="8" w:space="0" w:color="D9D9D9"/>
            </w:tcBorders>
            <w:shd w:val="clear" w:color="000000" w:fill="6E9ECA"/>
            <w:noWrap/>
            <w:vAlign w:val="center"/>
            <w:hideMark/>
          </w:tcPr>
          <w:p w:rsidR="001C7885" w:rsidRPr="00CB0F5B" w:rsidRDefault="001C7885" w:rsidP="001C7885">
            <w:pPr>
              <w:spacing w:after="0" w:line="240" w:lineRule="auto"/>
              <w:jc w:val="center"/>
              <w:rPr>
                <w:rFonts w:ascii="Calibri" w:eastAsia="Times New Roman" w:hAnsi="Calibri" w:cs="Calibri"/>
                <w:b/>
                <w:bCs/>
                <w:color w:val="FFFFFF"/>
                <w:lang w:eastAsia="tr-TR"/>
              </w:rPr>
            </w:pPr>
            <w:r w:rsidRPr="00CB0F5B">
              <w:rPr>
                <w:rFonts w:ascii="Calibri" w:eastAsia="Times New Roman" w:hAnsi="Calibri" w:cs="Calibri"/>
                <w:b/>
                <w:bCs/>
                <w:color w:val="FFFFFF"/>
                <w:lang w:eastAsia="tr-TR"/>
              </w:rPr>
              <w:t>2020</w:t>
            </w:r>
          </w:p>
        </w:tc>
        <w:tc>
          <w:tcPr>
            <w:tcW w:w="363" w:type="pct"/>
            <w:tcBorders>
              <w:top w:val="single" w:sz="8" w:space="0" w:color="D9D9D9"/>
              <w:left w:val="nil"/>
              <w:right w:val="single" w:sz="8" w:space="0" w:color="D9D9D9"/>
            </w:tcBorders>
            <w:shd w:val="clear" w:color="000000" w:fill="6E9ECA"/>
            <w:vAlign w:val="center"/>
            <w:hideMark/>
          </w:tcPr>
          <w:p w:rsidR="001C7885" w:rsidRPr="00CB0F5B" w:rsidRDefault="001C7885" w:rsidP="001C7885">
            <w:pPr>
              <w:spacing w:after="0" w:line="240" w:lineRule="auto"/>
              <w:jc w:val="center"/>
              <w:rPr>
                <w:rFonts w:ascii="Calibri" w:eastAsia="Times New Roman" w:hAnsi="Calibri" w:cs="Calibri"/>
                <w:b/>
                <w:bCs/>
                <w:color w:val="FFFFFF"/>
                <w:lang w:eastAsia="tr-TR"/>
              </w:rPr>
            </w:pPr>
            <w:r w:rsidRPr="00CB0F5B">
              <w:rPr>
                <w:rFonts w:ascii="Calibri" w:eastAsia="Times New Roman" w:hAnsi="Calibri" w:cs="Calibri"/>
                <w:b/>
                <w:bCs/>
                <w:color w:val="FFFFFF"/>
                <w:lang w:eastAsia="tr-TR"/>
              </w:rPr>
              <w:t>Pay</w:t>
            </w:r>
          </w:p>
          <w:p w:rsidR="001C7885" w:rsidRPr="00CB0F5B" w:rsidRDefault="001C7885" w:rsidP="001C7885">
            <w:pPr>
              <w:spacing w:after="0" w:line="240" w:lineRule="auto"/>
              <w:jc w:val="center"/>
              <w:rPr>
                <w:rFonts w:ascii="Calibri" w:eastAsia="Times New Roman" w:hAnsi="Calibri" w:cs="Calibri"/>
                <w:b/>
                <w:bCs/>
                <w:color w:val="FFFFFF"/>
                <w:lang w:eastAsia="tr-TR"/>
              </w:rPr>
            </w:pPr>
            <w:r w:rsidRPr="00CB0F5B">
              <w:rPr>
                <w:rFonts w:ascii="Calibri" w:eastAsia="Times New Roman" w:hAnsi="Calibri" w:cs="Calibri"/>
                <w:b/>
                <w:bCs/>
                <w:color w:val="FFFFFF"/>
                <w:lang w:eastAsia="tr-TR"/>
              </w:rPr>
              <w:t>(%)</w:t>
            </w:r>
          </w:p>
        </w:tc>
        <w:tc>
          <w:tcPr>
            <w:tcW w:w="363" w:type="pct"/>
            <w:tcBorders>
              <w:top w:val="single" w:sz="8" w:space="0" w:color="D9D9D9"/>
              <w:left w:val="single" w:sz="8" w:space="0" w:color="D9D9D9"/>
              <w:bottom w:val="single" w:sz="8" w:space="0" w:color="D9D9D9"/>
              <w:right w:val="single" w:sz="8" w:space="0" w:color="D9D9D9"/>
            </w:tcBorders>
            <w:shd w:val="clear" w:color="000000" w:fill="6E9ECA"/>
            <w:noWrap/>
            <w:vAlign w:val="center"/>
            <w:hideMark/>
          </w:tcPr>
          <w:p w:rsidR="001C7885" w:rsidRPr="00CB0F5B" w:rsidRDefault="001C7885" w:rsidP="001C7885">
            <w:pPr>
              <w:spacing w:after="0" w:line="240" w:lineRule="auto"/>
              <w:jc w:val="center"/>
              <w:rPr>
                <w:rFonts w:ascii="Calibri" w:eastAsia="Times New Roman" w:hAnsi="Calibri" w:cs="Calibri"/>
                <w:b/>
                <w:bCs/>
                <w:color w:val="FFFFFF"/>
                <w:lang w:eastAsia="tr-TR"/>
              </w:rPr>
            </w:pPr>
            <w:r w:rsidRPr="00CB0F5B">
              <w:rPr>
                <w:rFonts w:ascii="Calibri" w:eastAsia="Times New Roman" w:hAnsi="Calibri" w:cs="Calibri"/>
                <w:b/>
                <w:bCs/>
                <w:color w:val="FFFFFF"/>
                <w:lang w:eastAsia="tr-TR"/>
              </w:rPr>
              <w:t>2021</w:t>
            </w:r>
          </w:p>
        </w:tc>
        <w:tc>
          <w:tcPr>
            <w:tcW w:w="363" w:type="pct"/>
            <w:tcBorders>
              <w:top w:val="single" w:sz="8" w:space="0" w:color="D9D9D9"/>
              <w:left w:val="single" w:sz="8" w:space="0" w:color="D9D9D9"/>
              <w:bottom w:val="single" w:sz="8" w:space="0" w:color="D9D9D9"/>
              <w:right w:val="single" w:sz="8" w:space="0" w:color="D9D9D9"/>
            </w:tcBorders>
            <w:shd w:val="clear" w:color="000000" w:fill="6E9ECA"/>
            <w:vAlign w:val="center"/>
            <w:hideMark/>
          </w:tcPr>
          <w:p w:rsidR="001C7885" w:rsidRPr="00CB0F5B" w:rsidRDefault="001C7885" w:rsidP="001C7885">
            <w:pPr>
              <w:spacing w:after="0" w:line="240" w:lineRule="auto"/>
              <w:jc w:val="center"/>
              <w:rPr>
                <w:rFonts w:ascii="Calibri" w:eastAsia="Times New Roman" w:hAnsi="Calibri" w:cs="Calibri"/>
                <w:b/>
                <w:bCs/>
                <w:color w:val="FFFFFF"/>
                <w:lang w:eastAsia="tr-TR"/>
              </w:rPr>
            </w:pPr>
            <w:r w:rsidRPr="00CB0F5B">
              <w:rPr>
                <w:rFonts w:ascii="Calibri" w:eastAsia="Times New Roman" w:hAnsi="Calibri" w:cs="Calibri"/>
                <w:b/>
                <w:bCs/>
                <w:color w:val="FFFFFF"/>
                <w:lang w:eastAsia="tr-TR"/>
              </w:rPr>
              <w:t>Pay (%)</w:t>
            </w:r>
          </w:p>
        </w:tc>
        <w:tc>
          <w:tcPr>
            <w:tcW w:w="363" w:type="pct"/>
            <w:tcBorders>
              <w:top w:val="single" w:sz="8" w:space="0" w:color="D9D9D9"/>
              <w:left w:val="single" w:sz="8" w:space="0" w:color="D9D9D9"/>
              <w:bottom w:val="single" w:sz="8" w:space="0" w:color="D9D9D9"/>
              <w:right w:val="single" w:sz="8" w:space="0" w:color="D9D9D9"/>
            </w:tcBorders>
            <w:shd w:val="clear" w:color="000000" w:fill="6E9ECA"/>
            <w:noWrap/>
            <w:vAlign w:val="center"/>
            <w:hideMark/>
          </w:tcPr>
          <w:p w:rsidR="001C7885" w:rsidRPr="00CB0F5B" w:rsidRDefault="001C7885" w:rsidP="001C7885">
            <w:pPr>
              <w:spacing w:after="0" w:line="240" w:lineRule="auto"/>
              <w:jc w:val="center"/>
              <w:rPr>
                <w:rFonts w:ascii="Calibri" w:eastAsia="Times New Roman" w:hAnsi="Calibri" w:cs="Calibri"/>
                <w:b/>
                <w:bCs/>
                <w:color w:val="FFFFFF"/>
                <w:lang w:eastAsia="tr-TR"/>
              </w:rPr>
            </w:pPr>
            <w:r w:rsidRPr="00CB0F5B">
              <w:rPr>
                <w:rFonts w:ascii="Calibri" w:eastAsia="Times New Roman" w:hAnsi="Calibri" w:cs="Calibri"/>
                <w:b/>
                <w:bCs/>
                <w:color w:val="FFFFFF"/>
                <w:lang w:eastAsia="tr-TR"/>
              </w:rPr>
              <w:t>202</w:t>
            </w:r>
            <w:r w:rsidR="00C84B12">
              <w:rPr>
                <w:rFonts w:ascii="Calibri" w:eastAsia="Times New Roman" w:hAnsi="Calibri" w:cs="Calibri"/>
                <w:b/>
                <w:bCs/>
                <w:color w:val="FFFFFF"/>
                <w:lang w:eastAsia="tr-TR"/>
              </w:rPr>
              <w:t>2</w:t>
            </w:r>
          </w:p>
        </w:tc>
        <w:tc>
          <w:tcPr>
            <w:tcW w:w="364" w:type="pct"/>
            <w:tcBorders>
              <w:top w:val="single" w:sz="8" w:space="0" w:color="D9D9D9"/>
              <w:left w:val="single" w:sz="8" w:space="0" w:color="D9D9D9"/>
              <w:bottom w:val="single" w:sz="8" w:space="0" w:color="D9D9D9"/>
              <w:right w:val="single" w:sz="8" w:space="0" w:color="D9D9D9"/>
            </w:tcBorders>
            <w:shd w:val="clear" w:color="000000" w:fill="6E9ECA"/>
            <w:vAlign w:val="center"/>
            <w:hideMark/>
          </w:tcPr>
          <w:p w:rsidR="001C7885" w:rsidRPr="00CB0F5B" w:rsidRDefault="001C7885" w:rsidP="001C7885">
            <w:pPr>
              <w:spacing w:after="0" w:line="240" w:lineRule="auto"/>
              <w:jc w:val="center"/>
              <w:rPr>
                <w:rFonts w:ascii="Calibri" w:eastAsia="Times New Roman" w:hAnsi="Calibri" w:cs="Calibri"/>
                <w:b/>
                <w:bCs/>
                <w:color w:val="FFFFFF"/>
                <w:lang w:eastAsia="tr-TR"/>
              </w:rPr>
            </w:pPr>
            <w:r w:rsidRPr="00CB0F5B">
              <w:rPr>
                <w:rFonts w:ascii="Calibri" w:eastAsia="Times New Roman" w:hAnsi="Calibri" w:cs="Calibri"/>
                <w:b/>
                <w:bCs/>
                <w:color w:val="FFFFFF"/>
                <w:lang w:eastAsia="tr-TR"/>
              </w:rPr>
              <w:t>Pay (%)</w:t>
            </w:r>
          </w:p>
        </w:tc>
        <w:tc>
          <w:tcPr>
            <w:tcW w:w="418" w:type="pct"/>
            <w:tcBorders>
              <w:top w:val="single" w:sz="8" w:space="0" w:color="D9D9D9"/>
              <w:left w:val="single" w:sz="8" w:space="0" w:color="D9D9D9"/>
              <w:bottom w:val="single" w:sz="8" w:space="0" w:color="D9D9D9"/>
              <w:right w:val="single" w:sz="8" w:space="0" w:color="D9D9D9"/>
            </w:tcBorders>
            <w:shd w:val="clear" w:color="000000" w:fill="6E9ECA"/>
            <w:vAlign w:val="center"/>
            <w:hideMark/>
          </w:tcPr>
          <w:p w:rsidR="001C7885" w:rsidRPr="00CB0F5B" w:rsidRDefault="001C7885" w:rsidP="001C7885">
            <w:pPr>
              <w:spacing w:after="0" w:line="240" w:lineRule="auto"/>
              <w:jc w:val="center"/>
              <w:rPr>
                <w:rFonts w:ascii="Calibri" w:eastAsia="Times New Roman" w:hAnsi="Calibri" w:cs="Calibri"/>
                <w:b/>
                <w:bCs/>
                <w:color w:val="FFFFFF"/>
                <w:lang w:eastAsia="tr-TR"/>
              </w:rPr>
            </w:pPr>
            <w:r w:rsidRPr="00CB0F5B">
              <w:rPr>
                <w:rFonts w:ascii="Calibri" w:eastAsia="Times New Roman" w:hAnsi="Calibri" w:cs="Calibri"/>
                <w:b/>
                <w:bCs/>
                <w:color w:val="FFFFFF"/>
                <w:lang w:eastAsia="tr-TR"/>
              </w:rPr>
              <w:t>Toplam</w:t>
            </w:r>
          </w:p>
        </w:tc>
        <w:tc>
          <w:tcPr>
            <w:tcW w:w="460" w:type="pct"/>
            <w:tcBorders>
              <w:top w:val="single" w:sz="8" w:space="0" w:color="D9D9D9"/>
              <w:left w:val="single" w:sz="8" w:space="0" w:color="D9D9D9"/>
              <w:bottom w:val="single" w:sz="8" w:space="0" w:color="D9D9D9"/>
              <w:right w:val="single" w:sz="8" w:space="0" w:color="D9D9D9"/>
            </w:tcBorders>
            <w:shd w:val="clear" w:color="000000" w:fill="6E9ECA"/>
            <w:vAlign w:val="center"/>
            <w:hideMark/>
          </w:tcPr>
          <w:p w:rsidR="001C7885" w:rsidRPr="00CB0F5B" w:rsidRDefault="001C7885" w:rsidP="001C7885">
            <w:pPr>
              <w:spacing w:after="0" w:line="240" w:lineRule="auto"/>
              <w:jc w:val="center"/>
              <w:rPr>
                <w:rFonts w:ascii="Calibri" w:eastAsia="Times New Roman" w:hAnsi="Calibri" w:cs="Calibri"/>
                <w:b/>
                <w:bCs/>
                <w:color w:val="FFFFFF"/>
                <w:lang w:eastAsia="tr-TR"/>
              </w:rPr>
            </w:pPr>
            <w:r w:rsidRPr="00CB0F5B">
              <w:rPr>
                <w:rFonts w:ascii="Calibri" w:eastAsia="Times New Roman" w:hAnsi="Calibri" w:cs="Calibri"/>
                <w:b/>
                <w:bCs/>
                <w:color w:val="FFFFFF"/>
                <w:lang w:eastAsia="tr-TR"/>
              </w:rPr>
              <w:t>Pay</w:t>
            </w:r>
          </w:p>
          <w:p w:rsidR="001C7885" w:rsidRPr="00CB0F5B" w:rsidRDefault="001C7885" w:rsidP="001C7885">
            <w:pPr>
              <w:spacing w:after="0" w:line="240" w:lineRule="auto"/>
              <w:jc w:val="center"/>
              <w:rPr>
                <w:rFonts w:ascii="Calibri" w:eastAsia="Times New Roman" w:hAnsi="Calibri" w:cs="Calibri"/>
                <w:b/>
                <w:bCs/>
                <w:color w:val="FFFFFF"/>
                <w:lang w:eastAsia="tr-TR"/>
              </w:rPr>
            </w:pPr>
            <w:r w:rsidRPr="00CB0F5B">
              <w:rPr>
                <w:rFonts w:ascii="Calibri" w:eastAsia="Times New Roman" w:hAnsi="Calibri" w:cs="Calibri"/>
                <w:b/>
                <w:bCs/>
                <w:color w:val="FFFFFF"/>
                <w:lang w:eastAsia="tr-TR"/>
              </w:rPr>
              <w:t>(%)</w:t>
            </w:r>
          </w:p>
        </w:tc>
      </w:tr>
      <w:tr w:rsidR="001F39FB" w:rsidRPr="00CB0F5B" w:rsidTr="008F2A61">
        <w:trPr>
          <w:trHeight w:val="20"/>
          <w:jc w:val="center"/>
        </w:trPr>
        <w:tc>
          <w:tcPr>
            <w:tcW w:w="491" w:type="pct"/>
            <w:tcBorders>
              <w:top w:val="nil"/>
              <w:left w:val="single" w:sz="8" w:space="0" w:color="D9D9D9"/>
              <w:bottom w:val="single" w:sz="8" w:space="0" w:color="D9D9D9"/>
              <w:right w:val="single" w:sz="8" w:space="0" w:color="D9D9D9"/>
            </w:tcBorders>
            <w:shd w:val="clear" w:color="auto" w:fill="auto"/>
            <w:vAlign w:val="center"/>
            <w:hideMark/>
          </w:tcPr>
          <w:p w:rsidR="001F39FB" w:rsidRPr="00CB0F5B" w:rsidRDefault="001F39FB" w:rsidP="001F39FB">
            <w:pPr>
              <w:spacing w:after="0" w:line="240" w:lineRule="auto"/>
              <w:rPr>
                <w:rFonts w:ascii="Calibri" w:eastAsia="Times New Roman" w:hAnsi="Calibri" w:cs="Calibri"/>
                <w:color w:val="000000"/>
                <w:lang w:eastAsia="tr-TR"/>
              </w:rPr>
            </w:pPr>
            <w:r w:rsidRPr="00CB0F5B">
              <w:rPr>
                <w:rFonts w:ascii="Calibri" w:hAnsi="Calibri" w:cs="Calibri"/>
                <w:color w:val="000000"/>
              </w:rPr>
              <w:t>KDB</w:t>
            </w:r>
          </w:p>
        </w:tc>
        <w:tc>
          <w:tcPr>
            <w:tcW w:w="363" w:type="pct"/>
            <w:tcBorders>
              <w:top w:val="nil"/>
              <w:left w:val="nil"/>
              <w:bottom w:val="single" w:sz="8" w:space="0" w:color="D9D9D9"/>
              <w:right w:val="single" w:sz="8" w:space="0" w:color="D9D9D9"/>
            </w:tcBorders>
            <w:shd w:val="clear" w:color="auto" w:fill="auto"/>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2.100</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25,10</w:t>
            </w:r>
          </w:p>
        </w:tc>
        <w:tc>
          <w:tcPr>
            <w:tcW w:w="363" w:type="pct"/>
            <w:tcBorders>
              <w:top w:val="nil"/>
              <w:left w:val="nil"/>
              <w:bottom w:val="single" w:sz="8" w:space="0" w:color="D9D9D9"/>
              <w:right w:val="single" w:sz="8" w:space="0" w:color="D9D9D9"/>
            </w:tcBorders>
            <w:shd w:val="clear" w:color="auto" w:fill="auto"/>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3.996</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42,52</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4.986</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51,85</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284</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5,45</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B60B1C">
              <w:rPr>
                <w:rFonts w:ascii="Calibri" w:eastAsia="Times New Roman" w:hAnsi="Calibri" w:cs="Calibri"/>
                <w:color w:val="000000"/>
                <w:lang w:eastAsia="tr-TR"/>
              </w:rPr>
              <w:t>442</w:t>
            </w:r>
          </w:p>
        </w:tc>
        <w:tc>
          <w:tcPr>
            <w:tcW w:w="364" w:type="pct"/>
            <w:tcBorders>
              <w:top w:val="nil"/>
              <w:left w:val="nil"/>
              <w:bottom w:val="single" w:sz="8" w:space="0" w:color="D9D9D9"/>
              <w:right w:val="single" w:sz="8" w:space="0" w:color="D9D9D9"/>
            </w:tcBorders>
            <w:shd w:val="clear" w:color="auto" w:fill="auto"/>
            <w:noWrap/>
            <w:vAlign w:val="bottom"/>
          </w:tcPr>
          <w:p w:rsidR="001F39FB" w:rsidRPr="00CB0F5B" w:rsidRDefault="001F39FB" w:rsidP="001F39FB">
            <w:pPr>
              <w:spacing w:after="0" w:line="240" w:lineRule="auto"/>
              <w:jc w:val="right"/>
              <w:rPr>
                <w:rFonts w:ascii="Calibri" w:eastAsia="Times New Roman" w:hAnsi="Calibri" w:cs="Calibri"/>
                <w:color w:val="000000"/>
                <w:lang w:eastAsia="tr-TR"/>
              </w:rPr>
            </w:pPr>
            <w:r>
              <w:rPr>
                <w:rFonts w:ascii="Arial TUR" w:hAnsi="Arial TUR" w:cs="Arial TUR"/>
                <w:sz w:val="20"/>
                <w:szCs w:val="20"/>
              </w:rPr>
              <w:t>9,60</w:t>
            </w:r>
          </w:p>
        </w:tc>
        <w:tc>
          <w:tcPr>
            <w:tcW w:w="418" w:type="pct"/>
            <w:tcBorders>
              <w:top w:val="nil"/>
              <w:left w:val="nil"/>
              <w:bottom w:val="single" w:sz="8" w:space="0" w:color="D9D9D9"/>
              <w:right w:val="single" w:sz="8" w:space="0" w:color="D9D9D9"/>
            </w:tcBorders>
            <w:shd w:val="clear" w:color="auto" w:fill="auto"/>
            <w:vAlign w:val="center"/>
          </w:tcPr>
          <w:p w:rsidR="001F39FB" w:rsidRPr="00CB0F5B" w:rsidRDefault="001F39FB" w:rsidP="001F39FB">
            <w:pPr>
              <w:spacing w:after="0" w:line="240" w:lineRule="auto"/>
              <w:jc w:val="right"/>
              <w:rPr>
                <w:rFonts w:ascii="Calibri" w:eastAsia="Times New Roman" w:hAnsi="Calibri" w:cs="Calibri"/>
                <w:b/>
                <w:bCs/>
                <w:color w:val="000000"/>
                <w:lang w:eastAsia="tr-TR"/>
              </w:rPr>
            </w:pPr>
            <w:r>
              <w:rPr>
                <w:rFonts w:ascii="Calibri" w:hAnsi="Calibri" w:cs="Calibri"/>
                <w:b/>
                <w:bCs/>
                <w:color w:val="000000"/>
              </w:rPr>
              <w:t>11.808</w:t>
            </w:r>
          </w:p>
        </w:tc>
        <w:tc>
          <w:tcPr>
            <w:tcW w:w="460" w:type="pct"/>
            <w:tcBorders>
              <w:top w:val="nil"/>
              <w:left w:val="nil"/>
              <w:bottom w:val="single" w:sz="8" w:space="0" w:color="D9D9D9"/>
              <w:right w:val="single" w:sz="8" w:space="0" w:color="D9D9D9"/>
            </w:tcBorders>
            <w:shd w:val="clear" w:color="auto" w:fill="auto"/>
          </w:tcPr>
          <w:p w:rsidR="001F39FB" w:rsidRPr="001F39FB" w:rsidRDefault="001F39FB" w:rsidP="001F39FB">
            <w:pPr>
              <w:spacing w:after="0" w:line="240" w:lineRule="auto"/>
              <w:jc w:val="right"/>
              <w:rPr>
                <w:rFonts w:ascii="Calibri" w:eastAsia="Times New Roman" w:hAnsi="Calibri" w:cs="Calibri"/>
                <w:b/>
                <w:bCs/>
                <w:color w:val="000000"/>
                <w:lang w:eastAsia="tr-TR"/>
              </w:rPr>
            </w:pPr>
            <w:r w:rsidRPr="001F39FB">
              <w:rPr>
                <w:b/>
              </w:rPr>
              <w:t>31,75</w:t>
            </w:r>
          </w:p>
        </w:tc>
      </w:tr>
      <w:tr w:rsidR="001F39FB" w:rsidRPr="00CB0F5B" w:rsidTr="008F2A61">
        <w:trPr>
          <w:trHeight w:val="20"/>
          <w:jc w:val="center"/>
        </w:trPr>
        <w:tc>
          <w:tcPr>
            <w:tcW w:w="491" w:type="pct"/>
            <w:tcBorders>
              <w:top w:val="nil"/>
              <w:left w:val="single" w:sz="8" w:space="0" w:color="D9D9D9"/>
              <w:bottom w:val="single" w:sz="8" w:space="0" w:color="D9D9D9"/>
              <w:right w:val="single" w:sz="8" w:space="0" w:color="D9D9D9"/>
            </w:tcBorders>
            <w:shd w:val="clear" w:color="auto" w:fill="auto"/>
            <w:vAlign w:val="center"/>
            <w:hideMark/>
          </w:tcPr>
          <w:p w:rsidR="001F39FB" w:rsidRPr="00CB0F5B" w:rsidRDefault="001F39FB" w:rsidP="001F39FB">
            <w:pPr>
              <w:spacing w:after="0" w:line="240" w:lineRule="auto"/>
              <w:rPr>
                <w:rFonts w:ascii="Calibri" w:eastAsia="Times New Roman" w:hAnsi="Calibri" w:cs="Calibri"/>
                <w:color w:val="000000"/>
                <w:lang w:eastAsia="tr-TR"/>
              </w:rPr>
            </w:pPr>
            <w:r w:rsidRPr="00CB0F5B">
              <w:rPr>
                <w:rFonts w:ascii="Calibri" w:hAnsi="Calibri" w:cs="Calibri"/>
                <w:color w:val="000000"/>
              </w:rPr>
              <w:t>DDB</w:t>
            </w:r>
          </w:p>
        </w:tc>
        <w:tc>
          <w:tcPr>
            <w:tcW w:w="363" w:type="pct"/>
            <w:tcBorders>
              <w:top w:val="nil"/>
              <w:left w:val="nil"/>
              <w:bottom w:val="single" w:sz="8" w:space="0" w:color="D9D9D9"/>
              <w:right w:val="single" w:sz="8" w:space="0" w:color="D9D9D9"/>
            </w:tcBorders>
            <w:shd w:val="clear" w:color="auto" w:fill="auto"/>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3.044</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36,39</w:t>
            </w:r>
          </w:p>
        </w:tc>
        <w:tc>
          <w:tcPr>
            <w:tcW w:w="363" w:type="pct"/>
            <w:tcBorders>
              <w:top w:val="nil"/>
              <w:left w:val="nil"/>
              <w:bottom w:val="single" w:sz="8" w:space="0" w:color="D9D9D9"/>
              <w:right w:val="single" w:sz="8" w:space="0" w:color="D9D9D9"/>
            </w:tcBorders>
            <w:shd w:val="clear" w:color="auto" w:fill="auto"/>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2.125</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22,61</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1.748</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18,18</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1.967</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37,74</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2D4D82">
              <w:rPr>
                <w:rFonts w:ascii="Calibri" w:eastAsia="Times New Roman" w:hAnsi="Calibri" w:cs="Calibri"/>
                <w:color w:val="000000"/>
                <w:lang w:eastAsia="tr-TR"/>
              </w:rPr>
              <w:t>1</w:t>
            </w:r>
            <w:r>
              <w:rPr>
                <w:rFonts w:ascii="Calibri" w:eastAsia="Times New Roman" w:hAnsi="Calibri" w:cs="Calibri"/>
                <w:color w:val="000000"/>
                <w:lang w:eastAsia="tr-TR"/>
              </w:rPr>
              <w:t>.</w:t>
            </w:r>
            <w:r w:rsidRPr="002D4D82">
              <w:rPr>
                <w:rFonts w:ascii="Calibri" w:eastAsia="Times New Roman" w:hAnsi="Calibri" w:cs="Calibri"/>
                <w:color w:val="000000"/>
                <w:lang w:eastAsia="tr-TR"/>
              </w:rPr>
              <w:t>093</w:t>
            </w:r>
          </w:p>
        </w:tc>
        <w:tc>
          <w:tcPr>
            <w:tcW w:w="364" w:type="pct"/>
            <w:tcBorders>
              <w:top w:val="nil"/>
              <w:left w:val="nil"/>
              <w:bottom w:val="single" w:sz="8" w:space="0" w:color="D9D9D9"/>
              <w:right w:val="single" w:sz="8" w:space="0" w:color="D9D9D9"/>
            </w:tcBorders>
            <w:shd w:val="clear" w:color="auto" w:fill="auto"/>
            <w:noWrap/>
            <w:vAlign w:val="bottom"/>
          </w:tcPr>
          <w:p w:rsidR="001F39FB" w:rsidRPr="00CB0F5B" w:rsidRDefault="001F39FB" w:rsidP="001F39FB">
            <w:pPr>
              <w:spacing w:after="0" w:line="240" w:lineRule="auto"/>
              <w:jc w:val="right"/>
              <w:rPr>
                <w:rFonts w:ascii="Calibri" w:eastAsia="Times New Roman" w:hAnsi="Calibri" w:cs="Calibri"/>
                <w:color w:val="000000"/>
                <w:lang w:eastAsia="tr-TR"/>
              </w:rPr>
            </w:pPr>
            <w:r>
              <w:rPr>
                <w:rFonts w:ascii="Arial TUR" w:hAnsi="Arial TUR" w:cs="Arial TUR"/>
                <w:sz w:val="20"/>
                <w:szCs w:val="20"/>
              </w:rPr>
              <w:t>23,75</w:t>
            </w:r>
          </w:p>
        </w:tc>
        <w:tc>
          <w:tcPr>
            <w:tcW w:w="418" w:type="pct"/>
            <w:tcBorders>
              <w:top w:val="nil"/>
              <w:left w:val="nil"/>
              <w:bottom w:val="single" w:sz="8" w:space="0" w:color="D9D9D9"/>
              <w:right w:val="single" w:sz="8" w:space="0" w:color="D9D9D9"/>
            </w:tcBorders>
            <w:shd w:val="clear" w:color="auto" w:fill="auto"/>
            <w:vAlign w:val="center"/>
          </w:tcPr>
          <w:p w:rsidR="001F39FB" w:rsidRPr="00CB0F5B" w:rsidRDefault="001F39FB" w:rsidP="001F39FB">
            <w:pPr>
              <w:spacing w:after="0" w:line="240" w:lineRule="auto"/>
              <w:jc w:val="right"/>
              <w:rPr>
                <w:rFonts w:ascii="Calibri" w:eastAsia="Times New Roman" w:hAnsi="Calibri" w:cs="Calibri"/>
                <w:b/>
                <w:bCs/>
                <w:color w:val="000000"/>
                <w:lang w:eastAsia="tr-TR"/>
              </w:rPr>
            </w:pPr>
            <w:r>
              <w:rPr>
                <w:rFonts w:ascii="Calibri" w:hAnsi="Calibri" w:cs="Calibri"/>
                <w:b/>
                <w:bCs/>
                <w:color w:val="000000"/>
              </w:rPr>
              <w:t>9.977</w:t>
            </w:r>
          </w:p>
        </w:tc>
        <w:tc>
          <w:tcPr>
            <w:tcW w:w="460" w:type="pct"/>
            <w:tcBorders>
              <w:top w:val="nil"/>
              <w:left w:val="nil"/>
              <w:bottom w:val="single" w:sz="8" w:space="0" w:color="D9D9D9"/>
              <w:right w:val="single" w:sz="8" w:space="0" w:color="D9D9D9"/>
            </w:tcBorders>
            <w:shd w:val="clear" w:color="auto" w:fill="auto"/>
          </w:tcPr>
          <w:p w:rsidR="001F39FB" w:rsidRPr="001F39FB" w:rsidRDefault="001F39FB" w:rsidP="001F39FB">
            <w:pPr>
              <w:spacing w:after="0" w:line="240" w:lineRule="auto"/>
              <w:jc w:val="right"/>
              <w:rPr>
                <w:rFonts w:ascii="Calibri" w:eastAsia="Times New Roman" w:hAnsi="Calibri" w:cs="Calibri"/>
                <w:b/>
                <w:bCs/>
                <w:color w:val="000000"/>
                <w:lang w:eastAsia="tr-TR"/>
              </w:rPr>
            </w:pPr>
            <w:r w:rsidRPr="001F39FB">
              <w:rPr>
                <w:b/>
              </w:rPr>
              <w:t>26,82</w:t>
            </w:r>
          </w:p>
        </w:tc>
      </w:tr>
      <w:tr w:rsidR="001F39FB" w:rsidRPr="00CB0F5B" w:rsidTr="008F2A61">
        <w:trPr>
          <w:trHeight w:val="20"/>
          <w:jc w:val="center"/>
        </w:trPr>
        <w:tc>
          <w:tcPr>
            <w:tcW w:w="491" w:type="pct"/>
            <w:tcBorders>
              <w:top w:val="nil"/>
              <w:left w:val="single" w:sz="8" w:space="0" w:color="D9D9D9"/>
              <w:bottom w:val="single" w:sz="8" w:space="0" w:color="D9D9D9"/>
              <w:right w:val="single" w:sz="8" w:space="0" w:color="D9D9D9"/>
            </w:tcBorders>
            <w:shd w:val="clear" w:color="auto" w:fill="auto"/>
            <w:vAlign w:val="center"/>
            <w:hideMark/>
          </w:tcPr>
          <w:p w:rsidR="001F39FB" w:rsidRPr="00CB0F5B" w:rsidRDefault="001F39FB" w:rsidP="001F39FB">
            <w:pPr>
              <w:spacing w:after="0" w:line="240" w:lineRule="auto"/>
              <w:rPr>
                <w:rFonts w:ascii="Calibri" w:eastAsia="Times New Roman" w:hAnsi="Calibri" w:cs="Calibri"/>
                <w:color w:val="000000"/>
                <w:lang w:eastAsia="tr-TR"/>
              </w:rPr>
            </w:pPr>
            <w:r w:rsidRPr="00CB0F5B">
              <w:rPr>
                <w:rFonts w:ascii="Calibri" w:hAnsi="Calibri" w:cs="Calibri"/>
                <w:color w:val="000000"/>
              </w:rPr>
              <w:t>EPD</w:t>
            </w:r>
          </w:p>
        </w:tc>
        <w:tc>
          <w:tcPr>
            <w:tcW w:w="363" w:type="pct"/>
            <w:tcBorders>
              <w:top w:val="nil"/>
              <w:left w:val="nil"/>
              <w:bottom w:val="single" w:sz="8" w:space="0" w:color="D9D9D9"/>
              <w:right w:val="single" w:sz="8" w:space="0" w:color="D9D9D9"/>
            </w:tcBorders>
            <w:shd w:val="clear" w:color="auto" w:fill="auto"/>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2.049</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24,49</w:t>
            </w:r>
          </w:p>
        </w:tc>
        <w:tc>
          <w:tcPr>
            <w:tcW w:w="363" w:type="pct"/>
            <w:tcBorders>
              <w:top w:val="nil"/>
              <w:left w:val="nil"/>
              <w:bottom w:val="single" w:sz="8" w:space="0" w:color="D9D9D9"/>
              <w:right w:val="single" w:sz="8" w:space="0" w:color="D9D9D9"/>
            </w:tcBorders>
            <w:shd w:val="clear" w:color="auto" w:fill="auto"/>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2.211</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23,53</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1.723</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17,9</w:t>
            </w:r>
            <w:r>
              <w:rPr>
                <w:rFonts w:ascii="Calibri" w:hAnsi="Calibri" w:cs="Calibri"/>
                <w:color w:val="000000"/>
              </w:rPr>
              <w:t>1</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1.959</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37,59</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B60B1C">
              <w:rPr>
                <w:rFonts w:ascii="Calibri" w:eastAsia="Times New Roman" w:hAnsi="Calibri" w:cs="Calibri"/>
                <w:color w:val="000000"/>
                <w:lang w:eastAsia="tr-TR"/>
              </w:rPr>
              <w:t>1</w:t>
            </w:r>
            <w:r>
              <w:rPr>
                <w:rFonts w:ascii="Calibri" w:eastAsia="Times New Roman" w:hAnsi="Calibri" w:cs="Calibri"/>
                <w:color w:val="000000"/>
                <w:lang w:eastAsia="tr-TR"/>
              </w:rPr>
              <w:t>.</w:t>
            </w:r>
            <w:r w:rsidRPr="00B60B1C">
              <w:rPr>
                <w:rFonts w:ascii="Calibri" w:eastAsia="Times New Roman" w:hAnsi="Calibri" w:cs="Calibri"/>
                <w:color w:val="000000"/>
                <w:lang w:eastAsia="tr-TR"/>
              </w:rPr>
              <w:t>94</w:t>
            </w:r>
            <w:r>
              <w:rPr>
                <w:rFonts w:ascii="Calibri" w:eastAsia="Times New Roman" w:hAnsi="Calibri" w:cs="Calibri"/>
                <w:color w:val="000000"/>
                <w:lang w:eastAsia="tr-TR"/>
              </w:rPr>
              <w:t>2</w:t>
            </w:r>
          </w:p>
        </w:tc>
        <w:tc>
          <w:tcPr>
            <w:tcW w:w="364" w:type="pct"/>
            <w:tcBorders>
              <w:top w:val="nil"/>
              <w:left w:val="nil"/>
              <w:bottom w:val="single" w:sz="8" w:space="0" w:color="D9D9D9"/>
              <w:right w:val="single" w:sz="8" w:space="0" w:color="D9D9D9"/>
            </w:tcBorders>
            <w:shd w:val="clear" w:color="auto" w:fill="auto"/>
            <w:noWrap/>
            <w:vAlign w:val="bottom"/>
          </w:tcPr>
          <w:p w:rsidR="001F39FB" w:rsidRPr="00CB0F5B" w:rsidRDefault="001F39FB" w:rsidP="001F39FB">
            <w:pPr>
              <w:spacing w:after="0" w:line="240" w:lineRule="auto"/>
              <w:jc w:val="right"/>
              <w:rPr>
                <w:rFonts w:ascii="Calibri" w:eastAsia="Times New Roman" w:hAnsi="Calibri" w:cs="Calibri"/>
                <w:color w:val="000000"/>
                <w:lang w:eastAsia="tr-TR"/>
              </w:rPr>
            </w:pPr>
            <w:r>
              <w:rPr>
                <w:rFonts w:ascii="Arial TUR" w:hAnsi="Arial TUR" w:cs="Arial TUR"/>
                <w:sz w:val="20"/>
                <w:szCs w:val="20"/>
              </w:rPr>
              <w:t>42,20</w:t>
            </w:r>
          </w:p>
        </w:tc>
        <w:tc>
          <w:tcPr>
            <w:tcW w:w="418" w:type="pct"/>
            <w:tcBorders>
              <w:top w:val="nil"/>
              <w:left w:val="nil"/>
              <w:bottom w:val="single" w:sz="8" w:space="0" w:color="D9D9D9"/>
              <w:right w:val="single" w:sz="8" w:space="0" w:color="D9D9D9"/>
            </w:tcBorders>
            <w:shd w:val="clear" w:color="auto" w:fill="auto"/>
            <w:vAlign w:val="center"/>
          </w:tcPr>
          <w:p w:rsidR="001F39FB" w:rsidRPr="00CB0F5B" w:rsidRDefault="001F39FB" w:rsidP="001F39FB">
            <w:pPr>
              <w:spacing w:after="0" w:line="240" w:lineRule="auto"/>
              <w:jc w:val="right"/>
              <w:rPr>
                <w:rFonts w:ascii="Calibri" w:eastAsia="Times New Roman" w:hAnsi="Calibri" w:cs="Calibri"/>
                <w:b/>
                <w:bCs/>
                <w:color w:val="000000"/>
                <w:lang w:eastAsia="tr-TR"/>
              </w:rPr>
            </w:pPr>
            <w:r w:rsidRPr="00CB0F5B">
              <w:rPr>
                <w:rFonts w:ascii="Calibri" w:hAnsi="Calibri" w:cs="Calibri"/>
                <w:b/>
                <w:bCs/>
                <w:color w:val="000000"/>
              </w:rPr>
              <w:t>9.8</w:t>
            </w:r>
            <w:r>
              <w:rPr>
                <w:rFonts w:ascii="Calibri" w:hAnsi="Calibri" w:cs="Calibri"/>
                <w:b/>
                <w:bCs/>
                <w:color w:val="000000"/>
              </w:rPr>
              <w:t>84</w:t>
            </w:r>
          </w:p>
        </w:tc>
        <w:tc>
          <w:tcPr>
            <w:tcW w:w="460" w:type="pct"/>
            <w:tcBorders>
              <w:top w:val="nil"/>
              <w:left w:val="nil"/>
              <w:bottom w:val="single" w:sz="8" w:space="0" w:color="D9D9D9"/>
              <w:right w:val="single" w:sz="8" w:space="0" w:color="D9D9D9"/>
            </w:tcBorders>
            <w:shd w:val="clear" w:color="auto" w:fill="auto"/>
          </w:tcPr>
          <w:p w:rsidR="001F39FB" w:rsidRPr="001F39FB" w:rsidRDefault="001F39FB" w:rsidP="001F39FB">
            <w:pPr>
              <w:spacing w:after="0" w:line="240" w:lineRule="auto"/>
              <w:jc w:val="right"/>
              <w:rPr>
                <w:rFonts w:ascii="Calibri" w:eastAsia="Times New Roman" w:hAnsi="Calibri" w:cs="Calibri"/>
                <w:b/>
                <w:bCs/>
                <w:color w:val="000000"/>
                <w:lang w:eastAsia="tr-TR"/>
              </w:rPr>
            </w:pPr>
            <w:r w:rsidRPr="001F39FB">
              <w:rPr>
                <w:b/>
              </w:rPr>
              <w:t>26,57</w:t>
            </w:r>
          </w:p>
        </w:tc>
      </w:tr>
      <w:tr w:rsidR="001F39FB" w:rsidRPr="00CB0F5B" w:rsidTr="008F2A61">
        <w:trPr>
          <w:trHeight w:val="20"/>
          <w:jc w:val="center"/>
        </w:trPr>
        <w:tc>
          <w:tcPr>
            <w:tcW w:w="491" w:type="pct"/>
            <w:tcBorders>
              <w:top w:val="nil"/>
              <w:left w:val="single" w:sz="8" w:space="0" w:color="D9D9D9"/>
              <w:bottom w:val="single" w:sz="8" w:space="0" w:color="D9D9D9"/>
              <w:right w:val="single" w:sz="8" w:space="0" w:color="D9D9D9"/>
            </w:tcBorders>
            <w:shd w:val="clear" w:color="auto" w:fill="auto"/>
            <w:vAlign w:val="center"/>
            <w:hideMark/>
          </w:tcPr>
          <w:p w:rsidR="001F39FB" w:rsidRPr="00CB0F5B" w:rsidRDefault="001F39FB" w:rsidP="001F39FB">
            <w:pPr>
              <w:spacing w:after="0" w:line="240" w:lineRule="auto"/>
              <w:rPr>
                <w:rFonts w:ascii="Calibri" w:eastAsia="Times New Roman" w:hAnsi="Calibri" w:cs="Calibri"/>
                <w:color w:val="000000"/>
                <w:lang w:eastAsia="tr-TR"/>
              </w:rPr>
            </w:pPr>
            <w:r w:rsidRPr="00CB0F5B">
              <w:rPr>
                <w:rFonts w:ascii="Calibri" w:hAnsi="Calibri" w:cs="Calibri"/>
                <w:color w:val="000000"/>
              </w:rPr>
              <w:t>TDB</w:t>
            </w:r>
          </w:p>
        </w:tc>
        <w:tc>
          <w:tcPr>
            <w:tcW w:w="363" w:type="pct"/>
            <w:tcBorders>
              <w:top w:val="nil"/>
              <w:left w:val="nil"/>
              <w:bottom w:val="single" w:sz="8" w:space="0" w:color="D9D9D9"/>
              <w:right w:val="single" w:sz="8" w:space="0" w:color="D9D9D9"/>
            </w:tcBorders>
            <w:shd w:val="clear" w:color="auto" w:fill="auto"/>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546</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6,5</w:t>
            </w:r>
            <w:r>
              <w:rPr>
                <w:rFonts w:ascii="Calibri" w:hAnsi="Calibri" w:cs="Calibri"/>
                <w:color w:val="000000"/>
              </w:rPr>
              <w:t>2</w:t>
            </w:r>
          </w:p>
        </w:tc>
        <w:tc>
          <w:tcPr>
            <w:tcW w:w="363" w:type="pct"/>
            <w:tcBorders>
              <w:top w:val="nil"/>
              <w:left w:val="nil"/>
              <w:bottom w:val="single" w:sz="8" w:space="0" w:color="D9D9D9"/>
              <w:right w:val="single" w:sz="8" w:space="0" w:color="D9D9D9"/>
            </w:tcBorders>
            <w:shd w:val="clear" w:color="auto" w:fill="auto"/>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524</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5,58</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669</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6,96</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475</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9,11</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B60B1C">
              <w:rPr>
                <w:rFonts w:ascii="Calibri" w:eastAsia="Times New Roman" w:hAnsi="Calibri" w:cs="Calibri"/>
                <w:color w:val="000000"/>
                <w:lang w:eastAsia="tr-TR"/>
              </w:rPr>
              <w:t>614</w:t>
            </w:r>
          </w:p>
        </w:tc>
        <w:tc>
          <w:tcPr>
            <w:tcW w:w="364" w:type="pct"/>
            <w:tcBorders>
              <w:top w:val="nil"/>
              <w:left w:val="nil"/>
              <w:bottom w:val="single" w:sz="8" w:space="0" w:color="D9D9D9"/>
              <w:right w:val="single" w:sz="8" w:space="0" w:color="D9D9D9"/>
            </w:tcBorders>
            <w:shd w:val="clear" w:color="auto" w:fill="auto"/>
            <w:noWrap/>
            <w:vAlign w:val="bottom"/>
          </w:tcPr>
          <w:p w:rsidR="001F39FB" w:rsidRPr="00CB0F5B" w:rsidRDefault="001F39FB" w:rsidP="001F39FB">
            <w:pPr>
              <w:spacing w:after="0" w:line="240" w:lineRule="auto"/>
              <w:jc w:val="right"/>
              <w:rPr>
                <w:rFonts w:ascii="Calibri" w:eastAsia="Times New Roman" w:hAnsi="Calibri" w:cs="Calibri"/>
                <w:color w:val="000000"/>
                <w:lang w:eastAsia="tr-TR"/>
              </w:rPr>
            </w:pPr>
            <w:r>
              <w:rPr>
                <w:rFonts w:ascii="Arial TUR" w:hAnsi="Arial TUR" w:cs="Arial TUR"/>
                <w:sz w:val="20"/>
                <w:szCs w:val="20"/>
              </w:rPr>
              <w:t>13,34</w:t>
            </w:r>
          </w:p>
        </w:tc>
        <w:tc>
          <w:tcPr>
            <w:tcW w:w="418" w:type="pct"/>
            <w:tcBorders>
              <w:top w:val="nil"/>
              <w:left w:val="nil"/>
              <w:bottom w:val="single" w:sz="8" w:space="0" w:color="D9D9D9"/>
              <w:right w:val="single" w:sz="8" w:space="0" w:color="D9D9D9"/>
            </w:tcBorders>
            <w:shd w:val="clear" w:color="auto" w:fill="auto"/>
            <w:vAlign w:val="center"/>
          </w:tcPr>
          <w:p w:rsidR="001F39FB" w:rsidRPr="00CB0F5B" w:rsidRDefault="001F39FB" w:rsidP="001F39FB">
            <w:pPr>
              <w:spacing w:after="0" w:line="240" w:lineRule="auto"/>
              <w:jc w:val="right"/>
              <w:rPr>
                <w:rFonts w:ascii="Calibri" w:eastAsia="Times New Roman" w:hAnsi="Calibri" w:cs="Calibri"/>
                <w:b/>
                <w:bCs/>
                <w:color w:val="000000"/>
                <w:lang w:eastAsia="tr-TR"/>
              </w:rPr>
            </w:pPr>
            <w:r w:rsidRPr="00CB0F5B">
              <w:rPr>
                <w:rFonts w:ascii="Calibri" w:hAnsi="Calibri" w:cs="Calibri"/>
                <w:b/>
                <w:bCs/>
                <w:color w:val="000000"/>
              </w:rPr>
              <w:t>2.</w:t>
            </w:r>
            <w:r>
              <w:rPr>
                <w:rFonts w:ascii="Calibri" w:hAnsi="Calibri" w:cs="Calibri"/>
                <w:b/>
                <w:bCs/>
                <w:color w:val="000000"/>
              </w:rPr>
              <w:t>828</w:t>
            </w:r>
          </w:p>
        </w:tc>
        <w:tc>
          <w:tcPr>
            <w:tcW w:w="460" w:type="pct"/>
            <w:tcBorders>
              <w:top w:val="nil"/>
              <w:left w:val="nil"/>
              <w:bottom w:val="single" w:sz="8" w:space="0" w:color="D9D9D9"/>
              <w:right w:val="single" w:sz="8" w:space="0" w:color="D9D9D9"/>
            </w:tcBorders>
            <w:shd w:val="clear" w:color="auto" w:fill="auto"/>
          </w:tcPr>
          <w:p w:rsidR="001F39FB" w:rsidRPr="001F39FB" w:rsidRDefault="001F39FB" w:rsidP="001F39FB">
            <w:pPr>
              <w:spacing w:after="0" w:line="240" w:lineRule="auto"/>
              <w:jc w:val="right"/>
              <w:rPr>
                <w:rFonts w:ascii="Calibri" w:eastAsia="Times New Roman" w:hAnsi="Calibri" w:cs="Calibri"/>
                <w:b/>
                <w:bCs/>
                <w:color w:val="000000"/>
                <w:lang w:eastAsia="tr-TR"/>
              </w:rPr>
            </w:pPr>
            <w:r w:rsidRPr="001F39FB">
              <w:rPr>
                <w:b/>
              </w:rPr>
              <w:t>7,60</w:t>
            </w:r>
          </w:p>
        </w:tc>
      </w:tr>
      <w:tr w:rsidR="001F39FB" w:rsidRPr="00CB0F5B" w:rsidTr="008F2A61">
        <w:trPr>
          <w:trHeight w:val="20"/>
          <w:jc w:val="center"/>
        </w:trPr>
        <w:tc>
          <w:tcPr>
            <w:tcW w:w="491" w:type="pct"/>
            <w:tcBorders>
              <w:top w:val="nil"/>
              <w:left w:val="single" w:sz="8" w:space="0" w:color="D9D9D9"/>
              <w:bottom w:val="single" w:sz="8" w:space="0" w:color="D9D9D9"/>
              <w:right w:val="single" w:sz="8" w:space="0" w:color="D9D9D9"/>
            </w:tcBorders>
            <w:shd w:val="clear" w:color="auto" w:fill="auto"/>
            <w:vAlign w:val="center"/>
            <w:hideMark/>
          </w:tcPr>
          <w:p w:rsidR="001F39FB" w:rsidRPr="00CB0F5B" w:rsidRDefault="001F39FB" w:rsidP="001F39FB">
            <w:pPr>
              <w:spacing w:after="0" w:line="240" w:lineRule="auto"/>
              <w:rPr>
                <w:rFonts w:ascii="Calibri" w:eastAsia="Times New Roman" w:hAnsi="Calibri" w:cs="Calibri"/>
                <w:color w:val="000000"/>
                <w:lang w:eastAsia="tr-TR"/>
              </w:rPr>
            </w:pPr>
            <w:r w:rsidRPr="00CB0F5B">
              <w:rPr>
                <w:rFonts w:ascii="Calibri" w:hAnsi="Calibri" w:cs="Calibri"/>
                <w:color w:val="000000"/>
              </w:rPr>
              <w:t>PPD</w:t>
            </w:r>
          </w:p>
        </w:tc>
        <w:tc>
          <w:tcPr>
            <w:tcW w:w="363" w:type="pct"/>
            <w:tcBorders>
              <w:top w:val="nil"/>
              <w:left w:val="nil"/>
              <w:bottom w:val="single" w:sz="8" w:space="0" w:color="D9D9D9"/>
              <w:right w:val="single" w:sz="8" w:space="0" w:color="D9D9D9"/>
            </w:tcBorders>
            <w:shd w:val="clear" w:color="auto" w:fill="auto"/>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295</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3,53</w:t>
            </w:r>
          </w:p>
        </w:tc>
        <w:tc>
          <w:tcPr>
            <w:tcW w:w="363" w:type="pct"/>
            <w:tcBorders>
              <w:top w:val="nil"/>
              <w:left w:val="nil"/>
              <w:bottom w:val="single" w:sz="8" w:space="0" w:color="D9D9D9"/>
              <w:right w:val="single" w:sz="8" w:space="0" w:color="D9D9D9"/>
            </w:tcBorders>
            <w:shd w:val="clear" w:color="auto" w:fill="auto"/>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269</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2,86</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225</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2,34</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187</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3,59</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B60B1C">
              <w:rPr>
                <w:rFonts w:ascii="Calibri" w:eastAsia="Times New Roman" w:hAnsi="Calibri" w:cs="Calibri"/>
                <w:color w:val="000000"/>
                <w:lang w:eastAsia="tr-TR"/>
              </w:rPr>
              <w:t>134</w:t>
            </w:r>
          </w:p>
        </w:tc>
        <w:tc>
          <w:tcPr>
            <w:tcW w:w="364" w:type="pct"/>
            <w:tcBorders>
              <w:top w:val="nil"/>
              <w:left w:val="nil"/>
              <w:bottom w:val="single" w:sz="8" w:space="0" w:color="D9D9D9"/>
              <w:right w:val="single" w:sz="8" w:space="0" w:color="D9D9D9"/>
            </w:tcBorders>
            <w:shd w:val="clear" w:color="auto" w:fill="auto"/>
            <w:noWrap/>
            <w:vAlign w:val="bottom"/>
          </w:tcPr>
          <w:p w:rsidR="001F39FB" w:rsidRPr="00CB0F5B" w:rsidRDefault="001F39FB" w:rsidP="001F39FB">
            <w:pPr>
              <w:spacing w:after="0" w:line="240" w:lineRule="auto"/>
              <w:jc w:val="right"/>
              <w:rPr>
                <w:rFonts w:ascii="Calibri" w:eastAsia="Times New Roman" w:hAnsi="Calibri" w:cs="Calibri"/>
                <w:color w:val="000000"/>
                <w:lang w:eastAsia="tr-TR"/>
              </w:rPr>
            </w:pPr>
            <w:r>
              <w:rPr>
                <w:rFonts w:ascii="Arial TUR" w:hAnsi="Arial TUR" w:cs="Arial TUR"/>
                <w:sz w:val="20"/>
                <w:szCs w:val="20"/>
              </w:rPr>
              <w:t>2,91</w:t>
            </w:r>
          </w:p>
        </w:tc>
        <w:tc>
          <w:tcPr>
            <w:tcW w:w="418" w:type="pct"/>
            <w:tcBorders>
              <w:top w:val="nil"/>
              <w:left w:val="nil"/>
              <w:bottom w:val="single" w:sz="8" w:space="0" w:color="D9D9D9"/>
              <w:right w:val="single" w:sz="8" w:space="0" w:color="D9D9D9"/>
            </w:tcBorders>
            <w:shd w:val="clear" w:color="auto" w:fill="auto"/>
            <w:vAlign w:val="center"/>
          </w:tcPr>
          <w:p w:rsidR="001F39FB" w:rsidRPr="00CB0F5B" w:rsidRDefault="001F39FB" w:rsidP="001F39FB">
            <w:pPr>
              <w:spacing w:after="0" w:line="240" w:lineRule="auto"/>
              <w:jc w:val="right"/>
              <w:rPr>
                <w:rFonts w:ascii="Calibri" w:eastAsia="Times New Roman" w:hAnsi="Calibri" w:cs="Calibri"/>
                <w:b/>
                <w:bCs/>
                <w:color w:val="000000"/>
                <w:lang w:eastAsia="tr-TR"/>
              </w:rPr>
            </w:pPr>
            <w:r w:rsidRPr="00CB0F5B">
              <w:rPr>
                <w:rFonts w:ascii="Calibri" w:hAnsi="Calibri" w:cs="Calibri"/>
                <w:b/>
                <w:bCs/>
                <w:color w:val="000000"/>
              </w:rPr>
              <w:t>1.</w:t>
            </w:r>
            <w:r>
              <w:rPr>
                <w:rFonts w:ascii="Calibri" w:hAnsi="Calibri" w:cs="Calibri"/>
                <w:b/>
                <w:bCs/>
                <w:color w:val="000000"/>
              </w:rPr>
              <w:t>1</w:t>
            </w:r>
            <w:r w:rsidRPr="00CB0F5B">
              <w:rPr>
                <w:rFonts w:ascii="Calibri" w:hAnsi="Calibri" w:cs="Calibri"/>
                <w:b/>
                <w:bCs/>
                <w:color w:val="000000"/>
              </w:rPr>
              <w:t>10</w:t>
            </w:r>
          </w:p>
        </w:tc>
        <w:tc>
          <w:tcPr>
            <w:tcW w:w="460" w:type="pct"/>
            <w:tcBorders>
              <w:top w:val="nil"/>
              <w:left w:val="nil"/>
              <w:bottom w:val="single" w:sz="8" w:space="0" w:color="D9D9D9"/>
              <w:right w:val="single" w:sz="8" w:space="0" w:color="D9D9D9"/>
            </w:tcBorders>
            <w:shd w:val="clear" w:color="auto" w:fill="auto"/>
          </w:tcPr>
          <w:p w:rsidR="001F39FB" w:rsidRPr="001F39FB" w:rsidRDefault="001F39FB" w:rsidP="001F39FB">
            <w:pPr>
              <w:spacing w:after="0" w:line="240" w:lineRule="auto"/>
              <w:jc w:val="right"/>
              <w:rPr>
                <w:rFonts w:ascii="Calibri" w:eastAsia="Times New Roman" w:hAnsi="Calibri" w:cs="Calibri"/>
                <w:b/>
                <w:bCs/>
                <w:color w:val="000000"/>
                <w:lang w:eastAsia="tr-TR"/>
              </w:rPr>
            </w:pPr>
            <w:r w:rsidRPr="001F39FB">
              <w:rPr>
                <w:b/>
              </w:rPr>
              <w:t>2,98</w:t>
            </w:r>
          </w:p>
        </w:tc>
      </w:tr>
      <w:tr w:rsidR="001F39FB" w:rsidRPr="00CB0F5B" w:rsidTr="008F2A61">
        <w:trPr>
          <w:trHeight w:val="20"/>
          <w:jc w:val="center"/>
        </w:trPr>
        <w:tc>
          <w:tcPr>
            <w:tcW w:w="491" w:type="pct"/>
            <w:tcBorders>
              <w:top w:val="nil"/>
              <w:left w:val="single" w:sz="8" w:space="0" w:color="D9D9D9"/>
              <w:bottom w:val="single" w:sz="8" w:space="0" w:color="D9D9D9"/>
              <w:right w:val="single" w:sz="8" w:space="0" w:color="D9D9D9"/>
            </w:tcBorders>
            <w:shd w:val="clear" w:color="auto" w:fill="auto"/>
            <w:vAlign w:val="center"/>
            <w:hideMark/>
          </w:tcPr>
          <w:p w:rsidR="001F39FB" w:rsidRPr="00CB0F5B" w:rsidRDefault="001F39FB" w:rsidP="001F39FB">
            <w:pPr>
              <w:spacing w:after="0" w:line="240" w:lineRule="auto"/>
              <w:rPr>
                <w:rFonts w:ascii="Calibri" w:eastAsia="Times New Roman" w:hAnsi="Calibri" w:cs="Calibri"/>
                <w:color w:val="000000"/>
                <w:lang w:eastAsia="tr-TR"/>
              </w:rPr>
            </w:pPr>
            <w:r w:rsidRPr="00CB0F5B">
              <w:rPr>
                <w:rFonts w:ascii="Calibri" w:hAnsi="Calibri" w:cs="Calibri"/>
                <w:color w:val="000000"/>
              </w:rPr>
              <w:t>DPD</w:t>
            </w:r>
          </w:p>
        </w:tc>
        <w:tc>
          <w:tcPr>
            <w:tcW w:w="363" w:type="pct"/>
            <w:tcBorders>
              <w:top w:val="nil"/>
              <w:left w:val="nil"/>
              <w:bottom w:val="single" w:sz="8" w:space="0" w:color="D9D9D9"/>
              <w:right w:val="single" w:sz="8" w:space="0" w:color="D9D9D9"/>
            </w:tcBorders>
            <w:shd w:val="clear" w:color="auto" w:fill="auto"/>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183</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2,19</w:t>
            </w:r>
          </w:p>
        </w:tc>
        <w:tc>
          <w:tcPr>
            <w:tcW w:w="363" w:type="pct"/>
            <w:tcBorders>
              <w:top w:val="nil"/>
              <w:left w:val="nil"/>
              <w:bottom w:val="single" w:sz="8" w:space="0" w:color="D9D9D9"/>
              <w:right w:val="single" w:sz="8" w:space="0" w:color="D9D9D9"/>
            </w:tcBorders>
            <w:shd w:val="clear" w:color="auto" w:fill="auto"/>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160</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1,70</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148</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1,54</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200</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3,84</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B60B1C">
              <w:rPr>
                <w:rFonts w:ascii="Calibri" w:eastAsia="Times New Roman" w:hAnsi="Calibri" w:cs="Calibri"/>
                <w:color w:val="000000"/>
                <w:lang w:eastAsia="tr-TR"/>
              </w:rPr>
              <w:t>213</w:t>
            </w:r>
          </w:p>
        </w:tc>
        <w:tc>
          <w:tcPr>
            <w:tcW w:w="364" w:type="pct"/>
            <w:tcBorders>
              <w:top w:val="nil"/>
              <w:left w:val="nil"/>
              <w:bottom w:val="single" w:sz="8" w:space="0" w:color="D9D9D9"/>
              <w:right w:val="single" w:sz="8" w:space="0" w:color="D9D9D9"/>
            </w:tcBorders>
            <w:shd w:val="clear" w:color="auto" w:fill="auto"/>
            <w:noWrap/>
            <w:vAlign w:val="bottom"/>
          </w:tcPr>
          <w:p w:rsidR="001F39FB" w:rsidRPr="00CB0F5B" w:rsidRDefault="001F39FB" w:rsidP="001F39FB">
            <w:pPr>
              <w:spacing w:after="0" w:line="240" w:lineRule="auto"/>
              <w:jc w:val="right"/>
              <w:rPr>
                <w:rFonts w:ascii="Calibri" w:eastAsia="Times New Roman" w:hAnsi="Calibri" w:cs="Calibri"/>
                <w:color w:val="000000"/>
                <w:lang w:eastAsia="tr-TR"/>
              </w:rPr>
            </w:pPr>
            <w:r>
              <w:rPr>
                <w:rFonts w:ascii="Arial TUR" w:hAnsi="Arial TUR" w:cs="Arial TUR"/>
                <w:sz w:val="20"/>
                <w:szCs w:val="20"/>
              </w:rPr>
              <w:t>4,63</w:t>
            </w:r>
          </w:p>
        </w:tc>
        <w:tc>
          <w:tcPr>
            <w:tcW w:w="418" w:type="pct"/>
            <w:tcBorders>
              <w:top w:val="nil"/>
              <w:left w:val="nil"/>
              <w:bottom w:val="single" w:sz="8" w:space="0" w:color="D9D9D9"/>
              <w:right w:val="single" w:sz="8" w:space="0" w:color="D9D9D9"/>
            </w:tcBorders>
            <w:shd w:val="clear" w:color="auto" w:fill="auto"/>
            <w:vAlign w:val="center"/>
          </w:tcPr>
          <w:p w:rsidR="001F39FB" w:rsidRPr="00CB0F5B" w:rsidRDefault="001F39FB" w:rsidP="001F39FB">
            <w:pPr>
              <w:spacing w:after="0" w:line="240" w:lineRule="auto"/>
              <w:jc w:val="right"/>
              <w:rPr>
                <w:rFonts w:ascii="Calibri" w:eastAsia="Times New Roman" w:hAnsi="Calibri" w:cs="Calibri"/>
                <w:b/>
                <w:bCs/>
                <w:color w:val="000000"/>
                <w:lang w:eastAsia="tr-TR"/>
              </w:rPr>
            </w:pPr>
            <w:r>
              <w:rPr>
                <w:rFonts w:ascii="Calibri" w:hAnsi="Calibri" w:cs="Calibri"/>
                <w:b/>
                <w:bCs/>
                <w:color w:val="000000"/>
              </w:rPr>
              <w:t>904</w:t>
            </w:r>
          </w:p>
        </w:tc>
        <w:tc>
          <w:tcPr>
            <w:tcW w:w="460" w:type="pct"/>
            <w:tcBorders>
              <w:top w:val="nil"/>
              <w:left w:val="nil"/>
              <w:bottom w:val="single" w:sz="8" w:space="0" w:color="D9D9D9"/>
              <w:right w:val="single" w:sz="8" w:space="0" w:color="D9D9D9"/>
            </w:tcBorders>
            <w:shd w:val="clear" w:color="auto" w:fill="auto"/>
          </w:tcPr>
          <w:p w:rsidR="001F39FB" w:rsidRPr="001F39FB" w:rsidRDefault="001F39FB" w:rsidP="001F39FB">
            <w:pPr>
              <w:spacing w:after="0" w:line="240" w:lineRule="auto"/>
              <w:jc w:val="right"/>
              <w:rPr>
                <w:rFonts w:ascii="Calibri" w:eastAsia="Times New Roman" w:hAnsi="Calibri" w:cs="Calibri"/>
                <w:b/>
                <w:bCs/>
                <w:color w:val="000000"/>
                <w:lang w:eastAsia="tr-TR"/>
              </w:rPr>
            </w:pPr>
            <w:r w:rsidRPr="001F39FB">
              <w:rPr>
                <w:b/>
              </w:rPr>
              <w:t>2,4</w:t>
            </w:r>
            <w:r w:rsidR="00CE73F3">
              <w:rPr>
                <w:b/>
              </w:rPr>
              <w:t>4</w:t>
            </w:r>
          </w:p>
        </w:tc>
      </w:tr>
      <w:tr w:rsidR="001F39FB" w:rsidRPr="00CB0F5B" w:rsidTr="008F2A61">
        <w:trPr>
          <w:trHeight w:val="20"/>
          <w:jc w:val="center"/>
        </w:trPr>
        <w:tc>
          <w:tcPr>
            <w:tcW w:w="491" w:type="pct"/>
            <w:tcBorders>
              <w:top w:val="nil"/>
              <w:left w:val="single" w:sz="8" w:space="0" w:color="D9D9D9"/>
              <w:bottom w:val="single" w:sz="8" w:space="0" w:color="D9D9D9"/>
              <w:right w:val="single" w:sz="8" w:space="0" w:color="D9D9D9"/>
            </w:tcBorders>
            <w:shd w:val="clear" w:color="auto" w:fill="auto"/>
            <w:vAlign w:val="center"/>
            <w:hideMark/>
          </w:tcPr>
          <w:p w:rsidR="001F39FB" w:rsidRPr="00CB0F5B" w:rsidRDefault="001F39FB" w:rsidP="001F39FB">
            <w:pPr>
              <w:spacing w:after="0" w:line="240" w:lineRule="auto"/>
              <w:rPr>
                <w:rFonts w:ascii="Calibri" w:eastAsia="Times New Roman" w:hAnsi="Calibri" w:cs="Calibri"/>
                <w:color w:val="000000"/>
                <w:lang w:eastAsia="tr-TR"/>
              </w:rPr>
            </w:pPr>
            <w:r w:rsidRPr="00CB0F5B">
              <w:rPr>
                <w:rFonts w:ascii="Calibri" w:hAnsi="Calibri" w:cs="Calibri"/>
                <w:color w:val="000000"/>
              </w:rPr>
              <w:t>LPG</w:t>
            </w:r>
          </w:p>
        </w:tc>
        <w:tc>
          <w:tcPr>
            <w:tcW w:w="363" w:type="pct"/>
            <w:tcBorders>
              <w:top w:val="nil"/>
              <w:left w:val="nil"/>
              <w:bottom w:val="single" w:sz="8" w:space="0" w:color="D9D9D9"/>
              <w:right w:val="single" w:sz="8" w:space="0" w:color="D9D9D9"/>
            </w:tcBorders>
            <w:shd w:val="clear" w:color="auto" w:fill="auto"/>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86</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1,03</w:t>
            </w:r>
          </w:p>
        </w:tc>
        <w:tc>
          <w:tcPr>
            <w:tcW w:w="363" w:type="pct"/>
            <w:tcBorders>
              <w:top w:val="nil"/>
              <w:left w:val="nil"/>
              <w:bottom w:val="single" w:sz="8" w:space="0" w:color="D9D9D9"/>
              <w:right w:val="single" w:sz="8" w:space="0" w:color="D9D9D9"/>
            </w:tcBorders>
            <w:shd w:val="clear" w:color="auto" w:fill="auto"/>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50</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0,53</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79</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0,82</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77</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1,48</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B60B1C">
              <w:rPr>
                <w:rFonts w:ascii="Calibri" w:eastAsia="Times New Roman" w:hAnsi="Calibri" w:cs="Calibri"/>
                <w:color w:val="000000"/>
                <w:lang w:eastAsia="tr-TR"/>
              </w:rPr>
              <w:t>38</w:t>
            </w:r>
          </w:p>
        </w:tc>
        <w:tc>
          <w:tcPr>
            <w:tcW w:w="364" w:type="pct"/>
            <w:tcBorders>
              <w:top w:val="nil"/>
              <w:left w:val="nil"/>
              <w:bottom w:val="single" w:sz="8" w:space="0" w:color="D9D9D9"/>
              <w:right w:val="single" w:sz="8" w:space="0" w:color="D9D9D9"/>
            </w:tcBorders>
            <w:shd w:val="clear" w:color="auto" w:fill="auto"/>
            <w:noWrap/>
            <w:vAlign w:val="bottom"/>
          </w:tcPr>
          <w:p w:rsidR="001F39FB" w:rsidRPr="00CB0F5B" w:rsidRDefault="001F39FB" w:rsidP="001F39FB">
            <w:pPr>
              <w:spacing w:after="0" w:line="240" w:lineRule="auto"/>
              <w:jc w:val="right"/>
              <w:rPr>
                <w:rFonts w:ascii="Calibri" w:eastAsia="Times New Roman" w:hAnsi="Calibri" w:cs="Calibri"/>
                <w:color w:val="000000"/>
                <w:lang w:eastAsia="tr-TR"/>
              </w:rPr>
            </w:pPr>
            <w:r>
              <w:rPr>
                <w:rFonts w:ascii="Arial TUR" w:hAnsi="Arial TUR" w:cs="Arial TUR"/>
                <w:sz w:val="20"/>
                <w:szCs w:val="20"/>
              </w:rPr>
              <w:t>0,83</w:t>
            </w:r>
          </w:p>
        </w:tc>
        <w:tc>
          <w:tcPr>
            <w:tcW w:w="418" w:type="pct"/>
            <w:tcBorders>
              <w:top w:val="nil"/>
              <w:left w:val="nil"/>
              <w:bottom w:val="single" w:sz="8" w:space="0" w:color="D9D9D9"/>
              <w:right w:val="single" w:sz="8" w:space="0" w:color="D9D9D9"/>
            </w:tcBorders>
            <w:shd w:val="clear" w:color="auto" w:fill="auto"/>
            <w:vAlign w:val="center"/>
          </w:tcPr>
          <w:p w:rsidR="001F39FB" w:rsidRPr="00CB0F5B" w:rsidRDefault="001F39FB" w:rsidP="001F39FB">
            <w:pPr>
              <w:spacing w:after="0" w:line="240" w:lineRule="auto"/>
              <w:jc w:val="right"/>
              <w:rPr>
                <w:rFonts w:ascii="Calibri" w:eastAsia="Times New Roman" w:hAnsi="Calibri" w:cs="Calibri"/>
                <w:b/>
                <w:bCs/>
                <w:color w:val="000000"/>
                <w:lang w:eastAsia="tr-TR"/>
              </w:rPr>
            </w:pPr>
            <w:r>
              <w:rPr>
                <w:rFonts w:ascii="Calibri" w:hAnsi="Calibri" w:cs="Calibri"/>
                <w:b/>
                <w:bCs/>
                <w:color w:val="000000"/>
              </w:rPr>
              <w:t>330</w:t>
            </w:r>
          </w:p>
        </w:tc>
        <w:tc>
          <w:tcPr>
            <w:tcW w:w="460" w:type="pct"/>
            <w:tcBorders>
              <w:top w:val="nil"/>
              <w:left w:val="nil"/>
              <w:bottom w:val="single" w:sz="8" w:space="0" w:color="D9D9D9"/>
              <w:right w:val="single" w:sz="8" w:space="0" w:color="D9D9D9"/>
            </w:tcBorders>
            <w:shd w:val="clear" w:color="auto" w:fill="auto"/>
          </w:tcPr>
          <w:p w:rsidR="001F39FB" w:rsidRPr="001F39FB" w:rsidRDefault="001F39FB" w:rsidP="001F39FB">
            <w:pPr>
              <w:spacing w:after="0" w:line="240" w:lineRule="auto"/>
              <w:jc w:val="right"/>
              <w:rPr>
                <w:rFonts w:ascii="Calibri" w:eastAsia="Times New Roman" w:hAnsi="Calibri" w:cs="Calibri"/>
                <w:b/>
                <w:bCs/>
                <w:color w:val="000000"/>
                <w:lang w:eastAsia="tr-TR"/>
              </w:rPr>
            </w:pPr>
            <w:r w:rsidRPr="001F39FB">
              <w:rPr>
                <w:b/>
              </w:rPr>
              <w:t>0,89</w:t>
            </w:r>
          </w:p>
        </w:tc>
      </w:tr>
      <w:tr w:rsidR="001F39FB" w:rsidRPr="00CB0F5B" w:rsidTr="008F2A61">
        <w:trPr>
          <w:trHeight w:val="20"/>
          <w:jc w:val="center"/>
        </w:trPr>
        <w:tc>
          <w:tcPr>
            <w:tcW w:w="491" w:type="pct"/>
            <w:tcBorders>
              <w:top w:val="nil"/>
              <w:left w:val="single" w:sz="8" w:space="0" w:color="D9D9D9"/>
              <w:bottom w:val="single" w:sz="8" w:space="0" w:color="D9D9D9"/>
              <w:right w:val="single" w:sz="8" w:space="0" w:color="D9D9D9"/>
            </w:tcBorders>
            <w:shd w:val="clear" w:color="auto" w:fill="auto"/>
            <w:vAlign w:val="center"/>
            <w:hideMark/>
          </w:tcPr>
          <w:p w:rsidR="001F39FB" w:rsidRPr="00CB0F5B" w:rsidRDefault="001F39FB" w:rsidP="001F39FB">
            <w:pPr>
              <w:spacing w:after="0" w:line="240" w:lineRule="auto"/>
              <w:rPr>
                <w:rFonts w:ascii="Calibri" w:eastAsia="Times New Roman" w:hAnsi="Calibri" w:cs="Calibri"/>
                <w:color w:val="000000"/>
                <w:lang w:eastAsia="tr-TR"/>
              </w:rPr>
            </w:pPr>
            <w:r w:rsidRPr="00CB0F5B">
              <w:rPr>
                <w:rFonts w:ascii="Calibri" w:hAnsi="Calibri" w:cs="Calibri"/>
                <w:color w:val="000000"/>
              </w:rPr>
              <w:t>İKD</w:t>
            </w:r>
          </w:p>
        </w:tc>
        <w:tc>
          <w:tcPr>
            <w:tcW w:w="363" w:type="pct"/>
            <w:tcBorders>
              <w:top w:val="nil"/>
              <w:left w:val="nil"/>
              <w:bottom w:val="single" w:sz="8" w:space="0" w:color="D9D9D9"/>
              <w:right w:val="single" w:sz="8" w:space="0" w:color="D9D9D9"/>
            </w:tcBorders>
            <w:shd w:val="clear" w:color="auto" w:fill="auto"/>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38</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0,45</w:t>
            </w:r>
          </w:p>
        </w:tc>
        <w:tc>
          <w:tcPr>
            <w:tcW w:w="363" w:type="pct"/>
            <w:tcBorders>
              <w:top w:val="nil"/>
              <w:left w:val="nil"/>
              <w:bottom w:val="single" w:sz="8" w:space="0" w:color="D9D9D9"/>
              <w:right w:val="single" w:sz="8" w:space="0" w:color="D9D9D9"/>
            </w:tcBorders>
            <w:shd w:val="clear" w:color="auto" w:fill="auto"/>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33</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0,35</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15</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0,1</w:t>
            </w:r>
            <w:r>
              <w:rPr>
                <w:rFonts w:ascii="Calibri" w:hAnsi="Calibri" w:cs="Calibri"/>
                <w:color w:val="000000"/>
              </w:rPr>
              <w:t>5</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44</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0,84</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23</w:t>
            </w:r>
          </w:p>
        </w:tc>
        <w:tc>
          <w:tcPr>
            <w:tcW w:w="364" w:type="pct"/>
            <w:tcBorders>
              <w:top w:val="nil"/>
              <w:left w:val="nil"/>
              <w:bottom w:val="single" w:sz="8" w:space="0" w:color="D9D9D9"/>
              <w:right w:val="single" w:sz="8" w:space="0" w:color="D9D9D9"/>
            </w:tcBorders>
            <w:shd w:val="clear" w:color="auto" w:fill="auto"/>
            <w:noWrap/>
            <w:vAlign w:val="bottom"/>
          </w:tcPr>
          <w:p w:rsidR="001F39FB" w:rsidRPr="00CB0F5B" w:rsidRDefault="001F39FB" w:rsidP="001F39FB">
            <w:pPr>
              <w:spacing w:after="0" w:line="240" w:lineRule="auto"/>
              <w:jc w:val="right"/>
              <w:rPr>
                <w:rFonts w:ascii="Calibri" w:eastAsia="Times New Roman" w:hAnsi="Calibri" w:cs="Calibri"/>
                <w:color w:val="000000"/>
                <w:lang w:eastAsia="tr-TR"/>
              </w:rPr>
            </w:pPr>
            <w:r>
              <w:rPr>
                <w:rFonts w:ascii="Arial TUR" w:hAnsi="Arial TUR" w:cs="Arial TUR"/>
                <w:sz w:val="20"/>
                <w:szCs w:val="20"/>
              </w:rPr>
              <w:t>0,50</w:t>
            </w:r>
          </w:p>
        </w:tc>
        <w:tc>
          <w:tcPr>
            <w:tcW w:w="418" w:type="pct"/>
            <w:tcBorders>
              <w:top w:val="nil"/>
              <w:left w:val="nil"/>
              <w:bottom w:val="single" w:sz="8" w:space="0" w:color="D9D9D9"/>
              <w:right w:val="single" w:sz="8" w:space="0" w:color="D9D9D9"/>
            </w:tcBorders>
            <w:shd w:val="clear" w:color="auto" w:fill="auto"/>
            <w:vAlign w:val="center"/>
          </w:tcPr>
          <w:p w:rsidR="001F39FB" w:rsidRPr="00CB0F5B" w:rsidRDefault="001F39FB" w:rsidP="001F39FB">
            <w:pPr>
              <w:spacing w:after="0" w:line="240" w:lineRule="auto"/>
              <w:jc w:val="right"/>
              <w:rPr>
                <w:rFonts w:ascii="Calibri" w:eastAsia="Times New Roman" w:hAnsi="Calibri" w:cs="Calibri"/>
                <w:b/>
                <w:bCs/>
                <w:color w:val="000000"/>
                <w:lang w:eastAsia="tr-TR"/>
              </w:rPr>
            </w:pPr>
            <w:r w:rsidRPr="00CB0F5B">
              <w:rPr>
                <w:rFonts w:ascii="Calibri" w:hAnsi="Calibri" w:cs="Calibri"/>
                <w:b/>
                <w:bCs/>
                <w:color w:val="000000"/>
              </w:rPr>
              <w:t>1</w:t>
            </w:r>
            <w:r>
              <w:rPr>
                <w:rFonts w:ascii="Calibri" w:hAnsi="Calibri" w:cs="Calibri"/>
                <w:b/>
                <w:bCs/>
                <w:color w:val="000000"/>
              </w:rPr>
              <w:t>53</w:t>
            </w:r>
          </w:p>
        </w:tc>
        <w:tc>
          <w:tcPr>
            <w:tcW w:w="460" w:type="pct"/>
            <w:tcBorders>
              <w:top w:val="nil"/>
              <w:left w:val="nil"/>
              <w:bottom w:val="single" w:sz="8" w:space="0" w:color="D9D9D9"/>
              <w:right w:val="single" w:sz="8" w:space="0" w:color="D9D9D9"/>
            </w:tcBorders>
            <w:shd w:val="clear" w:color="auto" w:fill="auto"/>
          </w:tcPr>
          <w:p w:rsidR="001F39FB" w:rsidRPr="001F39FB" w:rsidRDefault="001F39FB" w:rsidP="001F39FB">
            <w:pPr>
              <w:spacing w:after="0" w:line="240" w:lineRule="auto"/>
              <w:jc w:val="right"/>
              <w:rPr>
                <w:rFonts w:ascii="Calibri" w:eastAsia="Times New Roman" w:hAnsi="Calibri" w:cs="Calibri"/>
                <w:b/>
                <w:bCs/>
                <w:color w:val="000000"/>
                <w:lang w:eastAsia="tr-TR"/>
              </w:rPr>
            </w:pPr>
            <w:r w:rsidRPr="001F39FB">
              <w:rPr>
                <w:b/>
              </w:rPr>
              <w:t>0,41</w:t>
            </w:r>
          </w:p>
        </w:tc>
      </w:tr>
      <w:tr w:rsidR="001F39FB" w:rsidRPr="00CB0F5B" w:rsidTr="008F2A61">
        <w:trPr>
          <w:trHeight w:val="20"/>
          <w:jc w:val="center"/>
        </w:trPr>
        <w:tc>
          <w:tcPr>
            <w:tcW w:w="491" w:type="pct"/>
            <w:tcBorders>
              <w:top w:val="nil"/>
              <w:left w:val="single" w:sz="8" w:space="0" w:color="D9D9D9"/>
              <w:bottom w:val="single" w:sz="8" w:space="0" w:color="D9D9D9"/>
              <w:right w:val="single" w:sz="8" w:space="0" w:color="D9D9D9"/>
            </w:tcBorders>
            <w:shd w:val="clear" w:color="auto" w:fill="auto"/>
            <w:vAlign w:val="center"/>
            <w:hideMark/>
          </w:tcPr>
          <w:p w:rsidR="001F39FB" w:rsidRPr="00CB0F5B" w:rsidRDefault="001F39FB" w:rsidP="001F39FB">
            <w:pPr>
              <w:spacing w:after="0" w:line="240" w:lineRule="auto"/>
              <w:rPr>
                <w:rFonts w:ascii="Calibri" w:eastAsia="Times New Roman" w:hAnsi="Calibri" w:cs="Calibri"/>
                <w:color w:val="000000"/>
                <w:lang w:eastAsia="tr-TR"/>
              </w:rPr>
            </w:pPr>
            <w:r w:rsidRPr="00CB0F5B">
              <w:rPr>
                <w:rFonts w:ascii="Calibri" w:hAnsi="Calibri" w:cs="Calibri"/>
                <w:color w:val="000000"/>
              </w:rPr>
              <w:t>SGD</w:t>
            </w:r>
          </w:p>
        </w:tc>
        <w:tc>
          <w:tcPr>
            <w:tcW w:w="363" w:type="pct"/>
            <w:tcBorders>
              <w:top w:val="nil"/>
              <w:left w:val="nil"/>
              <w:bottom w:val="single" w:sz="8" w:space="0" w:color="D9D9D9"/>
              <w:right w:val="single" w:sz="8" w:space="0" w:color="D9D9D9"/>
            </w:tcBorders>
            <w:shd w:val="clear" w:color="auto" w:fill="auto"/>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24</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0,29</w:t>
            </w:r>
          </w:p>
        </w:tc>
        <w:tc>
          <w:tcPr>
            <w:tcW w:w="363" w:type="pct"/>
            <w:tcBorders>
              <w:top w:val="nil"/>
              <w:left w:val="nil"/>
              <w:bottom w:val="single" w:sz="8" w:space="0" w:color="D9D9D9"/>
              <w:right w:val="single" w:sz="8" w:space="0" w:color="D9D9D9"/>
            </w:tcBorders>
            <w:shd w:val="clear" w:color="auto" w:fill="auto"/>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26</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0,28</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24</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0,25</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18</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0,3</w:t>
            </w:r>
            <w:r>
              <w:rPr>
                <w:rFonts w:ascii="Calibri" w:hAnsi="Calibri" w:cs="Calibri"/>
                <w:color w:val="000000"/>
              </w:rPr>
              <w:t>4</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17</w:t>
            </w:r>
          </w:p>
        </w:tc>
        <w:tc>
          <w:tcPr>
            <w:tcW w:w="364" w:type="pct"/>
            <w:tcBorders>
              <w:top w:val="nil"/>
              <w:left w:val="nil"/>
              <w:bottom w:val="single" w:sz="8" w:space="0" w:color="D9D9D9"/>
              <w:right w:val="single" w:sz="8" w:space="0" w:color="D9D9D9"/>
            </w:tcBorders>
            <w:shd w:val="clear" w:color="auto" w:fill="auto"/>
            <w:noWrap/>
            <w:vAlign w:val="bottom"/>
          </w:tcPr>
          <w:p w:rsidR="001F39FB" w:rsidRPr="00CB0F5B" w:rsidRDefault="001F39FB" w:rsidP="001F39FB">
            <w:pPr>
              <w:spacing w:after="0" w:line="240" w:lineRule="auto"/>
              <w:jc w:val="right"/>
              <w:rPr>
                <w:rFonts w:ascii="Calibri" w:eastAsia="Times New Roman" w:hAnsi="Calibri" w:cs="Calibri"/>
                <w:color w:val="000000"/>
                <w:lang w:eastAsia="tr-TR"/>
              </w:rPr>
            </w:pPr>
            <w:r>
              <w:rPr>
                <w:rFonts w:ascii="Arial TUR" w:hAnsi="Arial TUR" w:cs="Arial TUR"/>
                <w:sz w:val="20"/>
                <w:szCs w:val="20"/>
              </w:rPr>
              <w:t>0,37</w:t>
            </w:r>
          </w:p>
        </w:tc>
        <w:tc>
          <w:tcPr>
            <w:tcW w:w="418" w:type="pct"/>
            <w:tcBorders>
              <w:top w:val="nil"/>
              <w:left w:val="nil"/>
              <w:bottom w:val="single" w:sz="8" w:space="0" w:color="D9D9D9"/>
              <w:right w:val="single" w:sz="8" w:space="0" w:color="D9D9D9"/>
            </w:tcBorders>
            <w:shd w:val="clear" w:color="auto" w:fill="auto"/>
            <w:vAlign w:val="center"/>
          </w:tcPr>
          <w:p w:rsidR="001F39FB" w:rsidRPr="00CB0F5B" w:rsidRDefault="001F39FB" w:rsidP="001F39FB">
            <w:pPr>
              <w:spacing w:after="0" w:line="240" w:lineRule="auto"/>
              <w:jc w:val="right"/>
              <w:rPr>
                <w:rFonts w:ascii="Calibri" w:eastAsia="Times New Roman" w:hAnsi="Calibri" w:cs="Calibri"/>
                <w:b/>
                <w:bCs/>
                <w:color w:val="000000"/>
                <w:lang w:eastAsia="tr-TR"/>
              </w:rPr>
            </w:pPr>
            <w:r w:rsidRPr="00CB0F5B">
              <w:rPr>
                <w:rFonts w:ascii="Calibri" w:hAnsi="Calibri" w:cs="Calibri"/>
                <w:b/>
                <w:bCs/>
                <w:color w:val="000000"/>
              </w:rPr>
              <w:t>1</w:t>
            </w:r>
            <w:r>
              <w:rPr>
                <w:rFonts w:ascii="Calibri" w:hAnsi="Calibri" w:cs="Calibri"/>
                <w:b/>
                <w:bCs/>
                <w:color w:val="000000"/>
              </w:rPr>
              <w:t>09</w:t>
            </w:r>
          </w:p>
        </w:tc>
        <w:tc>
          <w:tcPr>
            <w:tcW w:w="460" w:type="pct"/>
            <w:tcBorders>
              <w:top w:val="nil"/>
              <w:left w:val="nil"/>
              <w:bottom w:val="single" w:sz="8" w:space="0" w:color="D9D9D9"/>
              <w:right w:val="single" w:sz="8" w:space="0" w:color="D9D9D9"/>
            </w:tcBorders>
            <w:shd w:val="clear" w:color="auto" w:fill="auto"/>
          </w:tcPr>
          <w:p w:rsidR="001F39FB" w:rsidRPr="001F39FB" w:rsidRDefault="001F39FB" w:rsidP="001F39FB">
            <w:pPr>
              <w:spacing w:after="0" w:line="240" w:lineRule="auto"/>
              <w:jc w:val="right"/>
              <w:rPr>
                <w:rFonts w:ascii="Calibri" w:eastAsia="Times New Roman" w:hAnsi="Calibri" w:cs="Calibri"/>
                <w:b/>
                <w:bCs/>
                <w:color w:val="000000"/>
                <w:lang w:eastAsia="tr-TR"/>
              </w:rPr>
            </w:pPr>
            <w:r w:rsidRPr="001F39FB">
              <w:rPr>
                <w:b/>
              </w:rPr>
              <w:t>0,29</w:t>
            </w:r>
          </w:p>
        </w:tc>
      </w:tr>
      <w:tr w:rsidR="001F39FB" w:rsidRPr="00CB0F5B" w:rsidTr="008F2A61">
        <w:trPr>
          <w:trHeight w:val="20"/>
          <w:jc w:val="center"/>
        </w:trPr>
        <w:tc>
          <w:tcPr>
            <w:tcW w:w="491" w:type="pct"/>
            <w:tcBorders>
              <w:top w:val="nil"/>
              <w:left w:val="single" w:sz="8" w:space="0" w:color="D9D9D9"/>
              <w:bottom w:val="single" w:sz="8" w:space="0" w:color="D9D9D9"/>
              <w:right w:val="single" w:sz="8" w:space="0" w:color="D9D9D9"/>
            </w:tcBorders>
            <w:shd w:val="clear" w:color="auto" w:fill="auto"/>
            <w:vAlign w:val="center"/>
          </w:tcPr>
          <w:p w:rsidR="001F39FB" w:rsidRPr="00CB0F5B" w:rsidRDefault="001F39FB" w:rsidP="001F39FB">
            <w:pPr>
              <w:spacing w:after="0" w:line="240" w:lineRule="auto"/>
              <w:rPr>
                <w:rFonts w:ascii="Calibri" w:hAnsi="Calibri" w:cs="Calibri"/>
                <w:color w:val="000000"/>
              </w:rPr>
            </w:pPr>
            <w:r>
              <w:rPr>
                <w:rFonts w:ascii="Calibri" w:hAnsi="Calibri" w:cs="Calibri"/>
                <w:color w:val="000000"/>
              </w:rPr>
              <w:t>EDD</w:t>
            </w:r>
          </w:p>
        </w:tc>
        <w:tc>
          <w:tcPr>
            <w:tcW w:w="363" w:type="pct"/>
            <w:tcBorders>
              <w:top w:val="nil"/>
              <w:left w:val="nil"/>
              <w:bottom w:val="single" w:sz="8" w:space="0" w:color="D9D9D9"/>
              <w:right w:val="single" w:sz="8" w:space="0" w:color="D9D9D9"/>
            </w:tcBorders>
            <w:shd w:val="clear" w:color="auto" w:fill="auto"/>
            <w:vAlign w:val="center"/>
          </w:tcPr>
          <w:p w:rsidR="001F39FB" w:rsidRPr="00CB0F5B" w:rsidRDefault="001F39FB" w:rsidP="001F39FB">
            <w:pPr>
              <w:spacing w:after="0" w:line="240" w:lineRule="auto"/>
              <w:jc w:val="right"/>
              <w:rPr>
                <w:rFonts w:ascii="Calibri" w:hAnsi="Calibri" w:cs="Calibri"/>
                <w:color w:val="000000"/>
              </w:rPr>
            </w:pPr>
            <w:r>
              <w:rPr>
                <w:rFonts w:ascii="Calibri" w:hAnsi="Calibri" w:cs="Calibri"/>
                <w:color w:val="000000"/>
              </w:rPr>
              <w:t>-</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hAnsi="Calibri" w:cs="Calibri"/>
                <w:color w:val="000000"/>
              </w:rPr>
            </w:pPr>
            <w:r>
              <w:rPr>
                <w:rFonts w:ascii="Calibri" w:hAnsi="Calibri" w:cs="Calibri"/>
                <w:color w:val="000000"/>
              </w:rPr>
              <w:t>-</w:t>
            </w:r>
          </w:p>
        </w:tc>
        <w:tc>
          <w:tcPr>
            <w:tcW w:w="363" w:type="pct"/>
            <w:tcBorders>
              <w:top w:val="nil"/>
              <w:left w:val="nil"/>
              <w:bottom w:val="single" w:sz="8" w:space="0" w:color="D9D9D9"/>
              <w:right w:val="single" w:sz="8" w:space="0" w:color="D9D9D9"/>
            </w:tcBorders>
            <w:shd w:val="clear" w:color="auto" w:fill="auto"/>
            <w:vAlign w:val="center"/>
          </w:tcPr>
          <w:p w:rsidR="001F39FB" w:rsidRPr="00CB0F5B" w:rsidRDefault="001F39FB" w:rsidP="001F39FB">
            <w:pPr>
              <w:spacing w:after="0" w:line="240" w:lineRule="auto"/>
              <w:jc w:val="right"/>
              <w:rPr>
                <w:rFonts w:ascii="Calibri" w:hAnsi="Calibri" w:cs="Calibri"/>
                <w:color w:val="000000"/>
              </w:rPr>
            </w:pPr>
            <w:r>
              <w:rPr>
                <w:rFonts w:ascii="Calibri" w:hAnsi="Calibri" w:cs="Calibri"/>
                <w:color w:val="000000"/>
              </w:rPr>
              <w:t>-</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hAnsi="Calibri" w:cs="Calibri"/>
                <w:color w:val="000000"/>
              </w:rPr>
            </w:pPr>
            <w:r>
              <w:rPr>
                <w:rFonts w:ascii="Calibri" w:hAnsi="Calibri" w:cs="Calibri"/>
                <w:color w:val="000000"/>
              </w:rPr>
              <w:t>-</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hAnsi="Calibri" w:cs="Calibri"/>
                <w:color w:val="000000"/>
              </w:rPr>
            </w:pPr>
            <w:r>
              <w:rPr>
                <w:rFonts w:ascii="Calibri" w:hAnsi="Calibri" w:cs="Calibri"/>
                <w:color w:val="000000"/>
              </w:rPr>
              <w:t>-</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hAnsi="Calibri" w:cs="Calibri"/>
                <w:color w:val="000000"/>
              </w:rPr>
            </w:pPr>
            <w:r>
              <w:rPr>
                <w:rFonts w:ascii="Calibri" w:hAnsi="Calibri" w:cs="Calibri"/>
                <w:color w:val="000000"/>
              </w:rPr>
              <w:t>-</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hAnsi="Calibri" w:cs="Calibri"/>
                <w:color w:val="000000"/>
              </w:rPr>
            </w:pPr>
            <w:r>
              <w:rPr>
                <w:rFonts w:ascii="Calibri" w:hAnsi="Calibri" w:cs="Calibri"/>
                <w:color w:val="000000"/>
              </w:rPr>
              <w:t>-</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hAnsi="Calibri" w:cs="Calibri"/>
                <w:color w:val="000000"/>
              </w:rPr>
            </w:pPr>
            <w:r>
              <w:rPr>
                <w:rFonts w:ascii="Calibri" w:hAnsi="Calibri" w:cs="Calibri"/>
                <w:color w:val="000000"/>
              </w:rPr>
              <w:t>-</w:t>
            </w:r>
          </w:p>
        </w:tc>
        <w:tc>
          <w:tcPr>
            <w:tcW w:w="363" w:type="pct"/>
            <w:tcBorders>
              <w:top w:val="nil"/>
              <w:left w:val="nil"/>
              <w:bottom w:val="single" w:sz="8" w:space="0" w:color="D9D9D9"/>
              <w:right w:val="single" w:sz="8" w:space="0" w:color="D9D9D9"/>
            </w:tcBorders>
            <w:shd w:val="clear" w:color="auto" w:fill="auto"/>
            <w:noWrap/>
            <w:vAlign w:val="center"/>
          </w:tcPr>
          <w:p w:rsidR="001F39FB" w:rsidRDefault="001F39FB" w:rsidP="001F39FB">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84</w:t>
            </w:r>
          </w:p>
        </w:tc>
        <w:tc>
          <w:tcPr>
            <w:tcW w:w="364" w:type="pct"/>
            <w:tcBorders>
              <w:top w:val="nil"/>
              <w:left w:val="nil"/>
              <w:bottom w:val="single" w:sz="8" w:space="0" w:color="D9D9D9"/>
              <w:right w:val="single" w:sz="8" w:space="0" w:color="D9D9D9"/>
            </w:tcBorders>
            <w:shd w:val="clear" w:color="auto" w:fill="auto"/>
            <w:noWrap/>
            <w:vAlign w:val="bottom"/>
          </w:tcPr>
          <w:p w:rsidR="001F39FB" w:rsidRDefault="001F39FB" w:rsidP="001F39FB">
            <w:pPr>
              <w:spacing w:after="0" w:line="240" w:lineRule="auto"/>
              <w:jc w:val="right"/>
              <w:rPr>
                <w:rFonts w:ascii="Arial TUR" w:hAnsi="Arial TUR" w:cs="Arial TUR"/>
                <w:sz w:val="20"/>
                <w:szCs w:val="20"/>
              </w:rPr>
            </w:pPr>
            <w:r>
              <w:rPr>
                <w:rFonts w:ascii="Arial TUR" w:hAnsi="Arial TUR" w:cs="Arial TUR"/>
                <w:sz w:val="20"/>
                <w:szCs w:val="20"/>
              </w:rPr>
              <w:t>1,83</w:t>
            </w:r>
          </w:p>
        </w:tc>
        <w:tc>
          <w:tcPr>
            <w:tcW w:w="418" w:type="pct"/>
            <w:tcBorders>
              <w:top w:val="nil"/>
              <w:left w:val="nil"/>
              <w:bottom w:val="single" w:sz="8" w:space="0" w:color="D9D9D9"/>
              <w:right w:val="single" w:sz="8" w:space="0" w:color="D9D9D9"/>
            </w:tcBorders>
            <w:shd w:val="clear" w:color="auto" w:fill="auto"/>
            <w:vAlign w:val="center"/>
          </w:tcPr>
          <w:p w:rsidR="001F39FB" w:rsidRPr="00CB0F5B" w:rsidRDefault="001F39FB" w:rsidP="001F39FB">
            <w:pPr>
              <w:spacing w:after="0" w:line="240" w:lineRule="auto"/>
              <w:jc w:val="right"/>
              <w:rPr>
                <w:rFonts w:ascii="Calibri" w:hAnsi="Calibri" w:cs="Calibri"/>
                <w:b/>
                <w:bCs/>
                <w:color w:val="000000"/>
              </w:rPr>
            </w:pPr>
            <w:r>
              <w:rPr>
                <w:rFonts w:ascii="Calibri" w:hAnsi="Calibri" w:cs="Calibri"/>
                <w:b/>
                <w:bCs/>
                <w:color w:val="000000"/>
              </w:rPr>
              <w:t>84</w:t>
            </w:r>
          </w:p>
        </w:tc>
        <w:tc>
          <w:tcPr>
            <w:tcW w:w="460" w:type="pct"/>
            <w:tcBorders>
              <w:top w:val="nil"/>
              <w:left w:val="nil"/>
              <w:bottom w:val="single" w:sz="8" w:space="0" w:color="D9D9D9"/>
              <w:right w:val="single" w:sz="8" w:space="0" w:color="D9D9D9"/>
            </w:tcBorders>
            <w:shd w:val="clear" w:color="auto" w:fill="auto"/>
          </w:tcPr>
          <w:p w:rsidR="001F39FB" w:rsidRPr="001F39FB" w:rsidRDefault="001F39FB" w:rsidP="001F39FB">
            <w:pPr>
              <w:spacing w:after="0" w:line="240" w:lineRule="auto"/>
              <w:jc w:val="right"/>
              <w:rPr>
                <w:rFonts w:ascii="Calibri" w:hAnsi="Calibri"/>
                <w:b/>
                <w:bCs/>
                <w:color w:val="000000"/>
              </w:rPr>
            </w:pPr>
            <w:r w:rsidRPr="001F39FB">
              <w:rPr>
                <w:b/>
              </w:rPr>
              <w:t>0,23</w:t>
            </w:r>
          </w:p>
        </w:tc>
      </w:tr>
      <w:tr w:rsidR="001F39FB" w:rsidRPr="00CB0F5B" w:rsidTr="008F2A61">
        <w:trPr>
          <w:trHeight w:val="20"/>
          <w:jc w:val="center"/>
        </w:trPr>
        <w:tc>
          <w:tcPr>
            <w:tcW w:w="491" w:type="pct"/>
            <w:tcBorders>
              <w:top w:val="nil"/>
              <w:left w:val="single" w:sz="8" w:space="0" w:color="D9D9D9"/>
              <w:bottom w:val="single" w:sz="8" w:space="0" w:color="D9D9D9"/>
              <w:right w:val="single" w:sz="8" w:space="0" w:color="D9D9D9"/>
            </w:tcBorders>
            <w:shd w:val="clear" w:color="auto" w:fill="auto"/>
            <w:vAlign w:val="center"/>
            <w:hideMark/>
          </w:tcPr>
          <w:p w:rsidR="001F39FB" w:rsidRPr="00CB0F5B" w:rsidRDefault="001F39FB" w:rsidP="001F39FB">
            <w:pPr>
              <w:spacing w:after="0" w:line="240" w:lineRule="auto"/>
              <w:rPr>
                <w:rFonts w:ascii="Calibri" w:eastAsia="Times New Roman" w:hAnsi="Calibri" w:cs="Calibri"/>
                <w:color w:val="000000"/>
                <w:lang w:eastAsia="tr-TR"/>
              </w:rPr>
            </w:pPr>
            <w:r w:rsidRPr="00CB0F5B">
              <w:rPr>
                <w:rFonts w:ascii="Calibri" w:hAnsi="Calibri" w:cs="Calibri"/>
                <w:color w:val="000000"/>
              </w:rPr>
              <w:t>HDB</w:t>
            </w:r>
          </w:p>
        </w:tc>
        <w:tc>
          <w:tcPr>
            <w:tcW w:w="363" w:type="pct"/>
            <w:tcBorders>
              <w:top w:val="nil"/>
              <w:left w:val="nil"/>
              <w:bottom w:val="single" w:sz="8" w:space="0" w:color="D9D9D9"/>
              <w:right w:val="single" w:sz="8" w:space="0" w:color="D9D9D9"/>
            </w:tcBorders>
            <w:shd w:val="clear" w:color="auto" w:fill="auto"/>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1</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0,01</w:t>
            </w:r>
          </w:p>
        </w:tc>
        <w:tc>
          <w:tcPr>
            <w:tcW w:w="363" w:type="pct"/>
            <w:tcBorders>
              <w:top w:val="nil"/>
              <w:left w:val="nil"/>
              <w:bottom w:val="single" w:sz="8" w:space="0" w:color="D9D9D9"/>
              <w:right w:val="single" w:sz="8" w:space="0" w:color="D9D9D9"/>
            </w:tcBorders>
            <w:shd w:val="clear" w:color="auto" w:fill="auto"/>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2</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0,02</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0</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0,00</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0</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0,00</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2</w:t>
            </w:r>
          </w:p>
        </w:tc>
        <w:tc>
          <w:tcPr>
            <w:tcW w:w="364" w:type="pct"/>
            <w:tcBorders>
              <w:top w:val="nil"/>
              <w:left w:val="nil"/>
              <w:bottom w:val="single" w:sz="8" w:space="0" w:color="D9D9D9"/>
              <w:right w:val="single" w:sz="8" w:space="0" w:color="D9D9D9"/>
            </w:tcBorders>
            <w:shd w:val="clear" w:color="auto" w:fill="auto"/>
            <w:noWrap/>
            <w:vAlign w:val="bottom"/>
          </w:tcPr>
          <w:p w:rsidR="001F39FB" w:rsidRPr="00CB0F5B" w:rsidRDefault="001F39FB" w:rsidP="001F39FB">
            <w:pPr>
              <w:spacing w:after="0" w:line="240" w:lineRule="auto"/>
              <w:jc w:val="right"/>
              <w:rPr>
                <w:rFonts w:ascii="Calibri" w:eastAsia="Times New Roman" w:hAnsi="Calibri" w:cs="Calibri"/>
                <w:color w:val="000000"/>
                <w:lang w:eastAsia="tr-TR"/>
              </w:rPr>
            </w:pPr>
            <w:r>
              <w:rPr>
                <w:rFonts w:ascii="Arial TUR" w:hAnsi="Arial TUR" w:cs="Arial TUR"/>
                <w:sz w:val="20"/>
                <w:szCs w:val="20"/>
              </w:rPr>
              <w:t>0,04</w:t>
            </w:r>
          </w:p>
        </w:tc>
        <w:tc>
          <w:tcPr>
            <w:tcW w:w="418" w:type="pct"/>
            <w:tcBorders>
              <w:top w:val="nil"/>
              <w:left w:val="nil"/>
              <w:bottom w:val="single" w:sz="8" w:space="0" w:color="D9D9D9"/>
              <w:right w:val="single" w:sz="8" w:space="0" w:color="D9D9D9"/>
            </w:tcBorders>
            <w:shd w:val="clear" w:color="auto" w:fill="auto"/>
            <w:vAlign w:val="center"/>
          </w:tcPr>
          <w:p w:rsidR="001F39FB" w:rsidRPr="00CB0F5B" w:rsidRDefault="001F39FB" w:rsidP="001F39FB">
            <w:pPr>
              <w:spacing w:after="0" w:line="240" w:lineRule="auto"/>
              <w:jc w:val="right"/>
              <w:rPr>
                <w:rFonts w:ascii="Calibri" w:eastAsia="Times New Roman" w:hAnsi="Calibri" w:cs="Calibri"/>
                <w:b/>
                <w:bCs/>
                <w:color w:val="000000"/>
                <w:lang w:eastAsia="tr-TR"/>
              </w:rPr>
            </w:pPr>
            <w:r>
              <w:rPr>
                <w:rFonts w:ascii="Calibri" w:hAnsi="Calibri" w:cs="Calibri"/>
                <w:b/>
                <w:bCs/>
                <w:color w:val="000000"/>
              </w:rPr>
              <w:t>5</w:t>
            </w:r>
          </w:p>
        </w:tc>
        <w:tc>
          <w:tcPr>
            <w:tcW w:w="460" w:type="pct"/>
            <w:tcBorders>
              <w:top w:val="nil"/>
              <w:left w:val="nil"/>
              <w:bottom w:val="single" w:sz="8" w:space="0" w:color="D9D9D9"/>
              <w:right w:val="single" w:sz="8" w:space="0" w:color="D9D9D9"/>
            </w:tcBorders>
            <w:shd w:val="clear" w:color="auto" w:fill="auto"/>
          </w:tcPr>
          <w:p w:rsidR="001F39FB" w:rsidRPr="001F39FB" w:rsidRDefault="001F39FB" w:rsidP="001F39FB">
            <w:pPr>
              <w:spacing w:after="0" w:line="240" w:lineRule="auto"/>
              <w:jc w:val="right"/>
              <w:rPr>
                <w:rFonts w:ascii="Calibri" w:eastAsia="Times New Roman" w:hAnsi="Calibri" w:cs="Calibri"/>
                <w:b/>
                <w:bCs/>
                <w:color w:val="000000"/>
                <w:lang w:eastAsia="tr-TR"/>
              </w:rPr>
            </w:pPr>
            <w:r w:rsidRPr="001F39FB">
              <w:rPr>
                <w:b/>
              </w:rPr>
              <w:t>0,01</w:t>
            </w:r>
          </w:p>
        </w:tc>
      </w:tr>
      <w:tr w:rsidR="001F39FB" w:rsidRPr="00CB0F5B" w:rsidTr="008F2A61">
        <w:trPr>
          <w:trHeight w:val="20"/>
          <w:jc w:val="center"/>
        </w:trPr>
        <w:tc>
          <w:tcPr>
            <w:tcW w:w="491" w:type="pct"/>
            <w:tcBorders>
              <w:top w:val="nil"/>
              <w:left w:val="single" w:sz="8" w:space="0" w:color="D9D9D9"/>
              <w:bottom w:val="single" w:sz="8" w:space="0" w:color="D9D9D9"/>
              <w:right w:val="single" w:sz="8" w:space="0" w:color="D9D9D9"/>
            </w:tcBorders>
            <w:shd w:val="clear" w:color="auto" w:fill="auto"/>
            <w:vAlign w:val="center"/>
            <w:hideMark/>
          </w:tcPr>
          <w:p w:rsidR="001F39FB" w:rsidRPr="00CB0F5B" w:rsidRDefault="001F39FB" w:rsidP="001F39FB">
            <w:pPr>
              <w:spacing w:after="0" w:line="240" w:lineRule="auto"/>
              <w:rPr>
                <w:rFonts w:ascii="Calibri" w:eastAsia="Times New Roman" w:hAnsi="Calibri" w:cs="Calibri"/>
                <w:color w:val="000000"/>
                <w:lang w:eastAsia="tr-TR"/>
              </w:rPr>
            </w:pPr>
            <w:r w:rsidRPr="00CB0F5B">
              <w:rPr>
                <w:rFonts w:ascii="Calibri" w:hAnsi="Calibri" w:cs="Calibri"/>
                <w:color w:val="000000"/>
              </w:rPr>
              <w:t>BİD</w:t>
            </w:r>
          </w:p>
        </w:tc>
        <w:tc>
          <w:tcPr>
            <w:tcW w:w="363" w:type="pct"/>
            <w:tcBorders>
              <w:top w:val="nil"/>
              <w:left w:val="nil"/>
              <w:bottom w:val="single" w:sz="8" w:space="0" w:color="D9D9D9"/>
              <w:right w:val="single" w:sz="8" w:space="0" w:color="D9D9D9"/>
            </w:tcBorders>
            <w:shd w:val="clear" w:color="auto" w:fill="auto"/>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w:t>
            </w:r>
          </w:p>
        </w:tc>
        <w:tc>
          <w:tcPr>
            <w:tcW w:w="363" w:type="pct"/>
            <w:tcBorders>
              <w:top w:val="nil"/>
              <w:left w:val="nil"/>
              <w:bottom w:val="single" w:sz="8" w:space="0" w:color="D9D9D9"/>
              <w:right w:val="single" w:sz="8" w:space="0" w:color="D9D9D9"/>
            </w:tcBorders>
            <w:shd w:val="clear" w:color="auto" w:fill="auto"/>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1</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0,01</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0</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0,00</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1</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0,02</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Pr>
                <w:rFonts w:ascii="Calibri" w:hAnsi="Calibri" w:cs="Calibri"/>
                <w:color w:val="000000"/>
              </w:rPr>
              <w:t>0</w:t>
            </w:r>
          </w:p>
        </w:tc>
        <w:tc>
          <w:tcPr>
            <w:tcW w:w="364"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0,0</w:t>
            </w:r>
            <w:r>
              <w:rPr>
                <w:rFonts w:ascii="Calibri" w:hAnsi="Calibri" w:cs="Calibri"/>
                <w:color w:val="000000"/>
              </w:rPr>
              <w:t>0</w:t>
            </w:r>
          </w:p>
        </w:tc>
        <w:tc>
          <w:tcPr>
            <w:tcW w:w="418" w:type="pct"/>
            <w:tcBorders>
              <w:top w:val="nil"/>
              <w:left w:val="nil"/>
              <w:bottom w:val="single" w:sz="8" w:space="0" w:color="D9D9D9"/>
              <w:right w:val="single" w:sz="8" w:space="0" w:color="D9D9D9"/>
            </w:tcBorders>
            <w:shd w:val="clear" w:color="auto" w:fill="auto"/>
            <w:vAlign w:val="center"/>
          </w:tcPr>
          <w:p w:rsidR="001F39FB" w:rsidRPr="00CB0F5B" w:rsidRDefault="001F39FB" w:rsidP="001F39FB">
            <w:pPr>
              <w:spacing w:after="0" w:line="240" w:lineRule="auto"/>
              <w:jc w:val="right"/>
              <w:rPr>
                <w:rFonts w:ascii="Calibri" w:eastAsia="Times New Roman" w:hAnsi="Calibri" w:cs="Calibri"/>
                <w:b/>
                <w:bCs/>
                <w:color w:val="000000"/>
                <w:lang w:eastAsia="tr-TR"/>
              </w:rPr>
            </w:pPr>
            <w:r w:rsidRPr="00CB0F5B">
              <w:rPr>
                <w:rFonts w:ascii="Calibri" w:hAnsi="Calibri" w:cs="Calibri"/>
                <w:b/>
                <w:bCs/>
                <w:color w:val="000000"/>
              </w:rPr>
              <w:t>2</w:t>
            </w:r>
          </w:p>
        </w:tc>
        <w:tc>
          <w:tcPr>
            <w:tcW w:w="460" w:type="pct"/>
            <w:tcBorders>
              <w:top w:val="nil"/>
              <w:left w:val="nil"/>
              <w:bottom w:val="single" w:sz="8" w:space="0" w:color="D9D9D9"/>
              <w:right w:val="single" w:sz="8" w:space="0" w:color="D9D9D9"/>
            </w:tcBorders>
            <w:shd w:val="clear" w:color="auto" w:fill="auto"/>
          </w:tcPr>
          <w:p w:rsidR="001F39FB" w:rsidRPr="001F39FB" w:rsidRDefault="001F39FB" w:rsidP="001F39FB">
            <w:pPr>
              <w:spacing w:after="0" w:line="240" w:lineRule="auto"/>
              <w:jc w:val="right"/>
              <w:rPr>
                <w:rFonts w:ascii="Calibri" w:eastAsia="Times New Roman" w:hAnsi="Calibri" w:cs="Calibri"/>
                <w:b/>
                <w:bCs/>
                <w:color w:val="000000"/>
                <w:lang w:eastAsia="tr-TR"/>
              </w:rPr>
            </w:pPr>
            <w:r w:rsidRPr="001F39FB">
              <w:rPr>
                <w:b/>
              </w:rPr>
              <w:t>0,01</w:t>
            </w:r>
          </w:p>
        </w:tc>
      </w:tr>
      <w:tr w:rsidR="001F39FB" w:rsidRPr="00CB0F5B" w:rsidTr="008F2A61">
        <w:trPr>
          <w:trHeight w:val="20"/>
          <w:jc w:val="center"/>
        </w:trPr>
        <w:tc>
          <w:tcPr>
            <w:tcW w:w="491" w:type="pct"/>
            <w:tcBorders>
              <w:top w:val="nil"/>
              <w:left w:val="single" w:sz="8" w:space="0" w:color="D9D9D9"/>
              <w:bottom w:val="single" w:sz="8" w:space="0" w:color="D9D9D9"/>
              <w:right w:val="single" w:sz="8" w:space="0" w:color="D9D9D9"/>
            </w:tcBorders>
            <w:shd w:val="clear" w:color="auto" w:fill="auto"/>
            <w:vAlign w:val="center"/>
            <w:hideMark/>
          </w:tcPr>
          <w:p w:rsidR="001F39FB" w:rsidRPr="00CB0F5B" w:rsidRDefault="001F39FB" w:rsidP="001F39FB">
            <w:pPr>
              <w:spacing w:after="0" w:line="240" w:lineRule="auto"/>
              <w:rPr>
                <w:rFonts w:ascii="Calibri" w:eastAsia="Times New Roman" w:hAnsi="Calibri" w:cs="Calibri"/>
                <w:color w:val="000000"/>
                <w:lang w:eastAsia="tr-TR"/>
              </w:rPr>
            </w:pPr>
            <w:r w:rsidRPr="00CB0F5B">
              <w:rPr>
                <w:rFonts w:ascii="Calibri" w:hAnsi="Calibri" w:cs="Calibri"/>
                <w:color w:val="000000"/>
              </w:rPr>
              <w:t>KHM</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0</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0,00</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1</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0,01</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0</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0,00</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0</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0,00</w:t>
            </w:r>
          </w:p>
        </w:tc>
        <w:tc>
          <w:tcPr>
            <w:tcW w:w="363"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0</w:t>
            </w:r>
          </w:p>
        </w:tc>
        <w:tc>
          <w:tcPr>
            <w:tcW w:w="364" w:type="pct"/>
            <w:tcBorders>
              <w:top w:val="nil"/>
              <w:left w:val="nil"/>
              <w:bottom w:val="single" w:sz="8" w:space="0" w:color="D9D9D9"/>
              <w:right w:val="single" w:sz="8" w:space="0" w:color="D9D9D9"/>
            </w:tcBorders>
            <w:shd w:val="clear" w:color="auto" w:fill="auto"/>
            <w:noWrap/>
            <w:vAlign w:val="center"/>
          </w:tcPr>
          <w:p w:rsidR="001F39FB" w:rsidRPr="00CB0F5B" w:rsidRDefault="001F39FB" w:rsidP="001F39FB">
            <w:pPr>
              <w:spacing w:after="0" w:line="240" w:lineRule="auto"/>
              <w:jc w:val="right"/>
              <w:rPr>
                <w:rFonts w:ascii="Calibri" w:eastAsia="Times New Roman" w:hAnsi="Calibri" w:cs="Calibri"/>
                <w:color w:val="000000"/>
                <w:lang w:eastAsia="tr-TR"/>
              </w:rPr>
            </w:pPr>
            <w:r w:rsidRPr="00CB0F5B">
              <w:rPr>
                <w:rFonts w:ascii="Calibri" w:hAnsi="Calibri" w:cs="Calibri"/>
                <w:color w:val="000000"/>
              </w:rPr>
              <w:t>0,00</w:t>
            </w:r>
          </w:p>
        </w:tc>
        <w:tc>
          <w:tcPr>
            <w:tcW w:w="418" w:type="pct"/>
            <w:tcBorders>
              <w:top w:val="nil"/>
              <w:left w:val="nil"/>
              <w:bottom w:val="single" w:sz="8" w:space="0" w:color="D9D9D9"/>
              <w:right w:val="single" w:sz="8" w:space="0" w:color="D9D9D9"/>
            </w:tcBorders>
            <w:shd w:val="clear" w:color="auto" w:fill="auto"/>
            <w:vAlign w:val="center"/>
          </w:tcPr>
          <w:p w:rsidR="001F39FB" w:rsidRPr="00CB0F5B" w:rsidRDefault="001F39FB" w:rsidP="001F39FB">
            <w:pPr>
              <w:spacing w:after="0" w:line="240" w:lineRule="auto"/>
              <w:jc w:val="right"/>
              <w:rPr>
                <w:rFonts w:ascii="Calibri" w:eastAsia="Times New Roman" w:hAnsi="Calibri" w:cs="Calibri"/>
                <w:b/>
                <w:bCs/>
                <w:color w:val="000000"/>
                <w:lang w:eastAsia="tr-TR"/>
              </w:rPr>
            </w:pPr>
            <w:r w:rsidRPr="00CB0F5B">
              <w:rPr>
                <w:rFonts w:ascii="Calibri" w:hAnsi="Calibri" w:cs="Calibri"/>
                <w:b/>
                <w:bCs/>
                <w:color w:val="000000"/>
              </w:rPr>
              <w:t>1</w:t>
            </w:r>
          </w:p>
        </w:tc>
        <w:tc>
          <w:tcPr>
            <w:tcW w:w="460" w:type="pct"/>
            <w:tcBorders>
              <w:top w:val="nil"/>
              <w:left w:val="nil"/>
              <w:bottom w:val="single" w:sz="8" w:space="0" w:color="D9D9D9"/>
              <w:right w:val="single" w:sz="8" w:space="0" w:color="D9D9D9"/>
            </w:tcBorders>
            <w:shd w:val="clear" w:color="auto" w:fill="auto"/>
          </w:tcPr>
          <w:p w:rsidR="001F39FB" w:rsidRPr="001F39FB" w:rsidRDefault="001F39FB" w:rsidP="001F39FB">
            <w:pPr>
              <w:spacing w:after="0" w:line="240" w:lineRule="auto"/>
              <w:jc w:val="right"/>
              <w:rPr>
                <w:rFonts w:ascii="Calibri" w:eastAsia="Times New Roman" w:hAnsi="Calibri" w:cs="Calibri"/>
                <w:b/>
                <w:bCs/>
                <w:color w:val="000000"/>
                <w:lang w:eastAsia="tr-TR"/>
              </w:rPr>
            </w:pPr>
            <w:r w:rsidRPr="001F39FB">
              <w:rPr>
                <w:b/>
              </w:rPr>
              <w:t>0,00</w:t>
            </w:r>
          </w:p>
        </w:tc>
      </w:tr>
      <w:tr w:rsidR="00C84B12" w:rsidRPr="00CB0F5B" w:rsidTr="002A1509">
        <w:trPr>
          <w:trHeight w:val="20"/>
          <w:jc w:val="center"/>
        </w:trPr>
        <w:tc>
          <w:tcPr>
            <w:tcW w:w="491" w:type="pct"/>
            <w:tcBorders>
              <w:top w:val="nil"/>
              <w:left w:val="single" w:sz="8" w:space="0" w:color="D9D9D9"/>
              <w:bottom w:val="single" w:sz="8" w:space="0" w:color="D9D9D9"/>
              <w:right w:val="single" w:sz="8" w:space="0" w:color="D9D9D9"/>
            </w:tcBorders>
            <w:shd w:val="clear" w:color="auto" w:fill="auto"/>
            <w:noWrap/>
            <w:vAlign w:val="center"/>
            <w:hideMark/>
          </w:tcPr>
          <w:p w:rsidR="00C84B12" w:rsidRPr="00CB0F5B" w:rsidRDefault="00C84B12" w:rsidP="00C84B12">
            <w:pPr>
              <w:spacing w:after="0" w:line="240" w:lineRule="auto"/>
              <w:rPr>
                <w:rFonts w:ascii="Calibri" w:eastAsia="Times New Roman" w:hAnsi="Calibri" w:cs="Calibri"/>
                <w:b/>
                <w:bCs/>
                <w:color w:val="000000"/>
                <w:lang w:eastAsia="tr-TR"/>
              </w:rPr>
            </w:pPr>
            <w:r w:rsidRPr="00CB0F5B">
              <w:rPr>
                <w:rFonts w:ascii="Calibri" w:hAnsi="Calibri" w:cs="Calibri"/>
                <w:b/>
                <w:bCs/>
                <w:color w:val="000000"/>
              </w:rPr>
              <w:t>Toplam</w:t>
            </w:r>
          </w:p>
        </w:tc>
        <w:tc>
          <w:tcPr>
            <w:tcW w:w="363" w:type="pct"/>
            <w:tcBorders>
              <w:top w:val="nil"/>
              <w:left w:val="nil"/>
              <w:bottom w:val="single" w:sz="8" w:space="0" w:color="D9D9D9"/>
              <w:right w:val="single" w:sz="8" w:space="0" w:color="D9D9D9"/>
            </w:tcBorders>
            <w:shd w:val="clear" w:color="auto" w:fill="auto"/>
            <w:vAlign w:val="center"/>
          </w:tcPr>
          <w:p w:rsidR="00C84B12" w:rsidRPr="00CB0F5B" w:rsidRDefault="00C84B12" w:rsidP="00C84B12">
            <w:pPr>
              <w:spacing w:after="0" w:line="240" w:lineRule="auto"/>
              <w:jc w:val="right"/>
              <w:rPr>
                <w:rFonts w:ascii="Calibri" w:eastAsia="Times New Roman" w:hAnsi="Calibri" w:cs="Calibri"/>
                <w:b/>
                <w:bCs/>
                <w:color w:val="000000"/>
                <w:lang w:eastAsia="tr-TR"/>
              </w:rPr>
            </w:pPr>
            <w:r w:rsidRPr="00CB0F5B">
              <w:rPr>
                <w:rFonts w:ascii="Calibri" w:hAnsi="Calibri" w:cs="Calibri"/>
                <w:b/>
                <w:bCs/>
                <w:color w:val="000000"/>
              </w:rPr>
              <w:t>8.366</w:t>
            </w:r>
          </w:p>
        </w:tc>
        <w:tc>
          <w:tcPr>
            <w:tcW w:w="363" w:type="pct"/>
            <w:tcBorders>
              <w:top w:val="nil"/>
              <w:left w:val="nil"/>
              <w:bottom w:val="single" w:sz="8" w:space="0" w:color="D9D9D9"/>
              <w:right w:val="single" w:sz="8" w:space="0" w:color="D9D9D9"/>
            </w:tcBorders>
            <w:shd w:val="clear" w:color="auto" w:fill="auto"/>
            <w:noWrap/>
            <w:vAlign w:val="center"/>
          </w:tcPr>
          <w:p w:rsidR="00C84B12" w:rsidRPr="00CB0F5B" w:rsidRDefault="00C84B12" w:rsidP="00C84B12">
            <w:pPr>
              <w:spacing w:after="0" w:line="240" w:lineRule="auto"/>
              <w:jc w:val="right"/>
              <w:rPr>
                <w:rFonts w:ascii="Calibri" w:eastAsia="Times New Roman" w:hAnsi="Calibri" w:cs="Calibri"/>
                <w:b/>
                <w:bCs/>
                <w:color w:val="000000"/>
                <w:lang w:eastAsia="tr-TR"/>
              </w:rPr>
            </w:pPr>
            <w:r w:rsidRPr="00CB0F5B">
              <w:rPr>
                <w:rFonts w:ascii="Calibri" w:hAnsi="Calibri" w:cs="Calibri"/>
                <w:b/>
                <w:bCs/>
                <w:color w:val="000000"/>
              </w:rPr>
              <w:t>100</w:t>
            </w:r>
          </w:p>
        </w:tc>
        <w:tc>
          <w:tcPr>
            <w:tcW w:w="363" w:type="pct"/>
            <w:tcBorders>
              <w:top w:val="nil"/>
              <w:left w:val="nil"/>
              <w:bottom w:val="single" w:sz="8" w:space="0" w:color="D9D9D9"/>
              <w:right w:val="single" w:sz="8" w:space="0" w:color="D9D9D9"/>
            </w:tcBorders>
            <w:shd w:val="clear" w:color="auto" w:fill="auto"/>
            <w:vAlign w:val="center"/>
          </w:tcPr>
          <w:p w:rsidR="00C84B12" w:rsidRPr="00CB0F5B" w:rsidRDefault="00C84B12" w:rsidP="00C84B12">
            <w:pPr>
              <w:spacing w:after="0" w:line="240" w:lineRule="auto"/>
              <w:jc w:val="right"/>
              <w:rPr>
                <w:rFonts w:ascii="Calibri" w:eastAsia="Times New Roman" w:hAnsi="Calibri" w:cs="Calibri"/>
                <w:b/>
                <w:bCs/>
                <w:color w:val="000000"/>
                <w:lang w:eastAsia="tr-TR"/>
              </w:rPr>
            </w:pPr>
            <w:r w:rsidRPr="00CB0F5B">
              <w:rPr>
                <w:rFonts w:ascii="Calibri" w:hAnsi="Calibri" w:cs="Calibri"/>
                <w:b/>
                <w:bCs/>
                <w:color w:val="000000"/>
              </w:rPr>
              <w:t>9.398</w:t>
            </w:r>
          </w:p>
        </w:tc>
        <w:tc>
          <w:tcPr>
            <w:tcW w:w="363" w:type="pct"/>
            <w:tcBorders>
              <w:top w:val="nil"/>
              <w:left w:val="nil"/>
              <w:bottom w:val="single" w:sz="8" w:space="0" w:color="D9D9D9"/>
              <w:right w:val="single" w:sz="8" w:space="0" w:color="D9D9D9"/>
            </w:tcBorders>
            <w:shd w:val="clear" w:color="auto" w:fill="auto"/>
            <w:noWrap/>
            <w:vAlign w:val="center"/>
          </w:tcPr>
          <w:p w:rsidR="00C84B12" w:rsidRPr="00CB0F5B" w:rsidRDefault="00C84B12" w:rsidP="00C84B12">
            <w:pPr>
              <w:spacing w:after="0" w:line="240" w:lineRule="auto"/>
              <w:jc w:val="right"/>
              <w:rPr>
                <w:rFonts w:ascii="Calibri" w:eastAsia="Times New Roman" w:hAnsi="Calibri" w:cs="Calibri"/>
                <w:b/>
                <w:bCs/>
                <w:color w:val="000000"/>
                <w:lang w:eastAsia="tr-TR"/>
              </w:rPr>
            </w:pPr>
            <w:r w:rsidRPr="00CB0F5B">
              <w:rPr>
                <w:rFonts w:ascii="Calibri" w:hAnsi="Calibri" w:cs="Calibri"/>
                <w:b/>
                <w:bCs/>
                <w:color w:val="000000"/>
              </w:rPr>
              <w:t>100</w:t>
            </w:r>
          </w:p>
        </w:tc>
        <w:tc>
          <w:tcPr>
            <w:tcW w:w="363" w:type="pct"/>
            <w:tcBorders>
              <w:top w:val="nil"/>
              <w:left w:val="nil"/>
              <w:bottom w:val="single" w:sz="8" w:space="0" w:color="D9D9D9"/>
              <w:right w:val="single" w:sz="8" w:space="0" w:color="D9D9D9"/>
            </w:tcBorders>
            <w:shd w:val="clear" w:color="auto" w:fill="auto"/>
            <w:noWrap/>
            <w:vAlign w:val="center"/>
          </w:tcPr>
          <w:p w:rsidR="00C84B12" w:rsidRPr="00CB0F5B" w:rsidRDefault="00C84B12" w:rsidP="00C84B12">
            <w:pPr>
              <w:spacing w:after="0" w:line="240" w:lineRule="auto"/>
              <w:jc w:val="right"/>
              <w:rPr>
                <w:rFonts w:ascii="Calibri" w:eastAsia="Times New Roman" w:hAnsi="Calibri" w:cs="Calibri"/>
                <w:b/>
                <w:bCs/>
                <w:color w:val="000000"/>
                <w:lang w:eastAsia="tr-TR"/>
              </w:rPr>
            </w:pPr>
            <w:r w:rsidRPr="00CB0F5B">
              <w:rPr>
                <w:rFonts w:ascii="Calibri" w:hAnsi="Calibri" w:cs="Calibri"/>
                <w:b/>
                <w:bCs/>
                <w:color w:val="000000"/>
              </w:rPr>
              <w:t>9.617</w:t>
            </w:r>
          </w:p>
        </w:tc>
        <w:tc>
          <w:tcPr>
            <w:tcW w:w="363" w:type="pct"/>
            <w:tcBorders>
              <w:top w:val="nil"/>
              <w:left w:val="nil"/>
              <w:bottom w:val="single" w:sz="8" w:space="0" w:color="D9D9D9"/>
              <w:right w:val="single" w:sz="8" w:space="0" w:color="D9D9D9"/>
            </w:tcBorders>
            <w:shd w:val="clear" w:color="auto" w:fill="auto"/>
            <w:noWrap/>
            <w:vAlign w:val="center"/>
          </w:tcPr>
          <w:p w:rsidR="00C84B12" w:rsidRPr="00CB0F5B" w:rsidRDefault="00C84B12" w:rsidP="00C84B12">
            <w:pPr>
              <w:spacing w:after="0" w:line="240" w:lineRule="auto"/>
              <w:jc w:val="right"/>
              <w:rPr>
                <w:rFonts w:ascii="Calibri" w:eastAsia="Times New Roman" w:hAnsi="Calibri" w:cs="Calibri"/>
                <w:b/>
                <w:bCs/>
                <w:color w:val="000000"/>
                <w:lang w:eastAsia="tr-TR"/>
              </w:rPr>
            </w:pPr>
            <w:r w:rsidRPr="00CB0F5B">
              <w:rPr>
                <w:rFonts w:ascii="Calibri" w:hAnsi="Calibri" w:cs="Calibri"/>
                <w:b/>
                <w:bCs/>
                <w:color w:val="000000"/>
              </w:rPr>
              <w:t>100</w:t>
            </w:r>
          </w:p>
        </w:tc>
        <w:tc>
          <w:tcPr>
            <w:tcW w:w="363" w:type="pct"/>
            <w:tcBorders>
              <w:top w:val="nil"/>
              <w:left w:val="nil"/>
              <w:bottom w:val="single" w:sz="8" w:space="0" w:color="D9D9D9"/>
              <w:right w:val="single" w:sz="8" w:space="0" w:color="D9D9D9"/>
            </w:tcBorders>
            <w:shd w:val="clear" w:color="auto" w:fill="auto"/>
            <w:noWrap/>
            <w:vAlign w:val="center"/>
          </w:tcPr>
          <w:p w:rsidR="00C84B12" w:rsidRPr="00CB0F5B" w:rsidRDefault="00C84B12" w:rsidP="00C84B12">
            <w:pPr>
              <w:spacing w:after="0" w:line="240" w:lineRule="auto"/>
              <w:jc w:val="right"/>
              <w:rPr>
                <w:rFonts w:ascii="Calibri" w:eastAsia="Times New Roman" w:hAnsi="Calibri" w:cs="Calibri"/>
                <w:b/>
                <w:bCs/>
                <w:color w:val="000000"/>
                <w:lang w:eastAsia="tr-TR"/>
              </w:rPr>
            </w:pPr>
            <w:r w:rsidRPr="00CB0F5B">
              <w:rPr>
                <w:rFonts w:ascii="Calibri" w:hAnsi="Calibri" w:cs="Calibri"/>
                <w:b/>
                <w:bCs/>
                <w:color w:val="000000"/>
              </w:rPr>
              <w:t>5.212</w:t>
            </w:r>
          </w:p>
        </w:tc>
        <w:tc>
          <w:tcPr>
            <w:tcW w:w="363" w:type="pct"/>
            <w:tcBorders>
              <w:top w:val="nil"/>
              <w:left w:val="nil"/>
              <w:bottom w:val="single" w:sz="8" w:space="0" w:color="D9D9D9"/>
              <w:right w:val="single" w:sz="8" w:space="0" w:color="D9D9D9"/>
            </w:tcBorders>
            <w:shd w:val="clear" w:color="auto" w:fill="auto"/>
            <w:noWrap/>
            <w:vAlign w:val="center"/>
          </w:tcPr>
          <w:p w:rsidR="00C84B12" w:rsidRPr="00CB0F5B" w:rsidRDefault="00C84B12" w:rsidP="00C84B12">
            <w:pPr>
              <w:spacing w:after="0" w:line="240" w:lineRule="auto"/>
              <w:jc w:val="right"/>
              <w:rPr>
                <w:rFonts w:ascii="Calibri" w:eastAsia="Times New Roman" w:hAnsi="Calibri" w:cs="Calibri"/>
                <w:b/>
                <w:bCs/>
                <w:color w:val="000000"/>
                <w:lang w:eastAsia="tr-TR"/>
              </w:rPr>
            </w:pPr>
            <w:r w:rsidRPr="00CB0F5B">
              <w:rPr>
                <w:rFonts w:ascii="Calibri" w:hAnsi="Calibri" w:cs="Calibri"/>
                <w:b/>
                <w:bCs/>
                <w:color w:val="000000"/>
              </w:rPr>
              <w:t>100</w:t>
            </w:r>
          </w:p>
        </w:tc>
        <w:tc>
          <w:tcPr>
            <w:tcW w:w="363" w:type="pct"/>
            <w:tcBorders>
              <w:top w:val="nil"/>
              <w:left w:val="nil"/>
              <w:bottom w:val="single" w:sz="8" w:space="0" w:color="D9D9D9"/>
              <w:right w:val="single" w:sz="8" w:space="0" w:color="D9D9D9"/>
            </w:tcBorders>
            <w:shd w:val="clear" w:color="auto" w:fill="auto"/>
            <w:noWrap/>
            <w:vAlign w:val="center"/>
          </w:tcPr>
          <w:p w:rsidR="00C84B12" w:rsidRPr="00CB0F5B" w:rsidRDefault="00C84B12" w:rsidP="00C84B12">
            <w:pPr>
              <w:spacing w:after="0" w:line="240" w:lineRule="auto"/>
              <w:jc w:val="right"/>
              <w:rPr>
                <w:rFonts w:ascii="Calibri" w:eastAsia="Times New Roman" w:hAnsi="Calibri" w:cs="Calibri"/>
                <w:b/>
                <w:bCs/>
                <w:color w:val="000000"/>
                <w:lang w:eastAsia="tr-TR"/>
              </w:rPr>
            </w:pPr>
            <w:r>
              <w:rPr>
                <w:rFonts w:ascii="Calibri" w:hAnsi="Calibri" w:cs="Calibri"/>
                <w:b/>
                <w:bCs/>
                <w:color w:val="000000"/>
              </w:rPr>
              <w:t>4.602</w:t>
            </w:r>
          </w:p>
        </w:tc>
        <w:tc>
          <w:tcPr>
            <w:tcW w:w="364" w:type="pct"/>
            <w:tcBorders>
              <w:top w:val="nil"/>
              <w:left w:val="nil"/>
              <w:bottom w:val="single" w:sz="8" w:space="0" w:color="D9D9D9"/>
              <w:right w:val="single" w:sz="8" w:space="0" w:color="D9D9D9"/>
            </w:tcBorders>
            <w:shd w:val="clear" w:color="auto" w:fill="auto"/>
            <w:noWrap/>
            <w:vAlign w:val="center"/>
          </w:tcPr>
          <w:p w:rsidR="00C84B12" w:rsidRPr="00CB0F5B" w:rsidRDefault="00C84B12" w:rsidP="00C84B12">
            <w:pPr>
              <w:spacing w:after="0" w:line="240" w:lineRule="auto"/>
              <w:jc w:val="right"/>
              <w:rPr>
                <w:rFonts w:ascii="Calibri" w:eastAsia="Times New Roman" w:hAnsi="Calibri" w:cs="Calibri"/>
                <w:b/>
                <w:bCs/>
                <w:color w:val="000000"/>
                <w:lang w:eastAsia="tr-TR"/>
              </w:rPr>
            </w:pPr>
            <w:r w:rsidRPr="00CB0F5B">
              <w:rPr>
                <w:rFonts w:ascii="Calibri" w:hAnsi="Calibri" w:cs="Calibri"/>
                <w:b/>
                <w:bCs/>
                <w:color w:val="000000"/>
              </w:rPr>
              <w:t>100</w:t>
            </w:r>
          </w:p>
        </w:tc>
        <w:tc>
          <w:tcPr>
            <w:tcW w:w="418" w:type="pct"/>
            <w:tcBorders>
              <w:top w:val="nil"/>
              <w:left w:val="nil"/>
              <w:bottom w:val="single" w:sz="8" w:space="0" w:color="D9D9D9"/>
              <w:right w:val="single" w:sz="8" w:space="0" w:color="D9D9D9"/>
            </w:tcBorders>
            <w:shd w:val="clear" w:color="auto" w:fill="auto"/>
            <w:vAlign w:val="center"/>
          </w:tcPr>
          <w:p w:rsidR="00C84B12" w:rsidRPr="00CB0F5B" w:rsidRDefault="001F39FB" w:rsidP="00C84B12">
            <w:pPr>
              <w:spacing w:after="0" w:line="240" w:lineRule="auto"/>
              <w:jc w:val="right"/>
              <w:rPr>
                <w:rFonts w:ascii="Calibri" w:eastAsia="Times New Roman" w:hAnsi="Calibri" w:cs="Calibri"/>
                <w:b/>
                <w:bCs/>
                <w:color w:val="000000"/>
                <w:lang w:eastAsia="tr-TR"/>
              </w:rPr>
            </w:pPr>
            <w:r>
              <w:rPr>
                <w:rFonts w:ascii="Calibri" w:hAnsi="Calibri" w:cs="Calibri"/>
                <w:b/>
                <w:bCs/>
                <w:color w:val="000000"/>
              </w:rPr>
              <w:t>37.195</w:t>
            </w:r>
          </w:p>
        </w:tc>
        <w:tc>
          <w:tcPr>
            <w:tcW w:w="460" w:type="pct"/>
            <w:tcBorders>
              <w:top w:val="nil"/>
              <w:left w:val="nil"/>
              <w:bottom w:val="single" w:sz="8" w:space="0" w:color="D9D9D9"/>
              <w:right w:val="single" w:sz="8" w:space="0" w:color="D9D9D9"/>
            </w:tcBorders>
            <w:shd w:val="clear" w:color="auto" w:fill="auto"/>
            <w:vAlign w:val="center"/>
          </w:tcPr>
          <w:p w:rsidR="00C84B12" w:rsidRPr="00CB0F5B" w:rsidRDefault="00C84B12" w:rsidP="00C84B12">
            <w:pPr>
              <w:spacing w:after="0" w:line="240" w:lineRule="auto"/>
              <w:jc w:val="right"/>
              <w:rPr>
                <w:rFonts w:ascii="Calibri" w:eastAsia="Times New Roman" w:hAnsi="Calibri" w:cs="Calibri"/>
                <w:b/>
                <w:bCs/>
                <w:color w:val="000000"/>
                <w:lang w:eastAsia="tr-TR"/>
              </w:rPr>
            </w:pPr>
            <w:r w:rsidRPr="00CB0F5B">
              <w:rPr>
                <w:rFonts w:ascii="Calibri" w:hAnsi="Calibri" w:cs="Calibri"/>
                <w:b/>
                <w:bCs/>
                <w:color w:val="000000"/>
              </w:rPr>
              <w:t>100</w:t>
            </w:r>
          </w:p>
        </w:tc>
      </w:tr>
    </w:tbl>
    <w:p w:rsidR="00751D17" w:rsidRPr="00751D17" w:rsidRDefault="009F6B4A" w:rsidP="00751D17">
      <w:pPr>
        <w:pStyle w:val="Balk5"/>
        <w:jc w:val="center"/>
        <w:rPr>
          <w:rFonts w:asciiTheme="minorHAnsi" w:hAnsiTheme="minorHAnsi"/>
          <w:b/>
          <w:bCs/>
          <w:color w:val="000000" w:themeColor="text1"/>
        </w:rPr>
      </w:pPr>
      <w:bookmarkStart w:id="21" w:name="_Toc132713886"/>
      <w:r w:rsidRPr="00E9291A">
        <w:rPr>
          <w:rStyle w:val="Gl"/>
          <w:color w:val="000000" w:themeColor="text1"/>
        </w:rPr>
        <w:t>Tablo 1.3: 201</w:t>
      </w:r>
      <w:r w:rsidR="001F39FB">
        <w:rPr>
          <w:rStyle w:val="Gl"/>
          <w:color w:val="000000" w:themeColor="text1"/>
        </w:rPr>
        <w:t>8</w:t>
      </w:r>
      <w:r w:rsidR="001978FE">
        <w:rPr>
          <w:rStyle w:val="Gl"/>
          <w:color w:val="000000" w:themeColor="text1"/>
        </w:rPr>
        <w:t>-202</w:t>
      </w:r>
      <w:r w:rsidR="001F39FB">
        <w:rPr>
          <w:rStyle w:val="Gl"/>
          <w:color w:val="000000" w:themeColor="text1"/>
        </w:rPr>
        <w:t>2</w:t>
      </w:r>
      <w:r w:rsidRPr="00E9291A">
        <w:rPr>
          <w:rStyle w:val="Gl"/>
          <w:color w:val="000000" w:themeColor="text1"/>
        </w:rPr>
        <w:t xml:space="preserve"> Yılları Arasında Alınan Kurul Kararlarının Genel Dağılımı</w:t>
      </w:r>
      <w:bookmarkEnd w:id="18"/>
      <w:bookmarkEnd w:id="19"/>
      <w:bookmarkEnd w:id="20"/>
      <w:bookmarkEnd w:id="21"/>
    </w:p>
    <w:tbl>
      <w:tblPr>
        <w:tblW w:w="5000" w:type="pct"/>
        <w:tblCellMar>
          <w:left w:w="70" w:type="dxa"/>
          <w:right w:w="70" w:type="dxa"/>
        </w:tblCellMar>
        <w:tblLook w:val="04A0" w:firstRow="1" w:lastRow="0" w:firstColumn="1" w:lastColumn="0" w:noHBand="0" w:noVBand="1"/>
      </w:tblPr>
      <w:tblGrid>
        <w:gridCol w:w="3565"/>
        <w:gridCol w:w="1103"/>
        <w:gridCol w:w="1081"/>
        <w:gridCol w:w="711"/>
        <w:gridCol w:w="711"/>
        <w:gridCol w:w="899"/>
        <w:gridCol w:w="1832"/>
      </w:tblGrid>
      <w:tr w:rsidR="001F39FB" w:rsidRPr="001978FE" w:rsidTr="001978FE">
        <w:trPr>
          <w:trHeight w:val="20"/>
        </w:trPr>
        <w:tc>
          <w:tcPr>
            <w:tcW w:w="1800" w:type="pct"/>
            <w:tcBorders>
              <w:top w:val="single" w:sz="8" w:space="0" w:color="D9D9D9"/>
              <w:left w:val="single" w:sz="8" w:space="0" w:color="D9D9D9"/>
              <w:bottom w:val="nil"/>
              <w:right w:val="single" w:sz="8" w:space="0" w:color="D9D9D9"/>
            </w:tcBorders>
            <w:shd w:val="clear" w:color="000000" w:fill="6E9ECA"/>
            <w:noWrap/>
            <w:vAlign w:val="center"/>
            <w:hideMark/>
          </w:tcPr>
          <w:p w:rsidR="001F39FB" w:rsidRPr="001978FE" w:rsidRDefault="001F39FB" w:rsidP="001F39FB">
            <w:pPr>
              <w:spacing w:after="0" w:line="240" w:lineRule="auto"/>
              <w:jc w:val="center"/>
              <w:rPr>
                <w:rFonts w:ascii="Calibri" w:eastAsia="Times New Roman" w:hAnsi="Calibri" w:cs="Calibri"/>
                <w:b/>
                <w:bCs/>
                <w:color w:val="FFFFFF"/>
                <w:sz w:val="20"/>
                <w:szCs w:val="20"/>
                <w:lang w:eastAsia="tr-TR"/>
              </w:rPr>
            </w:pPr>
            <w:r w:rsidRPr="001978FE">
              <w:rPr>
                <w:rFonts w:ascii="Calibri" w:eastAsia="Times New Roman" w:hAnsi="Calibri" w:cs="Calibri"/>
                <w:b/>
                <w:bCs/>
                <w:color w:val="FFFFFF"/>
                <w:sz w:val="20"/>
                <w:szCs w:val="20"/>
                <w:lang w:eastAsia="tr-TR"/>
              </w:rPr>
              <w:t>Yıllar</w:t>
            </w:r>
          </w:p>
        </w:tc>
        <w:tc>
          <w:tcPr>
            <w:tcW w:w="557" w:type="pct"/>
            <w:tcBorders>
              <w:top w:val="single" w:sz="8" w:space="0" w:color="D9D9D9"/>
              <w:left w:val="nil"/>
              <w:bottom w:val="nil"/>
              <w:right w:val="single" w:sz="8" w:space="0" w:color="D9D9D9"/>
            </w:tcBorders>
            <w:shd w:val="clear" w:color="000000" w:fill="6E9ECA"/>
            <w:noWrap/>
            <w:vAlign w:val="center"/>
            <w:hideMark/>
          </w:tcPr>
          <w:p w:rsidR="001F39FB" w:rsidRPr="001978FE" w:rsidRDefault="001F39FB" w:rsidP="001F39FB">
            <w:pPr>
              <w:spacing w:after="0" w:line="240" w:lineRule="auto"/>
              <w:jc w:val="center"/>
              <w:rPr>
                <w:rFonts w:ascii="Calibri" w:eastAsia="Times New Roman" w:hAnsi="Calibri" w:cs="Calibri"/>
                <w:b/>
                <w:bCs/>
                <w:color w:val="FFFFFF"/>
                <w:sz w:val="20"/>
                <w:szCs w:val="20"/>
                <w:lang w:eastAsia="tr-TR"/>
              </w:rPr>
            </w:pPr>
            <w:r w:rsidRPr="001978FE">
              <w:rPr>
                <w:rFonts w:ascii="Calibri" w:eastAsia="Times New Roman" w:hAnsi="Calibri" w:cs="Calibri"/>
                <w:b/>
                <w:bCs/>
                <w:color w:val="FFFFFF"/>
                <w:sz w:val="20"/>
                <w:szCs w:val="20"/>
                <w:lang w:eastAsia="tr-TR"/>
              </w:rPr>
              <w:t>201</w:t>
            </w:r>
            <w:r>
              <w:rPr>
                <w:rFonts w:ascii="Calibri" w:eastAsia="Times New Roman" w:hAnsi="Calibri" w:cs="Calibri"/>
                <w:b/>
                <w:bCs/>
                <w:color w:val="FFFFFF"/>
                <w:sz w:val="20"/>
                <w:szCs w:val="20"/>
                <w:lang w:eastAsia="tr-TR"/>
              </w:rPr>
              <w:t>8</w:t>
            </w:r>
          </w:p>
        </w:tc>
        <w:tc>
          <w:tcPr>
            <w:tcW w:w="546" w:type="pct"/>
            <w:tcBorders>
              <w:top w:val="single" w:sz="8" w:space="0" w:color="D9D9D9"/>
              <w:left w:val="nil"/>
              <w:bottom w:val="nil"/>
              <w:right w:val="single" w:sz="8" w:space="0" w:color="D9D9D9"/>
            </w:tcBorders>
            <w:shd w:val="clear" w:color="000000" w:fill="6E9ECA"/>
            <w:vAlign w:val="center"/>
            <w:hideMark/>
          </w:tcPr>
          <w:p w:rsidR="001F39FB" w:rsidRPr="001978FE" w:rsidRDefault="001F39FB" w:rsidP="001F39FB">
            <w:pPr>
              <w:spacing w:after="0" w:line="240" w:lineRule="auto"/>
              <w:jc w:val="center"/>
              <w:rPr>
                <w:rFonts w:ascii="Calibri" w:eastAsia="Times New Roman" w:hAnsi="Calibri" w:cs="Calibri"/>
                <w:b/>
                <w:bCs/>
                <w:color w:val="FFFFFF"/>
                <w:sz w:val="20"/>
                <w:szCs w:val="20"/>
                <w:lang w:eastAsia="tr-TR"/>
              </w:rPr>
            </w:pPr>
            <w:r w:rsidRPr="001978FE">
              <w:rPr>
                <w:rFonts w:ascii="Calibri" w:eastAsia="Times New Roman" w:hAnsi="Calibri" w:cs="Calibri"/>
                <w:b/>
                <w:bCs/>
                <w:color w:val="FFFFFF"/>
                <w:sz w:val="20"/>
                <w:szCs w:val="20"/>
                <w:lang w:eastAsia="tr-TR"/>
              </w:rPr>
              <w:t>201</w:t>
            </w:r>
            <w:r>
              <w:rPr>
                <w:rFonts w:ascii="Calibri" w:eastAsia="Times New Roman" w:hAnsi="Calibri" w:cs="Calibri"/>
                <w:b/>
                <w:bCs/>
                <w:color w:val="FFFFFF"/>
                <w:sz w:val="20"/>
                <w:szCs w:val="20"/>
                <w:lang w:eastAsia="tr-TR"/>
              </w:rPr>
              <w:t>9</w:t>
            </w:r>
          </w:p>
        </w:tc>
        <w:tc>
          <w:tcPr>
            <w:tcW w:w="359" w:type="pct"/>
            <w:tcBorders>
              <w:top w:val="single" w:sz="8" w:space="0" w:color="D9D9D9"/>
              <w:left w:val="nil"/>
              <w:bottom w:val="nil"/>
              <w:right w:val="single" w:sz="8" w:space="0" w:color="D9D9D9"/>
            </w:tcBorders>
            <w:shd w:val="clear" w:color="000000" w:fill="6E9ECA"/>
            <w:noWrap/>
            <w:vAlign w:val="center"/>
            <w:hideMark/>
          </w:tcPr>
          <w:p w:rsidR="001F39FB" w:rsidRPr="001978FE" w:rsidRDefault="001F39FB" w:rsidP="001F39FB">
            <w:pPr>
              <w:spacing w:after="0" w:line="240" w:lineRule="auto"/>
              <w:jc w:val="center"/>
              <w:rPr>
                <w:rFonts w:ascii="Calibri" w:eastAsia="Times New Roman" w:hAnsi="Calibri" w:cs="Calibri"/>
                <w:b/>
                <w:bCs/>
                <w:color w:val="FFFFFF"/>
                <w:sz w:val="20"/>
                <w:szCs w:val="20"/>
                <w:lang w:eastAsia="tr-TR"/>
              </w:rPr>
            </w:pPr>
            <w:r w:rsidRPr="001978FE">
              <w:rPr>
                <w:rFonts w:ascii="Calibri" w:eastAsia="Times New Roman" w:hAnsi="Calibri" w:cs="Calibri"/>
                <w:b/>
                <w:bCs/>
                <w:color w:val="FFFFFF"/>
                <w:sz w:val="20"/>
                <w:szCs w:val="20"/>
                <w:lang w:eastAsia="tr-TR"/>
              </w:rPr>
              <w:t>20</w:t>
            </w:r>
            <w:r>
              <w:rPr>
                <w:rFonts w:ascii="Calibri" w:eastAsia="Times New Roman" w:hAnsi="Calibri" w:cs="Calibri"/>
                <w:b/>
                <w:bCs/>
                <w:color w:val="FFFFFF"/>
                <w:sz w:val="20"/>
                <w:szCs w:val="20"/>
                <w:lang w:eastAsia="tr-TR"/>
              </w:rPr>
              <w:t>20</w:t>
            </w:r>
          </w:p>
        </w:tc>
        <w:tc>
          <w:tcPr>
            <w:tcW w:w="359" w:type="pct"/>
            <w:tcBorders>
              <w:top w:val="single" w:sz="8" w:space="0" w:color="D9D9D9"/>
              <w:left w:val="nil"/>
              <w:bottom w:val="nil"/>
              <w:right w:val="single" w:sz="8" w:space="0" w:color="D9D9D9"/>
            </w:tcBorders>
            <w:shd w:val="clear" w:color="000000" w:fill="6E9ECA"/>
            <w:vAlign w:val="center"/>
            <w:hideMark/>
          </w:tcPr>
          <w:p w:rsidR="001F39FB" w:rsidRPr="001978FE" w:rsidRDefault="001F39FB" w:rsidP="001F39FB">
            <w:pPr>
              <w:spacing w:after="0" w:line="240" w:lineRule="auto"/>
              <w:jc w:val="center"/>
              <w:rPr>
                <w:rFonts w:ascii="Calibri" w:eastAsia="Times New Roman" w:hAnsi="Calibri" w:cs="Calibri"/>
                <w:b/>
                <w:bCs/>
                <w:color w:val="FFFFFF"/>
                <w:sz w:val="20"/>
                <w:szCs w:val="20"/>
                <w:lang w:eastAsia="tr-TR"/>
              </w:rPr>
            </w:pPr>
            <w:r w:rsidRPr="001978FE">
              <w:rPr>
                <w:rFonts w:ascii="Calibri" w:eastAsia="Times New Roman" w:hAnsi="Calibri" w:cs="Calibri"/>
                <w:b/>
                <w:bCs/>
                <w:color w:val="FFFFFF"/>
                <w:sz w:val="20"/>
                <w:szCs w:val="20"/>
                <w:lang w:eastAsia="tr-TR"/>
              </w:rPr>
              <w:t>202</w:t>
            </w:r>
            <w:r>
              <w:rPr>
                <w:rFonts w:ascii="Calibri" w:eastAsia="Times New Roman" w:hAnsi="Calibri" w:cs="Calibri"/>
                <w:b/>
                <w:bCs/>
                <w:color w:val="FFFFFF"/>
                <w:sz w:val="20"/>
                <w:szCs w:val="20"/>
                <w:lang w:eastAsia="tr-TR"/>
              </w:rPr>
              <w:t>1</w:t>
            </w:r>
          </w:p>
        </w:tc>
        <w:tc>
          <w:tcPr>
            <w:tcW w:w="454" w:type="pct"/>
            <w:tcBorders>
              <w:top w:val="single" w:sz="8" w:space="0" w:color="D9D9D9"/>
              <w:left w:val="nil"/>
              <w:bottom w:val="nil"/>
              <w:right w:val="single" w:sz="8" w:space="0" w:color="D9D9D9"/>
            </w:tcBorders>
            <w:shd w:val="clear" w:color="000000" w:fill="6E9ECA"/>
            <w:vAlign w:val="center"/>
            <w:hideMark/>
          </w:tcPr>
          <w:p w:rsidR="001F39FB" w:rsidRPr="001978FE" w:rsidRDefault="001F39FB" w:rsidP="001F39FB">
            <w:pPr>
              <w:spacing w:after="0" w:line="240" w:lineRule="auto"/>
              <w:jc w:val="center"/>
              <w:rPr>
                <w:rFonts w:ascii="Calibri" w:eastAsia="Times New Roman" w:hAnsi="Calibri" w:cs="Calibri"/>
                <w:b/>
                <w:bCs/>
                <w:color w:val="FFFFFF"/>
                <w:sz w:val="20"/>
                <w:szCs w:val="20"/>
                <w:lang w:eastAsia="tr-TR"/>
              </w:rPr>
            </w:pPr>
            <w:r w:rsidRPr="001978FE">
              <w:rPr>
                <w:rFonts w:ascii="Calibri" w:eastAsia="Times New Roman" w:hAnsi="Calibri" w:cs="Calibri"/>
                <w:b/>
                <w:bCs/>
                <w:color w:val="FFFFFF"/>
                <w:sz w:val="20"/>
                <w:szCs w:val="20"/>
                <w:lang w:eastAsia="tr-TR"/>
              </w:rPr>
              <w:t>202</w:t>
            </w:r>
            <w:r>
              <w:rPr>
                <w:rFonts w:ascii="Calibri" w:eastAsia="Times New Roman" w:hAnsi="Calibri" w:cs="Calibri"/>
                <w:b/>
                <w:bCs/>
                <w:color w:val="FFFFFF"/>
                <w:sz w:val="20"/>
                <w:szCs w:val="20"/>
                <w:lang w:eastAsia="tr-TR"/>
              </w:rPr>
              <w:t>2</w:t>
            </w:r>
          </w:p>
        </w:tc>
        <w:tc>
          <w:tcPr>
            <w:tcW w:w="925" w:type="pct"/>
            <w:tcBorders>
              <w:top w:val="single" w:sz="8" w:space="0" w:color="D9D9D9"/>
              <w:left w:val="nil"/>
              <w:bottom w:val="nil"/>
              <w:right w:val="single" w:sz="8" w:space="0" w:color="D9D9D9"/>
            </w:tcBorders>
            <w:shd w:val="clear" w:color="000000" w:fill="6E9ECA"/>
            <w:vAlign w:val="center"/>
            <w:hideMark/>
          </w:tcPr>
          <w:p w:rsidR="001F39FB" w:rsidRPr="001978FE" w:rsidRDefault="001F39FB" w:rsidP="001F39FB">
            <w:pPr>
              <w:spacing w:after="0" w:line="240" w:lineRule="auto"/>
              <w:jc w:val="center"/>
              <w:rPr>
                <w:rFonts w:ascii="Calibri" w:eastAsia="Times New Roman" w:hAnsi="Calibri" w:cs="Calibri"/>
                <w:b/>
                <w:bCs/>
                <w:color w:val="FFFFFF"/>
                <w:sz w:val="20"/>
                <w:szCs w:val="20"/>
                <w:lang w:eastAsia="tr-TR"/>
              </w:rPr>
            </w:pPr>
            <w:r w:rsidRPr="001978FE">
              <w:rPr>
                <w:rFonts w:ascii="Calibri" w:eastAsia="Times New Roman" w:hAnsi="Calibri" w:cs="Calibri"/>
                <w:b/>
                <w:bCs/>
                <w:color w:val="FFFFFF"/>
                <w:sz w:val="20"/>
                <w:szCs w:val="20"/>
                <w:lang w:eastAsia="tr-TR"/>
              </w:rPr>
              <w:t>Toplam/Ortalama Değerler</w:t>
            </w:r>
          </w:p>
        </w:tc>
      </w:tr>
      <w:tr w:rsidR="001F39FB" w:rsidRPr="001978FE" w:rsidTr="00A24C69">
        <w:trPr>
          <w:trHeight w:val="20"/>
        </w:trPr>
        <w:tc>
          <w:tcPr>
            <w:tcW w:w="1800" w:type="pct"/>
            <w:tcBorders>
              <w:top w:val="nil"/>
              <w:left w:val="single" w:sz="8" w:space="0" w:color="auto"/>
              <w:bottom w:val="single" w:sz="8" w:space="0" w:color="auto"/>
              <w:right w:val="single" w:sz="8" w:space="0" w:color="auto"/>
            </w:tcBorders>
            <w:shd w:val="clear" w:color="auto" w:fill="auto"/>
            <w:noWrap/>
            <w:vAlign w:val="center"/>
            <w:hideMark/>
          </w:tcPr>
          <w:p w:rsidR="001F39FB" w:rsidRPr="001978FE" w:rsidRDefault="001F39FB" w:rsidP="001F39FB">
            <w:pPr>
              <w:spacing w:after="0" w:line="240" w:lineRule="auto"/>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Toplam Karar Sayısı</w:t>
            </w:r>
          </w:p>
        </w:tc>
        <w:tc>
          <w:tcPr>
            <w:tcW w:w="557" w:type="pct"/>
            <w:tcBorders>
              <w:top w:val="nil"/>
              <w:left w:val="nil"/>
              <w:bottom w:val="single" w:sz="8" w:space="0" w:color="auto"/>
              <w:right w:val="single" w:sz="8" w:space="0" w:color="auto"/>
            </w:tcBorders>
            <w:shd w:val="clear" w:color="auto" w:fill="auto"/>
            <w:vAlign w:val="center"/>
          </w:tcPr>
          <w:p w:rsidR="001F39FB" w:rsidRPr="001978FE" w:rsidRDefault="001F39FB" w:rsidP="001F39FB">
            <w:pPr>
              <w:spacing w:after="0" w:line="240" w:lineRule="auto"/>
              <w:jc w:val="right"/>
              <w:rPr>
                <w:rFonts w:ascii="Calibri" w:eastAsia="Times New Roman" w:hAnsi="Calibri" w:cs="Calibri"/>
                <w:color w:val="000000"/>
                <w:lang w:eastAsia="tr-TR"/>
              </w:rPr>
            </w:pPr>
            <w:r w:rsidRPr="001978FE">
              <w:rPr>
                <w:rFonts w:ascii="Calibri" w:eastAsia="Times New Roman" w:hAnsi="Calibri" w:cs="Calibri"/>
                <w:color w:val="000000"/>
                <w:lang w:eastAsia="tr-TR"/>
              </w:rPr>
              <w:t>8.366</w:t>
            </w:r>
          </w:p>
        </w:tc>
        <w:tc>
          <w:tcPr>
            <w:tcW w:w="546" w:type="pct"/>
            <w:tcBorders>
              <w:top w:val="nil"/>
              <w:left w:val="nil"/>
              <w:bottom w:val="single" w:sz="8" w:space="0" w:color="auto"/>
              <w:right w:val="single" w:sz="8" w:space="0" w:color="auto"/>
            </w:tcBorders>
            <w:shd w:val="clear" w:color="auto" w:fill="auto"/>
            <w:noWrap/>
            <w:vAlign w:val="center"/>
            <w:hideMark/>
          </w:tcPr>
          <w:p w:rsidR="001F39FB" w:rsidRPr="001978FE" w:rsidRDefault="001F39FB" w:rsidP="001F39FB">
            <w:pPr>
              <w:spacing w:after="0" w:line="240" w:lineRule="auto"/>
              <w:jc w:val="right"/>
              <w:rPr>
                <w:rFonts w:ascii="Calibri" w:eastAsia="Times New Roman" w:hAnsi="Calibri" w:cs="Calibri"/>
                <w:color w:val="000000"/>
                <w:lang w:eastAsia="tr-TR"/>
              </w:rPr>
            </w:pPr>
            <w:r w:rsidRPr="001978FE">
              <w:rPr>
                <w:rFonts w:ascii="Calibri" w:eastAsia="Times New Roman" w:hAnsi="Calibri" w:cs="Calibri"/>
                <w:color w:val="000000"/>
                <w:lang w:eastAsia="tr-TR"/>
              </w:rPr>
              <w:t>9.398</w:t>
            </w:r>
          </w:p>
        </w:tc>
        <w:tc>
          <w:tcPr>
            <w:tcW w:w="359" w:type="pct"/>
            <w:tcBorders>
              <w:top w:val="nil"/>
              <w:left w:val="nil"/>
              <w:bottom w:val="single" w:sz="8" w:space="0" w:color="auto"/>
              <w:right w:val="single" w:sz="8" w:space="0" w:color="auto"/>
            </w:tcBorders>
            <w:shd w:val="clear" w:color="auto" w:fill="auto"/>
            <w:noWrap/>
            <w:vAlign w:val="center"/>
            <w:hideMark/>
          </w:tcPr>
          <w:p w:rsidR="001F39FB" w:rsidRPr="001978FE" w:rsidRDefault="001F39FB" w:rsidP="001F39FB">
            <w:pPr>
              <w:spacing w:after="0" w:line="240" w:lineRule="auto"/>
              <w:jc w:val="right"/>
              <w:rPr>
                <w:rFonts w:ascii="Calibri" w:eastAsia="Times New Roman" w:hAnsi="Calibri" w:cs="Calibri"/>
                <w:color w:val="000000"/>
                <w:lang w:eastAsia="tr-TR"/>
              </w:rPr>
            </w:pPr>
            <w:r w:rsidRPr="001978FE">
              <w:rPr>
                <w:rFonts w:ascii="Calibri" w:eastAsia="Times New Roman" w:hAnsi="Calibri" w:cs="Calibri"/>
                <w:color w:val="000000"/>
                <w:lang w:eastAsia="tr-TR"/>
              </w:rPr>
              <w:t>9.617</w:t>
            </w:r>
          </w:p>
        </w:tc>
        <w:tc>
          <w:tcPr>
            <w:tcW w:w="359" w:type="pct"/>
            <w:tcBorders>
              <w:top w:val="nil"/>
              <w:left w:val="nil"/>
              <w:bottom w:val="single" w:sz="8" w:space="0" w:color="auto"/>
              <w:right w:val="single" w:sz="8" w:space="0" w:color="auto"/>
            </w:tcBorders>
            <w:shd w:val="clear" w:color="auto" w:fill="auto"/>
            <w:noWrap/>
            <w:vAlign w:val="center"/>
            <w:hideMark/>
          </w:tcPr>
          <w:p w:rsidR="001F39FB" w:rsidRPr="001978FE" w:rsidRDefault="001F39FB" w:rsidP="001F39FB">
            <w:pPr>
              <w:spacing w:after="0" w:line="240" w:lineRule="auto"/>
              <w:jc w:val="right"/>
              <w:rPr>
                <w:rFonts w:ascii="Calibri" w:eastAsia="Times New Roman" w:hAnsi="Calibri" w:cs="Calibri"/>
                <w:color w:val="000000"/>
                <w:lang w:eastAsia="tr-TR"/>
              </w:rPr>
            </w:pPr>
            <w:r w:rsidRPr="005779F9">
              <w:rPr>
                <w:rFonts w:ascii="Calibri" w:eastAsia="Times New Roman" w:hAnsi="Calibri" w:cs="Calibri"/>
                <w:color w:val="000000"/>
                <w:lang w:eastAsia="tr-TR"/>
              </w:rPr>
              <w:t>5</w:t>
            </w:r>
            <w:r>
              <w:rPr>
                <w:rFonts w:ascii="Calibri" w:eastAsia="Times New Roman" w:hAnsi="Calibri" w:cs="Calibri"/>
                <w:color w:val="000000"/>
                <w:lang w:eastAsia="tr-TR"/>
              </w:rPr>
              <w:t>.</w:t>
            </w:r>
            <w:r w:rsidRPr="005779F9">
              <w:rPr>
                <w:rFonts w:ascii="Calibri" w:eastAsia="Times New Roman" w:hAnsi="Calibri" w:cs="Calibri"/>
                <w:color w:val="000000"/>
                <w:lang w:eastAsia="tr-TR"/>
              </w:rPr>
              <w:t>212</w:t>
            </w:r>
          </w:p>
        </w:tc>
        <w:tc>
          <w:tcPr>
            <w:tcW w:w="454" w:type="pct"/>
            <w:tcBorders>
              <w:top w:val="nil"/>
              <w:left w:val="nil"/>
              <w:bottom w:val="single" w:sz="8" w:space="0" w:color="auto"/>
              <w:right w:val="single" w:sz="8" w:space="0" w:color="auto"/>
            </w:tcBorders>
            <w:noWrap/>
            <w:vAlign w:val="center"/>
          </w:tcPr>
          <w:p w:rsidR="001F39FB" w:rsidRPr="005779F9" w:rsidRDefault="001F39FB" w:rsidP="001F39FB">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4.602</w:t>
            </w:r>
          </w:p>
        </w:tc>
        <w:tc>
          <w:tcPr>
            <w:tcW w:w="925" w:type="pct"/>
            <w:tcBorders>
              <w:top w:val="nil"/>
              <w:left w:val="nil"/>
              <w:bottom w:val="single" w:sz="8" w:space="0" w:color="auto"/>
              <w:right w:val="single" w:sz="8" w:space="0" w:color="auto"/>
            </w:tcBorders>
            <w:vAlign w:val="center"/>
          </w:tcPr>
          <w:p w:rsidR="001F39FB" w:rsidRPr="005779F9" w:rsidRDefault="001F39FB" w:rsidP="001F39FB">
            <w:pPr>
              <w:spacing w:after="0" w:line="240" w:lineRule="auto"/>
              <w:jc w:val="right"/>
              <w:rPr>
                <w:rFonts w:ascii="Calibri" w:eastAsia="Times New Roman" w:hAnsi="Calibri" w:cs="Calibri"/>
                <w:color w:val="000000"/>
                <w:lang w:eastAsia="tr-TR"/>
              </w:rPr>
            </w:pPr>
            <w:r w:rsidRPr="005779F9">
              <w:rPr>
                <w:rFonts w:ascii="Calibri" w:eastAsia="Times New Roman" w:hAnsi="Calibri" w:cs="Calibri"/>
                <w:color w:val="000000"/>
                <w:lang w:eastAsia="tr-TR"/>
              </w:rPr>
              <w:t>7</w:t>
            </w:r>
            <w:r>
              <w:rPr>
                <w:rFonts w:ascii="Calibri" w:eastAsia="Times New Roman" w:hAnsi="Calibri" w:cs="Calibri"/>
                <w:color w:val="000000"/>
                <w:lang w:eastAsia="tr-TR"/>
              </w:rPr>
              <w:t>.439</w:t>
            </w:r>
          </w:p>
        </w:tc>
      </w:tr>
      <w:tr w:rsidR="001F39FB" w:rsidRPr="001978FE" w:rsidTr="00A24C69">
        <w:trPr>
          <w:trHeight w:val="20"/>
        </w:trPr>
        <w:tc>
          <w:tcPr>
            <w:tcW w:w="1800" w:type="pct"/>
            <w:tcBorders>
              <w:top w:val="nil"/>
              <w:left w:val="single" w:sz="8" w:space="0" w:color="auto"/>
              <w:bottom w:val="single" w:sz="8" w:space="0" w:color="auto"/>
              <w:right w:val="single" w:sz="8" w:space="0" w:color="auto"/>
            </w:tcBorders>
            <w:shd w:val="clear" w:color="auto" w:fill="auto"/>
            <w:noWrap/>
            <w:vAlign w:val="center"/>
            <w:hideMark/>
          </w:tcPr>
          <w:p w:rsidR="001F39FB" w:rsidRPr="001978FE" w:rsidRDefault="001F39FB" w:rsidP="001F39FB">
            <w:pPr>
              <w:spacing w:after="0" w:line="240" w:lineRule="auto"/>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Toplantı Sayısı</w:t>
            </w:r>
          </w:p>
        </w:tc>
        <w:tc>
          <w:tcPr>
            <w:tcW w:w="557" w:type="pct"/>
            <w:tcBorders>
              <w:top w:val="nil"/>
              <w:left w:val="nil"/>
              <w:bottom w:val="single" w:sz="8" w:space="0" w:color="auto"/>
              <w:right w:val="single" w:sz="8" w:space="0" w:color="auto"/>
            </w:tcBorders>
            <w:shd w:val="clear" w:color="auto" w:fill="auto"/>
            <w:vAlign w:val="center"/>
          </w:tcPr>
          <w:p w:rsidR="001F39FB" w:rsidRPr="001978FE" w:rsidRDefault="001F39FB" w:rsidP="001F39FB">
            <w:pPr>
              <w:spacing w:after="0" w:line="240" w:lineRule="auto"/>
              <w:jc w:val="right"/>
              <w:rPr>
                <w:rFonts w:ascii="Calibri" w:eastAsia="Times New Roman" w:hAnsi="Calibri" w:cs="Calibri"/>
                <w:color w:val="000000"/>
                <w:lang w:eastAsia="tr-TR"/>
              </w:rPr>
            </w:pPr>
            <w:r w:rsidRPr="001978FE">
              <w:rPr>
                <w:rFonts w:ascii="Calibri" w:eastAsia="Times New Roman" w:hAnsi="Calibri" w:cs="Calibri"/>
                <w:color w:val="000000"/>
                <w:lang w:eastAsia="tr-TR"/>
              </w:rPr>
              <w:t>58</w:t>
            </w:r>
          </w:p>
        </w:tc>
        <w:tc>
          <w:tcPr>
            <w:tcW w:w="546" w:type="pct"/>
            <w:tcBorders>
              <w:top w:val="nil"/>
              <w:left w:val="nil"/>
              <w:bottom w:val="single" w:sz="8" w:space="0" w:color="auto"/>
              <w:right w:val="single" w:sz="8" w:space="0" w:color="auto"/>
            </w:tcBorders>
            <w:shd w:val="clear" w:color="auto" w:fill="auto"/>
            <w:noWrap/>
            <w:vAlign w:val="center"/>
            <w:hideMark/>
          </w:tcPr>
          <w:p w:rsidR="001F39FB" w:rsidRPr="001978FE" w:rsidRDefault="001F39FB" w:rsidP="001F39FB">
            <w:pPr>
              <w:spacing w:after="0" w:line="240" w:lineRule="auto"/>
              <w:jc w:val="right"/>
              <w:rPr>
                <w:rFonts w:ascii="Calibri" w:eastAsia="Times New Roman" w:hAnsi="Calibri" w:cs="Calibri"/>
                <w:color w:val="000000"/>
                <w:lang w:eastAsia="tr-TR"/>
              </w:rPr>
            </w:pPr>
            <w:r w:rsidRPr="001978FE">
              <w:rPr>
                <w:rFonts w:ascii="Calibri" w:eastAsia="Times New Roman" w:hAnsi="Calibri" w:cs="Calibri"/>
                <w:color w:val="000000"/>
                <w:lang w:eastAsia="tr-TR"/>
              </w:rPr>
              <w:t>53</w:t>
            </w:r>
          </w:p>
        </w:tc>
        <w:tc>
          <w:tcPr>
            <w:tcW w:w="359" w:type="pct"/>
            <w:tcBorders>
              <w:top w:val="nil"/>
              <w:left w:val="nil"/>
              <w:bottom w:val="single" w:sz="8" w:space="0" w:color="auto"/>
              <w:right w:val="single" w:sz="8" w:space="0" w:color="auto"/>
            </w:tcBorders>
            <w:shd w:val="clear" w:color="auto" w:fill="auto"/>
            <w:noWrap/>
            <w:vAlign w:val="center"/>
            <w:hideMark/>
          </w:tcPr>
          <w:p w:rsidR="001F39FB" w:rsidRPr="001978FE" w:rsidRDefault="001F39FB" w:rsidP="001F39FB">
            <w:pPr>
              <w:spacing w:after="0" w:line="240" w:lineRule="auto"/>
              <w:jc w:val="right"/>
              <w:rPr>
                <w:rFonts w:ascii="Calibri" w:eastAsia="Times New Roman" w:hAnsi="Calibri" w:cs="Calibri"/>
                <w:color w:val="000000"/>
                <w:lang w:eastAsia="tr-TR"/>
              </w:rPr>
            </w:pPr>
            <w:r w:rsidRPr="001978FE">
              <w:rPr>
                <w:rFonts w:ascii="Calibri" w:eastAsia="Times New Roman" w:hAnsi="Calibri" w:cs="Calibri"/>
                <w:color w:val="000000"/>
                <w:lang w:eastAsia="tr-TR"/>
              </w:rPr>
              <w:t>59</w:t>
            </w:r>
          </w:p>
        </w:tc>
        <w:tc>
          <w:tcPr>
            <w:tcW w:w="359" w:type="pct"/>
            <w:tcBorders>
              <w:top w:val="nil"/>
              <w:left w:val="nil"/>
              <w:bottom w:val="single" w:sz="8" w:space="0" w:color="auto"/>
              <w:right w:val="single" w:sz="8" w:space="0" w:color="auto"/>
            </w:tcBorders>
            <w:shd w:val="clear" w:color="auto" w:fill="auto"/>
            <w:noWrap/>
            <w:vAlign w:val="center"/>
            <w:hideMark/>
          </w:tcPr>
          <w:p w:rsidR="001F39FB" w:rsidRPr="001978FE" w:rsidRDefault="001F39FB" w:rsidP="001F39FB">
            <w:pPr>
              <w:spacing w:after="0" w:line="240" w:lineRule="auto"/>
              <w:jc w:val="right"/>
              <w:rPr>
                <w:rFonts w:ascii="Calibri" w:eastAsia="Times New Roman" w:hAnsi="Calibri" w:cs="Calibri"/>
                <w:color w:val="000000"/>
                <w:lang w:eastAsia="tr-TR"/>
              </w:rPr>
            </w:pPr>
            <w:r w:rsidRPr="005779F9">
              <w:rPr>
                <w:rFonts w:ascii="Calibri" w:eastAsia="Times New Roman" w:hAnsi="Calibri" w:cs="Calibri"/>
                <w:color w:val="000000"/>
                <w:lang w:eastAsia="tr-TR"/>
              </w:rPr>
              <w:t>55</w:t>
            </w:r>
          </w:p>
        </w:tc>
        <w:tc>
          <w:tcPr>
            <w:tcW w:w="454" w:type="pct"/>
            <w:tcBorders>
              <w:top w:val="nil"/>
              <w:left w:val="nil"/>
              <w:bottom w:val="single" w:sz="8" w:space="0" w:color="auto"/>
              <w:right w:val="single" w:sz="8" w:space="0" w:color="auto"/>
            </w:tcBorders>
            <w:noWrap/>
            <w:vAlign w:val="center"/>
          </w:tcPr>
          <w:p w:rsidR="001F39FB" w:rsidRPr="005779F9" w:rsidRDefault="001F39FB" w:rsidP="001F39FB">
            <w:pPr>
              <w:spacing w:after="0" w:line="240" w:lineRule="auto"/>
              <w:jc w:val="right"/>
              <w:rPr>
                <w:rFonts w:ascii="Calibri" w:eastAsia="Times New Roman" w:hAnsi="Calibri" w:cs="Calibri"/>
                <w:color w:val="000000"/>
                <w:lang w:eastAsia="tr-TR"/>
              </w:rPr>
            </w:pPr>
            <w:r w:rsidRPr="005779F9">
              <w:rPr>
                <w:rFonts w:ascii="Calibri" w:eastAsia="Times New Roman" w:hAnsi="Calibri" w:cs="Calibri"/>
                <w:color w:val="000000"/>
                <w:lang w:eastAsia="tr-TR"/>
              </w:rPr>
              <w:t>5</w:t>
            </w:r>
            <w:r>
              <w:rPr>
                <w:rFonts w:ascii="Calibri" w:eastAsia="Times New Roman" w:hAnsi="Calibri" w:cs="Calibri"/>
                <w:color w:val="000000"/>
                <w:lang w:eastAsia="tr-TR"/>
              </w:rPr>
              <w:t>8</w:t>
            </w:r>
          </w:p>
        </w:tc>
        <w:tc>
          <w:tcPr>
            <w:tcW w:w="925" w:type="pct"/>
            <w:tcBorders>
              <w:top w:val="nil"/>
              <w:left w:val="nil"/>
              <w:bottom w:val="single" w:sz="8" w:space="0" w:color="auto"/>
              <w:right w:val="single" w:sz="8" w:space="0" w:color="auto"/>
            </w:tcBorders>
            <w:vAlign w:val="center"/>
          </w:tcPr>
          <w:p w:rsidR="001F39FB" w:rsidRPr="005779F9" w:rsidRDefault="001F39FB" w:rsidP="001F39FB">
            <w:pPr>
              <w:spacing w:after="0" w:line="240" w:lineRule="auto"/>
              <w:jc w:val="right"/>
              <w:rPr>
                <w:rFonts w:ascii="Calibri" w:eastAsia="Times New Roman" w:hAnsi="Calibri" w:cs="Calibri"/>
                <w:color w:val="000000"/>
                <w:lang w:eastAsia="tr-TR"/>
              </w:rPr>
            </w:pPr>
            <w:r w:rsidRPr="005779F9">
              <w:rPr>
                <w:rFonts w:ascii="Calibri" w:eastAsia="Times New Roman" w:hAnsi="Calibri" w:cs="Calibri"/>
                <w:color w:val="000000"/>
                <w:lang w:eastAsia="tr-TR"/>
              </w:rPr>
              <w:t>5</w:t>
            </w:r>
            <w:r>
              <w:rPr>
                <w:rFonts w:ascii="Calibri" w:eastAsia="Times New Roman" w:hAnsi="Calibri" w:cs="Calibri"/>
                <w:color w:val="000000"/>
                <w:lang w:eastAsia="tr-TR"/>
              </w:rPr>
              <w:t>7</w:t>
            </w:r>
          </w:p>
        </w:tc>
      </w:tr>
      <w:tr w:rsidR="001F39FB" w:rsidRPr="001978FE" w:rsidTr="00A24C69">
        <w:trPr>
          <w:trHeight w:val="20"/>
        </w:trPr>
        <w:tc>
          <w:tcPr>
            <w:tcW w:w="1800" w:type="pct"/>
            <w:tcBorders>
              <w:top w:val="nil"/>
              <w:left w:val="single" w:sz="8" w:space="0" w:color="auto"/>
              <w:bottom w:val="single" w:sz="8" w:space="0" w:color="auto"/>
              <w:right w:val="single" w:sz="8" w:space="0" w:color="auto"/>
            </w:tcBorders>
            <w:shd w:val="clear" w:color="auto" w:fill="auto"/>
            <w:noWrap/>
            <w:vAlign w:val="center"/>
            <w:hideMark/>
          </w:tcPr>
          <w:p w:rsidR="001F39FB" w:rsidRPr="001978FE" w:rsidRDefault="001F39FB" w:rsidP="001F39FB">
            <w:pPr>
              <w:spacing w:after="0" w:line="240" w:lineRule="auto"/>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Toplantı Başına Ortalama Karar Sayısı</w:t>
            </w:r>
          </w:p>
        </w:tc>
        <w:tc>
          <w:tcPr>
            <w:tcW w:w="557" w:type="pct"/>
            <w:tcBorders>
              <w:top w:val="nil"/>
              <w:left w:val="nil"/>
              <w:bottom w:val="single" w:sz="8" w:space="0" w:color="auto"/>
              <w:right w:val="single" w:sz="8" w:space="0" w:color="auto"/>
            </w:tcBorders>
            <w:shd w:val="clear" w:color="auto" w:fill="auto"/>
            <w:vAlign w:val="center"/>
          </w:tcPr>
          <w:p w:rsidR="001F39FB" w:rsidRPr="001978FE" w:rsidRDefault="001F39FB" w:rsidP="001F39FB">
            <w:pPr>
              <w:spacing w:after="0" w:line="240" w:lineRule="auto"/>
              <w:jc w:val="right"/>
              <w:rPr>
                <w:rFonts w:ascii="Calibri" w:eastAsia="Times New Roman" w:hAnsi="Calibri" w:cs="Calibri"/>
                <w:color w:val="000000"/>
                <w:lang w:eastAsia="tr-TR"/>
              </w:rPr>
            </w:pPr>
            <w:r w:rsidRPr="001978FE">
              <w:rPr>
                <w:rFonts w:ascii="Calibri" w:eastAsia="Times New Roman" w:hAnsi="Calibri" w:cs="Calibri"/>
                <w:color w:val="000000"/>
                <w:lang w:eastAsia="tr-TR"/>
              </w:rPr>
              <w:t>144</w:t>
            </w:r>
          </w:p>
        </w:tc>
        <w:tc>
          <w:tcPr>
            <w:tcW w:w="546" w:type="pct"/>
            <w:tcBorders>
              <w:top w:val="nil"/>
              <w:left w:val="nil"/>
              <w:bottom w:val="single" w:sz="8" w:space="0" w:color="auto"/>
              <w:right w:val="single" w:sz="8" w:space="0" w:color="auto"/>
            </w:tcBorders>
            <w:shd w:val="clear" w:color="auto" w:fill="auto"/>
            <w:noWrap/>
            <w:vAlign w:val="center"/>
            <w:hideMark/>
          </w:tcPr>
          <w:p w:rsidR="001F39FB" w:rsidRPr="001978FE" w:rsidRDefault="001F39FB" w:rsidP="001F39FB">
            <w:pPr>
              <w:spacing w:after="0" w:line="240" w:lineRule="auto"/>
              <w:jc w:val="right"/>
              <w:rPr>
                <w:rFonts w:ascii="Calibri" w:eastAsia="Times New Roman" w:hAnsi="Calibri" w:cs="Calibri"/>
                <w:color w:val="000000"/>
                <w:lang w:eastAsia="tr-TR"/>
              </w:rPr>
            </w:pPr>
            <w:r w:rsidRPr="001978FE">
              <w:rPr>
                <w:rFonts w:ascii="Calibri" w:eastAsia="Times New Roman" w:hAnsi="Calibri" w:cs="Calibri"/>
                <w:color w:val="000000"/>
                <w:lang w:eastAsia="tr-TR"/>
              </w:rPr>
              <w:t>177</w:t>
            </w:r>
          </w:p>
        </w:tc>
        <w:tc>
          <w:tcPr>
            <w:tcW w:w="359" w:type="pct"/>
            <w:tcBorders>
              <w:top w:val="nil"/>
              <w:left w:val="nil"/>
              <w:bottom w:val="single" w:sz="8" w:space="0" w:color="auto"/>
              <w:right w:val="single" w:sz="8" w:space="0" w:color="auto"/>
            </w:tcBorders>
            <w:shd w:val="clear" w:color="auto" w:fill="auto"/>
            <w:noWrap/>
            <w:vAlign w:val="center"/>
            <w:hideMark/>
          </w:tcPr>
          <w:p w:rsidR="001F39FB" w:rsidRPr="001978FE" w:rsidRDefault="001F39FB" w:rsidP="001F39FB">
            <w:pPr>
              <w:spacing w:after="0" w:line="240" w:lineRule="auto"/>
              <w:jc w:val="right"/>
              <w:rPr>
                <w:rFonts w:ascii="Calibri" w:eastAsia="Times New Roman" w:hAnsi="Calibri" w:cs="Calibri"/>
                <w:color w:val="000000"/>
                <w:lang w:eastAsia="tr-TR"/>
              </w:rPr>
            </w:pPr>
            <w:r w:rsidRPr="001978FE">
              <w:rPr>
                <w:rFonts w:ascii="Calibri" w:eastAsia="Times New Roman" w:hAnsi="Calibri" w:cs="Calibri"/>
                <w:color w:val="000000"/>
                <w:lang w:eastAsia="tr-TR"/>
              </w:rPr>
              <w:t>163</w:t>
            </w:r>
          </w:p>
        </w:tc>
        <w:tc>
          <w:tcPr>
            <w:tcW w:w="359" w:type="pct"/>
            <w:tcBorders>
              <w:top w:val="nil"/>
              <w:left w:val="nil"/>
              <w:bottom w:val="single" w:sz="8" w:space="0" w:color="auto"/>
              <w:right w:val="single" w:sz="8" w:space="0" w:color="auto"/>
            </w:tcBorders>
            <w:shd w:val="clear" w:color="auto" w:fill="auto"/>
            <w:noWrap/>
            <w:vAlign w:val="center"/>
            <w:hideMark/>
          </w:tcPr>
          <w:p w:rsidR="001F39FB" w:rsidRPr="001978FE" w:rsidRDefault="001F39FB" w:rsidP="001F39FB">
            <w:pPr>
              <w:spacing w:after="0" w:line="240" w:lineRule="auto"/>
              <w:jc w:val="right"/>
              <w:rPr>
                <w:rFonts w:ascii="Calibri" w:eastAsia="Times New Roman" w:hAnsi="Calibri" w:cs="Calibri"/>
                <w:color w:val="000000"/>
                <w:lang w:eastAsia="tr-TR"/>
              </w:rPr>
            </w:pPr>
            <w:r w:rsidRPr="005779F9">
              <w:rPr>
                <w:rFonts w:ascii="Calibri" w:eastAsia="Times New Roman" w:hAnsi="Calibri" w:cs="Calibri"/>
                <w:color w:val="000000"/>
                <w:lang w:eastAsia="tr-TR"/>
              </w:rPr>
              <w:t>95</w:t>
            </w:r>
          </w:p>
        </w:tc>
        <w:tc>
          <w:tcPr>
            <w:tcW w:w="454" w:type="pct"/>
            <w:tcBorders>
              <w:top w:val="nil"/>
              <w:left w:val="nil"/>
              <w:bottom w:val="single" w:sz="8" w:space="0" w:color="auto"/>
              <w:right w:val="single" w:sz="8" w:space="0" w:color="auto"/>
            </w:tcBorders>
            <w:noWrap/>
            <w:vAlign w:val="center"/>
          </w:tcPr>
          <w:p w:rsidR="001F39FB" w:rsidRPr="005779F9" w:rsidRDefault="001F39FB" w:rsidP="001F39FB">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80</w:t>
            </w:r>
          </w:p>
        </w:tc>
        <w:tc>
          <w:tcPr>
            <w:tcW w:w="925" w:type="pct"/>
            <w:tcBorders>
              <w:top w:val="nil"/>
              <w:left w:val="nil"/>
              <w:bottom w:val="single" w:sz="8" w:space="0" w:color="auto"/>
              <w:right w:val="single" w:sz="8" w:space="0" w:color="auto"/>
            </w:tcBorders>
            <w:vAlign w:val="center"/>
          </w:tcPr>
          <w:p w:rsidR="001F39FB" w:rsidRPr="005779F9" w:rsidRDefault="001F39FB" w:rsidP="001F39FB">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132</w:t>
            </w:r>
          </w:p>
        </w:tc>
      </w:tr>
      <w:tr w:rsidR="001F39FB" w:rsidRPr="001978FE" w:rsidTr="00A24C69">
        <w:trPr>
          <w:trHeight w:val="20"/>
        </w:trPr>
        <w:tc>
          <w:tcPr>
            <w:tcW w:w="1800" w:type="pct"/>
            <w:tcBorders>
              <w:top w:val="nil"/>
              <w:left w:val="single" w:sz="8" w:space="0" w:color="auto"/>
              <w:bottom w:val="single" w:sz="8" w:space="0" w:color="auto"/>
              <w:right w:val="single" w:sz="8" w:space="0" w:color="auto"/>
            </w:tcBorders>
            <w:shd w:val="clear" w:color="auto" w:fill="auto"/>
            <w:noWrap/>
            <w:vAlign w:val="center"/>
            <w:hideMark/>
          </w:tcPr>
          <w:p w:rsidR="001F39FB" w:rsidRPr="001978FE" w:rsidRDefault="001F39FB" w:rsidP="001F39FB">
            <w:pPr>
              <w:spacing w:after="0" w:line="240" w:lineRule="auto"/>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Haftalık Ortalama Karar Sayısı</w:t>
            </w:r>
          </w:p>
        </w:tc>
        <w:tc>
          <w:tcPr>
            <w:tcW w:w="557" w:type="pct"/>
            <w:tcBorders>
              <w:top w:val="nil"/>
              <w:left w:val="nil"/>
              <w:bottom w:val="single" w:sz="8" w:space="0" w:color="auto"/>
              <w:right w:val="single" w:sz="8" w:space="0" w:color="auto"/>
            </w:tcBorders>
            <w:shd w:val="clear" w:color="auto" w:fill="auto"/>
            <w:vAlign w:val="center"/>
          </w:tcPr>
          <w:p w:rsidR="001F39FB" w:rsidRPr="001978FE" w:rsidRDefault="001F39FB" w:rsidP="001F39FB">
            <w:pPr>
              <w:spacing w:after="0" w:line="240" w:lineRule="auto"/>
              <w:jc w:val="right"/>
              <w:rPr>
                <w:rFonts w:ascii="Calibri" w:eastAsia="Times New Roman" w:hAnsi="Calibri" w:cs="Calibri"/>
                <w:color w:val="000000"/>
                <w:lang w:eastAsia="tr-TR"/>
              </w:rPr>
            </w:pPr>
            <w:r w:rsidRPr="001978FE">
              <w:rPr>
                <w:rFonts w:ascii="Calibri" w:eastAsia="Times New Roman" w:hAnsi="Calibri" w:cs="Calibri"/>
                <w:color w:val="000000"/>
                <w:lang w:eastAsia="tr-TR"/>
              </w:rPr>
              <w:t>161</w:t>
            </w:r>
          </w:p>
        </w:tc>
        <w:tc>
          <w:tcPr>
            <w:tcW w:w="546" w:type="pct"/>
            <w:tcBorders>
              <w:top w:val="nil"/>
              <w:left w:val="nil"/>
              <w:bottom w:val="single" w:sz="8" w:space="0" w:color="auto"/>
              <w:right w:val="single" w:sz="8" w:space="0" w:color="auto"/>
            </w:tcBorders>
            <w:shd w:val="clear" w:color="auto" w:fill="auto"/>
            <w:noWrap/>
            <w:vAlign w:val="center"/>
            <w:hideMark/>
          </w:tcPr>
          <w:p w:rsidR="001F39FB" w:rsidRPr="001978FE" w:rsidRDefault="001F39FB" w:rsidP="001F39FB">
            <w:pPr>
              <w:spacing w:after="0" w:line="240" w:lineRule="auto"/>
              <w:jc w:val="right"/>
              <w:rPr>
                <w:rFonts w:ascii="Calibri" w:eastAsia="Times New Roman" w:hAnsi="Calibri" w:cs="Calibri"/>
                <w:color w:val="000000"/>
                <w:lang w:eastAsia="tr-TR"/>
              </w:rPr>
            </w:pPr>
            <w:r w:rsidRPr="001978FE">
              <w:rPr>
                <w:rFonts w:ascii="Calibri" w:eastAsia="Times New Roman" w:hAnsi="Calibri" w:cs="Calibri"/>
                <w:color w:val="000000"/>
                <w:lang w:eastAsia="tr-TR"/>
              </w:rPr>
              <w:t>181</w:t>
            </w:r>
          </w:p>
        </w:tc>
        <w:tc>
          <w:tcPr>
            <w:tcW w:w="359" w:type="pct"/>
            <w:tcBorders>
              <w:top w:val="nil"/>
              <w:left w:val="nil"/>
              <w:bottom w:val="single" w:sz="8" w:space="0" w:color="auto"/>
              <w:right w:val="single" w:sz="8" w:space="0" w:color="auto"/>
            </w:tcBorders>
            <w:shd w:val="clear" w:color="auto" w:fill="auto"/>
            <w:noWrap/>
            <w:vAlign w:val="center"/>
            <w:hideMark/>
          </w:tcPr>
          <w:p w:rsidR="001F39FB" w:rsidRPr="001978FE" w:rsidRDefault="001F39FB" w:rsidP="001F39FB">
            <w:pPr>
              <w:spacing w:after="0" w:line="240" w:lineRule="auto"/>
              <w:jc w:val="right"/>
              <w:rPr>
                <w:rFonts w:ascii="Calibri" w:eastAsia="Times New Roman" w:hAnsi="Calibri" w:cs="Calibri"/>
                <w:color w:val="000000"/>
                <w:lang w:eastAsia="tr-TR"/>
              </w:rPr>
            </w:pPr>
            <w:r w:rsidRPr="001978FE">
              <w:rPr>
                <w:rFonts w:ascii="Calibri" w:eastAsia="Times New Roman" w:hAnsi="Calibri" w:cs="Calibri"/>
                <w:color w:val="000000"/>
                <w:lang w:eastAsia="tr-TR"/>
              </w:rPr>
              <w:t>185</w:t>
            </w:r>
          </w:p>
        </w:tc>
        <w:tc>
          <w:tcPr>
            <w:tcW w:w="359" w:type="pct"/>
            <w:tcBorders>
              <w:top w:val="nil"/>
              <w:left w:val="nil"/>
              <w:bottom w:val="single" w:sz="8" w:space="0" w:color="auto"/>
              <w:right w:val="single" w:sz="8" w:space="0" w:color="auto"/>
            </w:tcBorders>
            <w:shd w:val="clear" w:color="auto" w:fill="auto"/>
            <w:noWrap/>
            <w:vAlign w:val="center"/>
            <w:hideMark/>
          </w:tcPr>
          <w:p w:rsidR="001F39FB" w:rsidRPr="001978FE" w:rsidRDefault="001F39FB" w:rsidP="001F39FB">
            <w:pPr>
              <w:spacing w:after="0" w:line="240" w:lineRule="auto"/>
              <w:jc w:val="right"/>
              <w:rPr>
                <w:rFonts w:ascii="Calibri" w:eastAsia="Times New Roman" w:hAnsi="Calibri" w:cs="Calibri"/>
                <w:color w:val="000000"/>
                <w:lang w:eastAsia="tr-TR"/>
              </w:rPr>
            </w:pPr>
            <w:r w:rsidRPr="005779F9">
              <w:rPr>
                <w:rFonts w:ascii="Calibri" w:eastAsia="Times New Roman" w:hAnsi="Calibri" w:cs="Calibri"/>
                <w:color w:val="000000"/>
                <w:lang w:eastAsia="tr-TR"/>
              </w:rPr>
              <w:t>100</w:t>
            </w:r>
          </w:p>
        </w:tc>
        <w:tc>
          <w:tcPr>
            <w:tcW w:w="454" w:type="pct"/>
            <w:tcBorders>
              <w:top w:val="nil"/>
              <w:left w:val="nil"/>
              <w:bottom w:val="single" w:sz="8" w:space="0" w:color="auto"/>
              <w:right w:val="single" w:sz="8" w:space="0" w:color="auto"/>
            </w:tcBorders>
            <w:noWrap/>
            <w:vAlign w:val="center"/>
          </w:tcPr>
          <w:p w:rsidR="001F39FB" w:rsidRPr="005779F9" w:rsidRDefault="001F39FB" w:rsidP="001F39FB">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89</w:t>
            </w:r>
          </w:p>
        </w:tc>
        <w:tc>
          <w:tcPr>
            <w:tcW w:w="925" w:type="pct"/>
            <w:tcBorders>
              <w:top w:val="nil"/>
              <w:left w:val="nil"/>
              <w:bottom w:val="single" w:sz="8" w:space="0" w:color="auto"/>
              <w:right w:val="single" w:sz="8" w:space="0" w:color="auto"/>
            </w:tcBorders>
            <w:vAlign w:val="center"/>
          </w:tcPr>
          <w:p w:rsidR="001F39FB" w:rsidRPr="005779F9" w:rsidRDefault="001F39FB" w:rsidP="001F39FB">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143</w:t>
            </w:r>
          </w:p>
        </w:tc>
      </w:tr>
    </w:tbl>
    <w:p w:rsidR="009F6B4A" w:rsidRPr="00E9291A" w:rsidRDefault="009F6B4A" w:rsidP="009F6B4A">
      <w:pPr>
        <w:spacing w:after="0"/>
        <w:rPr>
          <w:color w:val="000000" w:themeColor="text1"/>
        </w:rPr>
      </w:pPr>
    </w:p>
    <w:p w:rsidR="00227DB0" w:rsidRDefault="009F6B4A" w:rsidP="00227DB0">
      <w:pPr>
        <w:spacing w:after="120"/>
        <w:rPr>
          <w:color w:val="000000" w:themeColor="text1"/>
        </w:rPr>
      </w:pPr>
      <w:r w:rsidRPr="00E9291A">
        <w:rPr>
          <w:color w:val="000000" w:themeColor="text1"/>
        </w:rPr>
        <w:t xml:space="preserve">Yukarıdaki </w:t>
      </w:r>
      <w:r w:rsidR="00393398">
        <w:rPr>
          <w:color w:val="000000" w:themeColor="text1"/>
        </w:rPr>
        <w:t>T</w:t>
      </w:r>
      <w:r w:rsidRPr="00E9291A">
        <w:rPr>
          <w:color w:val="000000" w:themeColor="text1"/>
        </w:rPr>
        <w:t>ablo</w:t>
      </w:r>
      <w:r w:rsidR="00393398">
        <w:rPr>
          <w:color w:val="000000" w:themeColor="text1"/>
        </w:rPr>
        <w:t xml:space="preserve"> 1.3’te</w:t>
      </w:r>
      <w:r w:rsidRPr="00E9291A">
        <w:rPr>
          <w:color w:val="000000" w:themeColor="text1"/>
        </w:rPr>
        <w:t xml:space="preserve"> görüldüğü üzere Kurul, 201</w:t>
      </w:r>
      <w:r w:rsidR="001F39FB">
        <w:rPr>
          <w:color w:val="000000" w:themeColor="text1"/>
        </w:rPr>
        <w:t>8</w:t>
      </w:r>
      <w:r w:rsidR="00BE17E4">
        <w:rPr>
          <w:color w:val="000000" w:themeColor="text1"/>
        </w:rPr>
        <w:t>-202</w:t>
      </w:r>
      <w:r w:rsidR="001F39FB">
        <w:rPr>
          <w:color w:val="000000" w:themeColor="text1"/>
        </w:rPr>
        <w:t>2</w:t>
      </w:r>
      <w:r w:rsidRPr="00E9291A">
        <w:rPr>
          <w:color w:val="000000" w:themeColor="text1"/>
        </w:rPr>
        <w:t xml:space="preserve"> yılları arasındaki dönemde </w:t>
      </w:r>
      <w:r w:rsidRPr="00E11ED2">
        <w:rPr>
          <w:color w:val="000000" w:themeColor="text1"/>
        </w:rPr>
        <w:t xml:space="preserve">yıllık ortalama </w:t>
      </w:r>
      <w:r w:rsidR="005779F9" w:rsidRPr="00E11ED2">
        <w:rPr>
          <w:color w:val="000000" w:themeColor="text1"/>
        </w:rPr>
        <w:t>7</w:t>
      </w:r>
      <w:r w:rsidR="00BE17E4" w:rsidRPr="00E11ED2">
        <w:rPr>
          <w:color w:val="000000" w:themeColor="text1"/>
        </w:rPr>
        <w:t>.</w:t>
      </w:r>
      <w:r w:rsidR="001F39FB">
        <w:rPr>
          <w:color w:val="000000" w:themeColor="text1"/>
        </w:rPr>
        <w:t>439</w:t>
      </w:r>
      <w:r w:rsidR="00BE17E4" w:rsidRPr="00E11ED2">
        <w:rPr>
          <w:color w:val="000000" w:themeColor="text1"/>
        </w:rPr>
        <w:t xml:space="preserve"> </w:t>
      </w:r>
      <w:r w:rsidRPr="00E11ED2">
        <w:rPr>
          <w:color w:val="000000" w:themeColor="text1"/>
        </w:rPr>
        <w:t xml:space="preserve">karar almıştır. Bahse konu dönemde toplantı başına ortalama </w:t>
      </w:r>
      <w:r w:rsidR="00BE17E4" w:rsidRPr="00E11ED2">
        <w:rPr>
          <w:color w:val="000000" w:themeColor="text1"/>
        </w:rPr>
        <w:t>1</w:t>
      </w:r>
      <w:r w:rsidR="001F39FB">
        <w:rPr>
          <w:color w:val="000000" w:themeColor="text1"/>
        </w:rPr>
        <w:t>32</w:t>
      </w:r>
      <w:r w:rsidRPr="00E11ED2">
        <w:rPr>
          <w:color w:val="000000" w:themeColor="text1"/>
        </w:rPr>
        <w:t xml:space="preserve"> Kurul Kararı; haftada ise ortalama </w:t>
      </w:r>
      <w:r w:rsidR="00BE17E4" w:rsidRPr="00E11ED2">
        <w:rPr>
          <w:color w:val="000000" w:themeColor="text1"/>
        </w:rPr>
        <w:t>1</w:t>
      </w:r>
      <w:r w:rsidR="001F39FB">
        <w:rPr>
          <w:color w:val="000000" w:themeColor="text1"/>
        </w:rPr>
        <w:t>43</w:t>
      </w:r>
      <w:r w:rsidRPr="00E11ED2">
        <w:rPr>
          <w:color w:val="000000" w:themeColor="text1"/>
        </w:rPr>
        <w:t xml:space="preserve"> Kurul Kararı alınmıştır. </w:t>
      </w:r>
    </w:p>
    <w:p w:rsidR="007135AE" w:rsidRDefault="007135AE" w:rsidP="00227DB0">
      <w:pPr>
        <w:spacing w:after="120"/>
        <w:rPr>
          <w:color w:val="000000" w:themeColor="text1"/>
        </w:rPr>
      </w:pPr>
      <w:r>
        <w:rPr>
          <w:color w:val="000000" w:themeColor="text1"/>
        </w:rPr>
        <w:br w:type="page"/>
      </w:r>
    </w:p>
    <w:p w:rsidR="005811A6" w:rsidRPr="00E11ED2" w:rsidRDefault="005811A6" w:rsidP="005811A6">
      <w:pPr>
        <w:pStyle w:val="Balk5"/>
        <w:jc w:val="center"/>
        <w:rPr>
          <w:rStyle w:val="Gl"/>
          <w:color w:val="auto"/>
        </w:rPr>
      </w:pPr>
      <w:bookmarkStart w:id="22" w:name="_Toc132713887"/>
      <w:r>
        <w:rPr>
          <w:rStyle w:val="Gl"/>
          <w:color w:val="auto"/>
        </w:rPr>
        <w:lastRenderedPageBreak/>
        <w:t>Şekil 1.2</w:t>
      </w:r>
      <w:r w:rsidRPr="00D31846">
        <w:rPr>
          <w:rStyle w:val="Gl"/>
          <w:color w:val="auto"/>
        </w:rPr>
        <w:t xml:space="preserve">: </w:t>
      </w:r>
      <w:r w:rsidR="001978FE" w:rsidRPr="00D31846">
        <w:rPr>
          <w:rStyle w:val="Gl"/>
          <w:bCs w:val="0"/>
          <w:color w:val="auto"/>
        </w:rPr>
        <w:t>201</w:t>
      </w:r>
      <w:r w:rsidR="003631BB">
        <w:rPr>
          <w:rStyle w:val="Gl"/>
          <w:bCs w:val="0"/>
          <w:color w:val="auto"/>
        </w:rPr>
        <w:t>8</w:t>
      </w:r>
      <w:r w:rsidR="001978FE" w:rsidRPr="00D31846">
        <w:rPr>
          <w:rStyle w:val="Gl"/>
          <w:bCs w:val="0"/>
          <w:color w:val="auto"/>
        </w:rPr>
        <w:t>-202</w:t>
      </w:r>
      <w:r w:rsidR="003631BB">
        <w:rPr>
          <w:rStyle w:val="Gl"/>
          <w:bCs w:val="0"/>
          <w:color w:val="auto"/>
        </w:rPr>
        <w:t>2</w:t>
      </w:r>
      <w:r w:rsidRPr="00D31846">
        <w:rPr>
          <w:rStyle w:val="Gl"/>
          <w:bCs w:val="0"/>
          <w:color w:val="auto"/>
        </w:rPr>
        <w:t xml:space="preserve"> Yılları Arasında Alınan Kurul Kararlarının Dağılımı</w:t>
      </w:r>
      <w:bookmarkEnd w:id="22"/>
    </w:p>
    <w:p w:rsidR="009F6B4A" w:rsidRPr="00E9291A" w:rsidRDefault="00A74FD9" w:rsidP="008C40F5">
      <w:pPr>
        <w:spacing w:after="0"/>
        <w:jc w:val="center"/>
        <w:rPr>
          <w:color w:val="000000" w:themeColor="text1"/>
        </w:rPr>
      </w:pPr>
      <w:r>
        <w:rPr>
          <w:noProof/>
          <w:lang w:eastAsia="tr-TR"/>
        </w:rPr>
        <w:drawing>
          <wp:inline distT="0" distB="0" distL="0" distR="0" wp14:anchorId="1B16CB12" wp14:editId="76F7FD3E">
            <wp:extent cx="6239123" cy="3017989"/>
            <wp:effectExtent l="0" t="0" r="9525" b="11430"/>
            <wp:docPr id="27" name="Grafik 27">
              <a:extLst xmlns:a="http://schemas.openxmlformats.org/drawingml/2006/main">
                <a:ext uri="{FF2B5EF4-FFF2-40B4-BE49-F238E27FC236}">
                  <a16:creationId xmlns:a16="http://schemas.microsoft.com/office/drawing/2014/main" id="{B84E6344-F793-45FD-A639-CC6BE7F77A7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9F6B4A" w:rsidRPr="00E9291A" w:rsidRDefault="009F6B4A" w:rsidP="00F91931">
      <w:pPr>
        <w:spacing w:before="120" w:after="120"/>
        <w:rPr>
          <w:color w:val="000000" w:themeColor="text1"/>
        </w:rPr>
      </w:pPr>
      <w:r w:rsidRPr="00E9291A">
        <w:rPr>
          <w:color w:val="000000" w:themeColor="text1"/>
        </w:rPr>
        <w:t>Kurulun idari yaptırım kararlarına karşı yetkili idare mahkemesinde dava açılabilir. Kurul Kararlarına karşı açılan her türlü dava öncelikli işlerden sayılır.</w:t>
      </w:r>
    </w:p>
    <w:p w:rsidR="009F6B4A" w:rsidRPr="00E9291A" w:rsidRDefault="009F6B4A" w:rsidP="00495438">
      <w:pPr>
        <w:spacing w:after="120"/>
        <w:rPr>
          <w:color w:val="000000" w:themeColor="text1"/>
        </w:rPr>
      </w:pPr>
      <w:r w:rsidRPr="00E9291A">
        <w:rPr>
          <w:color w:val="000000" w:themeColor="text1"/>
        </w:rPr>
        <w:t>6446 sayılı Elektrik Piyasası Kanunu, 4646 sayılı Doğal Gaz Piyasası Kanunu, 5015 sayılı Petrol Piyasası Kanunu ve 5307 sayılı Sıvılaştırılmış Petrol Gazları (LPG) Piyasası Kanunu</w:t>
      </w:r>
      <w:r w:rsidR="005C6A95">
        <w:rPr>
          <w:color w:val="000000" w:themeColor="text1"/>
        </w:rPr>
        <w:t xml:space="preserve"> ve Elektrik Piyasası Kanununda Değişiklik Yapılmasına Dair Kanun</w:t>
      </w:r>
      <w:r w:rsidR="00FD1434">
        <w:rPr>
          <w:color w:val="000000" w:themeColor="text1"/>
        </w:rPr>
        <w:t>’</w:t>
      </w:r>
      <w:r w:rsidRPr="00E9291A">
        <w:rPr>
          <w:color w:val="000000" w:themeColor="text1"/>
        </w:rPr>
        <w:t>un bazı maddelerinde Kurula çeşitli görev ve yetkiler verilmiştir. Ayrıca Kurulun görev ve yetkileri toplu bir şekilde 4628 sayılı Kanunun 5, 5/A, 5/B ve 5/C maddelerinde yer almaktadır.</w:t>
      </w:r>
    </w:p>
    <w:p w:rsidR="00C553AB" w:rsidRPr="00E9291A" w:rsidRDefault="00C553AB" w:rsidP="000A5A56">
      <w:pPr>
        <w:pStyle w:val="Balk3"/>
        <w:numPr>
          <w:ilvl w:val="2"/>
          <w:numId w:val="11"/>
        </w:numPr>
        <w:spacing w:before="0" w:after="120"/>
        <w:rPr>
          <w:rFonts w:asciiTheme="minorHAnsi" w:hAnsiTheme="minorHAnsi"/>
          <w:color w:val="000000" w:themeColor="text1"/>
        </w:rPr>
      </w:pPr>
      <w:bookmarkStart w:id="23" w:name="_Toc442431227"/>
      <w:bookmarkStart w:id="24" w:name="_Toc132713751"/>
      <w:r w:rsidRPr="00E9291A">
        <w:rPr>
          <w:rFonts w:asciiTheme="minorHAnsi" w:hAnsiTheme="minorHAnsi"/>
          <w:color w:val="000000" w:themeColor="text1"/>
        </w:rPr>
        <w:t>Başkanlık</w:t>
      </w:r>
      <w:bookmarkEnd w:id="23"/>
      <w:bookmarkEnd w:id="24"/>
    </w:p>
    <w:p w:rsidR="00CA1EF2" w:rsidRPr="00495438" w:rsidRDefault="00C553AB" w:rsidP="00495438">
      <w:pPr>
        <w:spacing w:after="120"/>
      </w:pPr>
      <w:r w:rsidRPr="00E9291A">
        <w:t>Kurul Başkanı, aynı zamanda Kurumun da başkanıdır. Hizmet birimlerinin uyumlu, verimli, disiplinli ve düzenli biçimde çalışması, hizmet birimleri ile Kurul arasında organizasyon ve koordinasyon Başkan tarafından sağlanır. Başkan, Kurul Kararlarının gereğinin yerine getirilmesinden ve Kurulun temsilinden sorumludur. Bu sorumluluk; Kurulun işleri ile ilgili olarak kamu</w:t>
      </w:r>
      <w:r w:rsidR="00092967">
        <w:t>oyuna</w:t>
      </w:r>
      <w:r w:rsidRPr="00E9291A">
        <w:t xml:space="preserve"> bilgi verilmesi görevini de kapsar. Başkanlık tarafından Kurum personeline verilen yetkiler hariç olmak üzere, Kurumun tüm kararları Kurul tarafından alınır. Kurul, uygun bulduğu konularda Başkanlığı görevlendirebilir veya yetkilendire</w:t>
      </w:r>
      <w:r w:rsidR="00CA1EF2" w:rsidRPr="00E9291A">
        <w:t>bilir.</w:t>
      </w:r>
    </w:p>
    <w:p w:rsidR="00CA1EF2" w:rsidRPr="00E9291A" w:rsidRDefault="00C553AB" w:rsidP="00495438">
      <w:pPr>
        <w:spacing w:after="120"/>
      </w:pPr>
      <w:r w:rsidRPr="00E9291A">
        <w:t>İkinci Başkan, Başkanın yokluğunda Başkanın görevl</w:t>
      </w:r>
      <w:r w:rsidR="00CA1EF2" w:rsidRPr="00E9291A">
        <w:t xml:space="preserve">erini ve yetkilerini üstlenir. </w:t>
      </w:r>
    </w:p>
    <w:p w:rsidR="00C553AB" w:rsidRPr="00E9291A" w:rsidRDefault="00C553AB" w:rsidP="00495438">
      <w:pPr>
        <w:spacing w:after="120"/>
      </w:pPr>
      <w:r w:rsidRPr="00E9291A">
        <w:t>Başkana,</w:t>
      </w:r>
      <w:r w:rsidR="000A052B" w:rsidRPr="00E9291A">
        <w:t xml:space="preserve"> </w:t>
      </w:r>
      <w:r w:rsidRPr="00E9291A">
        <w:t>Kurum</w:t>
      </w:r>
      <w:r w:rsidR="00CD3401" w:rsidRPr="00E9291A">
        <w:t xml:space="preserve"> </w:t>
      </w:r>
      <w:r w:rsidRPr="00E9291A">
        <w:t>Başkanlığına ilişkin görevlerinde yardımcı olmak üzere Kurul Kar</w:t>
      </w:r>
      <w:r w:rsidR="00B36356" w:rsidRPr="00E9291A">
        <w:t xml:space="preserve">arıyla </w:t>
      </w:r>
      <w:r w:rsidR="00393398">
        <w:t>üç</w:t>
      </w:r>
      <w:r w:rsidR="00B36356" w:rsidRPr="00E9291A">
        <w:t xml:space="preserve"> b</w:t>
      </w:r>
      <w:r w:rsidRPr="00E9291A">
        <w:t>aşkan yardımcısı atanabilir. Başkan yardımcıları, Başkan tarafından verilen görev ve talimatların yerine getirilmesinden ve ilgili hizmet birimleri arasında koordinasyo</w:t>
      </w:r>
      <w:r w:rsidR="00495438">
        <w:t xml:space="preserve">nun sağlanmasından sorumludur. </w:t>
      </w:r>
    </w:p>
    <w:p w:rsidR="00C553AB" w:rsidRPr="00E9291A" w:rsidRDefault="00C553AB" w:rsidP="00495438">
      <w:pPr>
        <w:spacing w:after="120"/>
      </w:pPr>
      <w:r w:rsidRPr="00E9291A">
        <w:t xml:space="preserve">Başkanlığın görev ve yetkileri, 4628 sayılı </w:t>
      </w:r>
      <w:r w:rsidR="00CA1EF2" w:rsidRPr="00E9291A">
        <w:t>Kanun</w:t>
      </w:r>
      <w:r w:rsidR="00FF7F61">
        <w:t xml:space="preserve">un 5 </w:t>
      </w:r>
      <w:r w:rsidRPr="00E9291A">
        <w:t xml:space="preserve">inci maddesinin </w:t>
      </w:r>
      <w:r w:rsidR="001D6515">
        <w:t>sekizinci</w:t>
      </w:r>
      <w:r w:rsidRPr="00E9291A">
        <w:t xml:space="preserve"> fıkrasında tanımlanmıştır.</w:t>
      </w:r>
    </w:p>
    <w:p w:rsidR="00C553AB" w:rsidRPr="00E9291A" w:rsidRDefault="00C553AB" w:rsidP="000A5A56">
      <w:pPr>
        <w:pStyle w:val="Balk3"/>
        <w:numPr>
          <w:ilvl w:val="2"/>
          <w:numId w:val="11"/>
        </w:numPr>
        <w:spacing w:before="0" w:after="120"/>
        <w:rPr>
          <w:rFonts w:asciiTheme="minorHAnsi" w:hAnsiTheme="minorHAnsi"/>
          <w:color w:val="auto"/>
        </w:rPr>
      </w:pPr>
      <w:bookmarkStart w:id="25" w:name="_Toc442431228"/>
      <w:bookmarkStart w:id="26" w:name="_Toc132713752"/>
      <w:r w:rsidRPr="00E9291A">
        <w:rPr>
          <w:rFonts w:asciiTheme="minorHAnsi" w:hAnsiTheme="minorHAnsi"/>
          <w:color w:val="auto"/>
        </w:rPr>
        <w:t>Hizmet Birimleri</w:t>
      </w:r>
      <w:bookmarkEnd w:id="25"/>
      <w:bookmarkEnd w:id="26"/>
    </w:p>
    <w:p w:rsidR="00C553AB" w:rsidRPr="00E9291A" w:rsidRDefault="00C553AB" w:rsidP="00495438">
      <w:pPr>
        <w:spacing w:after="120"/>
      </w:pPr>
      <w:r w:rsidRPr="00E9291A">
        <w:t>Kurumun hizmet birimleri ile bunların görev ve sorumlulukları, kadro unv</w:t>
      </w:r>
      <w:r w:rsidR="00C13F3C" w:rsidRPr="00E9291A">
        <w:t>anları ve sayıları</w:t>
      </w:r>
      <w:r w:rsidR="002C4C2E">
        <w:t>,</w:t>
      </w:r>
      <w:r w:rsidR="00C13F3C" w:rsidRPr="00E9291A">
        <w:t xml:space="preserve"> 4628 sayılı </w:t>
      </w:r>
      <w:r w:rsidRPr="00E9291A">
        <w:t>Enerji Piyasası Düzenleme Kurumu Teşki</w:t>
      </w:r>
      <w:r w:rsidR="00C13F3C" w:rsidRPr="00E9291A">
        <w:t>lat ve Görevleri Hakkında Kanun</w:t>
      </w:r>
      <w:r w:rsidR="004C4E00">
        <w:t xml:space="preserve"> ve 18.05.</w:t>
      </w:r>
      <w:r w:rsidRPr="00E9291A">
        <w:t>2014 tarihli ve 29004 say</w:t>
      </w:r>
      <w:r w:rsidR="00C20BF0">
        <w:t xml:space="preserve">ılı </w:t>
      </w:r>
      <w:r w:rsidR="00393398">
        <w:t>Resmî</w:t>
      </w:r>
      <w:r w:rsidR="00C20BF0">
        <w:t xml:space="preserve"> </w:t>
      </w:r>
      <w:r w:rsidR="00274939">
        <w:t>Gazetede</w:t>
      </w:r>
      <w:r w:rsidR="00C13F3C" w:rsidRPr="00E9291A">
        <w:t xml:space="preserve"> yayımlanan </w:t>
      </w:r>
      <w:r w:rsidRPr="00E9291A">
        <w:t>Enerji Piyasası Düzenl</w:t>
      </w:r>
      <w:r w:rsidR="00C13F3C" w:rsidRPr="00E9291A">
        <w:t>eme Kurumu Teşkilat Yönetmeliği</w:t>
      </w:r>
      <w:r w:rsidRPr="00E9291A">
        <w:t xml:space="preserve">nde düzenlenmiştir. </w:t>
      </w:r>
    </w:p>
    <w:p w:rsidR="00C553AB" w:rsidRPr="00E9291A" w:rsidRDefault="00C553AB" w:rsidP="00A02EDE">
      <w:pPr>
        <w:spacing w:after="0"/>
      </w:pPr>
      <w:r w:rsidRPr="00E9291A">
        <w:lastRenderedPageBreak/>
        <w:t>4628 sayılı Kanunda tanımlandığı üzere Kurum hizmet birimleri şunlardır</w:t>
      </w:r>
      <w:r w:rsidR="005C6A95">
        <w:rPr>
          <w:rStyle w:val="DipnotBavurusu"/>
        </w:rPr>
        <w:footnoteReference w:id="1"/>
      </w:r>
      <w:r w:rsidRPr="00E9291A">
        <w:t xml:space="preserve">: </w:t>
      </w:r>
    </w:p>
    <w:p w:rsidR="00C553AB" w:rsidRPr="00E9291A" w:rsidRDefault="00C553AB" w:rsidP="00A02EDE">
      <w:pPr>
        <w:pStyle w:val="ListeParagraf"/>
        <w:numPr>
          <w:ilvl w:val="0"/>
          <w:numId w:val="1"/>
        </w:numPr>
        <w:spacing w:after="0"/>
      </w:pPr>
      <w:r w:rsidRPr="00E9291A">
        <w:t>Elektrik Piyasası Dairesi Başkanlığı</w:t>
      </w:r>
    </w:p>
    <w:p w:rsidR="00C553AB" w:rsidRPr="00E9291A" w:rsidRDefault="00C553AB" w:rsidP="00A02EDE">
      <w:pPr>
        <w:pStyle w:val="ListeParagraf"/>
        <w:numPr>
          <w:ilvl w:val="0"/>
          <w:numId w:val="1"/>
        </w:numPr>
        <w:spacing w:after="0"/>
      </w:pPr>
      <w:r w:rsidRPr="00E9291A">
        <w:t>Doğal Gaz Piyasası Dairesi Başkanlığı</w:t>
      </w:r>
    </w:p>
    <w:p w:rsidR="00C553AB" w:rsidRPr="00E9291A" w:rsidRDefault="00C553AB" w:rsidP="00A02EDE">
      <w:pPr>
        <w:pStyle w:val="ListeParagraf"/>
        <w:numPr>
          <w:ilvl w:val="0"/>
          <w:numId w:val="1"/>
        </w:numPr>
        <w:spacing w:after="0"/>
      </w:pPr>
      <w:r w:rsidRPr="00E9291A">
        <w:t>Petrol Piyasası Dairesi Başkanlığı</w:t>
      </w:r>
    </w:p>
    <w:p w:rsidR="00C553AB" w:rsidRPr="00E9291A" w:rsidRDefault="00C553AB" w:rsidP="00A02EDE">
      <w:pPr>
        <w:spacing w:after="0"/>
        <w:ind w:left="360"/>
      </w:pPr>
      <w:r w:rsidRPr="00E9291A">
        <w:t>ç)</w:t>
      </w:r>
      <w:r w:rsidRPr="00E9291A">
        <w:tab/>
        <w:t>Sıvılaştırılmış Petrol Gazları Piyasası Dairesi Başkanlığı</w:t>
      </w:r>
    </w:p>
    <w:p w:rsidR="00C553AB" w:rsidRPr="00E9291A" w:rsidRDefault="00C553AB" w:rsidP="00A02EDE">
      <w:pPr>
        <w:pStyle w:val="ListeParagraf"/>
        <w:numPr>
          <w:ilvl w:val="0"/>
          <w:numId w:val="1"/>
        </w:numPr>
        <w:spacing w:after="0"/>
      </w:pPr>
      <w:r w:rsidRPr="00E9291A">
        <w:t>Tarifeler Dairesi Başkanlığı</w:t>
      </w:r>
    </w:p>
    <w:p w:rsidR="00C553AB" w:rsidRPr="00E9291A" w:rsidRDefault="00C553AB" w:rsidP="00A02EDE">
      <w:pPr>
        <w:pStyle w:val="ListeParagraf"/>
        <w:numPr>
          <w:ilvl w:val="0"/>
          <w:numId w:val="1"/>
        </w:numPr>
        <w:spacing w:after="0"/>
      </w:pPr>
      <w:r w:rsidRPr="00E9291A">
        <w:t>Denetim Dairesi Başkanlığı</w:t>
      </w:r>
    </w:p>
    <w:p w:rsidR="00C553AB" w:rsidRPr="00E9291A" w:rsidRDefault="00C553AB" w:rsidP="00A02EDE">
      <w:pPr>
        <w:pStyle w:val="ListeParagraf"/>
        <w:numPr>
          <w:ilvl w:val="0"/>
          <w:numId w:val="1"/>
        </w:numPr>
        <w:spacing w:after="0"/>
      </w:pPr>
      <w:r w:rsidRPr="00E9291A">
        <w:t>Kamulaştırma Dairesi Başkanlığı</w:t>
      </w:r>
    </w:p>
    <w:p w:rsidR="00C553AB" w:rsidRPr="00E9291A" w:rsidRDefault="00C553AB" w:rsidP="00A02EDE">
      <w:pPr>
        <w:pStyle w:val="ListeParagraf"/>
        <w:numPr>
          <w:ilvl w:val="0"/>
          <w:numId w:val="1"/>
        </w:numPr>
        <w:spacing w:after="0"/>
      </w:pPr>
      <w:r w:rsidRPr="00E9291A">
        <w:t>Hukuk Dairesi Başkanlığı</w:t>
      </w:r>
    </w:p>
    <w:p w:rsidR="00C553AB" w:rsidRPr="00E9291A" w:rsidRDefault="00C553AB" w:rsidP="00A02EDE">
      <w:pPr>
        <w:spacing w:after="0"/>
        <w:ind w:left="360"/>
      </w:pPr>
      <w:r w:rsidRPr="00E9291A">
        <w:t>ğ)</w:t>
      </w:r>
      <w:r w:rsidRPr="00E9291A">
        <w:tab/>
        <w:t>Strateji Geliştirme Dairesi Başkanlığı</w:t>
      </w:r>
    </w:p>
    <w:p w:rsidR="003E0739" w:rsidRDefault="00C553AB" w:rsidP="003E0739">
      <w:pPr>
        <w:pStyle w:val="ListeParagraf"/>
        <w:numPr>
          <w:ilvl w:val="0"/>
          <w:numId w:val="1"/>
        </w:numPr>
        <w:spacing w:after="0"/>
      </w:pPr>
      <w:r w:rsidRPr="00E9291A">
        <w:t>İnsan Kaynakları ve Destek Hizmetleri Dairesi Başkanlığı</w:t>
      </w:r>
    </w:p>
    <w:p w:rsidR="0023029E" w:rsidRPr="00E9291A" w:rsidRDefault="003E0739" w:rsidP="000A5A56">
      <w:pPr>
        <w:pStyle w:val="ListeParagraf"/>
        <w:numPr>
          <w:ilvl w:val="0"/>
          <w:numId w:val="19"/>
        </w:numPr>
        <w:spacing w:after="0"/>
        <w:ind w:left="709" w:hanging="349"/>
      </w:pPr>
      <w:r>
        <w:t>Bilgi İşlem Dairesi Başkanlığı</w:t>
      </w:r>
    </w:p>
    <w:p w:rsidR="00C553AB" w:rsidRPr="00E9291A" w:rsidRDefault="0023029E" w:rsidP="003E0739">
      <w:pPr>
        <w:pStyle w:val="ListeParagraf"/>
        <w:numPr>
          <w:ilvl w:val="0"/>
          <w:numId w:val="1"/>
        </w:numPr>
        <w:spacing w:after="0"/>
      </w:pPr>
      <w:r>
        <w:t>Enerji Dönüşüm Dairesi Başkanlığı</w:t>
      </w:r>
    </w:p>
    <w:p w:rsidR="0023029E" w:rsidRDefault="0023029E" w:rsidP="003E0739">
      <w:pPr>
        <w:pStyle w:val="ListeParagraf"/>
        <w:numPr>
          <w:ilvl w:val="0"/>
          <w:numId w:val="1"/>
        </w:numPr>
        <w:spacing w:after="0"/>
      </w:pPr>
      <w:r w:rsidRPr="0023029E">
        <w:t>Basın ve Halkla İlişkiler Müşavirliği</w:t>
      </w:r>
    </w:p>
    <w:p w:rsidR="00C553AB" w:rsidRDefault="0023029E" w:rsidP="003E0739">
      <w:pPr>
        <w:pStyle w:val="ListeParagraf"/>
        <w:numPr>
          <w:ilvl w:val="0"/>
          <w:numId w:val="1"/>
        </w:numPr>
        <w:spacing w:after="0"/>
      </w:pPr>
      <w:r w:rsidRPr="0023029E">
        <w:t>Kurul Hizmetleri Müdürlüğü</w:t>
      </w:r>
    </w:p>
    <w:p w:rsidR="0023029E" w:rsidRPr="00E9291A" w:rsidRDefault="0023029E" w:rsidP="003E0739">
      <w:pPr>
        <w:pStyle w:val="ListeParagraf"/>
        <w:numPr>
          <w:ilvl w:val="0"/>
          <w:numId w:val="1"/>
        </w:numPr>
        <w:spacing w:after="0"/>
      </w:pPr>
      <w:r w:rsidRPr="0023029E">
        <w:t>Başkanlık Özel Kalem Müdürlüğü</w:t>
      </w:r>
    </w:p>
    <w:p w:rsidR="00C553AB" w:rsidRPr="00E9291A" w:rsidRDefault="00C553AB" w:rsidP="00A02EDE">
      <w:pPr>
        <w:spacing w:after="0"/>
        <w:ind w:left="720"/>
      </w:pPr>
    </w:p>
    <w:p w:rsidR="00C553AB" w:rsidRPr="00E9291A" w:rsidRDefault="00C553AB" w:rsidP="00A02EDE">
      <w:pPr>
        <w:spacing w:after="0"/>
      </w:pPr>
    </w:p>
    <w:p w:rsidR="00C553AB" w:rsidRPr="00E9291A" w:rsidRDefault="00C553AB" w:rsidP="00A02EDE">
      <w:pPr>
        <w:spacing w:after="0"/>
      </w:pPr>
    </w:p>
    <w:p w:rsidR="00C553AB" w:rsidRPr="00E9291A" w:rsidRDefault="00C553AB" w:rsidP="00A02EDE">
      <w:pPr>
        <w:spacing w:after="0"/>
      </w:pPr>
    </w:p>
    <w:p w:rsidR="00C553AB" w:rsidRPr="00E9291A" w:rsidRDefault="00C553AB" w:rsidP="00A02EDE">
      <w:pPr>
        <w:spacing w:after="0"/>
      </w:pPr>
    </w:p>
    <w:p w:rsidR="00C553AB" w:rsidRPr="00E9291A" w:rsidRDefault="00C553AB" w:rsidP="00A02EDE">
      <w:pPr>
        <w:spacing w:after="0"/>
      </w:pPr>
    </w:p>
    <w:p w:rsidR="00C553AB" w:rsidRPr="00E9291A" w:rsidRDefault="00C553AB" w:rsidP="00A02EDE">
      <w:pPr>
        <w:spacing w:after="0"/>
      </w:pPr>
    </w:p>
    <w:p w:rsidR="00090153" w:rsidRPr="00E9291A" w:rsidRDefault="00090153" w:rsidP="00A02EDE">
      <w:pPr>
        <w:spacing w:after="0"/>
      </w:pPr>
    </w:p>
    <w:p w:rsidR="00090153" w:rsidRPr="00E9291A" w:rsidRDefault="00090153" w:rsidP="00A02EDE">
      <w:pPr>
        <w:ind w:firstLine="708"/>
      </w:pPr>
    </w:p>
    <w:p w:rsidR="00090153" w:rsidRPr="00E9291A" w:rsidRDefault="00090153" w:rsidP="00A02EDE"/>
    <w:p w:rsidR="00C553AB" w:rsidRPr="00E9291A" w:rsidRDefault="00C553AB" w:rsidP="00A02EDE">
      <w:pPr>
        <w:sectPr w:rsidR="00C553AB" w:rsidRPr="00E9291A" w:rsidSect="00A92DB0">
          <w:footerReference w:type="first" r:id="rId15"/>
          <w:pgSz w:w="11906" w:h="16838"/>
          <w:pgMar w:top="1418" w:right="566" w:bottom="1418" w:left="1418" w:header="709" w:footer="709" w:gutter="0"/>
          <w:pgNumType w:start="1"/>
          <w:cols w:space="708"/>
          <w:titlePg/>
          <w:docGrid w:linePitch="360"/>
        </w:sectPr>
      </w:pPr>
    </w:p>
    <w:p w:rsidR="00BF60F1" w:rsidRPr="00E9291A" w:rsidRDefault="002A1509" w:rsidP="00753513">
      <w:pPr>
        <w:spacing w:after="0"/>
        <w:sectPr w:rsidR="00BF60F1" w:rsidRPr="00E9291A" w:rsidSect="007650B8">
          <w:footerReference w:type="default" r:id="rId16"/>
          <w:pgSz w:w="16838" w:h="11906" w:orient="landscape"/>
          <w:pgMar w:top="1418" w:right="1418" w:bottom="566" w:left="1418" w:header="709" w:footer="459" w:gutter="0"/>
          <w:cols w:space="708"/>
          <w:docGrid w:linePitch="360"/>
        </w:sectPr>
      </w:pPr>
      <w:r w:rsidRPr="006C2F32">
        <w:rPr>
          <w:noProof/>
          <w:lang w:eastAsia="tr-TR"/>
        </w:rPr>
        <w:lastRenderedPageBreak/>
        <w:drawing>
          <wp:inline distT="0" distB="0" distL="0" distR="0" wp14:anchorId="6B3B2294" wp14:editId="5976120F">
            <wp:extent cx="8890839" cy="5025225"/>
            <wp:effectExtent l="0" t="0" r="5715" b="4445"/>
            <wp:docPr id="488" name="Resim 488" descr="C:\Users\americ\Desktop\teşkil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meric\Desktop\teşkilat.jpg"/>
                    <pic:cNvPicPr>
                      <a:picLocks noChangeAspect="1" noChangeArrowheads="1"/>
                    </pic:cNvPicPr>
                  </pic:nvPicPr>
                  <pic:blipFill rotWithShape="1">
                    <a:blip r:embed="rId17">
                      <a:extLst>
                        <a:ext uri="{28A0092B-C50C-407E-A947-70E740481C1C}">
                          <a14:useLocalDpi xmlns:a14="http://schemas.microsoft.com/office/drawing/2010/main" val="0"/>
                        </a:ext>
                      </a:extLst>
                    </a:blip>
                    <a:srcRect t="11704" b="10432"/>
                    <a:stretch/>
                  </pic:blipFill>
                  <pic:spPr bwMode="auto">
                    <a:xfrm>
                      <a:off x="0" y="0"/>
                      <a:ext cx="8891270" cy="5025468"/>
                    </a:xfrm>
                    <a:prstGeom prst="rect">
                      <a:avLst/>
                    </a:prstGeom>
                    <a:noFill/>
                    <a:ln>
                      <a:noFill/>
                    </a:ln>
                    <a:extLst>
                      <a:ext uri="{53640926-AAD7-44D8-BBD7-CCE9431645EC}">
                        <a14:shadowObscured xmlns:a14="http://schemas.microsoft.com/office/drawing/2010/main"/>
                      </a:ext>
                    </a:extLst>
                  </pic:spPr>
                </pic:pic>
              </a:graphicData>
            </a:graphic>
          </wp:inline>
        </w:drawing>
      </w:r>
    </w:p>
    <w:p w:rsidR="0082383B" w:rsidRPr="00E9291A" w:rsidRDefault="00505EE2" w:rsidP="000A5A56">
      <w:pPr>
        <w:pStyle w:val="Balk2"/>
        <w:numPr>
          <w:ilvl w:val="1"/>
          <w:numId w:val="11"/>
        </w:numPr>
        <w:spacing w:after="240"/>
        <w:rPr>
          <w:rFonts w:asciiTheme="minorHAnsi" w:hAnsiTheme="minorHAnsi"/>
          <w:color w:val="000000" w:themeColor="text1"/>
          <w:sz w:val="22"/>
          <w:szCs w:val="22"/>
        </w:rPr>
      </w:pPr>
      <w:bookmarkStart w:id="27" w:name="_Toc132713753"/>
      <w:r w:rsidRPr="00E9291A">
        <w:rPr>
          <w:rFonts w:asciiTheme="minorHAnsi" w:hAnsiTheme="minorHAnsi"/>
          <w:color w:val="000000" w:themeColor="text1"/>
          <w:sz w:val="22"/>
          <w:szCs w:val="22"/>
        </w:rPr>
        <w:lastRenderedPageBreak/>
        <w:t>Kurum Faaliyetlerinin Denetlenmesi</w:t>
      </w:r>
      <w:bookmarkEnd w:id="27"/>
    </w:p>
    <w:p w:rsidR="00D0443E" w:rsidRPr="00E9291A" w:rsidRDefault="00D0443E" w:rsidP="00A02EDE">
      <w:pPr>
        <w:spacing w:after="0"/>
      </w:pPr>
      <w:r w:rsidRPr="00E9291A">
        <w:t>Kurum, 5018 sayılı Kamu Mali Yönetimi ve Kontrol Kanununun sadece 3, 7, 8, 12, 15, 17, 18, 19, 25, 43, 47, 48, 49, 50, 51, 52, 53, 54, 68 ve 76</w:t>
      </w:r>
      <w:r w:rsidR="00FF7F61">
        <w:t xml:space="preserve"> </w:t>
      </w:r>
      <w:r w:rsidRPr="00E9291A">
        <w:t xml:space="preserve">ncı maddelerine tabidir. Bu çerçevede, 5018 sayılı </w:t>
      </w:r>
      <w:r w:rsidR="00BC2070" w:rsidRPr="00E9291A">
        <w:t>Kanunun</w:t>
      </w:r>
      <w:r w:rsidR="00C20BF0">
        <w:t xml:space="preserve"> 68’</w:t>
      </w:r>
      <w:r w:rsidRPr="00E9291A">
        <w:t>inci maddesi uyarınca Kurumun dış denetimi Sayıştay tarafından yapılmaktadır.</w:t>
      </w:r>
    </w:p>
    <w:p w:rsidR="008A2C96" w:rsidRPr="00E9291A" w:rsidRDefault="008A2C96" w:rsidP="00A02EDE">
      <w:pPr>
        <w:spacing w:after="0"/>
      </w:pPr>
    </w:p>
    <w:p w:rsidR="008A2C96" w:rsidRPr="00E9291A" w:rsidRDefault="00D0443E" w:rsidP="00A02EDE">
      <w:pPr>
        <w:spacing w:after="0"/>
      </w:pPr>
      <w:r w:rsidRPr="00E9291A">
        <w:t xml:space="preserve">Sayıştay tarafından yapılan harcama sonrası dış denetimin amacı, hesap verme sorumluluğu çerçevesinde, yönetimin mali faaliyet, karar ve işlemlerinin; kanunlara, kurumsal amaç, hedef ve planlara uygunluk yönünden incelenmesi ve sonuçlarının </w:t>
      </w:r>
      <w:r w:rsidR="000A5790">
        <w:t xml:space="preserve">TBMM’ye </w:t>
      </w:r>
      <w:r w:rsidRPr="00E9291A">
        <w:t>raporlanmasıdır.</w:t>
      </w:r>
    </w:p>
    <w:p w:rsidR="008A2C96" w:rsidRPr="00E9291A" w:rsidRDefault="008A2C96" w:rsidP="00A02EDE">
      <w:pPr>
        <w:spacing w:after="0"/>
      </w:pPr>
    </w:p>
    <w:p w:rsidR="008A2C96" w:rsidRPr="00E9291A" w:rsidRDefault="00D0443E" w:rsidP="00A02EDE">
      <w:pPr>
        <w:spacing w:after="0"/>
      </w:pPr>
      <w:r w:rsidRPr="00E9291A">
        <w:t xml:space="preserve">Diğer yandan </w:t>
      </w:r>
      <w:r w:rsidR="00B61C5D" w:rsidRPr="00E9291A">
        <w:t>17</w:t>
      </w:r>
      <w:r w:rsidR="004C4E00">
        <w:t>.</w:t>
      </w:r>
      <w:r w:rsidR="007F557C" w:rsidRPr="00E9291A">
        <w:t>0</w:t>
      </w:r>
      <w:r w:rsidR="00B61C5D" w:rsidRPr="00E9291A">
        <w:t>8</w:t>
      </w:r>
      <w:r w:rsidR="004C4E00">
        <w:t>.</w:t>
      </w:r>
      <w:r w:rsidR="00B61C5D" w:rsidRPr="00E9291A">
        <w:t>2011 ve</w:t>
      </w:r>
      <w:r w:rsidR="004C4E00">
        <w:t xml:space="preserve"> </w:t>
      </w:r>
      <w:r w:rsidRPr="00E9291A">
        <w:t xml:space="preserve">28028 sayılı </w:t>
      </w:r>
      <w:r w:rsidR="00E11ED2" w:rsidRPr="00E9291A">
        <w:t>Resmî</w:t>
      </w:r>
      <w:r w:rsidR="006822C0" w:rsidRPr="00E9291A">
        <w:t xml:space="preserve"> </w:t>
      </w:r>
      <w:r w:rsidR="00274939">
        <w:t>Gazetede</w:t>
      </w:r>
      <w:r w:rsidRPr="00E9291A">
        <w:t xml:space="preserve"> yayımlanan</w:t>
      </w:r>
      <w:r w:rsidR="00B61C5D" w:rsidRPr="00E9291A">
        <w:t xml:space="preserve"> 649 sayılı </w:t>
      </w:r>
      <w:r w:rsidRPr="00E9291A">
        <w:t xml:space="preserve">Kanun Hükmünde Kararnamenin </w:t>
      </w:r>
      <w:r w:rsidR="00B61C5D" w:rsidRPr="00E9291A">
        <w:t>45</w:t>
      </w:r>
      <w:r w:rsidR="00FF7F61">
        <w:t xml:space="preserve"> </w:t>
      </w:r>
      <w:r w:rsidRPr="00E9291A">
        <w:t>inci</w:t>
      </w:r>
      <w:r w:rsidR="00B61C5D" w:rsidRPr="00E9291A">
        <w:t xml:space="preserve"> maddesi</w:t>
      </w:r>
      <w:r w:rsidR="00F859B0">
        <w:t xml:space="preserve"> ile değişik 3046 sayılı Kanunun 19/A maddesi</w:t>
      </w:r>
      <w:r w:rsidRPr="00E9291A">
        <w:t>ne göre</w:t>
      </w:r>
      <w:r w:rsidR="00CD3401" w:rsidRPr="00E9291A">
        <w:t xml:space="preserve"> </w:t>
      </w:r>
      <w:r w:rsidRPr="00E9291A">
        <w:t xml:space="preserve">Bakan, </w:t>
      </w:r>
      <w:r w:rsidR="00B61C5D" w:rsidRPr="00E9291A">
        <w:t xml:space="preserve">Kurumun her türlü </w:t>
      </w:r>
      <w:r w:rsidRPr="00E9291A">
        <w:t>faaliyet ve işlemlerini denetlemeye yetkilidir.</w:t>
      </w:r>
    </w:p>
    <w:p w:rsidR="008A2C96" w:rsidRPr="00E9291A" w:rsidRDefault="008A2C96" w:rsidP="00A02EDE">
      <w:pPr>
        <w:spacing w:after="0"/>
      </w:pPr>
    </w:p>
    <w:p w:rsidR="00B61C5D" w:rsidRPr="00E9291A" w:rsidRDefault="008A2C96" w:rsidP="00A02EDE">
      <w:pPr>
        <w:spacing w:after="0"/>
      </w:pPr>
      <w:r w:rsidRPr="00E9291A">
        <w:t>Ayrıca b</w:t>
      </w:r>
      <w:r w:rsidR="00B61C5D" w:rsidRPr="00E9291A">
        <w:t>aşvuru veya talep olması durumunda Kurum</w:t>
      </w:r>
      <w:r w:rsidRPr="00E9291A">
        <w:t>,</w:t>
      </w:r>
      <w:r w:rsidR="00724AFB">
        <w:t xml:space="preserve"> Devlet Denetleme Kurul</w:t>
      </w:r>
      <w:r w:rsidR="00F22A2D">
        <w:t xml:space="preserve">u </w:t>
      </w:r>
      <w:r w:rsidR="00B61C5D" w:rsidRPr="00E9291A">
        <w:t>tarafından</w:t>
      </w:r>
      <w:r w:rsidRPr="00E9291A">
        <w:t xml:space="preserve"> da</w:t>
      </w:r>
      <w:r w:rsidR="00B61C5D" w:rsidRPr="00E9291A">
        <w:t xml:space="preserve"> denetlen</w:t>
      </w:r>
      <w:r w:rsidRPr="00E9291A">
        <w:t>ebil</w:t>
      </w:r>
      <w:r w:rsidR="00B61C5D" w:rsidRPr="00E9291A">
        <w:t xml:space="preserve">mektedir. </w:t>
      </w:r>
    </w:p>
    <w:p w:rsidR="001D4D93" w:rsidRPr="00E9291A" w:rsidRDefault="001D4D93" w:rsidP="00A02EDE">
      <w:pPr>
        <w:spacing w:after="0"/>
      </w:pPr>
    </w:p>
    <w:p w:rsidR="00917E4C" w:rsidRPr="00E9291A" w:rsidRDefault="00917E4C" w:rsidP="00A02EDE">
      <w:pPr>
        <w:spacing w:after="0"/>
      </w:pPr>
    </w:p>
    <w:p w:rsidR="00917E4C" w:rsidRPr="00E9291A" w:rsidRDefault="00917E4C" w:rsidP="00A02EDE">
      <w:pPr>
        <w:spacing w:after="0"/>
      </w:pPr>
    </w:p>
    <w:p w:rsidR="00917E4C" w:rsidRPr="00E9291A" w:rsidRDefault="00917E4C" w:rsidP="00A02EDE">
      <w:pPr>
        <w:spacing w:after="0"/>
      </w:pPr>
    </w:p>
    <w:p w:rsidR="00917E4C" w:rsidRPr="00E9291A" w:rsidRDefault="00917E4C" w:rsidP="00A02EDE">
      <w:pPr>
        <w:spacing w:after="0"/>
      </w:pPr>
    </w:p>
    <w:p w:rsidR="00917E4C" w:rsidRPr="00E9291A" w:rsidRDefault="00917E4C" w:rsidP="00A02EDE">
      <w:pPr>
        <w:spacing w:after="0"/>
      </w:pPr>
    </w:p>
    <w:p w:rsidR="00917E4C" w:rsidRPr="00E9291A" w:rsidRDefault="00917E4C" w:rsidP="00A02EDE">
      <w:pPr>
        <w:spacing w:after="0"/>
      </w:pPr>
    </w:p>
    <w:p w:rsidR="00917E4C" w:rsidRPr="00E9291A" w:rsidRDefault="00917E4C" w:rsidP="00A02EDE">
      <w:pPr>
        <w:spacing w:after="0"/>
      </w:pPr>
    </w:p>
    <w:p w:rsidR="00917E4C" w:rsidRPr="00E9291A" w:rsidRDefault="00917E4C" w:rsidP="00A02EDE">
      <w:pPr>
        <w:spacing w:after="0"/>
      </w:pPr>
    </w:p>
    <w:p w:rsidR="00917E4C" w:rsidRPr="00E9291A" w:rsidRDefault="00917E4C" w:rsidP="00A02EDE">
      <w:pPr>
        <w:spacing w:after="0"/>
      </w:pPr>
    </w:p>
    <w:p w:rsidR="00917E4C" w:rsidRPr="00E9291A" w:rsidRDefault="00917E4C" w:rsidP="00A02EDE">
      <w:pPr>
        <w:spacing w:after="0"/>
      </w:pPr>
    </w:p>
    <w:p w:rsidR="00917E4C" w:rsidRPr="00E9291A" w:rsidRDefault="00917E4C" w:rsidP="00A02EDE">
      <w:pPr>
        <w:spacing w:after="0"/>
      </w:pPr>
    </w:p>
    <w:p w:rsidR="00917E4C" w:rsidRPr="00E9291A" w:rsidRDefault="00917E4C" w:rsidP="00A02EDE">
      <w:pPr>
        <w:spacing w:after="0"/>
      </w:pPr>
    </w:p>
    <w:p w:rsidR="00917E4C" w:rsidRPr="00E9291A" w:rsidRDefault="00917E4C" w:rsidP="00A02EDE">
      <w:pPr>
        <w:spacing w:after="0"/>
      </w:pPr>
    </w:p>
    <w:p w:rsidR="00917E4C" w:rsidRPr="00E9291A" w:rsidRDefault="00917E4C" w:rsidP="00A02EDE">
      <w:pPr>
        <w:spacing w:after="0"/>
      </w:pPr>
    </w:p>
    <w:p w:rsidR="00917E4C" w:rsidRPr="00E9291A" w:rsidRDefault="00917E4C" w:rsidP="00A02EDE">
      <w:pPr>
        <w:spacing w:after="0"/>
      </w:pPr>
    </w:p>
    <w:p w:rsidR="00917E4C" w:rsidRPr="00E9291A" w:rsidRDefault="00917E4C" w:rsidP="00A02EDE">
      <w:pPr>
        <w:spacing w:after="0"/>
      </w:pPr>
    </w:p>
    <w:p w:rsidR="00917E4C" w:rsidRPr="00E9291A" w:rsidRDefault="00917E4C" w:rsidP="00A02EDE">
      <w:pPr>
        <w:spacing w:after="0"/>
      </w:pPr>
    </w:p>
    <w:p w:rsidR="00917E4C" w:rsidRPr="00E9291A" w:rsidRDefault="00917E4C" w:rsidP="00A02EDE">
      <w:pPr>
        <w:spacing w:after="0"/>
      </w:pPr>
    </w:p>
    <w:p w:rsidR="00917E4C" w:rsidRPr="00E9291A" w:rsidRDefault="00917E4C" w:rsidP="00A02EDE">
      <w:pPr>
        <w:spacing w:after="0"/>
      </w:pPr>
    </w:p>
    <w:p w:rsidR="00917E4C" w:rsidRPr="00E9291A" w:rsidRDefault="00917E4C" w:rsidP="00A02EDE">
      <w:pPr>
        <w:spacing w:after="0"/>
      </w:pPr>
    </w:p>
    <w:p w:rsidR="00917E4C" w:rsidRPr="00E9291A" w:rsidRDefault="00917E4C" w:rsidP="00A02EDE">
      <w:pPr>
        <w:spacing w:after="0"/>
      </w:pPr>
    </w:p>
    <w:p w:rsidR="00917E4C" w:rsidRPr="00E9291A" w:rsidRDefault="00917E4C" w:rsidP="00A02EDE">
      <w:pPr>
        <w:spacing w:after="0"/>
      </w:pPr>
    </w:p>
    <w:p w:rsidR="00917E4C" w:rsidRPr="00E9291A" w:rsidRDefault="00917E4C" w:rsidP="00A02EDE">
      <w:pPr>
        <w:spacing w:after="0"/>
      </w:pPr>
    </w:p>
    <w:p w:rsidR="00917E4C" w:rsidRPr="00E9291A" w:rsidRDefault="00917E4C" w:rsidP="00A02EDE">
      <w:pPr>
        <w:spacing w:after="0"/>
      </w:pPr>
    </w:p>
    <w:p w:rsidR="00917E4C" w:rsidRPr="00E9291A" w:rsidRDefault="00917E4C" w:rsidP="00A02EDE">
      <w:pPr>
        <w:spacing w:after="0"/>
      </w:pPr>
    </w:p>
    <w:p w:rsidR="000F34AC" w:rsidRPr="00E9291A" w:rsidRDefault="000F34AC" w:rsidP="00A02EDE">
      <w:pPr>
        <w:spacing w:after="0"/>
      </w:pPr>
    </w:p>
    <w:p w:rsidR="000F34AC" w:rsidRPr="00E9291A" w:rsidRDefault="000F34AC" w:rsidP="00A02EDE">
      <w:pPr>
        <w:spacing w:after="0"/>
      </w:pPr>
    </w:p>
    <w:p w:rsidR="00917E4C" w:rsidRPr="00E9291A" w:rsidRDefault="00917E4C" w:rsidP="00A02EDE">
      <w:pPr>
        <w:spacing w:after="0"/>
      </w:pPr>
    </w:p>
    <w:p w:rsidR="006861CE" w:rsidRPr="00E9291A" w:rsidRDefault="006861CE" w:rsidP="00A02EDE">
      <w:pPr>
        <w:pStyle w:val="KonuBal"/>
        <w:outlineLvl w:val="0"/>
        <w:rPr>
          <w:rStyle w:val="KitapBal"/>
          <w:rFonts w:asciiTheme="minorHAnsi" w:hAnsiTheme="minorHAnsi"/>
          <w:color w:val="auto"/>
          <w:sz w:val="22"/>
          <w:szCs w:val="22"/>
        </w:rPr>
      </w:pPr>
      <w:bookmarkStart w:id="28" w:name="_Toc132713754"/>
      <w:r w:rsidRPr="00E9291A">
        <w:rPr>
          <w:rStyle w:val="KitapBal"/>
          <w:rFonts w:asciiTheme="minorHAnsi" w:hAnsiTheme="minorHAnsi"/>
          <w:color w:val="auto"/>
          <w:sz w:val="22"/>
          <w:szCs w:val="22"/>
        </w:rPr>
        <w:lastRenderedPageBreak/>
        <w:t>İKİNCİ BÖLÜM</w:t>
      </w:r>
      <w:bookmarkEnd w:id="28"/>
    </w:p>
    <w:p w:rsidR="006861CE" w:rsidRPr="00E9291A" w:rsidRDefault="006861CE" w:rsidP="00A02EDE">
      <w:pPr>
        <w:pStyle w:val="KonuBal"/>
        <w:rPr>
          <w:rStyle w:val="KitapBal"/>
          <w:rFonts w:asciiTheme="minorHAnsi" w:hAnsiTheme="minorHAnsi"/>
          <w:color w:val="auto"/>
          <w:sz w:val="22"/>
          <w:szCs w:val="22"/>
        </w:rPr>
      </w:pPr>
      <w:r w:rsidRPr="00E9291A">
        <w:rPr>
          <w:rStyle w:val="KitapBal"/>
          <w:rFonts w:asciiTheme="minorHAnsi" w:hAnsiTheme="minorHAnsi"/>
          <w:color w:val="auto"/>
          <w:sz w:val="22"/>
          <w:szCs w:val="22"/>
        </w:rPr>
        <w:t>FAALİYETLERE İLİŞKİN BİLGİLER</w:t>
      </w:r>
    </w:p>
    <w:p w:rsidR="003F1E81" w:rsidRDefault="001D2DA2" w:rsidP="000A5A56">
      <w:pPr>
        <w:pStyle w:val="Balk1"/>
        <w:numPr>
          <w:ilvl w:val="0"/>
          <w:numId w:val="11"/>
        </w:numPr>
        <w:rPr>
          <w:rFonts w:asciiTheme="minorHAnsi" w:hAnsiTheme="minorHAnsi"/>
          <w:color w:val="auto"/>
          <w:sz w:val="22"/>
          <w:szCs w:val="22"/>
        </w:rPr>
      </w:pPr>
      <w:bookmarkStart w:id="29" w:name="_Toc442431231"/>
      <w:bookmarkStart w:id="30" w:name="_Toc6684426"/>
      <w:bookmarkStart w:id="31" w:name="_Toc132713755"/>
      <w:bookmarkStart w:id="32" w:name="_Toc442431254"/>
      <w:r w:rsidRPr="00B534D3">
        <w:rPr>
          <w:rFonts w:asciiTheme="minorHAnsi" w:hAnsiTheme="minorHAnsi"/>
          <w:color w:val="auto"/>
          <w:sz w:val="22"/>
          <w:szCs w:val="22"/>
        </w:rPr>
        <w:t>MEVZUAT GELİŞTİRİLMESİ FAALİYETLERİ</w:t>
      </w:r>
      <w:bookmarkEnd w:id="29"/>
      <w:bookmarkEnd w:id="30"/>
      <w:bookmarkEnd w:id="31"/>
    </w:p>
    <w:p w:rsidR="001D2DA2" w:rsidRDefault="001D2DA2" w:rsidP="001D2DA2">
      <w:pPr>
        <w:spacing w:after="0"/>
      </w:pPr>
      <w:r w:rsidRPr="00410B0D">
        <w:t>Bu bölümde Elektrik, Doğal Gaz, Petrol ve LPG piyasaları</w:t>
      </w:r>
      <w:r w:rsidR="0056009F" w:rsidRPr="00410B0D">
        <w:t>na ilişkin 202</w:t>
      </w:r>
      <w:r w:rsidR="00702D0D">
        <w:t>2</w:t>
      </w:r>
      <w:r w:rsidRPr="00410B0D">
        <w:t xml:space="preserve"> yılı içerisinde mevzuat geliştirme kapsamında yapılan faaliyetler yer almaktadır. </w:t>
      </w:r>
    </w:p>
    <w:p w:rsidR="003F1E81" w:rsidRPr="00410B0D" w:rsidRDefault="003F1E81" w:rsidP="001D2DA2">
      <w:pPr>
        <w:spacing w:after="0"/>
      </w:pPr>
    </w:p>
    <w:p w:rsidR="001D2DA2" w:rsidRPr="001A3AD7" w:rsidRDefault="001D2DA2" w:rsidP="000A5A56">
      <w:pPr>
        <w:pStyle w:val="Balk2"/>
        <w:numPr>
          <w:ilvl w:val="1"/>
          <w:numId w:val="11"/>
        </w:numPr>
        <w:spacing w:before="0" w:after="240"/>
        <w:rPr>
          <w:rFonts w:asciiTheme="minorHAnsi" w:hAnsiTheme="minorHAnsi"/>
          <w:color w:val="auto"/>
          <w:sz w:val="22"/>
          <w:szCs w:val="22"/>
        </w:rPr>
      </w:pPr>
      <w:bookmarkStart w:id="33" w:name="_Toc442431232"/>
      <w:bookmarkStart w:id="34" w:name="_Toc6684427"/>
      <w:bookmarkStart w:id="35" w:name="_Toc132713756"/>
      <w:r w:rsidRPr="001A3AD7">
        <w:rPr>
          <w:rFonts w:asciiTheme="minorHAnsi" w:hAnsiTheme="minorHAnsi"/>
          <w:color w:val="auto"/>
          <w:sz w:val="22"/>
          <w:szCs w:val="22"/>
        </w:rPr>
        <w:t>Elektrik Piyasası Mevzuatı</w:t>
      </w:r>
      <w:bookmarkEnd w:id="33"/>
      <w:bookmarkEnd w:id="34"/>
      <w:bookmarkEnd w:id="35"/>
    </w:p>
    <w:p w:rsidR="003F1E81" w:rsidRPr="009824D9" w:rsidRDefault="001D2DA2" w:rsidP="000A5A56">
      <w:pPr>
        <w:pStyle w:val="Balk3"/>
        <w:numPr>
          <w:ilvl w:val="2"/>
          <w:numId w:val="11"/>
        </w:numPr>
        <w:spacing w:before="0" w:after="240"/>
        <w:rPr>
          <w:rFonts w:asciiTheme="minorHAnsi" w:hAnsiTheme="minorHAnsi"/>
          <w:color w:val="auto"/>
        </w:rPr>
      </w:pPr>
      <w:bookmarkStart w:id="36" w:name="_Toc442431233"/>
      <w:bookmarkStart w:id="37" w:name="_Toc6684428"/>
      <w:bookmarkStart w:id="38" w:name="_Toc132713757"/>
      <w:r w:rsidRPr="00410B0D">
        <w:rPr>
          <w:rFonts w:asciiTheme="minorHAnsi" w:hAnsiTheme="minorHAnsi"/>
          <w:color w:val="auto"/>
        </w:rPr>
        <w:t>Kanun</w:t>
      </w:r>
      <w:bookmarkEnd w:id="36"/>
      <w:bookmarkEnd w:id="37"/>
      <w:bookmarkEnd w:id="38"/>
    </w:p>
    <w:p w:rsidR="006836D7" w:rsidRDefault="003F1E81" w:rsidP="0059066B">
      <w:pPr>
        <w:spacing w:after="240"/>
        <w:rPr>
          <w:lang w:eastAsia="tr-TR"/>
        </w:rPr>
      </w:pPr>
      <w:r w:rsidRPr="00410B0D">
        <w:rPr>
          <w:lang w:eastAsia="tr-TR"/>
        </w:rPr>
        <w:t>202</w:t>
      </w:r>
      <w:r w:rsidR="00DA43C5">
        <w:rPr>
          <w:lang w:eastAsia="tr-TR"/>
        </w:rPr>
        <w:t>2</w:t>
      </w:r>
      <w:r w:rsidRPr="00410B0D">
        <w:rPr>
          <w:lang w:eastAsia="tr-TR"/>
        </w:rPr>
        <w:t xml:space="preserve"> yılı içerisinde, </w:t>
      </w:r>
      <w:r w:rsidR="009C1D8D">
        <w:rPr>
          <w:lang w:eastAsia="tr-TR"/>
        </w:rPr>
        <w:t xml:space="preserve">elektrik piyasasında </w:t>
      </w:r>
      <w:r w:rsidRPr="00410B0D">
        <w:rPr>
          <w:lang w:eastAsia="tr-TR"/>
        </w:rPr>
        <w:t xml:space="preserve">aşağıdaki </w:t>
      </w:r>
      <w:r w:rsidR="00E83C59">
        <w:rPr>
          <w:lang w:eastAsia="tr-TR"/>
        </w:rPr>
        <w:t>Kanun çalışmaları</w:t>
      </w:r>
      <w:r w:rsidRPr="00410B0D">
        <w:rPr>
          <w:lang w:eastAsia="tr-TR"/>
        </w:rPr>
        <w:t xml:space="preserve"> yapılmıştır;</w:t>
      </w:r>
    </w:p>
    <w:p w:rsidR="004E0CF3" w:rsidRPr="005B3935" w:rsidRDefault="004E0CF3" w:rsidP="00F91931">
      <w:pPr>
        <w:numPr>
          <w:ilvl w:val="0"/>
          <w:numId w:val="24"/>
        </w:numPr>
        <w:spacing w:before="120" w:after="120"/>
        <w:ind w:hanging="357"/>
        <w:rPr>
          <w:rFonts w:ascii="Calibri" w:hAnsi="Calibri"/>
          <w:b/>
        </w:rPr>
      </w:pPr>
      <w:r>
        <w:rPr>
          <w:rFonts w:ascii="Calibri" w:hAnsi="Calibri"/>
          <w:bCs/>
        </w:rPr>
        <w:t>11</w:t>
      </w:r>
      <w:r w:rsidRPr="005B3935">
        <w:rPr>
          <w:rFonts w:ascii="Calibri" w:hAnsi="Calibri"/>
          <w:bCs/>
        </w:rPr>
        <w:t>.</w:t>
      </w:r>
      <w:r>
        <w:rPr>
          <w:rFonts w:ascii="Calibri" w:hAnsi="Calibri"/>
          <w:bCs/>
        </w:rPr>
        <w:t>01</w:t>
      </w:r>
      <w:r w:rsidRPr="005B3935">
        <w:rPr>
          <w:rFonts w:ascii="Calibri" w:hAnsi="Calibri"/>
          <w:bCs/>
        </w:rPr>
        <w:t>.202</w:t>
      </w:r>
      <w:r>
        <w:rPr>
          <w:rFonts w:ascii="Calibri" w:hAnsi="Calibri"/>
          <w:bCs/>
        </w:rPr>
        <w:t>2</w:t>
      </w:r>
      <w:r w:rsidRPr="005B3935">
        <w:rPr>
          <w:rFonts w:ascii="Calibri" w:hAnsi="Calibri"/>
          <w:bCs/>
        </w:rPr>
        <w:t xml:space="preserve"> tarihli ve 317</w:t>
      </w:r>
      <w:r>
        <w:rPr>
          <w:rFonts w:ascii="Calibri" w:hAnsi="Calibri"/>
          <w:bCs/>
        </w:rPr>
        <w:t>16</w:t>
      </w:r>
      <w:r w:rsidRPr="005B3935">
        <w:rPr>
          <w:rFonts w:ascii="Calibri" w:hAnsi="Calibri"/>
          <w:bCs/>
        </w:rPr>
        <w:t xml:space="preserve"> sayılı Resmî </w:t>
      </w:r>
      <w:r w:rsidR="00274939">
        <w:rPr>
          <w:rFonts w:ascii="Calibri" w:hAnsi="Calibri"/>
          <w:bCs/>
        </w:rPr>
        <w:t>Gazetede</w:t>
      </w:r>
      <w:r w:rsidRPr="005B3935">
        <w:rPr>
          <w:rFonts w:ascii="Calibri" w:hAnsi="Calibri"/>
          <w:bCs/>
        </w:rPr>
        <w:t xml:space="preserve"> yayımlanan 73</w:t>
      </w:r>
      <w:r>
        <w:rPr>
          <w:rFonts w:ascii="Calibri" w:hAnsi="Calibri"/>
          <w:bCs/>
        </w:rPr>
        <w:t>50</w:t>
      </w:r>
      <w:r w:rsidRPr="005B3935">
        <w:rPr>
          <w:rFonts w:ascii="Calibri" w:hAnsi="Calibri"/>
          <w:bCs/>
        </w:rPr>
        <w:t xml:space="preserve"> sayılı Bazı Kanunlarda Değişiklik Yapılmasına Dair Kanun ile 5346 sayılı</w:t>
      </w:r>
      <w:r w:rsidRPr="005B3935">
        <w:rPr>
          <w:rFonts w:ascii="Calibri" w:hAnsi="Calibri"/>
          <w:b/>
          <w:bCs/>
        </w:rPr>
        <w:t xml:space="preserve"> Yenilenebilir Enerji Kaynaklarının Elektrik Enerjisi Üretimi Amaçlı Kullanımına İlişkin Kanunun</w:t>
      </w:r>
    </w:p>
    <w:p w:rsidR="004E0CF3" w:rsidRDefault="004E0CF3" w:rsidP="00F91931">
      <w:pPr>
        <w:numPr>
          <w:ilvl w:val="0"/>
          <w:numId w:val="25"/>
        </w:numPr>
        <w:spacing w:before="120" w:after="120"/>
        <w:ind w:hanging="357"/>
        <w:rPr>
          <w:rFonts w:ascii="Calibri" w:hAnsi="Calibri"/>
        </w:rPr>
      </w:pPr>
      <w:r w:rsidRPr="00192221">
        <w:rPr>
          <w:rFonts w:ascii="Calibri" w:hAnsi="Calibri"/>
        </w:rPr>
        <w:t>6/C maddesinin ikinci fıkrasına birinci cümlesinden sonra gelmek üzere aşağıdaki cümle eklenmiştir.</w:t>
      </w:r>
    </w:p>
    <w:p w:rsidR="004E0CF3" w:rsidRDefault="004E0CF3" w:rsidP="004E0CF3">
      <w:pPr>
        <w:pStyle w:val="ListeParagraf"/>
        <w:spacing w:after="160" w:line="259" w:lineRule="auto"/>
        <w:ind w:left="1440"/>
        <w:rPr>
          <w:i/>
        </w:rPr>
      </w:pPr>
      <w:r w:rsidRPr="004E0CF3">
        <w:rPr>
          <w:i/>
        </w:rPr>
        <w:t>“Ancak, 30/6/2021 tarihinden sonra işletmeye giren söz konusu kapasite artışları işletmeye giriş tarihinden itibaren 6/B maddesi kapsamında yerli katkı fiyatından yararlanır.”</w:t>
      </w:r>
    </w:p>
    <w:p w:rsidR="004E0CF3" w:rsidRDefault="004E0CF3" w:rsidP="004E0CF3">
      <w:pPr>
        <w:pStyle w:val="ListeParagraf"/>
        <w:spacing w:after="160" w:line="259" w:lineRule="auto"/>
        <w:ind w:left="1440"/>
        <w:rPr>
          <w:i/>
        </w:rPr>
      </w:pPr>
    </w:p>
    <w:p w:rsidR="004E0CF3" w:rsidRPr="00184790" w:rsidRDefault="004E0CF3" w:rsidP="000A5A56">
      <w:pPr>
        <w:pStyle w:val="ListeParagraf"/>
        <w:numPr>
          <w:ilvl w:val="0"/>
          <w:numId w:val="24"/>
        </w:numPr>
        <w:rPr>
          <w:rFonts w:ascii="Calibri" w:hAnsi="Calibri"/>
        </w:rPr>
      </w:pPr>
      <w:r w:rsidRPr="00184790">
        <w:rPr>
          <w:rFonts w:ascii="Calibri" w:hAnsi="Calibri"/>
          <w:bCs/>
        </w:rPr>
        <w:t>11</w:t>
      </w:r>
      <w:r w:rsidRPr="005B3935">
        <w:rPr>
          <w:rFonts w:ascii="Calibri" w:hAnsi="Calibri"/>
          <w:bCs/>
        </w:rPr>
        <w:t>.</w:t>
      </w:r>
      <w:r w:rsidRPr="00184790">
        <w:rPr>
          <w:rFonts w:ascii="Calibri" w:hAnsi="Calibri"/>
          <w:bCs/>
        </w:rPr>
        <w:t>01</w:t>
      </w:r>
      <w:r w:rsidRPr="005B3935">
        <w:rPr>
          <w:rFonts w:ascii="Calibri" w:hAnsi="Calibri"/>
          <w:bCs/>
        </w:rPr>
        <w:t>.202</w:t>
      </w:r>
      <w:r w:rsidRPr="00184790">
        <w:rPr>
          <w:rFonts w:ascii="Calibri" w:hAnsi="Calibri"/>
          <w:bCs/>
        </w:rPr>
        <w:t>2</w:t>
      </w:r>
      <w:r w:rsidRPr="005B3935">
        <w:rPr>
          <w:rFonts w:ascii="Calibri" w:hAnsi="Calibri"/>
          <w:bCs/>
        </w:rPr>
        <w:t xml:space="preserve"> tarihli ve 317</w:t>
      </w:r>
      <w:r w:rsidRPr="00184790">
        <w:rPr>
          <w:rFonts w:ascii="Calibri" w:hAnsi="Calibri"/>
          <w:bCs/>
        </w:rPr>
        <w:t>16</w:t>
      </w:r>
      <w:r w:rsidRPr="005B3935">
        <w:rPr>
          <w:rFonts w:ascii="Calibri" w:hAnsi="Calibri"/>
          <w:bCs/>
        </w:rPr>
        <w:t xml:space="preserve"> sayılı Resmî </w:t>
      </w:r>
      <w:r w:rsidR="00274939">
        <w:rPr>
          <w:rFonts w:ascii="Calibri" w:hAnsi="Calibri"/>
          <w:bCs/>
        </w:rPr>
        <w:t>Gazetede</w:t>
      </w:r>
      <w:r w:rsidRPr="005B3935">
        <w:rPr>
          <w:rFonts w:ascii="Calibri" w:hAnsi="Calibri"/>
          <w:bCs/>
        </w:rPr>
        <w:t xml:space="preserve"> yayımlanan 73</w:t>
      </w:r>
      <w:r w:rsidRPr="00184790">
        <w:rPr>
          <w:rFonts w:ascii="Calibri" w:hAnsi="Calibri"/>
          <w:bCs/>
        </w:rPr>
        <w:t>50</w:t>
      </w:r>
      <w:r w:rsidRPr="005B3935">
        <w:rPr>
          <w:rFonts w:ascii="Calibri" w:hAnsi="Calibri"/>
          <w:bCs/>
        </w:rPr>
        <w:t xml:space="preserve"> sayılı Bazı Kanunlarda Değişiklik Yapılmasına Dair Kanun ile</w:t>
      </w:r>
      <w:r>
        <w:rPr>
          <w:rFonts w:ascii="Calibri" w:hAnsi="Calibri"/>
          <w:bCs/>
        </w:rPr>
        <w:t xml:space="preserve"> </w:t>
      </w:r>
      <w:r w:rsidRPr="00184790">
        <w:rPr>
          <w:rFonts w:ascii="Calibri" w:hAnsi="Calibri"/>
          <w:bCs/>
        </w:rPr>
        <w:t xml:space="preserve">6446 sayılı </w:t>
      </w:r>
      <w:r w:rsidRPr="00184790">
        <w:rPr>
          <w:rFonts w:ascii="Calibri" w:hAnsi="Calibri"/>
          <w:b/>
        </w:rPr>
        <w:t>Elektrik Piyasası Kanununa</w:t>
      </w:r>
      <w:r w:rsidRPr="00184790">
        <w:rPr>
          <w:rFonts w:ascii="Calibri" w:hAnsi="Calibri"/>
          <w:bCs/>
        </w:rPr>
        <w:t xml:space="preserve"> aşağıdaki geçici madde eklenmiştir.</w:t>
      </w:r>
    </w:p>
    <w:p w:rsidR="004E0CF3" w:rsidRPr="00184790" w:rsidRDefault="004E0CF3" w:rsidP="004E0CF3">
      <w:pPr>
        <w:pStyle w:val="ListeParagraf"/>
        <w:rPr>
          <w:rFonts w:ascii="Calibri" w:hAnsi="Calibri"/>
          <w:i/>
          <w:iCs/>
        </w:rPr>
      </w:pPr>
    </w:p>
    <w:p w:rsidR="004E0CF3" w:rsidRPr="00184790" w:rsidRDefault="004E0CF3" w:rsidP="004E0CF3">
      <w:pPr>
        <w:pStyle w:val="ListeParagraf"/>
        <w:ind w:left="1440"/>
        <w:rPr>
          <w:rFonts w:ascii="Calibri" w:hAnsi="Calibri"/>
          <w:i/>
          <w:iCs/>
        </w:rPr>
      </w:pPr>
      <w:r>
        <w:rPr>
          <w:rFonts w:ascii="Calibri" w:hAnsi="Calibri"/>
          <w:i/>
          <w:iCs/>
        </w:rPr>
        <w:t>“</w:t>
      </w:r>
      <w:r w:rsidRPr="00184790">
        <w:rPr>
          <w:rFonts w:ascii="Calibri" w:hAnsi="Calibri"/>
          <w:i/>
          <w:iCs/>
        </w:rPr>
        <w:t>GEÇİCİ MADDE 31 - (1) Mülga 15/7/1970 tarihli ve 1312 sayılı Türkiye Elektrik Kurumu Kanununun 9/9/1982 tarihli ve 2705 sayılı 1312 Sayılı Türkiye Elektrik Kurumu Kanununun Bazı Maddelerinin Değiştirilmesi, İki Maddesinin Yürürlükten Kaldırılması, Bazı Madde, Bent ve Fıkra Eklenmesi Hakkında Kanunla değişik 3 üncü maddesinin ikinci fıkrasının (i) bendinde sayılan kurum ve kuruluşlar ile Etibank, Türkiye Elektrik Kurumu, Türkiye Elektrik Üretim İletim A.Ş. ve elektrik dağıtım şirketleri adına tapuda tescil edilmiş, mülkiyet ve mülkiyetten gayri ayni haklardan elektrik dağıtım faaliyetlerine ilişkin olanlar TEDAŞ Genel Müdürlüğünün başvurusu üzerine resen bedelsiz olarak TEDAŞ Genel Müdürlüğü adına, elektrik iletim faaliyetlerine ilişkin olanlar ise TEİAŞ Genel Müdürlüğünün başvurusu üzerine resen bedelsiz olarak TEİAŞ Genel Müdürlüğü adına tescil edilir.</w:t>
      </w:r>
    </w:p>
    <w:p w:rsidR="004E0CF3" w:rsidRDefault="004E0CF3" w:rsidP="004E0CF3">
      <w:pPr>
        <w:pStyle w:val="ListeParagraf"/>
        <w:ind w:left="1440"/>
        <w:rPr>
          <w:rFonts w:ascii="Calibri" w:hAnsi="Calibri"/>
          <w:i/>
          <w:iCs/>
        </w:rPr>
      </w:pPr>
    </w:p>
    <w:p w:rsidR="004E0CF3" w:rsidRDefault="004E0CF3" w:rsidP="004E0CF3">
      <w:pPr>
        <w:pStyle w:val="ListeParagraf"/>
        <w:ind w:left="1440"/>
        <w:rPr>
          <w:rFonts w:ascii="Calibri" w:hAnsi="Calibri"/>
          <w:i/>
          <w:iCs/>
        </w:rPr>
      </w:pPr>
      <w:r w:rsidRPr="00184790">
        <w:rPr>
          <w:rFonts w:ascii="Calibri" w:hAnsi="Calibri"/>
          <w:i/>
          <w:iCs/>
        </w:rPr>
        <w:t>(2) Bu madde kapsamında yapılacak tescil işlemlerine ilişkin devir ve tashih işlemleri her türlü harç ve döner sermaye hizmet bedelinden müstesnadır.”</w:t>
      </w:r>
    </w:p>
    <w:p w:rsidR="00D44F80" w:rsidRDefault="00D44F80" w:rsidP="004E0CF3">
      <w:pPr>
        <w:pStyle w:val="ListeParagraf"/>
        <w:ind w:left="1440"/>
        <w:rPr>
          <w:rFonts w:ascii="Calibri" w:hAnsi="Calibri"/>
          <w:i/>
          <w:iCs/>
        </w:rPr>
      </w:pPr>
    </w:p>
    <w:p w:rsidR="00D44F80" w:rsidRPr="004F2451" w:rsidRDefault="00D44F80" w:rsidP="00D44F80">
      <w:pPr>
        <w:pStyle w:val="ListeParagraf"/>
        <w:numPr>
          <w:ilvl w:val="0"/>
          <w:numId w:val="24"/>
        </w:numPr>
        <w:rPr>
          <w:rFonts w:ascii="Calibri" w:hAnsi="Calibri"/>
        </w:rPr>
      </w:pPr>
      <w:r>
        <w:rPr>
          <w:rFonts w:ascii="Calibri" w:hAnsi="Calibri"/>
          <w:bCs/>
        </w:rPr>
        <w:t>8</w:t>
      </w:r>
      <w:r w:rsidRPr="005B3935">
        <w:rPr>
          <w:rFonts w:ascii="Calibri" w:hAnsi="Calibri"/>
          <w:bCs/>
        </w:rPr>
        <w:t>.</w:t>
      </w:r>
      <w:r w:rsidRPr="00184790">
        <w:rPr>
          <w:rFonts w:ascii="Calibri" w:hAnsi="Calibri"/>
          <w:bCs/>
        </w:rPr>
        <w:t>0</w:t>
      </w:r>
      <w:r>
        <w:rPr>
          <w:rFonts w:ascii="Calibri" w:hAnsi="Calibri"/>
          <w:bCs/>
        </w:rPr>
        <w:t>3</w:t>
      </w:r>
      <w:r w:rsidRPr="005B3935">
        <w:rPr>
          <w:rFonts w:ascii="Calibri" w:hAnsi="Calibri"/>
          <w:bCs/>
        </w:rPr>
        <w:t>.202</w:t>
      </w:r>
      <w:r w:rsidRPr="00184790">
        <w:rPr>
          <w:rFonts w:ascii="Calibri" w:hAnsi="Calibri"/>
          <w:bCs/>
        </w:rPr>
        <w:t>2</w:t>
      </w:r>
      <w:r w:rsidRPr="005B3935">
        <w:rPr>
          <w:rFonts w:ascii="Calibri" w:hAnsi="Calibri"/>
          <w:bCs/>
        </w:rPr>
        <w:t xml:space="preserve"> tarihli ve 317</w:t>
      </w:r>
      <w:r>
        <w:rPr>
          <w:rFonts w:ascii="Calibri" w:hAnsi="Calibri"/>
          <w:bCs/>
        </w:rPr>
        <w:t>72</w:t>
      </w:r>
      <w:r w:rsidRPr="005B3935">
        <w:rPr>
          <w:rFonts w:ascii="Calibri" w:hAnsi="Calibri"/>
          <w:bCs/>
        </w:rPr>
        <w:t xml:space="preserve"> sayılı Resmî </w:t>
      </w:r>
      <w:r w:rsidR="00274939">
        <w:rPr>
          <w:rFonts w:ascii="Calibri" w:hAnsi="Calibri"/>
          <w:bCs/>
        </w:rPr>
        <w:t>Gazetede</w:t>
      </w:r>
      <w:r w:rsidRPr="005B3935">
        <w:rPr>
          <w:rFonts w:ascii="Calibri" w:hAnsi="Calibri"/>
          <w:bCs/>
        </w:rPr>
        <w:t xml:space="preserve"> yayımlanan 73</w:t>
      </w:r>
      <w:r>
        <w:rPr>
          <w:rFonts w:ascii="Calibri" w:hAnsi="Calibri"/>
          <w:bCs/>
        </w:rPr>
        <w:t>81</w:t>
      </w:r>
      <w:r w:rsidRPr="005B3935">
        <w:rPr>
          <w:rFonts w:ascii="Calibri" w:hAnsi="Calibri"/>
          <w:bCs/>
        </w:rPr>
        <w:t xml:space="preserve"> sayılı </w:t>
      </w:r>
      <w:r>
        <w:rPr>
          <w:rFonts w:ascii="Calibri" w:hAnsi="Calibri"/>
          <w:bCs/>
        </w:rPr>
        <w:t>Nükleer Düzenleme Kanunu</w:t>
      </w:r>
      <w:r w:rsidRPr="005B3935">
        <w:rPr>
          <w:rFonts w:ascii="Calibri" w:hAnsi="Calibri"/>
          <w:bCs/>
        </w:rPr>
        <w:t xml:space="preserve"> ile</w:t>
      </w:r>
      <w:r>
        <w:rPr>
          <w:rFonts w:ascii="Calibri" w:hAnsi="Calibri"/>
          <w:bCs/>
        </w:rPr>
        <w:t xml:space="preserve"> </w:t>
      </w:r>
      <w:r w:rsidRPr="00184790">
        <w:rPr>
          <w:rFonts w:ascii="Calibri" w:hAnsi="Calibri"/>
          <w:bCs/>
        </w:rPr>
        <w:t xml:space="preserve">6446 sayılı </w:t>
      </w:r>
      <w:r w:rsidRPr="00184790">
        <w:rPr>
          <w:rFonts w:ascii="Calibri" w:hAnsi="Calibri"/>
          <w:b/>
        </w:rPr>
        <w:t>Elektrik Piyasası Kanunun</w:t>
      </w:r>
      <w:r>
        <w:rPr>
          <w:rFonts w:ascii="Calibri" w:hAnsi="Calibri"/>
          <w:b/>
        </w:rPr>
        <w:t>un</w:t>
      </w:r>
    </w:p>
    <w:p w:rsidR="004F2451" w:rsidRPr="00770CC3" w:rsidRDefault="004F2451" w:rsidP="004F2451">
      <w:pPr>
        <w:pStyle w:val="ListeParagraf"/>
        <w:rPr>
          <w:rFonts w:ascii="Calibri" w:hAnsi="Calibri"/>
        </w:rPr>
      </w:pPr>
    </w:p>
    <w:p w:rsidR="00D44F80" w:rsidRPr="00770CC3" w:rsidRDefault="00D44F80" w:rsidP="00D44F80">
      <w:pPr>
        <w:pStyle w:val="ListeParagraf"/>
        <w:numPr>
          <w:ilvl w:val="0"/>
          <w:numId w:val="25"/>
        </w:numPr>
        <w:spacing w:after="160" w:line="259" w:lineRule="auto"/>
        <w:rPr>
          <w:rFonts w:ascii="Calibri" w:hAnsi="Calibri"/>
        </w:rPr>
      </w:pPr>
      <w:r w:rsidRPr="00770CC3">
        <w:rPr>
          <w:rFonts w:ascii="Calibri" w:hAnsi="Calibri"/>
        </w:rPr>
        <w:t>14 üncü maddesinin birinci fıkrasının (f) bendinde yer alan</w:t>
      </w:r>
      <w:r w:rsidRPr="00770CC3">
        <w:rPr>
          <w:rFonts w:ascii="Calibri" w:hAnsi="Calibri"/>
          <w:i/>
        </w:rPr>
        <w:t xml:space="preserve"> “Devlet Su İşleri Genel Müdürlüğüne” </w:t>
      </w:r>
      <w:r w:rsidRPr="00770CC3">
        <w:rPr>
          <w:rFonts w:ascii="Calibri" w:hAnsi="Calibri"/>
        </w:rPr>
        <w:t>ibaresinden sonra gelmek üzere</w:t>
      </w:r>
      <w:r w:rsidRPr="00770CC3">
        <w:rPr>
          <w:rFonts w:ascii="Calibri" w:hAnsi="Calibri"/>
          <w:i/>
        </w:rPr>
        <w:t xml:space="preserve"> “veya sulama birliklerine” </w:t>
      </w:r>
      <w:r w:rsidRPr="00770CC3">
        <w:rPr>
          <w:rFonts w:ascii="Calibri" w:hAnsi="Calibri"/>
        </w:rPr>
        <w:t>ibaresi,</w:t>
      </w:r>
      <w:r w:rsidRPr="00770CC3">
        <w:rPr>
          <w:rFonts w:ascii="Calibri" w:hAnsi="Calibri"/>
          <w:i/>
        </w:rPr>
        <w:t xml:space="preserve"> “Devlet Su İşleri Genel Müdürlüğü tarafından” </w:t>
      </w:r>
      <w:r w:rsidRPr="00770CC3">
        <w:rPr>
          <w:rFonts w:ascii="Calibri" w:hAnsi="Calibri"/>
        </w:rPr>
        <w:t>ibaresinden sonra gelmek üzere</w:t>
      </w:r>
      <w:r w:rsidRPr="00770CC3">
        <w:rPr>
          <w:rFonts w:ascii="Calibri" w:hAnsi="Calibri"/>
          <w:i/>
        </w:rPr>
        <w:t xml:space="preserve"> “veya DSİ’nin izniyle sulama birlikleri </w:t>
      </w:r>
      <w:r w:rsidRPr="00770CC3">
        <w:rPr>
          <w:rFonts w:ascii="Calibri" w:hAnsi="Calibri"/>
          <w:i/>
        </w:rPr>
        <w:lastRenderedPageBreak/>
        <w:t xml:space="preserve">tarafından” </w:t>
      </w:r>
      <w:r w:rsidRPr="00770CC3">
        <w:rPr>
          <w:rFonts w:ascii="Calibri" w:hAnsi="Calibri"/>
        </w:rPr>
        <w:t>ibaresi eklenmiş;</w:t>
      </w:r>
      <w:r w:rsidRPr="00770CC3">
        <w:rPr>
          <w:rFonts w:ascii="Calibri" w:hAnsi="Calibri"/>
          <w:i/>
        </w:rPr>
        <w:t xml:space="preserve"> (</w:t>
      </w:r>
      <w:r w:rsidRPr="00770CC3">
        <w:rPr>
          <w:rFonts w:ascii="Calibri" w:hAnsi="Calibri"/>
        </w:rPr>
        <w:t>g) bendi aşağıdaki şekilde değiştirilmiş, fıkraya aşağıdaki bent ve maddeye aşağıdaki fıkra eklenmiştir.</w:t>
      </w:r>
    </w:p>
    <w:p w:rsidR="00D44F80" w:rsidRPr="00770CC3" w:rsidRDefault="00D44F80" w:rsidP="00D44F80">
      <w:pPr>
        <w:spacing w:after="0"/>
        <w:ind w:left="1416"/>
        <w:rPr>
          <w:rFonts w:ascii="Calibri" w:hAnsi="Calibri"/>
          <w:i/>
        </w:rPr>
      </w:pPr>
    </w:p>
    <w:p w:rsidR="00D44F80" w:rsidRPr="00770CC3" w:rsidRDefault="00D44F80" w:rsidP="00D44F80">
      <w:pPr>
        <w:spacing w:after="0"/>
        <w:ind w:left="1416"/>
        <w:rPr>
          <w:rFonts w:ascii="Calibri" w:hAnsi="Calibri"/>
          <w:i/>
        </w:rPr>
      </w:pPr>
      <w:r w:rsidRPr="00770CC3">
        <w:rPr>
          <w:rFonts w:ascii="Calibri" w:hAnsi="Calibri"/>
          <w:i/>
        </w:rPr>
        <w:t>“g) Belediyeler ve bunların bağlı kuruluşları ile sanayi tesisleri ve tarımsal sulama amaçlı tesisler tarafından bağlantı anlaşmasındaki sözleşme gücünün iki katı ve diğer kişiler bağlantı anlaşmasındaki sözleşme gücü ile sınırlı olmak kaydıyla, yenilenebilir enerji kaynaklarına dayalı üretim tesisi”</w:t>
      </w:r>
    </w:p>
    <w:p w:rsidR="00D44F80" w:rsidRPr="00770CC3" w:rsidRDefault="00D44F80" w:rsidP="00D44F80">
      <w:pPr>
        <w:spacing w:after="0"/>
        <w:ind w:left="1416"/>
        <w:rPr>
          <w:rFonts w:ascii="Calibri" w:hAnsi="Calibri"/>
          <w:i/>
        </w:rPr>
      </w:pPr>
    </w:p>
    <w:p w:rsidR="00D44F80" w:rsidRPr="00770CC3" w:rsidRDefault="00D44F80" w:rsidP="00D44F80">
      <w:pPr>
        <w:spacing w:after="0"/>
        <w:ind w:left="1416"/>
        <w:rPr>
          <w:rFonts w:ascii="Calibri" w:hAnsi="Calibri"/>
          <w:i/>
        </w:rPr>
      </w:pPr>
      <w:r w:rsidRPr="00770CC3">
        <w:rPr>
          <w:rFonts w:ascii="Calibri" w:hAnsi="Calibri"/>
          <w:i/>
        </w:rPr>
        <w:t>“ğ) Sulama birliklerinin işletme, bakım, onarım ve yönetim sorumluluğuna sahip olduğu taşınmazlar ile sulama birliği ve DSİ’nin mülkiyetinde veya tasarrufu altında bulunan diğer taşınmazlar üzerinde DSİ’nin uygun görüşüyle kurulan ve sulama birlikleri tarafından işletilen bağlantı anlaşmasındaki sözleşme gücü ile sınırlı olmak kaydıyla kurulan yenilenebilir enerji üretim tesisleri”</w:t>
      </w:r>
    </w:p>
    <w:p w:rsidR="00D44F80" w:rsidRPr="00770CC3" w:rsidRDefault="00D44F80" w:rsidP="00D44F80">
      <w:pPr>
        <w:spacing w:after="0"/>
        <w:ind w:left="1416"/>
        <w:rPr>
          <w:rFonts w:ascii="Calibri" w:hAnsi="Calibri"/>
          <w:i/>
        </w:rPr>
      </w:pPr>
    </w:p>
    <w:p w:rsidR="00D44F80" w:rsidRPr="00770CC3" w:rsidRDefault="00D44F80" w:rsidP="00D44F80">
      <w:pPr>
        <w:spacing w:after="0"/>
        <w:ind w:left="1416"/>
        <w:rPr>
          <w:rFonts w:ascii="Calibri" w:hAnsi="Calibri"/>
          <w:i/>
        </w:rPr>
      </w:pPr>
      <w:r w:rsidRPr="00770CC3">
        <w:rPr>
          <w:rFonts w:ascii="Calibri" w:hAnsi="Calibri"/>
          <w:i/>
        </w:rPr>
        <w:t>“(8) İl özel idareleri tarafından kurulan tüzel kişiler, il özel idaresi tarafından işletilen basınçlı borulu sulama şebekesi veya klasik kanallı şebekeleri ile sadece sulama amacına hizmet eden şebekenin su kaynağı üzerinde teknik imkânın olması ve DSİ tarafından uygun bulunması hâlinde enerji üretim tesisi kurulabilir. Bu fıkra kapsamındaki tesisler için DSİ ile imzalanması gereken su kullanım hakkı anlaşmalarına ilişkin düzenlemeler üç ay içerisinde yapılır.”</w:t>
      </w:r>
    </w:p>
    <w:p w:rsidR="00D44F80" w:rsidRPr="00770CC3" w:rsidRDefault="00D44F80" w:rsidP="00D44F80">
      <w:pPr>
        <w:spacing w:after="0"/>
        <w:ind w:left="1416"/>
        <w:rPr>
          <w:rFonts w:ascii="Calibri" w:hAnsi="Calibri"/>
          <w:i/>
        </w:rPr>
      </w:pPr>
    </w:p>
    <w:p w:rsidR="00D44F80" w:rsidRPr="00770CC3" w:rsidRDefault="00D44F80" w:rsidP="00D44F80">
      <w:pPr>
        <w:pStyle w:val="ListeParagraf"/>
        <w:numPr>
          <w:ilvl w:val="0"/>
          <w:numId w:val="25"/>
        </w:numPr>
        <w:spacing w:after="0" w:line="259" w:lineRule="auto"/>
        <w:rPr>
          <w:rFonts w:ascii="Calibri" w:hAnsi="Calibri"/>
        </w:rPr>
      </w:pPr>
      <w:r w:rsidRPr="00770CC3">
        <w:rPr>
          <w:rFonts w:ascii="Calibri" w:hAnsi="Calibri"/>
        </w:rPr>
        <w:t>17 nci maddesine aşağıdaki fıkra eklenmiştir.</w:t>
      </w:r>
    </w:p>
    <w:p w:rsidR="00D44F80" w:rsidRDefault="00D44F80" w:rsidP="00F23EE3">
      <w:pPr>
        <w:spacing w:before="160" w:after="160"/>
        <w:ind w:left="1416"/>
        <w:rPr>
          <w:rFonts w:ascii="Calibri" w:hAnsi="Calibri"/>
          <w:i/>
        </w:rPr>
      </w:pPr>
      <w:r w:rsidRPr="00770CC3">
        <w:rPr>
          <w:rFonts w:ascii="Calibri" w:hAnsi="Calibri"/>
          <w:i/>
        </w:rPr>
        <w:t>“(11) Ulusal veya uluslararası piyasalarda elektrik enerjisi üretimine girdi olan emtia fiyatlarının ve/veya kaynak maliyetleri arasındaki farkların makul olmayan artışları nedenleriyle, arz güvenliğinin ve/veya tüketicilerin korunması amacıyla elektrik enerjisinin üretim maliyetleri dikkate alınarak, her seferinde altı ayı geçmemek üzere, Kurum tarafından kaynak bazında tüketiciyi ve/veya maliyeti yüksek üretimi destekleme bedeli belirlenebilir. Bu bedel, üretim maliyeti düşük üreticiden karşılanarak arz güvenliğinin, maliyeti yüksek üretimin ve/veya tüketicilerin desteklenmesi amacıyla kullanılır. Uygulamaya ilişkin usul ve esaslar Bakanlığın uygun görüşü alınarak Kurum tarafından belirlenir.”</w:t>
      </w:r>
    </w:p>
    <w:p w:rsidR="006353BC" w:rsidRPr="00B558A9" w:rsidRDefault="00B558A9" w:rsidP="00F23EE3">
      <w:pPr>
        <w:numPr>
          <w:ilvl w:val="0"/>
          <w:numId w:val="24"/>
        </w:numPr>
        <w:spacing w:before="160" w:after="160" w:line="259" w:lineRule="auto"/>
        <w:rPr>
          <w:b/>
        </w:rPr>
      </w:pPr>
      <w:r w:rsidRPr="00B558A9">
        <w:rPr>
          <w:bCs/>
        </w:rPr>
        <w:t>0</w:t>
      </w:r>
      <w:r w:rsidR="006836D7" w:rsidRPr="00B558A9">
        <w:rPr>
          <w:bCs/>
        </w:rPr>
        <w:t>5.</w:t>
      </w:r>
      <w:r w:rsidRPr="00B558A9">
        <w:rPr>
          <w:bCs/>
        </w:rPr>
        <w:t>07</w:t>
      </w:r>
      <w:r w:rsidR="006836D7" w:rsidRPr="00B558A9">
        <w:rPr>
          <w:bCs/>
        </w:rPr>
        <w:t>.202</w:t>
      </w:r>
      <w:r w:rsidRPr="00B558A9">
        <w:rPr>
          <w:bCs/>
        </w:rPr>
        <w:t>2</w:t>
      </w:r>
      <w:r w:rsidR="006836D7" w:rsidRPr="00B558A9">
        <w:rPr>
          <w:bCs/>
        </w:rPr>
        <w:t xml:space="preserve"> tarihli ve 31</w:t>
      </w:r>
      <w:r w:rsidRPr="00B558A9">
        <w:rPr>
          <w:bCs/>
        </w:rPr>
        <w:t>887</w:t>
      </w:r>
      <w:r w:rsidR="006836D7" w:rsidRPr="00B558A9">
        <w:rPr>
          <w:bCs/>
        </w:rPr>
        <w:t xml:space="preserve"> sayılı Resmî </w:t>
      </w:r>
      <w:r w:rsidR="00274939">
        <w:rPr>
          <w:bCs/>
        </w:rPr>
        <w:t>Gazetede</w:t>
      </w:r>
      <w:r w:rsidR="006836D7" w:rsidRPr="00B558A9">
        <w:rPr>
          <w:bCs/>
        </w:rPr>
        <w:t xml:space="preserve"> yayımlanan 7</w:t>
      </w:r>
      <w:r w:rsidR="00D44F80">
        <w:rPr>
          <w:bCs/>
        </w:rPr>
        <w:t>417</w:t>
      </w:r>
      <w:r w:rsidR="00897EB3" w:rsidRPr="00B558A9">
        <w:rPr>
          <w:bCs/>
        </w:rPr>
        <w:t xml:space="preserve"> sayılı</w:t>
      </w:r>
      <w:r w:rsidR="006836D7" w:rsidRPr="00B558A9">
        <w:rPr>
          <w:bCs/>
        </w:rPr>
        <w:t xml:space="preserve"> </w:t>
      </w:r>
      <w:r w:rsidRPr="00B558A9">
        <w:rPr>
          <w:bCs/>
        </w:rPr>
        <w:t>Devlet Memurları Kanunu İle Bazı Kanunlarda Ve 375 Sayılı Kanun Hükmünde Kararnamede Değişiklik</w:t>
      </w:r>
      <w:r>
        <w:rPr>
          <w:bCs/>
        </w:rPr>
        <w:t xml:space="preserve"> </w:t>
      </w:r>
      <w:r w:rsidRPr="00B558A9">
        <w:rPr>
          <w:bCs/>
        </w:rPr>
        <w:t>Yapılmasına Dair Kanun</w:t>
      </w:r>
      <w:r w:rsidR="006836D7" w:rsidRPr="00B558A9">
        <w:rPr>
          <w:bCs/>
        </w:rPr>
        <w:t xml:space="preserve"> ile </w:t>
      </w:r>
      <w:r w:rsidRPr="00B558A9">
        <w:rPr>
          <w:bCs/>
        </w:rPr>
        <w:t xml:space="preserve">6446 sayılı </w:t>
      </w:r>
      <w:r w:rsidRPr="00C14F1C">
        <w:rPr>
          <w:b/>
          <w:bCs/>
        </w:rPr>
        <w:t>Elektrik Piyasası Kanununun</w:t>
      </w:r>
    </w:p>
    <w:p w:rsidR="006836D7" w:rsidRDefault="00C14F1C" w:rsidP="000A5A56">
      <w:pPr>
        <w:pStyle w:val="ListeParagraf"/>
        <w:numPr>
          <w:ilvl w:val="0"/>
          <w:numId w:val="25"/>
        </w:numPr>
        <w:spacing w:after="160" w:line="259" w:lineRule="auto"/>
      </w:pPr>
      <w:r w:rsidRPr="00C14F1C">
        <w:t>7 nci maddesine aşağıdaki fıkralar eklenmiştir.</w:t>
      </w:r>
    </w:p>
    <w:p w:rsidR="00C14F1C" w:rsidRDefault="00C14F1C" w:rsidP="00C14F1C">
      <w:pPr>
        <w:pStyle w:val="ListeParagraf"/>
        <w:spacing w:after="160" w:line="259" w:lineRule="auto"/>
        <w:ind w:left="1440"/>
      </w:pPr>
    </w:p>
    <w:p w:rsidR="00C14F1C" w:rsidRDefault="00C14F1C" w:rsidP="00C14F1C">
      <w:pPr>
        <w:pStyle w:val="ListeParagraf"/>
        <w:spacing w:after="160" w:line="259" w:lineRule="auto"/>
        <w:ind w:left="1440"/>
        <w:rPr>
          <w:i/>
        </w:rPr>
      </w:pPr>
      <w:r w:rsidRPr="00C14F1C">
        <w:rPr>
          <w:i/>
        </w:rPr>
        <w:t>“(9) Biyokütle ve jeotermal enerjisine dayalı elektrik enerjisi üretim tesisi kurulmasına yönelik yapılan başvuruların teknik değerlendirmesine ilişkin usul ve esaslar Bakanlık tarafından çıkarılan yönetmelikle düzenlenir.</w:t>
      </w:r>
    </w:p>
    <w:p w:rsidR="00C14F1C" w:rsidRPr="00C14F1C" w:rsidRDefault="00C14F1C" w:rsidP="00C14F1C">
      <w:pPr>
        <w:pStyle w:val="ListeParagraf"/>
        <w:spacing w:after="160" w:line="259" w:lineRule="auto"/>
        <w:ind w:left="1440"/>
        <w:rPr>
          <w:i/>
        </w:rPr>
      </w:pPr>
    </w:p>
    <w:p w:rsidR="00C14F1C" w:rsidRDefault="00C14F1C" w:rsidP="00C14F1C">
      <w:pPr>
        <w:pStyle w:val="ListeParagraf"/>
        <w:spacing w:after="160" w:line="259" w:lineRule="auto"/>
        <w:ind w:left="1440"/>
        <w:rPr>
          <w:i/>
        </w:rPr>
      </w:pPr>
      <w:r w:rsidRPr="00C14F1C">
        <w:rPr>
          <w:i/>
        </w:rPr>
        <w:t xml:space="preserve">(10) Elektrik depolama tesisi kurmayı taahhüt eden tüzel kişilere, kurmayı taahhüt ettikleri elektrik depolama tesisinin kurulu gücüne kadar Kurum tarafından rüzgâr ve/veya güneş enerjisine dayalı elektrik üretim tesisi kurulmasına ilişkin önlisans verilir. Bu kapsamdaki üretim tesisleri için Kanunun 7 nci maddesinin dördüncü fıkrası hükümleri uygulanmaz. Bu fıkra kapsamında kurulacak tesisler için, önlisans ve lisans verme koşulları ile tadili ve iptali, yükümlülüklerin yerine getirilmemesi hâlinde teminatın irat kaydedilmesi hususları ve bu </w:t>
      </w:r>
      <w:r w:rsidRPr="00C14F1C">
        <w:rPr>
          <w:i/>
        </w:rPr>
        <w:lastRenderedPageBreak/>
        <w:t>kapsamda üretilen elektrik enerjisinin depolama tesisi üzerinden sisteme verilmesi dahil, uygulamaya ilişkin usul ve esaslar Kurum tarafından yönetmelikle düzenlenir. Bu fıkra kapsamında kurulacak tesisler 5346 sayılı Kanunun 6 ncı maddesi hükümlerinden yararlandırılabilir.</w:t>
      </w:r>
    </w:p>
    <w:p w:rsidR="00C14F1C" w:rsidRPr="00C14F1C" w:rsidRDefault="00C14F1C" w:rsidP="00C14F1C">
      <w:pPr>
        <w:pStyle w:val="ListeParagraf"/>
        <w:spacing w:after="160" w:line="259" w:lineRule="auto"/>
        <w:ind w:left="1440"/>
        <w:rPr>
          <w:i/>
        </w:rPr>
      </w:pPr>
    </w:p>
    <w:p w:rsidR="00C14F1C" w:rsidRPr="00C14F1C" w:rsidRDefault="00C14F1C" w:rsidP="00C14F1C">
      <w:pPr>
        <w:pStyle w:val="ListeParagraf"/>
        <w:spacing w:after="160" w:line="259" w:lineRule="auto"/>
        <w:ind w:left="1440"/>
        <w:rPr>
          <w:i/>
        </w:rPr>
      </w:pPr>
      <w:r w:rsidRPr="00C14F1C">
        <w:rPr>
          <w:i/>
        </w:rPr>
        <w:t>11) Kısmen veya tamamen işletmede bulunan üretim tesislerinden elektrik depolama tesisi kurmayı taahhüt eden rüzgâr ve/veya güneş enerjisine dayalı elektrik üretim lisansı sahibi tüzel kişilere, kurmayı taahhüt ettikleri elektrik depolama tesisinin kurulu gücüne kadar, lisanslarında belirlenen sahaların dışına çıkılmaması, işletme anında sisteme verilen gücün lisanslarında belirtilen kurulu gücü aşmaması ve TEİAŞ ve/veya ilgili dağıtım şirketinden alınan tadil kapsamındaki bağlantı görüşünün olumlu olması hâlinde kapasite artışına izin verilir. Bu çerçevedeki kapasite artışları için 5346 sayılı Kanunun 6/C maddesinin ikinci fıkrasının birinci cümlesi hükmü uygulanmaz. Bu kapsamda üretilen elektrik enerjisinin depolama tesisi üzerinden sisteme verilmesi dahil, uygulamaya ilişkin usul ve esaslar Kurum tarafından yönetmelikle düzenlenir.”</w:t>
      </w:r>
    </w:p>
    <w:p w:rsidR="006836D7" w:rsidRDefault="006836D7" w:rsidP="006836D7">
      <w:pPr>
        <w:pStyle w:val="ListeParagraf"/>
        <w:ind w:left="1440"/>
      </w:pPr>
    </w:p>
    <w:p w:rsidR="006836D7" w:rsidRPr="00FE3B51" w:rsidRDefault="006836D7" w:rsidP="000A5A56">
      <w:pPr>
        <w:pStyle w:val="ListeParagraf"/>
        <w:numPr>
          <w:ilvl w:val="0"/>
          <w:numId w:val="24"/>
        </w:numPr>
        <w:spacing w:after="160" w:line="259" w:lineRule="auto"/>
      </w:pPr>
      <w:r w:rsidRPr="00FE3B51">
        <w:rPr>
          <w:bCs/>
        </w:rPr>
        <w:t>2</w:t>
      </w:r>
      <w:r w:rsidR="00FE3B51" w:rsidRPr="00FE3B51">
        <w:rPr>
          <w:bCs/>
        </w:rPr>
        <w:t>6</w:t>
      </w:r>
      <w:r w:rsidRPr="00FE3B51">
        <w:rPr>
          <w:bCs/>
        </w:rPr>
        <w:t>.1</w:t>
      </w:r>
      <w:r w:rsidR="00FE3B51" w:rsidRPr="00FE3B51">
        <w:rPr>
          <w:bCs/>
        </w:rPr>
        <w:t>1</w:t>
      </w:r>
      <w:r w:rsidRPr="00FE3B51">
        <w:rPr>
          <w:bCs/>
        </w:rPr>
        <w:t>.202</w:t>
      </w:r>
      <w:r w:rsidR="00FE3B51" w:rsidRPr="00FE3B51">
        <w:rPr>
          <w:bCs/>
        </w:rPr>
        <w:t>2</w:t>
      </w:r>
      <w:r w:rsidRPr="00FE3B51">
        <w:rPr>
          <w:bCs/>
        </w:rPr>
        <w:t xml:space="preserve"> tarihli ve </w:t>
      </w:r>
      <w:r w:rsidR="00FE3B51" w:rsidRPr="00FE3B51">
        <w:rPr>
          <w:bCs/>
        </w:rPr>
        <w:t>32025</w:t>
      </w:r>
      <w:r w:rsidRPr="00FE3B51">
        <w:rPr>
          <w:bCs/>
        </w:rPr>
        <w:t xml:space="preserve"> sayılı Resmî </w:t>
      </w:r>
      <w:r w:rsidR="00274939">
        <w:rPr>
          <w:bCs/>
        </w:rPr>
        <w:t>Gazetede</w:t>
      </w:r>
      <w:r w:rsidRPr="00FE3B51">
        <w:rPr>
          <w:bCs/>
        </w:rPr>
        <w:t xml:space="preserve"> yayımlanan </w:t>
      </w:r>
      <w:r w:rsidR="00FE3B51" w:rsidRPr="00FE3B51">
        <w:rPr>
          <w:bCs/>
        </w:rPr>
        <w:t>7421</w:t>
      </w:r>
      <w:r w:rsidRPr="00FE3B51">
        <w:rPr>
          <w:bCs/>
        </w:rPr>
        <w:t xml:space="preserve"> sayılı </w:t>
      </w:r>
      <w:r w:rsidR="00FE3B51" w:rsidRPr="00FE3B51">
        <w:rPr>
          <w:bCs/>
        </w:rPr>
        <w:t>Vergi Usul Kanunu İle Bazı Kanunlarda Değişiklik</w:t>
      </w:r>
      <w:r w:rsidR="00FE3B51">
        <w:rPr>
          <w:bCs/>
        </w:rPr>
        <w:t xml:space="preserve"> </w:t>
      </w:r>
      <w:r w:rsidR="00FE3B51" w:rsidRPr="00FE3B51">
        <w:rPr>
          <w:bCs/>
        </w:rPr>
        <w:t>Yapılmasına Dair Kanun</w:t>
      </w:r>
      <w:r w:rsidR="00FE3B51">
        <w:rPr>
          <w:bCs/>
        </w:rPr>
        <w:t xml:space="preserve"> </w:t>
      </w:r>
      <w:r w:rsidRPr="00FE3B51">
        <w:rPr>
          <w:bCs/>
        </w:rPr>
        <w:t xml:space="preserve">ile 6446 sayılı </w:t>
      </w:r>
      <w:r w:rsidRPr="00FE3B51">
        <w:rPr>
          <w:b/>
          <w:bCs/>
        </w:rPr>
        <w:t>Elektrik Piyasası Kanun</w:t>
      </w:r>
      <w:r w:rsidR="00393398" w:rsidRPr="00FE3B51">
        <w:rPr>
          <w:b/>
          <w:bCs/>
        </w:rPr>
        <w:t>unda</w:t>
      </w:r>
      <w:r w:rsidR="00FE3B51">
        <w:rPr>
          <w:b/>
          <w:bCs/>
        </w:rPr>
        <w:t xml:space="preserve"> </w:t>
      </w:r>
      <w:r w:rsidR="00FE3B51" w:rsidRPr="00FE3B51">
        <w:rPr>
          <w:bCs/>
        </w:rPr>
        <w:t>aşağıdaki ek madde eklenmiştir</w:t>
      </w:r>
    </w:p>
    <w:p w:rsidR="00CE70A3" w:rsidRPr="00410B0D" w:rsidRDefault="00CE70A3" w:rsidP="00CE70A3">
      <w:pPr>
        <w:pStyle w:val="ListeParagraf"/>
        <w:rPr>
          <w:rFonts w:cstheme="minorHAnsi"/>
          <w:b/>
        </w:rPr>
      </w:pPr>
    </w:p>
    <w:p w:rsidR="000D2B66" w:rsidRDefault="00FE3B51" w:rsidP="00FE3B51">
      <w:pPr>
        <w:pStyle w:val="ListeParagraf"/>
        <w:spacing w:after="160" w:line="259" w:lineRule="auto"/>
        <w:ind w:left="1440"/>
        <w:rPr>
          <w:i/>
        </w:rPr>
      </w:pPr>
      <w:r w:rsidRPr="00FE3B51">
        <w:rPr>
          <w:i/>
        </w:rPr>
        <w:t>“EK MADDE 6- (1) Cemevlerinin aydınlatma giderleri Kültür ve Turizm Bakanlığının bütçesine konulacak ödenekten karşılanır.”</w:t>
      </w:r>
    </w:p>
    <w:p w:rsidR="003D24D6" w:rsidRDefault="003D24D6" w:rsidP="00FE3B51">
      <w:pPr>
        <w:pStyle w:val="ListeParagraf"/>
        <w:spacing w:after="160" w:line="259" w:lineRule="auto"/>
        <w:ind w:left="1440"/>
        <w:rPr>
          <w:i/>
        </w:rPr>
      </w:pPr>
    </w:p>
    <w:p w:rsidR="003D24D6" w:rsidRPr="004F2451" w:rsidRDefault="003D24D6" w:rsidP="000A5A56">
      <w:pPr>
        <w:pStyle w:val="ListeParagraf"/>
        <w:numPr>
          <w:ilvl w:val="0"/>
          <w:numId w:val="24"/>
        </w:numPr>
        <w:spacing w:after="160" w:line="259" w:lineRule="auto"/>
      </w:pPr>
      <w:r w:rsidRPr="003D24D6">
        <w:rPr>
          <w:bCs/>
        </w:rPr>
        <w:t xml:space="preserve">28.12.2022 tarihli ve 32057 sayılı Resmî </w:t>
      </w:r>
      <w:r w:rsidR="00274939">
        <w:rPr>
          <w:bCs/>
        </w:rPr>
        <w:t>Gazetede</w:t>
      </w:r>
      <w:r w:rsidRPr="003D24D6">
        <w:rPr>
          <w:bCs/>
        </w:rPr>
        <w:t xml:space="preserve"> yayımlanan 7429 sayılı Elektrik Piyasası Kanunu İle Bazı Kanunlarda </w:t>
      </w:r>
      <w:r w:rsidR="00D44F80">
        <w:rPr>
          <w:bCs/>
        </w:rPr>
        <w:t>v</w:t>
      </w:r>
      <w:r w:rsidRPr="003D24D6">
        <w:rPr>
          <w:bCs/>
        </w:rPr>
        <w:t>e 375 Sayılı Kanun Hükmünde Kararnamede Değişiklik</w:t>
      </w:r>
      <w:r>
        <w:rPr>
          <w:bCs/>
        </w:rPr>
        <w:t xml:space="preserve"> </w:t>
      </w:r>
      <w:r w:rsidRPr="003D24D6">
        <w:rPr>
          <w:bCs/>
        </w:rPr>
        <w:t xml:space="preserve">Yapılmasına Dair Kanun ile 6446 sayılı </w:t>
      </w:r>
      <w:r w:rsidRPr="003D24D6">
        <w:rPr>
          <w:b/>
          <w:bCs/>
        </w:rPr>
        <w:t>Elektrik Piyasası Kanunun</w:t>
      </w:r>
      <w:r>
        <w:rPr>
          <w:b/>
          <w:bCs/>
        </w:rPr>
        <w:t>un</w:t>
      </w:r>
    </w:p>
    <w:p w:rsidR="004F2451" w:rsidRPr="00FE3B51" w:rsidRDefault="004F2451" w:rsidP="004F2451">
      <w:pPr>
        <w:pStyle w:val="ListeParagraf"/>
        <w:spacing w:after="160" w:line="259" w:lineRule="auto"/>
      </w:pPr>
    </w:p>
    <w:p w:rsidR="003D24D6" w:rsidRDefault="00E90A7A" w:rsidP="000A5A56">
      <w:pPr>
        <w:pStyle w:val="ListeParagraf"/>
        <w:numPr>
          <w:ilvl w:val="0"/>
          <w:numId w:val="25"/>
        </w:numPr>
        <w:spacing w:after="160" w:line="259" w:lineRule="auto"/>
      </w:pPr>
      <w:r w:rsidRPr="00E90A7A">
        <w:t xml:space="preserve">3 üncü maddesinin birinci fıkrasının (ddd) bendine </w:t>
      </w:r>
      <w:r w:rsidRPr="00E90A7A">
        <w:rPr>
          <w:i/>
        </w:rPr>
        <w:t>“tüm şarj istasyonlarının”</w:t>
      </w:r>
      <w:r w:rsidRPr="00E90A7A">
        <w:t xml:space="preserve"> ibaresinden önce gelmek üzere </w:t>
      </w:r>
      <w:r w:rsidRPr="00E90A7A">
        <w:rPr>
          <w:i/>
        </w:rPr>
        <w:t>“halka açık”</w:t>
      </w:r>
      <w:r w:rsidRPr="00E90A7A">
        <w:t xml:space="preserve"> ibaresi ve fıkraya aşağıdaki bentler eklenmiştir.</w:t>
      </w:r>
    </w:p>
    <w:p w:rsidR="003D24D6" w:rsidRPr="00410B0D" w:rsidRDefault="003D24D6" w:rsidP="003D24D6">
      <w:pPr>
        <w:pStyle w:val="ListeParagraf"/>
        <w:rPr>
          <w:rFonts w:cstheme="minorHAnsi"/>
          <w:b/>
        </w:rPr>
      </w:pPr>
    </w:p>
    <w:p w:rsidR="00E90A7A" w:rsidRDefault="00E90A7A" w:rsidP="00E90A7A">
      <w:pPr>
        <w:pStyle w:val="ListeParagraf"/>
        <w:spacing w:after="160" w:line="259" w:lineRule="auto"/>
        <w:ind w:left="1440"/>
        <w:rPr>
          <w:i/>
        </w:rPr>
      </w:pPr>
      <w:r w:rsidRPr="00E90A7A">
        <w:rPr>
          <w:i/>
        </w:rPr>
        <w:t>“eee) Toplayıcı: Bir veya birden fazla şebeke kullanıcısı ile söz konusu şebeke kullanıcıları adına elektrik piyasasında toplayıcılık faaliyeti yürütmek üzere anlaşma imzalamış olan toplayıcı lisansı veya tedarik lisansı sahibi tüzel kişiyi,</w:t>
      </w:r>
    </w:p>
    <w:p w:rsidR="00E90A7A" w:rsidRPr="00E90A7A" w:rsidRDefault="00E90A7A" w:rsidP="00E90A7A">
      <w:pPr>
        <w:pStyle w:val="ListeParagraf"/>
        <w:spacing w:after="160" w:line="259" w:lineRule="auto"/>
        <w:ind w:left="1440"/>
        <w:rPr>
          <w:i/>
        </w:rPr>
      </w:pPr>
    </w:p>
    <w:p w:rsidR="003D24D6" w:rsidRPr="00FE3B51" w:rsidRDefault="00E90A7A" w:rsidP="00E90A7A">
      <w:pPr>
        <w:pStyle w:val="ListeParagraf"/>
        <w:spacing w:after="160" w:line="259" w:lineRule="auto"/>
        <w:ind w:left="1440"/>
        <w:rPr>
          <w:i/>
        </w:rPr>
      </w:pPr>
      <w:r w:rsidRPr="00E90A7A">
        <w:rPr>
          <w:i/>
        </w:rPr>
        <w:t>fff) Toplayıcılık: Toplayıcı tarafından bir veya birden fazla şebeke kullanıcısının tüketim ve/veya üretimlerinin birleştirilerek işletilmesi kapsamında gerçekleştirilen piyasa faaliyetini,”</w:t>
      </w:r>
    </w:p>
    <w:p w:rsidR="003D24D6" w:rsidRDefault="003D24D6" w:rsidP="00FE3B51">
      <w:pPr>
        <w:pStyle w:val="ListeParagraf"/>
        <w:spacing w:after="160" w:line="259" w:lineRule="auto"/>
        <w:ind w:left="1440"/>
        <w:rPr>
          <w:i/>
        </w:rPr>
      </w:pPr>
    </w:p>
    <w:p w:rsidR="00E90A7A" w:rsidRDefault="00E90A7A" w:rsidP="000A5A56">
      <w:pPr>
        <w:pStyle w:val="ListeParagraf"/>
        <w:numPr>
          <w:ilvl w:val="0"/>
          <w:numId w:val="25"/>
        </w:numPr>
        <w:spacing w:after="160" w:line="259" w:lineRule="auto"/>
      </w:pPr>
      <w:r w:rsidRPr="003D24D6">
        <w:t>4 üncü maddesinin birinci fıkrasına aşağıdaki bent eklenmiştir.</w:t>
      </w:r>
    </w:p>
    <w:p w:rsidR="00E90A7A" w:rsidRPr="00410B0D" w:rsidRDefault="00E90A7A" w:rsidP="00E90A7A">
      <w:pPr>
        <w:pStyle w:val="ListeParagraf"/>
        <w:rPr>
          <w:rFonts w:cstheme="minorHAnsi"/>
          <w:b/>
        </w:rPr>
      </w:pPr>
    </w:p>
    <w:p w:rsidR="00E90A7A" w:rsidRPr="00FE3B51" w:rsidRDefault="00E90A7A" w:rsidP="00E90A7A">
      <w:pPr>
        <w:pStyle w:val="ListeParagraf"/>
        <w:spacing w:after="160" w:line="259" w:lineRule="auto"/>
        <w:ind w:left="1440"/>
        <w:rPr>
          <w:i/>
        </w:rPr>
      </w:pPr>
      <w:r w:rsidRPr="003D24D6">
        <w:rPr>
          <w:i/>
        </w:rPr>
        <w:t>“ğ) Toplayıcılık faaliyeti”</w:t>
      </w:r>
    </w:p>
    <w:p w:rsidR="00E90A7A" w:rsidRDefault="00E90A7A" w:rsidP="00FE3B51">
      <w:pPr>
        <w:pStyle w:val="ListeParagraf"/>
        <w:spacing w:after="160" w:line="259" w:lineRule="auto"/>
        <w:ind w:left="1440"/>
        <w:rPr>
          <w:i/>
        </w:rPr>
      </w:pPr>
    </w:p>
    <w:p w:rsidR="00E90A7A" w:rsidRDefault="00E90A7A" w:rsidP="000A5A56">
      <w:pPr>
        <w:pStyle w:val="ListeParagraf"/>
        <w:numPr>
          <w:ilvl w:val="0"/>
          <w:numId w:val="25"/>
        </w:numPr>
        <w:spacing w:after="160" w:line="259" w:lineRule="auto"/>
      </w:pPr>
      <w:r w:rsidRPr="00E90A7A">
        <w:t>12 nci maddesinden sonra gelmek üzere aşağıdaki madde eklenmiştir.</w:t>
      </w:r>
    </w:p>
    <w:p w:rsidR="00E90A7A" w:rsidRPr="00410B0D" w:rsidRDefault="00E90A7A" w:rsidP="00E90A7A">
      <w:pPr>
        <w:pStyle w:val="ListeParagraf"/>
        <w:rPr>
          <w:rFonts w:cstheme="minorHAnsi"/>
          <w:b/>
        </w:rPr>
      </w:pPr>
    </w:p>
    <w:p w:rsidR="00E90A7A" w:rsidRDefault="00E90A7A" w:rsidP="00E90A7A">
      <w:pPr>
        <w:pStyle w:val="ListeParagraf"/>
        <w:spacing w:after="160" w:line="259" w:lineRule="auto"/>
        <w:ind w:left="1440"/>
        <w:rPr>
          <w:i/>
        </w:rPr>
      </w:pPr>
      <w:r w:rsidRPr="00E90A7A">
        <w:rPr>
          <w:i/>
        </w:rPr>
        <w:t>“Toplayıcılık faaliyeti</w:t>
      </w:r>
      <w:r>
        <w:rPr>
          <w:i/>
        </w:rPr>
        <w:t xml:space="preserve"> </w:t>
      </w:r>
    </w:p>
    <w:p w:rsidR="00E90A7A" w:rsidRPr="00E90A7A" w:rsidRDefault="00E90A7A" w:rsidP="00E90A7A">
      <w:pPr>
        <w:pStyle w:val="ListeParagraf"/>
        <w:spacing w:after="160" w:line="259" w:lineRule="auto"/>
        <w:ind w:left="1440"/>
        <w:rPr>
          <w:i/>
        </w:rPr>
      </w:pPr>
      <w:r w:rsidRPr="00E90A7A">
        <w:rPr>
          <w:i/>
        </w:rPr>
        <w:t>MADDE 12/A- (1) Toplayıcı, şebeke kullanıcıları tarafından anlaşma yoluyla yetkilendirilir. Şebeke kullanıcıları, enerji tedarik etmek üzere anlaşmalı oldukları tedarik lisansı sahibi tüzel kişileri toplayıcı olarak yetkilendiremez.</w:t>
      </w:r>
    </w:p>
    <w:p w:rsidR="00E90A7A" w:rsidRPr="00E90A7A" w:rsidRDefault="00E90A7A" w:rsidP="00E90A7A">
      <w:pPr>
        <w:pStyle w:val="ListeParagraf"/>
        <w:spacing w:after="160" w:line="259" w:lineRule="auto"/>
        <w:ind w:left="1440"/>
        <w:rPr>
          <w:i/>
        </w:rPr>
      </w:pPr>
      <w:r w:rsidRPr="00E90A7A">
        <w:rPr>
          <w:i/>
        </w:rPr>
        <w:lastRenderedPageBreak/>
        <w:t>(2) Toplayıcı, anlaşmalı olduğu kullanıcıların tüketim ve/veya üretim programlarını yönetir, söz konusu kullanıcılar adına elektrik enerjisi ve/veya kapasitesinin alınıp satılmasına ilişkin piyasa işlemlerini yürütür ve yan hizmetlere ilişkin tedarik süreçlerine katılabilir.</w:t>
      </w:r>
    </w:p>
    <w:p w:rsidR="00E90A7A" w:rsidRPr="00E90A7A" w:rsidRDefault="00E90A7A" w:rsidP="00E90A7A">
      <w:pPr>
        <w:pStyle w:val="ListeParagraf"/>
        <w:spacing w:after="160" w:line="259" w:lineRule="auto"/>
        <w:ind w:left="1440"/>
        <w:rPr>
          <w:i/>
        </w:rPr>
      </w:pPr>
      <w:r w:rsidRPr="00E90A7A">
        <w:rPr>
          <w:i/>
        </w:rPr>
        <w:t>(3) Toplayıcılık faaliyeti, toplayıcı lisansına veya tedarik lisansına sahip tüzel kişiler tarafından yürütülebilir.</w:t>
      </w:r>
    </w:p>
    <w:p w:rsidR="00E90A7A" w:rsidRPr="00FE3B51" w:rsidRDefault="00E90A7A" w:rsidP="00E90A7A">
      <w:pPr>
        <w:pStyle w:val="ListeParagraf"/>
        <w:spacing w:after="160" w:line="259" w:lineRule="auto"/>
        <w:ind w:left="1440"/>
        <w:rPr>
          <w:i/>
        </w:rPr>
      </w:pPr>
      <w:r w:rsidRPr="00E90A7A">
        <w:rPr>
          <w:i/>
        </w:rPr>
        <w:t>(4) Toplayıcılık faaliyetlerine ilişkin usul ve esaslar Kurum tarafından çıkarılan yönetmelikle düzenlenir.”</w:t>
      </w:r>
    </w:p>
    <w:p w:rsidR="004B668E" w:rsidRPr="009824D9" w:rsidRDefault="003F1E81" w:rsidP="000A5A56">
      <w:pPr>
        <w:pStyle w:val="Balk3"/>
        <w:numPr>
          <w:ilvl w:val="2"/>
          <w:numId w:val="11"/>
        </w:numPr>
        <w:spacing w:after="240"/>
        <w:rPr>
          <w:rFonts w:asciiTheme="minorHAnsi" w:hAnsiTheme="minorHAnsi"/>
          <w:color w:val="auto"/>
        </w:rPr>
      </w:pPr>
      <w:bookmarkStart w:id="39" w:name="_Toc66267334"/>
      <w:bookmarkStart w:id="40" w:name="_Toc132713758"/>
      <w:r w:rsidRPr="00410B0D">
        <w:rPr>
          <w:rFonts w:asciiTheme="minorHAnsi" w:hAnsiTheme="minorHAnsi"/>
          <w:color w:val="auto"/>
        </w:rPr>
        <w:t>Yönetmelikler</w:t>
      </w:r>
      <w:bookmarkEnd w:id="39"/>
      <w:bookmarkEnd w:id="40"/>
    </w:p>
    <w:p w:rsidR="003F1E81" w:rsidRPr="00410B0D" w:rsidRDefault="003F1E81" w:rsidP="003F1E81">
      <w:pPr>
        <w:pStyle w:val="ListeParagraf"/>
        <w:spacing w:after="0"/>
        <w:ind w:left="360"/>
      </w:pPr>
      <w:r w:rsidRPr="00410B0D">
        <w:t>202</w:t>
      </w:r>
      <w:r w:rsidR="00FE3B51">
        <w:t>2</w:t>
      </w:r>
      <w:r w:rsidRPr="00410B0D">
        <w:t xml:space="preserve"> yılında elektrik piyasasında aşağıda belirtilen Yönetmelik çalışmaları yapılmıştır:</w:t>
      </w:r>
    </w:p>
    <w:p w:rsidR="003F1E81" w:rsidRPr="00410B0D" w:rsidRDefault="003F1E81" w:rsidP="003F1E81">
      <w:pPr>
        <w:spacing w:after="0"/>
      </w:pPr>
    </w:p>
    <w:p w:rsidR="009E1688" w:rsidRPr="005B3935" w:rsidRDefault="009E1688" w:rsidP="000A5A56">
      <w:pPr>
        <w:numPr>
          <w:ilvl w:val="0"/>
          <w:numId w:val="26"/>
        </w:numPr>
        <w:contextualSpacing/>
        <w:rPr>
          <w:rFonts w:ascii="Calibri" w:hAnsi="Calibri"/>
          <w:bCs/>
        </w:rPr>
      </w:pPr>
      <w:bookmarkStart w:id="41" w:name="_Hlk113239151"/>
      <w:bookmarkStart w:id="42" w:name="_Hlk113239918"/>
      <w:r>
        <w:rPr>
          <w:rFonts w:ascii="Calibri" w:hAnsi="Calibri"/>
          <w:bCs/>
        </w:rPr>
        <w:t>11</w:t>
      </w:r>
      <w:r w:rsidRPr="005B3935">
        <w:rPr>
          <w:rFonts w:ascii="Calibri" w:hAnsi="Calibri"/>
          <w:bCs/>
        </w:rPr>
        <w:t>.01.202</w:t>
      </w:r>
      <w:r>
        <w:rPr>
          <w:rFonts w:ascii="Calibri" w:hAnsi="Calibri"/>
          <w:bCs/>
        </w:rPr>
        <w:t>2</w:t>
      </w:r>
      <w:r w:rsidRPr="005B3935">
        <w:rPr>
          <w:rFonts w:ascii="Calibri" w:hAnsi="Calibri"/>
          <w:bCs/>
        </w:rPr>
        <w:t xml:space="preserve"> tarihli ve 31</w:t>
      </w:r>
      <w:r>
        <w:rPr>
          <w:rFonts w:ascii="Calibri" w:hAnsi="Calibri"/>
          <w:bCs/>
        </w:rPr>
        <w:t>716</w:t>
      </w:r>
      <w:r w:rsidRPr="005B3935">
        <w:rPr>
          <w:rFonts w:ascii="Calibri" w:hAnsi="Calibri"/>
          <w:bCs/>
        </w:rPr>
        <w:t xml:space="preserve"> sayılı Resmî </w:t>
      </w:r>
      <w:r w:rsidR="00274939">
        <w:rPr>
          <w:rFonts w:ascii="Calibri" w:hAnsi="Calibri"/>
          <w:bCs/>
        </w:rPr>
        <w:t>Gazetede</w:t>
      </w:r>
      <w:r w:rsidRPr="005B3935">
        <w:rPr>
          <w:rFonts w:ascii="Calibri" w:hAnsi="Calibri"/>
          <w:bCs/>
        </w:rPr>
        <w:t xml:space="preserve"> yayımlanan Değişiklik Yönetmeliği ile</w:t>
      </w:r>
      <w:r w:rsidRPr="005B3935">
        <w:rPr>
          <w:rFonts w:ascii="Calibri" w:hAnsi="Calibri"/>
          <w:b/>
          <w:bCs/>
        </w:rPr>
        <w:t xml:space="preserve"> </w:t>
      </w:r>
      <w:r w:rsidRPr="00CC68F5">
        <w:rPr>
          <w:rFonts w:ascii="Calibri" w:hAnsi="Calibri"/>
          <w:b/>
        </w:rPr>
        <w:t xml:space="preserve">Elektrik Piyasası Bağlantı ve Sistem Kullanım Yönetmeliğinin </w:t>
      </w:r>
      <w:bookmarkEnd w:id="41"/>
      <w:r w:rsidRPr="00CC68F5">
        <w:rPr>
          <w:rFonts w:ascii="Calibri" w:hAnsi="Calibri"/>
          <w:bCs/>
        </w:rPr>
        <w:t>7 nci maddesinin dokuzuncu fıkrası aşağıdaki şekilde değiştirilmiştir.</w:t>
      </w:r>
    </w:p>
    <w:bookmarkEnd w:id="42"/>
    <w:p w:rsidR="009E1688" w:rsidRPr="005B3935" w:rsidRDefault="009E1688" w:rsidP="009E1688">
      <w:pPr>
        <w:shd w:val="clear" w:color="auto" w:fill="FFFFFF"/>
        <w:spacing w:after="0" w:line="240" w:lineRule="auto"/>
        <w:ind w:left="765"/>
        <w:contextualSpacing/>
        <w:rPr>
          <w:rFonts w:ascii="Calibri" w:hAnsi="Calibri" w:cs="Calibri"/>
          <w:i/>
        </w:rPr>
      </w:pPr>
    </w:p>
    <w:p w:rsidR="009E1688" w:rsidRDefault="009E1688" w:rsidP="009E1688">
      <w:pPr>
        <w:spacing w:after="0"/>
        <w:ind w:left="1418"/>
        <w:rPr>
          <w:rFonts w:ascii="Calibri" w:hAnsi="Calibri"/>
          <w:i/>
        </w:rPr>
      </w:pPr>
      <w:r w:rsidRPr="00CC68F5">
        <w:rPr>
          <w:rFonts w:ascii="Calibri" w:hAnsi="Calibri"/>
          <w:i/>
        </w:rPr>
        <w:t>“(9) Üretim lisansı sahiplerinin veriş yönündeki anlaşma güçleri lisanslarına derç edilmiş olan kurulu güç değeri ile aynı olmalıdır. Üretim lisansı sahiplerinin veriş yönündeki anlaşma gücü değişiklikleri lisans tadilleri ile uyumlu olacak şekilde bu maddede belirtilen sürelerle sınırlı olmaksızın gerçekleştirilir. Ancak, kömür veya doğal gaza dayalı elektrik üretim lisansı sahipleri,  lisanslarına derç edilmiş olan kurulu gücü geçmemek üzere, veriş yönündeki anlaşma güçlerini değiştirmek üzere bir takvim yılında en fazla iki kez değişiklik talebinde bulunabilir. Bu kapsamdaki anlaşma gücü değişiklik talebi, kurulu güce ilişkin son lisans tadilinden önceki kurulu güçten daha düşük güçte olamaz.”</w:t>
      </w:r>
    </w:p>
    <w:p w:rsidR="009E1688" w:rsidRDefault="009E1688" w:rsidP="009E1688">
      <w:pPr>
        <w:spacing w:after="0"/>
        <w:ind w:left="1418"/>
        <w:rPr>
          <w:rFonts w:ascii="Calibri" w:hAnsi="Calibri"/>
          <w:i/>
        </w:rPr>
      </w:pPr>
    </w:p>
    <w:p w:rsidR="009E1688" w:rsidRPr="006541C2" w:rsidRDefault="009E1688" w:rsidP="000A5A56">
      <w:pPr>
        <w:pStyle w:val="ListeParagraf"/>
        <w:numPr>
          <w:ilvl w:val="0"/>
          <w:numId w:val="26"/>
        </w:numPr>
        <w:spacing w:after="0"/>
        <w:rPr>
          <w:rFonts w:ascii="Calibri" w:hAnsi="Calibri"/>
          <w:i/>
        </w:rPr>
      </w:pPr>
      <w:bookmarkStart w:id="43" w:name="_Hlk115902558"/>
      <w:bookmarkStart w:id="44" w:name="_Hlk113630074"/>
      <w:r>
        <w:rPr>
          <w:rFonts w:ascii="Calibri" w:hAnsi="Calibri"/>
          <w:bCs/>
        </w:rPr>
        <w:t>10</w:t>
      </w:r>
      <w:r w:rsidRPr="005B3935">
        <w:rPr>
          <w:rFonts w:ascii="Calibri" w:hAnsi="Calibri"/>
          <w:bCs/>
        </w:rPr>
        <w:t>.0</w:t>
      </w:r>
      <w:r>
        <w:rPr>
          <w:rFonts w:ascii="Calibri" w:hAnsi="Calibri"/>
          <w:bCs/>
        </w:rPr>
        <w:t>2</w:t>
      </w:r>
      <w:r w:rsidRPr="005B3935">
        <w:rPr>
          <w:rFonts w:ascii="Calibri" w:hAnsi="Calibri"/>
          <w:bCs/>
        </w:rPr>
        <w:t>.202</w:t>
      </w:r>
      <w:r>
        <w:rPr>
          <w:rFonts w:ascii="Calibri" w:hAnsi="Calibri"/>
          <w:bCs/>
        </w:rPr>
        <w:t>2</w:t>
      </w:r>
      <w:r w:rsidRPr="005B3935">
        <w:rPr>
          <w:rFonts w:ascii="Calibri" w:hAnsi="Calibri"/>
          <w:bCs/>
        </w:rPr>
        <w:t xml:space="preserve"> tarihli ve 31</w:t>
      </w:r>
      <w:r>
        <w:rPr>
          <w:rFonts w:ascii="Calibri" w:hAnsi="Calibri"/>
          <w:bCs/>
        </w:rPr>
        <w:t>746</w:t>
      </w:r>
      <w:r w:rsidRPr="005B3935">
        <w:rPr>
          <w:rFonts w:ascii="Calibri" w:hAnsi="Calibri"/>
          <w:bCs/>
        </w:rPr>
        <w:t xml:space="preserve"> sayılı Resmî </w:t>
      </w:r>
      <w:r w:rsidR="00274939">
        <w:rPr>
          <w:rFonts w:ascii="Calibri" w:hAnsi="Calibri"/>
          <w:bCs/>
        </w:rPr>
        <w:t>Gazetede</w:t>
      </w:r>
      <w:r w:rsidRPr="005B3935">
        <w:rPr>
          <w:rFonts w:ascii="Calibri" w:hAnsi="Calibri"/>
          <w:bCs/>
        </w:rPr>
        <w:t xml:space="preserve"> yayımlanan Değişiklik Yönetmeliği ile</w:t>
      </w:r>
      <w:r w:rsidRPr="005B3935">
        <w:rPr>
          <w:rFonts w:ascii="Calibri" w:hAnsi="Calibri"/>
          <w:b/>
          <w:bCs/>
        </w:rPr>
        <w:t xml:space="preserve"> </w:t>
      </w:r>
      <w:r w:rsidRPr="006541C2">
        <w:rPr>
          <w:rFonts w:ascii="Calibri" w:hAnsi="Calibri"/>
          <w:b/>
        </w:rPr>
        <w:t>Yenilenebilir Enerji Kaynaklarının Belgelendirilmesi ve Desteklenmesine İlişkin Yönetmeliğin</w:t>
      </w:r>
      <w:bookmarkEnd w:id="43"/>
    </w:p>
    <w:bookmarkEnd w:id="44"/>
    <w:p w:rsidR="009E1688" w:rsidRPr="006541C2" w:rsidRDefault="009E1688" w:rsidP="009E1688">
      <w:pPr>
        <w:spacing w:after="0"/>
        <w:ind w:left="360"/>
        <w:rPr>
          <w:rFonts w:ascii="Calibri" w:hAnsi="Calibri"/>
          <w:i/>
        </w:rPr>
      </w:pPr>
    </w:p>
    <w:p w:rsidR="009E1688" w:rsidRDefault="009E1688" w:rsidP="000A5A56">
      <w:pPr>
        <w:pStyle w:val="ListeParagraf"/>
        <w:numPr>
          <w:ilvl w:val="0"/>
          <w:numId w:val="47"/>
        </w:numPr>
        <w:spacing w:after="0"/>
        <w:rPr>
          <w:rFonts w:ascii="Calibri" w:hAnsi="Calibri"/>
          <w:iCs/>
        </w:rPr>
      </w:pPr>
      <w:r w:rsidRPr="006541C2">
        <w:rPr>
          <w:rFonts w:ascii="Calibri" w:hAnsi="Calibri"/>
          <w:iCs/>
        </w:rPr>
        <w:t>12 nci maddesine aşağıdaki fıkra eklenmiştir.</w:t>
      </w:r>
    </w:p>
    <w:p w:rsidR="009E1688" w:rsidRPr="006541C2" w:rsidRDefault="009E1688" w:rsidP="009E1688">
      <w:pPr>
        <w:pStyle w:val="ListeParagraf"/>
        <w:spacing w:after="0"/>
        <w:ind w:left="1440"/>
        <w:rPr>
          <w:rFonts w:ascii="Calibri" w:hAnsi="Calibri"/>
          <w:iCs/>
        </w:rPr>
      </w:pPr>
    </w:p>
    <w:p w:rsidR="009E1688" w:rsidRDefault="009E1688" w:rsidP="009E1688">
      <w:pPr>
        <w:pStyle w:val="ListeParagraf"/>
        <w:spacing w:after="0"/>
        <w:ind w:left="1440"/>
        <w:rPr>
          <w:rFonts w:ascii="Calibri" w:hAnsi="Calibri"/>
          <w:i/>
        </w:rPr>
      </w:pPr>
      <w:r w:rsidRPr="006541C2">
        <w:rPr>
          <w:rFonts w:ascii="Calibri" w:hAnsi="Calibri"/>
          <w:i/>
        </w:rPr>
        <w:t>“(5) 18 inci maddenin üçüncü fıkrası kapsamında hesaplanan bedeller bu maddenin birinci fıkrası uyarınca hesaplanan YEK toplam bedeline ilave edilir.”</w:t>
      </w:r>
    </w:p>
    <w:p w:rsidR="009E1688" w:rsidRDefault="009E1688" w:rsidP="009E1688">
      <w:pPr>
        <w:pStyle w:val="ListeParagraf"/>
        <w:spacing w:after="0"/>
        <w:ind w:left="1440"/>
        <w:rPr>
          <w:rFonts w:ascii="Calibri" w:hAnsi="Calibri"/>
          <w:i/>
        </w:rPr>
      </w:pPr>
    </w:p>
    <w:p w:rsidR="009E1688" w:rsidRDefault="009E1688" w:rsidP="000A5A56">
      <w:pPr>
        <w:pStyle w:val="ListeParagraf"/>
        <w:numPr>
          <w:ilvl w:val="0"/>
          <w:numId w:val="47"/>
        </w:numPr>
        <w:spacing w:after="0"/>
        <w:rPr>
          <w:rFonts w:ascii="Calibri" w:hAnsi="Calibri"/>
          <w:iCs/>
        </w:rPr>
      </w:pPr>
      <w:r w:rsidRPr="006541C2">
        <w:rPr>
          <w:rFonts w:ascii="Calibri" w:hAnsi="Calibri"/>
          <w:iCs/>
        </w:rPr>
        <w:t>18 inci maddesine aşağıdaki fıkra eklenmiştir.</w:t>
      </w:r>
    </w:p>
    <w:p w:rsidR="009E1688" w:rsidRPr="006541C2" w:rsidRDefault="009E1688" w:rsidP="009E1688">
      <w:pPr>
        <w:pStyle w:val="ListeParagraf"/>
        <w:spacing w:after="0"/>
        <w:ind w:left="1440"/>
        <w:rPr>
          <w:rFonts w:ascii="Calibri" w:hAnsi="Calibri"/>
          <w:iCs/>
        </w:rPr>
      </w:pPr>
    </w:p>
    <w:p w:rsidR="009E1688" w:rsidRDefault="009E1688" w:rsidP="009E1688">
      <w:pPr>
        <w:spacing w:after="0"/>
        <w:ind w:left="1418"/>
        <w:rPr>
          <w:rFonts w:ascii="Calibri" w:hAnsi="Calibri"/>
          <w:i/>
        </w:rPr>
      </w:pPr>
      <w:r w:rsidRPr="006541C2">
        <w:rPr>
          <w:rFonts w:ascii="Calibri" w:hAnsi="Calibri"/>
          <w:i/>
        </w:rPr>
        <w:t>“(3) YEK Kanununun 6/B maddesinin birinci fıkrası kapsamında 30/6/2021 tarihinden sonra işletmeye giren ve YEKDEM’e kayıt olmayan üretim tesislerinde yerli aksam kullanılması halinde 29/1/2021 tarihli ve 3453 sayılı Cumhurbaşkanı Kararı uyarınca belirlenen ve söz konusu tesisin ilgili uzlaştırma dönemine ait uzlaştırmaya esas veriş miktarı dikkate alınarak hesaplanan yerli aksam destek fiyatı YEK Bedeli olarak ilgili kişiye ödenir.”</w:t>
      </w:r>
    </w:p>
    <w:p w:rsidR="009E1688" w:rsidRDefault="009E1688" w:rsidP="009E1688">
      <w:pPr>
        <w:spacing w:after="0"/>
        <w:ind w:left="1418"/>
        <w:rPr>
          <w:rFonts w:ascii="Calibri" w:hAnsi="Calibri"/>
          <w:i/>
        </w:rPr>
      </w:pPr>
    </w:p>
    <w:p w:rsidR="009E1688" w:rsidRDefault="009E1688" w:rsidP="000A5A56">
      <w:pPr>
        <w:numPr>
          <w:ilvl w:val="0"/>
          <w:numId w:val="26"/>
        </w:numPr>
        <w:spacing w:after="0"/>
        <w:contextualSpacing/>
        <w:rPr>
          <w:rFonts w:ascii="Calibri" w:hAnsi="Calibri"/>
          <w:bCs/>
        </w:rPr>
      </w:pPr>
      <w:r>
        <w:rPr>
          <w:rFonts w:ascii="Calibri" w:hAnsi="Calibri"/>
          <w:bCs/>
        </w:rPr>
        <w:t>24</w:t>
      </w:r>
      <w:r w:rsidRPr="00AD2AF3">
        <w:rPr>
          <w:rFonts w:ascii="Calibri" w:hAnsi="Calibri"/>
          <w:bCs/>
        </w:rPr>
        <w:t>.02.2022 tarihli ve 317</w:t>
      </w:r>
      <w:r>
        <w:rPr>
          <w:rFonts w:ascii="Calibri" w:hAnsi="Calibri"/>
          <w:bCs/>
        </w:rPr>
        <w:t>60</w:t>
      </w:r>
      <w:r w:rsidRPr="00AD2AF3">
        <w:rPr>
          <w:rFonts w:ascii="Calibri" w:hAnsi="Calibri"/>
          <w:bCs/>
        </w:rPr>
        <w:t xml:space="preserve"> sayılı Resmî </w:t>
      </w:r>
      <w:r w:rsidR="00274939">
        <w:rPr>
          <w:rFonts w:ascii="Calibri" w:hAnsi="Calibri"/>
          <w:bCs/>
        </w:rPr>
        <w:t>Gazetede</w:t>
      </w:r>
      <w:r w:rsidRPr="00AD2AF3">
        <w:rPr>
          <w:rFonts w:ascii="Calibri" w:hAnsi="Calibri"/>
          <w:bCs/>
        </w:rPr>
        <w:t xml:space="preserve"> yayımlanan Değişiklik Yönetmeliği ile</w:t>
      </w:r>
      <w:r w:rsidRPr="00AD2AF3">
        <w:rPr>
          <w:rFonts w:ascii="Calibri" w:hAnsi="Calibri"/>
          <w:b/>
          <w:bCs/>
        </w:rPr>
        <w:t xml:space="preserve"> </w:t>
      </w:r>
      <w:r w:rsidRPr="00AD2AF3">
        <w:rPr>
          <w:rFonts w:ascii="Calibri" w:hAnsi="Calibri"/>
          <w:b/>
        </w:rPr>
        <w:t xml:space="preserve">Elektrik Piyasası Dengeleme ve Uzlaştırma Yönetmeliğinin </w:t>
      </w:r>
      <w:r w:rsidRPr="00AD2AF3">
        <w:rPr>
          <w:rFonts w:ascii="Calibri" w:hAnsi="Calibri"/>
          <w:bCs/>
        </w:rPr>
        <w:t>75 inci maddesinin ikinci fıkrasının sonuna aşağıdaki cümle eklenmiştir.</w:t>
      </w:r>
    </w:p>
    <w:p w:rsidR="009E1688" w:rsidRPr="00AD2AF3" w:rsidRDefault="009E1688" w:rsidP="009E1688">
      <w:pPr>
        <w:spacing w:after="0"/>
        <w:ind w:left="720"/>
        <w:contextualSpacing/>
        <w:rPr>
          <w:rFonts w:ascii="Calibri" w:hAnsi="Calibri"/>
          <w:bCs/>
        </w:rPr>
      </w:pPr>
    </w:p>
    <w:p w:rsidR="009E1688" w:rsidRDefault="009E1688" w:rsidP="009E1688">
      <w:pPr>
        <w:pStyle w:val="ListeParagraf"/>
        <w:spacing w:after="0"/>
        <w:ind w:left="1440"/>
        <w:rPr>
          <w:rFonts w:ascii="Calibri" w:hAnsi="Calibri"/>
          <w:bCs/>
          <w:i/>
          <w:iCs/>
        </w:rPr>
      </w:pPr>
      <w:r w:rsidRPr="00AD2AF3">
        <w:rPr>
          <w:rFonts w:ascii="Calibri" w:hAnsi="Calibri"/>
          <w:bCs/>
          <w:i/>
          <w:iCs/>
        </w:rPr>
        <w:lastRenderedPageBreak/>
        <w:t>“Ancak yük alma talimatları için belirlenen aritmetik ortalama fiyatın ilgili saatin piyasa takas fiyatından düşük olması veya yük atma talimatları için belirlenen aritmetik ortalama fiyatın ilgili saatin piyasa takas fiyatından yüksek olması durumunda ilgili saatin piyasa takas fiyatı, söz konusu talimatlar için uzlaştırma fiyatı olarak kullanılır.”</w:t>
      </w:r>
    </w:p>
    <w:p w:rsidR="009E1688" w:rsidRDefault="009E1688" w:rsidP="009E1688">
      <w:pPr>
        <w:pStyle w:val="ListeParagraf"/>
        <w:spacing w:after="0"/>
        <w:ind w:left="1080"/>
        <w:rPr>
          <w:rFonts w:ascii="Calibri" w:hAnsi="Calibri"/>
          <w:bCs/>
          <w:i/>
          <w:iCs/>
        </w:rPr>
      </w:pPr>
    </w:p>
    <w:p w:rsidR="009E1688" w:rsidRDefault="009E1688" w:rsidP="000A5A56">
      <w:pPr>
        <w:numPr>
          <w:ilvl w:val="0"/>
          <w:numId w:val="26"/>
        </w:numPr>
        <w:spacing w:after="0"/>
        <w:contextualSpacing/>
        <w:rPr>
          <w:rFonts w:ascii="Calibri" w:hAnsi="Calibri"/>
          <w:bCs/>
        </w:rPr>
      </w:pPr>
      <w:r>
        <w:rPr>
          <w:rFonts w:ascii="Calibri" w:hAnsi="Calibri"/>
          <w:bCs/>
        </w:rPr>
        <w:t>01</w:t>
      </w:r>
      <w:r w:rsidRPr="00B2101B">
        <w:rPr>
          <w:rFonts w:ascii="Calibri" w:hAnsi="Calibri"/>
          <w:bCs/>
        </w:rPr>
        <w:t>.0</w:t>
      </w:r>
      <w:r>
        <w:rPr>
          <w:rFonts w:ascii="Calibri" w:hAnsi="Calibri"/>
          <w:bCs/>
        </w:rPr>
        <w:t>3</w:t>
      </w:r>
      <w:r w:rsidRPr="00B2101B">
        <w:rPr>
          <w:rFonts w:ascii="Calibri" w:hAnsi="Calibri"/>
          <w:bCs/>
        </w:rPr>
        <w:t>.2022 tarihli ve 3176</w:t>
      </w:r>
      <w:r>
        <w:rPr>
          <w:rFonts w:ascii="Calibri" w:hAnsi="Calibri"/>
          <w:bCs/>
        </w:rPr>
        <w:t>5</w:t>
      </w:r>
      <w:r w:rsidRPr="00B2101B">
        <w:rPr>
          <w:rFonts w:ascii="Calibri" w:hAnsi="Calibri"/>
          <w:bCs/>
        </w:rPr>
        <w:t xml:space="preserve"> sayılı Resmî </w:t>
      </w:r>
      <w:r w:rsidR="00274939">
        <w:rPr>
          <w:rFonts w:ascii="Calibri" w:hAnsi="Calibri"/>
          <w:bCs/>
        </w:rPr>
        <w:t>Gazetede</w:t>
      </w:r>
      <w:r w:rsidRPr="00B2101B">
        <w:rPr>
          <w:rFonts w:ascii="Calibri" w:hAnsi="Calibri"/>
          <w:bCs/>
        </w:rPr>
        <w:t xml:space="preserve"> yayımlanan Değişiklik Yönetmeliği ile</w:t>
      </w:r>
      <w:r w:rsidRPr="00B2101B">
        <w:rPr>
          <w:rFonts w:ascii="Calibri" w:hAnsi="Calibri"/>
          <w:b/>
          <w:bCs/>
        </w:rPr>
        <w:t xml:space="preserve"> </w:t>
      </w:r>
      <w:r w:rsidRPr="00B2101B">
        <w:rPr>
          <w:rFonts w:ascii="Calibri" w:hAnsi="Calibri"/>
          <w:b/>
        </w:rPr>
        <w:t xml:space="preserve">Yenilenebilir Enerji Kaynaklarının Belgelendirilmesi ve Desteklenmesine İlişkin Yönetmeliğin </w:t>
      </w:r>
      <w:r w:rsidRPr="00B2101B">
        <w:rPr>
          <w:rFonts w:ascii="Calibri" w:hAnsi="Calibri"/>
          <w:bCs/>
        </w:rPr>
        <w:t>13 üncü maddesine aşağıdaki fıkra eklenmiştir.</w:t>
      </w:r>
    </w:p>
    <w:p w:rsidR="009E1688" w:rsidRDefault="009E1688" w:rsidP="009E1688">
      <w:pPr>
        <w:pStyle w:val="ListeParagraf"/>
        <w:spacing w:after="0"/>
        <w:ind w:left="1440"/>
        <w:rPr>
          <w:rFonts w:ascii="Calibri" w:hAnsi="Calibri"/>
          <w:bCs/>
          <w:i/>
          <w:iCs/>
        </w:rPr>
      </w:pPr>
    </w:p>
    <w:p w:rsidR="009E1688" w:rsidRPr="00B2101B" w:rsidRDefault="009E1688" w:rsidP="009E1688">
      <w:pPr>
        <w:pStyle w:val="ListeParagraf"/>
        <w:spacing w:after="0"/>
        <w:ind w:left="1440"/>
        <w:rPr>
          <w:rFonts w:ascii="Calibri" w:hAnsi="Calibri"/>
          <w:bCs/>
          <w:i/>
          <w:iCs/>
        </w:rPr>
      </w:pPr>
      <w:r w:rsidRPr="00B2101B">
        <w:rPr>
          <w:rFonts w:ascii="Calibri" w:hAnsi="Calibri"/>
          <w:bCs/>
          <w:i/>
          <w:iCs/>
        </w:rPr>
        <w:t>“(4) Bir fatura döneminde YEKDEM gelirinin YEK toplam bedelinden fazla olması durumunda, birinci fıkrada yer alan ödeme yükümlülüğü oranı (ÖYOi), tarifesi düzenlenmeye tabi tüketiciler için uygulanmak üzere, ilgili tedarikçilerin uzlaştırmaya esas çekiş miktarları dikkate alınarak hesaplanır.”</w:t>
      </w:r>
    </w:p>
    <w:p w:rsidR="009E1688" w:rsidRPr="00AD2AF3" w:rsidRDefault="009E1688" w:rsidP="009E1688">
      <w:pPr>
        <w:pStyle w:val="ListeParagraf"/>
        <w:spacing w:after="0"/>
        <w:rPr>
          <w:rFonts w:ascii="Calibri" w:hAnsi="Calibri"/>
          <w:bCs/>
          <w:i/>
          <w:iCs/>
        </w:rPr>
      </w:pPr>
    </w:p>
    <w:p w:rsidR="009E1688" w:rsidRPr="00193652" w:rsidRDefault="009E1688" w:rsidP="000A5A56">
      <w:pPr>
        <w:numPr>
          <w:ilvl w:val="0"/>
          <w:numId w:val="26"/>
        </w:numPr>
        <w:spacing w:after="0"/>
        <w:contextualSpacing/>
        <w:rPr>
          <w:rFonts w:ascii="Calibri" w:hAnsi="Calibri"/>
          <w:i/>
          <w:iCs/>
        </w:rPr>
      </w:pPr>
      <w:r w:rsidRPr="00193652">
        <w:rPr>
          <w:rFonts w:ascii="Calibri" w:hAnsi="Calibri"/>
          <w:bCs/>
          <w:iCs/>
        </w:rPr>
        <w:t>10.0</w:t>
      </w:r>
      <w:r>
        <w:rPr>
          <w:rFonts w:ascii="Calibri" w:hAnsi="Calibri"/>
          <w:bCs/>
          <w:iCs/>
        </w:rPr>
        <w:t>3</w:t>
      </w:r>
      <w:r w:rsidRPr="00193652">
        <w:rPr>
          <w:rFonts w:ascii="Calibri" w:hAnsi="Calibri"/>
          <w:bCs/>
          <w:iCs/>
        </w:rPr>
        <w:t>.2022 tarihli ve 317</w:t>
      </w:r>
      <w:r>
        <w:rPr>
          <w:rFonts w:ascii="Calibri" w:hAnsi="Calibri"/>
          <w:bCs/>
          <w:iCs/>
        </w:rPr>
        <w:t>74</w:t>
      </w:r>
      <w:r w:rsidRPr="00193652">
        <w:rPr>
          <w:rFonts w:ascii="Calibri" w:hAnsi="Calibri"/>
          <w:bCs/>
          <w:iCs/>
        </w:rPr>
        <w:t xml:space="preserve"> sayılı Resmî </w:t>
      </w:r>
      <w:r w:rsidR="00274939">
        <w:rPr>
          <w:rFonts w:ascii="Calibri" w:hAnsi="Calibri"/>
          <w:bCs/>
          <w:iCs/>
        </w:rPr>
        <w:t>Gazetede</w:t>
      </w:r>
      <w:r w:rsidRPr="00193652">
        <w:rPr>
          <w:rFonts w:ascii="Calibri" w:hAnsi="Calibri"/>
          <w:bCs/>
          <w:iCs/>
        </w:rPr>
        <w:t xml:space="preserve"> yayımlanan Değişiklik Yönetmeliği ile</w:t>
      </w:r>
      <w:r w:rsidRPr="00193652">
        <w:rPr>
          <w:rFonts w:ascii="Calibri" w:hAnsi="Calibri"/>
          <w:b/>
          <w:bCs/>
          <w:iCs/>
        </w:rPr>
        <w:t xml:space="preserve"> </w:t>
      </w:r>
      <w:r w:rsidRPr="00193652">
        <w:rPr>
          <w:rFonts w:ascii="Calibri" w:hAnsi="Calibri"/>
          <w:b/>
          <w:iCs/>
        </w:rPr>
        <w:t>Elektrik Piyasası Lisans Yönetmeliğinin</w:t>
      </w:r>
    </w:p>
    <w:p w:rsidR="009E1688" w:rsidRPr="00193652" w:rsidRDefault="009E1688" w:rsidP="009E1688">
      <w:pPr>
        <w:spacing w:after="0"/>
        <w:ind w:left="720"/>
        <w:contextualSpacing/>
        <w:rPr>
          <w:rFonts w:ascii="Calibri" w:hAnsi="Calibri"/>
          <w:i/>
          <w:iCs/>
        </w:rPr>
      </w:pPr>
    </w:p>
    <w:p w:rsidR="009E1688" w:rsidRDefault="009E1688" w:rsidP="000A5A56">
      <w:pPr>
        <w:pStyle w:val="ListeParagraf"/>
        <w:numPr>
          <w:ilvl w:val="0"/>
          <w:numId w:val="47"/>
        </w:numPr>
        <w:spacing w:after="0"/>
        <w:rPr>
          <w:rFonts w:ascii="Calibri" w:hAnsi="Calibri"/>
        </w:rPr>
      </w:pPr>
      <w:r w:rsidRPr="00193652">
        <w:rPr>
          <w:rFonts w:ascii="Calibri" w:hAnsi="Calibri"/>
        </w:rPr>
        <w:t>4 üncü maddesinin birinci fıkrasına aşağıdaki bent eklenmiştir.</w:t>
      </w:r>
    </w:p>
    <w:p w:rsidR="009E1688" w:rsidRDefault="009E1688" w:rsidP="009E1688">
      <w:pPr>
        <w:pStyle w:val="ListeParagraf"/>
        <w:spacing w:after="0"/>
        <w:ind w:left="1440"/>
        <w:rPr>
          <w:rFonts w:ascii="Calibri" w:hAnsi="Calibri"/>
          <w:i/>
          <w:iCs/>
        </w:rPr>
      </w:pPr>
      <w:r w:rsidRPr="00193652">
        <w:rPr>
          <w:rFonts w:ascii="Calibri" w:hAnsi="Calibri"/>
          <w:i/>
          <w:iCs/>
        </w:rPr>
        <w:t>“çççç) Trijenerasyon: Elektrik üretimi, ısıtma ve soğutma işlemlerinin eşzamanlı olarak birlikte yapıldığı enerji üretim tesislerini,”</w:t>
      </w:r>
    </w:p>
    <w:p w:rsidR="009E1688" w:rsidRDefault="009E1688" w:rsidP="009E1688">
      <w:pPr>
        <w:pStyle w:val="ListeParagraf"/>
        <w:spacing w:after="0"/>
        <w:ind w:left="1440"/>
        <w:rPr>
          <w:rFonts w:ascii="Calibri" w:hAnsi="Calibri"/>
          <w:i/>
          <w:iCs/>
        </w:rPr>
      </w:pPr>
    </w:p>
    <w:p w:rsidR="009E1688" w:rsidRPr="00193652" w:rsidRDefault="009E1688" w:rsidP="000A5A56">
      <w:pPr>
        <w:pStyle w:val="ListeParagraf"/>
        <w:numPr>
          <w:ilvl w:val="0"/>
          <w:numId w:val="47"/>
        </w:numPr>
        <w:spacing w:after="0"/>
        <w:rPr>
          <w:rFonts w:ascii="Calibri" w:hAnsi="Calibri"/>
        </w:rPr>
      </w:pPr>
      <w:r w:rsidRPr="00193652">
        <w:rPr>
          <w:rFonts w:ascii="Calibri" w:hAnsi="Calibri"/>
        </w:rPr>
        <w:t xml:space="preserve">7 nci maddesinin birinci fıkrasının (ç) bendinde yer alan </w:t>
      </w:r>
      <w:r w:rsidRPr="00193652">
        <w:rPr>
          <w:rFonts w:ascii="Calibri" w:hAnsi="Calibri"/>
          <w:i/>
          <w:iCs/>
        </w:rPr>
        <w:t>“kojenerasyon”</w:t>
      </w:r>
      <w:r w:rsidRPr="00193652">
        <w:rPr>
          <w:rFonts w:ascii="Calibri" w:hAnsi="Calibri"/>
        </w:rPr>
        <w:t xml:space="preserve"> ibaresinden sonra gelmek üzere </w:t>
      </w:r>
      <w:r w:rsidRPr="00193652">
        <w:rPr>
          <w:rFonts w:ascii="Calibri" w:hAnsi="Calibri"/>
          <w:i/>
          <w:iCs/>
        </w:rPr>
        <w:t>“ve trijenerasyon”</w:t>
      </w:r>
      <w:r w:rsidRPr="00193652">
        <w:rPr>
          <w:rFonts w:ascii="Calibri" w:hAnsi="Calibri"/>
        </w:rPr>
        <w:t xml:space="preserve"> ibaresi eklenmiştir.</w:t>
      </w:r>
    </w:p>
    <w:p w:rsidR="009E1688" w:rsidRDefault="009E1688" w:rsidP="009E1688">
      <w:pPr>
        <w:spacing w:after="0"/>
        <w:ind w:left="720"/>
        <w:contextualSpacing/>
        <w:rPr>
          <w:rFonts w:ascii="Calibri" w:hAnsi="Calibri"/>
          <w:iCs/>
        </w:rPr>
      </w:pPr>
    </w:p>
    <w:p w:rsidR="009E1688" w:rsidRDefault="009E1688" w:rsidP="000A5A56">
      <w:pPr>
        <w:pStyle w:val="ListeParagraf"/>
        <w:numPr>
          <w:ilvl w:val="0"/>
          <w:numId w:val="47"/>
        </w:numPr>
        <w:spacing w:after="0"/>
        <w:rPr>
          <w:rFonts w:ascii="Calibri" w:hAnsi="Calibri"/>
          <w:iCs/>
        </w:rPr>
      </w:pPr>
      <w:r w:rsidRPr="00193652">
        <w:rPr>
          <w:rFonts w:ascii="Calibri" w:hAnsi="Calibri"/>
          <w:iCs/>
        </w:rPr>
        <w:t xml:space="preserve">14 üncü maddesinin dördüncü fıkrasında yer alan </w:t>
      </w:r>
      <w:r w:rsidRPr="00193652">
        <w:rPr>
          <w:rFonts w:ascii="Calibri" w:hAnsi="Calibri"/>
          <w:i/>
        </w:rPr>
        <w:t>“Üretim lisansı alındıktan sonra”</w:t>
      </w:r>
      <w:r w:rsidRPr="00193652">
        <w:rPr>
          <w:rFonts w:ascii="Calibri" w:hAnsi="Calibri"/>
          <w:iCs/>
        </w:rPr>
        <w:t xml:space="preserve"> ibaresi </w:t>
      </w:r>
      <w:r w:rsidRPr="00193652">
        <w:rPr>
          <w:rFonts w:ascii="Calibri" w:hAnsi="Calibri"/>
          <w:i/>
        </w:rPr>
        <w:t>“Rüzgâr enerjisine dayalı üretim tesislerinde üretim lisansı alındıktan sonra”</w:t>
      </w:r>
      <w:r w:rsidRPr="00193652">
        <w:rPr>
          <w:rFonts w:ascii="Calibri" w:hAnsi="Calibri"/>
          <w:iCs/>
        </w:rPr>
        <w:t xml:space="preserve"> şeklinde değiştirilmiştir.</w:t>
      </w:r>
    </w:p>
    <w:p w:rsidR="009E1688" w:rsidRPr="00193652" w:rsidRDefault="009E1688" w:rsidP="009E1688">
      <w:pPr>
        <w:pStyle w:val="ListeParagraf"/>
        <w:rPr>
          <w:rFonts w:ascii="Calibri" w:hAnsi="Calibri"/>
          <w:iCs/>
        </w:rPr>
      </w:pPr>
    </w:p>
    <w:p w:rsidR="009E1688" w:rsidRDefault="009E1688" w:rsidP="000A5A56">
      <w:pPr>
        <w:pStyle w:val="ListeParagraf"/>
        <w:numPr>
          <w:ilvl w:val="0"/>
          <w:numId w:val="47"/>
        </w:numPr>
        <w:spacing w:after="0"/>
        <w:rPr>
          <w:rFonts w:ascii="Calibri" w:hAnsi="Calibri"/>
          <w:iCs/>
        </w:rPr>
      </w:pPr>
      <w:r w:rsidRPr="00193652">
        <w:rPr>
          <w:rFonts w:ascii="Calibri" w:hAnsi="Calibri"/>
          <w:iCs/>
        </w:rPr>
        <w:t>15 inci maddesine aşağıdaki fıkra eklenmiştir.</w:t>
      </w:r>
    </w:p>
    <w:p w:rsidR="009E1688" w:rsidRPr="00193652" w:rsidRDefault="009E1688" w:rsidP="009E1688">
      <w:pPr>
        <w:pStyle w:val="ListeParagraf"/>
        <w:rPr>
          <w:rFonts w:ascii="Calibri" w:hAnsi="Calibri"/>
          <w:iCs/>
        </w:rPr>
      </w:pPr>
    </w:p>
    <w:p w:rsidR="009E1688" w:rsidRDefault="009E1688" w:rsidP="009E1688">
      <w:pPr>
        <w:pStyle w:val="ListeParagraf"/>
        <w:spacing w:after="0"/>
        <w:ind w:left="1440"/>
        <w:rPr>
          <w:rFonts w:ascii="Calibri" w:hAnsi="Calibri"/>
          <w:i/>
        </w:rPr>
      </w:pPr>
      <w:r w:rsidRPr="00193652">
        <w:rPr>
          <w:rFonts w:ascii="Calibri" w:hAnsi="Calibri"/>
          <w:i/>
        </w:rPr>
        <w:t>“(8) Önlisans başvurusu kapsamında kurulması planlanan elektrik üretim tesisinde, üretim tesisine bütünleşik elektrik depolama ünitesi de kurulmak istenmesi hâlinde, elektrik depolama ünitesinin gerekli teknik kriterlere uygunluğu hakkında TEİAŞ’tan görüş istenir.”</w:t>
      </w:r>
    </w:p>
    <w:p w:rsidR="009E1688" w:rsidRDefault="009E1688" w:rsidP="009E1688">
      <w:pPr>
        <w:pStyle w:val="ListeParagraf"/>
        <w:spacing w:after="0"/>
        <w:ind w:left="1440"/>
        <w:rPr>
          <w:rFonts w:ascii="Calibri" w:hAnsi="Calibri"/>
          <w:i/>
        </w:rPr>
      </w:pPr>
    </w:p>
    <w:p w:rsidR="009E1688" w:rsidRDefault="009E1688" w:rsidP="000A5A56">
      <w:pPr>
        <w:pStyle w:val="ListeParagraf"/>
        <w:numPr>
          <w:ilvl w:val="0"/>
          <w:numId w:val="47"/>
        </w:numPr>
        <w:spacing w:after="0"/>
        <w:rPr>
          <w:rFonts w:ascii="Calibri" w:hAnsi="Calibri"/>
          <w:iCs/>
        </w:rPr>
      </w:pPr>
      <w:r w:rsidRPr="00193652">
        <w:rPr>
          <w:rFonts w:ascii="Calibri" w:hAnsi="Calibri"/>
          <w:iCs/>
        </w:rPr>
        <w:t>17 nci maddesinin birinci fıkrasının (c) bendi aşağıdaki şekilde değiştirilmiştir.</w:t>
      </w:r>
    </w:p>
    <w:p w:rsidR="009E1688" w:rsidRPr="00193652" w:rsidRDefault="009E1688" w:rsidP="009E1688">
      <w:pPr>
        <w:pStyle w:val="ListeParagraf"/>
        <w:spacing w:after="0"/>
        <w:ind w:left="1440"/>
        <w:rPr>
          <w:rFonts w:ascii="Calibri" w:hAnsi="Calibri"/>
          <w:iCs/>
        </w:rPr>
      </w:pPr>
    </w:p>
    <w:p w:rsidR="009E1688" w:rsidRDefault="009E1688" w:rsidP="009E1688">
      <w:pPr>
        <w:pStyle w:val="ListeParagraf"/>
        <w:spacing w:after="0"/>
        <w:ind w:left="1440"/>
        <w:rPr>
          <w:rFonts w:ascii="Calibri" w:hAnsi="Calibri"/>
          <w:i/>
        </w:rPr>
      </w:pPr>
      <w:r w:rsidRPr="00193652">
        <w:rPr>
          <w:rFonts w:ascii="Calibri" w:hAnsi="Calibri"/>
          <w:i/>
        </w:rPr>
        <w:t>“c) Üretim tesisine ilişkin ön proje veya kat’i proje onayının alınması.”</w:t>
      </w:r>
    </w:p>
    <w:p w:rsidR="009E1688" w:rsidRDefault="009E1688" w:rsidP="009E1688">
      <w:pPr>
        <w:pStyle w:val="ListeParagraf"/>
        <w:spacing w:after="0"/>
        <w:ind w:left="1440"/>
        <w:rPr>
          <w:rFonts w:ascii="Calibri" w:hAnsi="Calibri"/>
          <w:i/>
        </w:rPr>
      </w:pPr>
    </w:p>
    <w:p w:rsidR="009E1688" w:rsidRDefault="009E1688" w:rsidP="000A5A56">
      <w:pPr>
        <w:pStyle w:val="ListeParagraf"/>
        <w:numPr>
          <w:ilvl w:val="0"/>
          <w:numId w:val="47"/>
        </w:numPr>
        <w:spacing w:after="0"/>
        <w:rPr>
          <w:rFonts w:ascii="Calibri" w:hAnsi="Calibri"/>
          <w:iCs/>
        </w:rPr>
      </w:pPr>
      <w:r w:rsidRPr="00193652">
        <w:rPr>
          <w:rFonts w:ascii="Calibri" w:hAnsi="Calibri"/>
          <w:iCs/>
        </w:rPr>
        <w:t>18 inci maddesinin on üçüncü fıkrasına aşağıdaki bent eklenmiştir.</w:t>
      </w:r>
    </w:p>
    <w:p w:rsidR="009E1688" w:rsidRDefault="009E1688" w:rsidP="009E1688">
      <w:pPr>
        <w:pStyle w:val="ListeParagraf"/>
        <w:spacing w:after="0"/>
        <w:ind w:left="1440"/>
        <w:rPr>
          <w:rFonts w:ascii="Calibri" w:hAnsi="Calibri"/>
          <w:iCs/>
        </w:rPr>
      </w:pPr>
    </w:p>
    <w:p w:rsidR="009E1688" w:rsidRDefault="009E1688" w:rsidP="009E1688">
      <w:pPr>
        <w:pStyle w:val="ListeParagraf"/>
        <w:spacing w:after="0"/>
        <w:ind w:left="1440"/>
        <w:rPr>
          <w:rFonts w:ascii="Calibri" w:hAnsi="Calibri"/>
          <w:i/>
        </w:rPr>
      </w:pPr>
      <w:r w:rsidRPr="00694BE2">
        <w:rPr>
          <w:rFonts w:ascii="Calibri" w:hAnsi="Calibri"/>
          <w:i/>
        </w:rPr>
        <w:t>“d) Söz konusu elektrik depolama ünitesinin gerekli teknik kriterlere uygunluğu hakkında TEİAŞ’tan görüş alınması,”</w:t>
      </w:r>
    </w:p>
    <w:p w:rsidR="009E1688" w:rsidRDefault="009E1688" w:rsidP="009E1688">
      <w:pPr>
        <w:pStyle w:val="ListeParagraf"/>
        <w:spacing w:after="0"/>
        <w:ind w:left="1440"/>
        <w:rPr>
          <w:rFonts w:ascii="Calibri" w:hAnsi="Calibri"/>
          <w:i/>
        </w:rPr>
      </w:pPr>
    </w:p>
    <w:p w:rsidR="009E1688" w:rsidRDefault="009E1688" w:rsidP="000A5A56">
      <w:pPr>
        <w:pStyle w:val="ListeParagraf"/>
        <w:numPr>
          <w:ilvl w:val="0"/>
          <w:numId w:val="47"/>
        </w:numPr>
        <w:spacing w:after="0"/>
        <w:rPr>
          <w:rFonts w:ascii="Calibri" w:hAnsi="Calibri"/>
          <w:iCs/>
        </w:rPr>
      </w:pPr>
      <w:r w:rsidRPr="00694BE2">
        <w:rPr>
          <w:rFonts w:ascii="Calibri" w:hAnsi="Calibri"/>
          <w:iCs/>
        </w:rPr>
        <w:lastRenderedPageBreak/>
        <w:t xml:space="preserve">20 nci maddesinin dördüncü fıkrasının (ç) bendi aşağıdaki şekilde değiştirilmiş, aynı fıkraya aşağıdaki bent eklenmiş, aynı maddenin altıncı fıkrasının (d) bendinde yer alan </w:t>
      </w:r>
      <w:r w:rsidRPr="00694BE2">
        <w:rPr>
          <w:rFonts w:ascii="Calibri" w:hAnsi="Calibri"/>
          <w:i/>
        </w:rPr>
        <w:t>“yerli kömüre dayalı veya”</w:t>
      </w:r>
      <w:r w:rsidRPr="00694BE2">
        <w:rPr>
          <w:rFonts w:ascii="Calibri" w:hAnsi="Calibri"/>
          <w:iCs/>
        </w:rPr>
        <w:t xml:space="preserve"> ibaresinden sonra gelmek üzere </w:t>
      </w:r>
      <w:r w:rsidRPr="00694BE2">
        <w:rPr>
          <w:rFonts w:ascii="Calibri" w:hAnsi="Calibri"/>
          <w:i/>
        </w:rPr>
        <w:t xml:space="preserve">“mekanik gücü 100 MW’ı aşan” </w:t>
      </w:r>
      <w:r w:rsidRPr="00694BE2">
        <w:rPr>
          <w:rFonts w:ascii="Calibri" w:hAnsi="Calibri"/>
          <w:iCs/>
        </w:rPr>
        <w:t>ibaresi eklenmiştir.</w:t>
      </w:r>
    </w:p>
    <w:p w:rsidR="009E1688" w:rsidRDefault="009E1688" w:rsidP="009E1688">
      <w:pPr>
        <w:pStyle w:val="ListeParagraf"/>
        <w:spacing w:after="0"/>
        <w:ind w:left="1440"/>
        <w:rPr>
          <w:rFonts w:ascii="Calibri" w:hAnsi="Calibri"/>
          <w:iCs/>
        </w:rPr>
      </w:pPr>
    </w:p>
    <w:p w:rsidR="009E1688" w:rsidRDefault="009E1688" w:rsidP="009E1688">
      <w:pPr>
        <w:pStyle w:val="ListeParagraf"/>
        <w:spacing w:after="0"/>
        <w:ind w:left="1440"/>
        <w:rPr>
          <w:rFonts w:ascii="Calibri" w:hAnsi="Calibri"/>
          <w:i/>
        </w:rPr>
      </w:pPr>
      <w:r w:rsidRPr="00694BE2">
        <w:rPr>
          <w:rFonts w:ascii="Calibri" w:hAnsi="Calibri"/>
          <w:i/>
        </w:rPr>
        <w:t>“ç) Tedarik lisansı başvurusunda bulunan tüzel kişiler, lisanslarına müstakil elektrik depolama tesisi de eklemek istemeleri halinde birinci fıkrada belirtilen şekilde Kuruma başvuruda bulunur. Bu kapsamda başvuruda bulunulması halinde, söz konusu müstakil elektrik depolama tesisinin sisteme bağlantısı ve sistem kullanımı hakkında 15 inci maddenin ikinci fıkrası hükmü uygulanır. Bu kapsamdaki tesis için sermaye yeterliliği ile teminat yükümlülüğü aranmaz. Talebin Kurul tarafından uygun bulunması halinde, Çevresel Etki Değerlendirmesi Yönetmeliği kapsamında gerekli olan kararın Kurul kararında belirlenen süre içerisinde Kuruma sunulması hâlinde ilgili ana hizmet birimi tarafından depolama tesisine ilişkin bilgiler tedarik lisansına dercedilir.”</w:t>
      </w:r>
    </w:p>
    <w:p w:rsidR="009E1688" w:rsidRDefault="009E1688" w:rsidP="009E1688">
      <w:pPr>
        <w:pStyle w:val="ListeParagraf"/>
        <w:spacing w:after="0"/>
        <w:ind w:left="1440"/>
        <w:rPr>
          <w:rFonts w:ascii="Calibri" w:hAnsi="Calibri"/>
          <w:i/>
        </w:rPr>
      </w:pPr>
    </w:p>
    <w:p w:rsidR="009E1688" w:rsidRDefault="009E1688" w:rsidP="009E1688">
      <w:pPr>
        <w:pStyle w:val="ListeParagraf"/>
        <w:spacing w:after="0"/>
        <w:ind w:left="1440"/>
        <w:rPr>
          <w:rFonts w:ascii="Calibri" w:hAnsi="Calibri"/>
          <w:i/>
        </w:rPr>
      </w:pPr>
      <w:r w:rsidRPr="00694BE2">
        <w:rPr>
          <w:rFonts w:ascii="Calibri" w:hAnsi="Calibri"/>
          <w:i/>
        </w:rPr>
        <w:t>“d) Müstakil elektrik depolama tesisi kurulmak amacıyla yapılan tedarik lisansı başvurularında depolama tesisinin gerekli teknik kriterlere uygunluğu hakkında TEİAŞ’tan görüş istenir.”</w:t>
      </w:r>
    </w:p>
    <w:p w:rsidR="009E1688" w:rsidRDefault="009E1688" w:rsidP="009E1688">
      <w:pPr>
        <w:pStyle w:val="ListeParagraf"/>
        <w:spacing w:after="0"/>
        <w:ind w:left="1440"/>
        <w:rPr>
          <w:rFonts w:ascii="Calibri" w:hAnsi="Calibri"/>
          <w:i/>
        </w:rPr>
      </w:pPr>
    </w:p>
    <w:p w:rsidR="009E1688" w:rsidRDefault="009E1688" w:rsidP="000A5A56">
      <w:pPr>
        <w:pStyle w:val="ListeParagraf"/>
        <w:numPr>
          <w:ilvl w:val="0"/>
          <w:numId w:val="47"/>
        </w:numPr>
        <w:spacing w:after="0"/>
        <w:rPr>
          <w:rFonts w:ascii="Calibri" w:hAnsi="Calibri"/>
          <w:iCs/>
        </w:rPr>
      </w:pPr>
      <w:r w:rsidRPr="00694BE2">
        <w:rPr>
          <w:rFonts w:ascii="Calibri" w:hAnsi="Calibri"/>
          <w:iCs/>
        </w:rPr>
        <w:t>24 üncü maddesinin dokuzuncu fıkrası aşağıdaki şekilde değiştirilmiş, aynı maddenin on sekizinci fıkrasına aşağıdaki bent eklenmiş ve aynı maddeye aşağıdaki fıkra eklenmiştir.</w:t>
      </w:r>
    </w:p>
    <w:p w:rsidR="009E1688" w:rsidRDefault="009E1688" w:rsidP="009E1688">
      <w:pPr>
        <w:pStyle w:val="ListeParagraf"/>
        <w:spacing w:after="0"/>
        <w:rPr>
          <w:rFonts w:ascii="Calibri" w:hAnsi="Calibri"/>
          <w:iCs/>
        </w:rPr>
      </w:pPr>
    </w:p>
    <w:p w:rsidR="009E1688" w:rsidRPr="00694BE2" w:rsidRDefault="009E1688" w:rsidP="009E1688">
      <w:pPr>
        <w:pStyle w:val="ListeParagraf"/>
        <w:spacing w:after="0"/>
        <w:ind w:left="1440"/>
        <w:rPr>
          <w:rFonts w:ascii="Calibri" w:hAnsi="Calibri"/>
          <w:i/>
        </w:rPr>
      </w:pPr>
      <w:r w:rsidRPr="00694BE2">
        <w:rPr>
          <w:rFonts w:ascii="Calibri" w:hAnsi="Calibri"/>
          <w:i/>
        </w:rPr>
        <w:t>“(9) Üretim lisansına konu üretim tesisi sahasının değiştirilmek istenmesi ve bu durumun mücbir sebepler veya Kurul tarafından uygun bulunan haller kapsamında olduğunun tespiti durumunda, talep edilen değişikliğin üçüncü kişilere ilişkin hak ihlaline yol açmaması, bağlantı noktasının veya bağlantı bölgesinin değişmemesi ve hidrolik kaynaklara dayalı tesisler için DSİ’nin uygun görüşünün alınması, rüzgâr veya güneş enerjisine dayalı tesisler için Enerji İşleri Genel Müdürlüğü tarafından yapılan teknik değerlendirmenin uygun bulunması hallerinde, söz konusu lisansta gerekli tadiller yapılabilir. Başvuruya konu proje sahasının tamamının mülkiyetinin ilgili tüzel kişiye ait olduğu sahalar ile kaynak olarak belediye atıklarının kullanılacağı projelere ilişkin tesis sahasının ilgili belediyenin mülkiyetinde olduğu ve santral sahası olarak belediye atıklarının kullanım haklarına sahip tüzel kişiye tahsis edildiği santral sahaları için duyuru yapılmaz. Santral sahasının bir bölümünün aynı sahada kalması, toplam santral sahası büyüklüğünün değişmemesi, tadil talebine ilişkin gerekçenin Kurul tarafından mücbir sebep kapsamında olduğunun tespiti ve söz konusu tesisin kısmen veya tamamen işletmede olması kaydıyla, rüzgâr enerjisine dayalı tesisler için teknik değerlendirme şartı aranmaz. Ancak santral sahasında meydana gelen değişiklik için kesişme/çakışma ve komşu sahalardaki türbinlerin etkileşim durumuna ilişkin olarak Enerji İşleri Genel Müdürlüğünün görüşü alınır.”</w:t>
      </w:r>
    </w:p>
    <w:p w:rsidR="009E1688" w:rsidRPr="00694BE2" w:rsidRDefault="009E1688" w:rsidP="009E1688">
      <w:pPr>
        <w:pStyle w:val="ListeParagraf"/>
        <w:spacing w:after="0"/>
        <w:ind w:left="1440"/>
        <w:rPr>
          <w:rFonts w:ascii="Calibri" w:hAnsi="Calibri"/>
          <w:i/>
        </w:rPr>
      </w:pPr>
    </w:p>
    <w:p w:rsidR="009E1688" w:rsidRPr="00694BE2" w:rsidRDefault="009E1688" w:rsidP="009E1688">
      <w:pPr>
        <w:pStyle w:val="ListeParagraf"/>
        <w:spacing w:after="0"/>
        <w:ind w:left="1440"/>
        <w:rPr>
          <w:rFonts w:ascii="Calibri" w:hAnsi="Calibri"/>
          <w:i/>
        </w:rPr>
      </w:pPr>
      <w:r w:rsidRPr="00694BE2">
        <w:rPr>
          <w:rFonts w:ascii="Calibri" w:hAnsi="Calibri"/>
          <w:i/>
        </w:rPr>
        <w:t>“d) Söz konusu elektrik depolama ünitesinin gerekli teknik kriterlere uygunluğu hakkında TEİAŞ’tan görüş alınması,”</w:t>
      </w:r>
    </w:p>
    <w:p w:rsidR="009E1688" w:rsidRPr="00694BE2" w:rsidRDefault="009E1688" w:rsidP="009E1688">
      <w:pPr>
        <w:pStyle w:val="ListeParagraf"/>
        <w:spacing w:after="0"/>
        <w:ind w:left="1440"/>
        <w:rPr>
          <w:rFonts w:ascii="Calibri" w:hAnsi="Calibri"/>
          <w:i/>
        </w:rPr>
      </w:pPr>
    </w:p>
    <w:p w:rsidR="009E1688" w:rsidRDefault="009E1688" w:rsidP="009E1688">
      <w:pPr>
        <w:pStyle w:val="ListeParagraf"/>
        <w:spacing w:after="0"/>
        <w:ind w:left="1440"/>
        <w:rPr>
          <w:rFonts w:ascii="Calibri" w:hAnsi="Calibri"/>
          <w:i/>
        </w:rPr>
      </w:pPr>
      <w:r w:rsidRPr="00694BE2">
        <w:rPr>
          <w:rFonts w:ascii="Calibri" w:hAnsi="Calibri"/>
          <w:i/>
        </w:rPr>
        <w:t>“(20) Mevcut tedarik lisansına müstakil elektrik depolama tesisi eklenmesi kapsamında yapılan lisans tadil başvurularında depolama tesisinin gerekli teknik kriterlere uygunluğu hakkında TEİAŞ’tan görüş istenir.”</w:t>
      </w:r>
    </w:p>
    <w:p w:rsidR="009E1688" w:rsidRDefault="009E1688" w:rsidP="009E1688">
      <w:pPr>
        <w:pStyle w:val="ListeParagraf"/>
        <w:spacing w:after="0"/>
        <w:ind w:left="1440"/>
        <w:rPr>
          <w:rFonts w:ascii="Calibri" w:hAnsi="Calibri"/>
          <w:i/>
        </w:rPr>
      </w:pPr>
    </w:p>
    <w:p w:rsidR="009E1688" w:rsidRPr="00694BE2" w:rsidRDefault="009E1688" w:rsidP="000A5A56">
      <w:pPr>
        <w:pStyle w:val="ListeParagraf"/>
        <w:numPr>
          <w:ilvl w:val="0"/>
          <w:numId w:val="47"/>
        </w:numPr>
        <w:spacing w:after="0"/>
        <w:rPr>
          <w:rFonts w:ascii="Calibri" w:hAnsi="Calibri"/>
          <w:iCs/>
        </w:rPr>
      </w:pPr>
      <w:r w:rsidRPr="00694BE2">
        <w:rPr>
          <w:rFonts w:ascii="Calibri" w:hAnsi="Calibri"/>
          <w:iCs/>
        </w:rPr>
        <w:t>26 ncı maddesinin birinci fıkrasının (b) bendi aşağıdaki şekilde değiştirilmiştir.</w:t>
      </w:r>
    </w:p>
    <w:p w:rsidR="009E1688" w:rsidRPr="00694BE2" w:rsidRDefault="009E1688" w:rsidP="009E1688">
      <w:pPr>
        <w:pStyle w:val="ListeParagraf"/>
        <w:spacing w:after="0"/>
        <w:ind w:left="1440"/>
        <w:rPr>
          <w:rFonts w:ascii="Calibri" w:hAnsi="Calibri"/>
          <w:iCs/>
        </w:rPr>
      </w:pPr>
    </w:p>
    <w:p w:rsidR="009E1688" w:rsidRPr="00694BE2" w:rsidRDefault="009E1688" w:rsidP="009E1688">
      <w:pPr>
        <w:pStyle w:val="ListeParagraf"/>
        <w:spacing w:after="0"/>
        <w:ind w:left="1440"/>
        <w:rPr>
          <w:rFonts w:ascii="Calibri" w:hAnsi="Calibri"/>
          <w:i/>
        </w:rPr>
      </w:pPr>
      <w:r w:rsidRPr="00694BE2">
        <w:rPr>
          <w:rFonts w:ascii="Calibri" w:hAnsi="Calibri"/>
          <w:i/>
        </w:rPr>
        <w:lastRenderedPageBreak/>
        <w:t>“b) Lisans sahibi tüzel kişinin iflasının veya icra takibi sonucu üretim tesisinin satışının kesinleşmiş olduğunun tespit edilmesi, lisans sahibinin talebi veya lisans verilmesine esas şartların kaybedilmesi hâllerinde ise Kurul kararıyla,”</w:t>
      </w:r>
    </w:p>
    <w:p w:rsidR="009E1688" w:rsidRPr="00694BE2" w:rsidRDefault="009E1688" w:rsidP="009E1688">
      <w:pPr>
        <w:pStyle w:val="ListeParagraf"/>
        <w:spacing w:after="0"/>
        <w:ind w:left="1440"/>
        <w:rPr>
          <w:rFonts w:ascii="Calibri" w:hAnsi="Calibri"/>
          <w:iCs/>
        </w:rPr>
      </w:pPr>
    </w:p>
    <w:p w:rsidR="009E1688" w:rsidRPr="00694BE2" w:rsidRDefault="009E1688" w:rsidP="000A5A56">
      <w:pPr>
        <w:pStyle w:val="ListeParagraf"/>
        <w:numPr>
          <w:ilvl w:val="0"/>
          <w:numId w:val="47"/>
        </w:numPr>
        <w:spacing w:after="0"/>
        <w:rPr>
          <w:rFonts w:ascii="Calibri" w:hAnsi="Calibri"/>
          <w:iCs/>
        </w:rPr>
      </w:pPr>
      <w:r w:rsidRPr="00694BE2">
        <w:rPr>
          <w:rFonts w:ascii="Calibri" w:hAnsi="Calibri"/>
          <w:iCs/>
        </w:rPr>
        <w:t xml:space="preserve">30 uncu maddesinin ikinci fıkrasının (ç) bendinde yer alan </w:t>
      </w:r>
      <w:r w:rsidRPr="00694BE2">
        <w:rPr>
          <w:rFonts w:ascii="Calibri" w:hAnsi="Calibri"/>
          <w:i/>
        </w:rPr>
        <w:t>“Üretim tesisinin”</w:t>
      </w:r>
      <w:r w:rsidRPr="00694BE2">
        <w:rPr>
          <w:rFonts w:ascii="Calibri" w:hAnsi="Calibri"/>
          <w:iCs/>
        </w:rPr>
        <w:t xml:space="preserve"> ibaresinden sonra gelmek </w:t>
      </w:r>
      <w:r w:rsidRPr="00694BE2">
        <w:rPr>
          <w:rFonts w:ascii="Calibri" w:hAnsi="Calibri"/>
          <w:i/>
        </w:rPr>
        <w:t xml:space="preserve">üzere “lisansa dercedilen tesis toplam kurulu gücünün” </w:t>
      </w:r>
      <w:r w:rsidRPr="00694BE2">
        <w:rPr>
          <w:rFonts w:ascii="Calibri" w:hAnsi="Calibri"/>
          <w:iCs/>
        </w:rPr>
        <w:t xml:space="preserve">ibaresi eklenmiş, aynı bentte yer alan </w:t>
      </w:r>
      <w:r w:rsidRPr="00694BE2">
        <w:rPr>
          <w:rFonts w:ascii="Calibri" w:hAnsi="Calibri"/>
          <w:i/>
        </w:rPr>
        <w:t>“geçici”</w:t>
      </w:r>
      <w:r w:rsidRPr="00694BE2">
        <w:rPr>
          <w:rFonts w:ascii="Calibri" w:hAnsi="Calibri"/>
          <w:iCs/>
        </w:rPr>
        <w:t xml:space="preserve"> ibaresi yürürlükten kaldırılmış, aynı fıkranın (e) bendi aşağıdaki şekilde değiştirilmiş, aynı fıkraya aşağıdaki bentler eklenmiştir.</w:t>
      </w:r>
    </w:p>
    <w:p w:rsidR="009E1688" w:rsidRPr="00694BE2" w:rsidRDefault="009E1688" w:rsidP="009E1688">
      <w:pPr>
        <w:pStyle w:val="ListeParagraf"/>
        <w:spacing w:after="0"/>
        <w:ind w:left="1440"/>
        <w:rPr>
          <w:rFonts w:ascii="Calibri" w:hAnsi="Calibri"/>
          <w:iCs/>
        </w:rPr>
      </w:pPr>
    </w:p>
    <w:p w:rsidR="009E1688" w:rsidRPr="00694BE2" w:rsidRDefault="009E1688" w:rsidP="009E1688">
      <w:pPr>
        <w:pStyle w:val="ListeParagraf"/>
        <w:spacing w:after="0"/>
        <w:ind w:left="1440"/>
        <w:rPr>
          <w:rFonts w:ascii="Calibri" w:hAnsi="Calibri"/>
          <w:i/>
        </w:rPr>
      </w:pPr>
      <w:r w:rsidRPr="00694BE2">
        <w:rPr>
          <w:rFonts w:ascii="Calibri" w:hAnsi="Calibri"/>
          <w:i/>
        </w:rPr>
        <w:t>“e) Rüzgâr enerjisine dayalı üretim lisansı sahibi tüzel kişiler; kriz, gerginlik ve harp durumlarında Milli Savunma Bakanlığı ve/veya İçişleri Bakanlığı ve/veya MİT Başkanlığı tarafından talep edildiğinde; Milli Savunma Bakanlığı ve/veya İçişleri Bakanlığı ve/veya MİT Başkanlığının sorumluluğunda işletilen sistemler ile Haberleşme, Seyrüsefer ve Radar Sistemlerine etkisi olduğu tespit edilen rüzgâr türbinlerine ilişkin talep edilen tedbirleri yerine getirmek,”</w:t>
      </w:r>
    </w:p>
    <w:p w:rsidR="009E1688" w:rsidRPr="00694BE2" w:rsidRDefault="009E1688" w:rsidP="009E1688">
      <w:pPr>
        <w:pStyle w:val="ListeParagraf"/>
        <w:spacing w:after="0"/>
        <w:ind w:left="1440"/>
        <w:rPr>
          <w:rFonts w:ascii="Calibri" w:hAnsi="Calibri"/>
          <w:i/>
        </w:rPr>
      </w:pPr>
    </w:p>
    <w:p w:rsidR="009E1688" w:rsidRPr="00694BE2" w:rsidRDefault="009E1688" w:rsidP="009E1688">
      <w:pPr>
        <w:pStyle w:val="ListeParagraf"/>
        <w:spacing w:after="0"/>
        <w:ind w:left="1440"/>
        <w:rPr>
          <w:rFonts w:ascii="Calibri" w:hAnsi="Calibri"/>
          <w:i/>
        </w:rPr>
      </w:pPr>
      <w:r w:rsidRPr="00694BE2">
        <w:rPr>
          <w:rFonts w:ascii="Calibri" w:hAnsi="Calibri"/>
          <w:i/>
        </w:rPr>
        <w:t xml:space="preserve">“h) Kabulü yapılarak işletmeye geçen biyokütleye dayalı elektrik üretim tesislerine ilişkin lisans sahibi tüzel kişiler, 10/9/2014 tarihli ve 29115 sayılı Resmî </w:t>
      </w:r>
      <w:r w:rsidR="00274939">
        <w:rPr>
          <w:rFonts w:ascii="Calibri" w:hAnsi="Calibri"/>
          <w:i/>
        </w:rPr>
        <w:t>Gazetede</w:t>
      </w:r>
      <w:r w:rsidRPr="00694BE2">
        <w:rPr>
          <w:rFonts w:ascii="Calibri" w:hAnsi="Calibri"/>
          <w:i/>
        </w:rPr>
        <w:t xml:space="preserve"> yayımlanan Çevre İzin ve Lisans Yönetmeliği kapsamında Çevre, Şehircilik ve İklim Değişikliği Bakanlığından alınması gereken belgeyi kabul tarihinden itibaren yirmi dört ay içerisinde Kuruma sunmak,</w:t>
      </w:r>
    </w:p>
    <w:p w:rsidR="009E1688" w:rsidRPr="00694BE2" w:rsidRDefault="009E1688" w:rsidP="009E1688">
      <w:pPr>
        <w:pStyle w:val="ListeParagraf"/>
        <w:spacing w:after="0"/>
        <w:ind w:left="1440"/>
        <w:rPr>
          <w:rFonts w:ascii="Calibri" w:hAnsi="Calibri"/>
          <w:i/>
        </w:rPr>
      </w:pPr>
    </w:p>
    <w:p w:rsidR="009E1688" w:rsidRPr="00694BE2" w:rsidRDefault="009E1688" w:rsidP="009E1688">
      <w:pPr>
        <w:pStyle w:val="ListeParagraf"/>
        <w:spacing w:after="0"/>
        <w:ind w:left="1440"/>
        <w:rPr>
          <w:rFonts w:ascii="Calibri" w:hAnsi="Calibri"/>
          <w:i/>
        </w:rPr>
      </w:pPr>
      <w:r w:rsidRPr="00694BE2">
        <w:rPr>
          <w:rFonts w:ascii="Calibri" w:hAnsi="Calibri"/>
          <w:i/>
        </w:rPr>
        <w:t>ı) Lisans verilmesine esas olan gerekli izin, onay, ruhsat ve benzerlerinin geri alınması, kaldırılması, sonlandırılması, yürütmesinin durdurulması veya iptal edilmesi durumlarını en geç bir ay içerisinde Kuruma bildirmek,”</w:t>
      </w:r>
    </w:p>
    <w:p w:rsidR="009E1688" w:rsidRPr="00694BE2" w:rsidRDefault="009E1688" w:rsidP="009E1688">
      <w:pPr>
        <w:pStyle w:val="ListeParagraf"/>
        <w:spacing w:after="0"/>
        <w:ind w:left="1440"/>
        <w:rPr>
          <w:rFonts w:ascii="Calibri" w:hAnsi="Calibri"/>
          <w:i/>
        </w:rPr>
      </w:pPr>
    </w:p>
    <w:p w:rsidR="009E1688" w:rsidRPr="00694BE2" w:rsidRDefault="009E1688" w:rsidP="000A5A56">
      <w:pPr>
        <w:pStyle w:val="ListeParagraf"/>
        <w:numPr>
          <w:ilvl w:val="0"/>
          <w:numId w:val="47"/>
        </w:numPr>
        <w:spacing w:after="0"/>
        <w:rPr>
          <w:rFonts w:ascii="Calibri" w:hAnsi="Calibri"/>
          <w:iCs/>
        </w:rPr>
      </w:pPr>
      <w:r w:rsidRPr="00694BE2">
        <w:rPr>
          <w:rFonts w:ascii="Calibri" w:hAnsi="Calibri"/>
          <w:iCs/>
        </w:rPr>
        <w:t xml:space="preserve">33 üncü maddesinin beşinci fıkrasında yer alan </w:t>
      </w:r>
      <w:r w:rsidRPr="00694BE2">
        <w:rPr>
          <w:rFonts w:ascii="Calibri" w:hAnsi="Calibri"/>
          <w:i/>
        </w:rPr>
        <w:t>“Dağıtım şirketi ile dağıtım şirketiyle aynı kontrol ilişkisine sahip”</w:t>
      </w:r>
      <w:r w:rsidRPr="00694BE2">
        <w:rPr>
          <w:rFonts w:ascii="Calibri" w:hAnsi="Calibri"/>
          <w:iCs/>
        </w:rPr>
        <w:t xml:space="preserve"> ibaresinden sonra gelmek üzere </w:t>
      </w:r>
      <w:r w:rsidRPr="00694BE2">
        <w:rPr>
          <w:rFonts w:ascii="Calibri" w:hAnsi="Calibri"/>
          <w:i/>
        </w:rPr>
        <w:t>“tedarik,”</w:t>
      </w:r>
      <w:r w:rsidRPr="00694BE2">
        <w:rPr>
          <w:rFonts w:ascii="Calibri" w:hAnsi="Calibri"/>
          <w:iCs/>
        </w:rPr>
        <w:t xml:space="preserve"> ibaresi eklenmiş ve aynı maddeye aşağıdaki fıkralar eklenmiştir.</w:t>
      </w:r>
    </w:p>
    <w:p w:rsidR="009E1688" w:rsidRPr="00694BE2" w:rsidRDefault="009E1688" w:rsidP="009E1688">
      <w:pPr>
        <w:pStyle w:val="ListeParagraf"/>
        <w:spacing w:after="0"/>
        <w:ind w:left="1440"/>
        <w:rPr>
          <w:rFonts w:ascii="Calibri" w:hAnsi="Calibri"/>
          <w:iCs/>
        </w:rPr>
      </w:pPr>
    </w:p>
    <w:p w:rsidR="009E1688" w:rsidRPr="00694BE2" w:rsidRDefault="009E1688" w:rsidP="009E1688">
      <w:pPr>
        <w:pStyle w:val="ListeParagraf"/>
        <w:spacing w:after="0"/>
        <w:ind w:left="1440"/>
        <w:rPr>
          <w:rFonts w:ascii="Calibri" w:hAnsi="Calibri"/>
          <w:i/>
        </w:rPr>
      </w:pPr>
      <w:r w:rsidRPr="00694BE2">
        <w:rPr>
          <w:rFonts w:ascii="Calibri" w:hAnsi="Calibri"/>
          <w:i/>
        </w:rPr>
        <w:t>“(6) Dağıtım şirketinin genel müdür ve genel müdür yardımcısı unvanları ile başka unvanlarla istihdam edilseler dahi yetki ve görevleri itibarıyla genel müdür yardımcısına denk veya daha üst makamlarda imza yetkisini haiz diğer yöneticiler, aynı ortaklık yapısına sahip diğer elektrik dağıtım şirketleri dışında, elektrik piyasasına, elektrik piyasası ile ilgili hizmet veren diğer şirketlerde eş zamanlı olarak görev alamaz.</w:t>
      </w:r>
    </w:p>
    <w:p w:rsidR="009E1688" w:rsidRPr="00694BE2" w:rsidRDefault="009E1688" w:rsidP="009E1688">
      <w:pPr>
        <w:pStyle w:val="ListeParagraf"/>
        <w:spacing w:after="0"/>
        <w:ind w:left="1440"/>
        <w:rPr>
          <w:rFonts w:ascii="Calibri" w:hAnsi="Calibri"/>
          <w:iCs/>
        </w:rPr>
      </w:pPr>
    </w:p>
    <w:p w:rsidR="009E1688" w:rsidRPr="00694BE2" w:rsidRDefault="009E1688" w:rsidP="009E1688">
      <w:pPr>
        <w:pStyle w:val="ListeParagraf"/>
        <w:spacing w:after="0"/>
        <w:ind w:left="1440"/>
        <w:rPr>
          <w:rFonts w:ascii="Calibri" w:hAnsi="Calibri"/>
          <w:i/>
        </w:rPr>
      </w:pPr>
      <w:r w:rsidRPr="00694BE2">
        <w:rPr>
          <w:rFonts w:ascii="Calibri" w:hAnsi="Calibri"/>
          <w:i/>
        </w:rPr>
        <w:t>(7) Dağıtım şirketinin lisansına kayıtlı olan bildirim adresi, faaliyette bulunduğu dağıtım bölgesi dışında bir yer olamaz.”</w:t>
      </w:r>
    </w:p>
    <w:p w:rsidR="009E1688" w:rsidRPr="00694BE2" w:rsidRDefault="009E1688" w:rsidP="009E1688">
      <w:pPr>
        <w:pStyle w:val="ListeParagraf"/>
        <w:spacing w:after="0"/>
        <w:ind w:left="1440"/>
        <w:rPr>
          <w:rFonts w:ascii="Calibri" w:hAnsi="Calibri"/>
          <w:i/>
        </w:rPr>
      </w:pPr>
    </w:p>
    <w:p w:rsidR="009E1688" w:rsidRPr="00694BE2" w:rsidRDefault="009E1688" w:rsidP="000A5A56">
      <w:pPr>
        <w:pStyle w:val="ListeParagraf"/>
        <w:numPr>
          <w:ilvl w:val="0"/>
          <w:numId w:val="47"/>
        </w:numPr>
        <w:spacing w:after="0"/>
        <w:rPr>
          <w:rFonts w:ascii="Calibri" w:hAnsi="Calibri"/>
          <w:iCs/>
        </w:rPr>
      </w:pPr>
      <w:r w:rsidRPr="00694BE2">
        <w:rPr>
          <w:rFonts w:ascii="Calibri" w:hAnsi="Calibri"/>
          <w:iCs/>
        </w:rPr>
        <w:t>34 üncü maddesine aşağıdaki fıkralar eklenmiştir.</w:t>
      </w:r>
    </w:p>
    <w:p w:rsidR="009E1688" w:rsidRPr="00694BE2" w:rsidRDefault="009E1688" w:rsidP="009E1688">
      <w:pPr>
        <w:pStyle w:val="ListeParagraf"/>
        <w:spacing w:after="0"/>
        <w:ind w:left="1440"/>
        <w:rPr>
          <w:rFonts w:ascii="Calibri" w:hAnsi="Calibri"/>
          <w:iCs/>
        </w:rPr>
      </w:pPr>
    </w:p>
    <w:p w:rsidR="009E1688" w:rsidRPr="00694BE2" w:rsidRDefault="009E1688" w:rsidP="009E1688">
      <w:pPr>
        <w:pStyle w:val="ListeParagraf"/>
        <w:spacing w:after="0"/>
        <w:ind w:left="1440"/>
        <w:rPr>
          <w:rFonts w:ascii="Calibri" w:hAnsi="Calibri"/>
          <w:i/>
        </w:rPr>
      </w:pPr>
      <w:r w:rsidRPr="00694BE2">
        <w:rPr>
          <w:rFonts w:ascii="Calibri" w:hAnsi="Calibri"/>
          <w:i/>
        </w:rPr>
        <w:t>“(9) Görevli tedarik şirketi ile görevli tedarik şirketiyle aynı kontrol ilişkisine sahip tedarik lisansı sahibi tüzel kişilerin yönetim kurulu üyesi, genel müdür ve genel müdür yardımcısı unvanları ile başka unvanlarla istihdam edilseler dahi yetki ve görevleri itibarıyla genel müdür yardımcısına denk veya daha üst makamlarda imza yetkisini haiz diğer yöneticilerin farklı kişilerden oluşturulması zorunludur.</w:t>
      </w:r>
    </w:p>
    <w:p w:rsidR="009E1688" w:rsidRPr="00694BE2" w:rsidRDefault="009E1688" w:rsidP="009E1688">
      <w:pPr>
        <w:pStyle w:val="ListeParagraf"/>
        <w:spacing w:after="0"/>
        <w:ind w:left="1440"/>
        <w:rPr>
          <w:rFonts w:ascii="Calibri" w:hAnsi="Calibri"/>
          <w:i/>
        </w:rPr>
      </w:pPr>
    </w:p>
    <w:p w:rsidR="009E1688" w:rsidRPr="00694BE2" w:rsidRDefault="009E1688" w:rsidP="009E1688">
      <w:pPr>
        <w:pStyle w:val="ListeParagraf"/>
        <w:spacing w:after="0"/>
        <w:ind w:left="1440"/>
        <w:rPr>
          <w:rFonts w:ascii="Calibri" w:hAnsi="Calibri"/>
          <w:i/>
        </w:rPr>
      </w:pPr>
      <w:r w:rsidRPr="00694BE2">
        <w:rPr>
          <w:rFonts w:ascii="Calibri" w:hAnsi="Calibri"/>
          <w:i/>
        </w:rPr>
        <w:lastRenderedPageBreak/>
        <w:t>(10) Görevli tedarik şirketinin genel müdür ve genel müdür yardımcısı unvanları ile başka unvanlarla istihdam edilseler dahi yetki ve görevleri itibarıyla genel müdür yardımcısına denk veya daha üst makamlarda imza yetkisini haiz diğer yöneticiler, aynı ortaklık yapısına sahip diğer görevli tedarik şirketleri dışında, elektrik piyasasına, elektrik piyasası ile ilgili hizmet veren diğer şirketlerde eş zamanlı olarak görev alamaz.</w:t>
      </w:r>
    </w:p>
    <w:p w:rsidR="009E1688" w:rsidRPr="00694BE2" w:rsidRDefault="009E1688" w:rsidP="009E1688">
      <w:pPr>
        <w:pStyle w:val="ListeParagraf"/>
        <w:spacing w:after="0"/>
        <w:ind w:left="1440"/>
        <w:rPr>
          <w:rFonts w:ascii="Calibri" w:hAnsi="Calibri"/>
          <w:i/>
        </w:rPr>
      </w:pPr>
    </w:p>
    <w:p w:rsidR="009E1688" w:rsidRPr="00694BE2" w:rsidRDefault="009E1688" w:rsidP="009E1688">
      <w:pPr>
        <w:pStyle w:val="ListeParagraf"/>
        <w:spacing w:after="0"/>
        <w:ind w:left="1440"/>
        <w:rPr>
          <w:rFonts w:ascii="Calibri" w:hAnsi="Calibri"/>
          <w:i/>
        </w:rPr>
      </w:pPr>
      <w:r w:rsidRPr="00694BE2">
        <w:rPr>
          <w:rFonts w:ascii="Calibri" w:hAnsi="Calibri"/>
          <w:i/>
        </w:rPr>
        <w:t>(11) Görevli tedarik şirketi, lisans kapsamında tarifesi düzenlemeye tabi faaliyetleri başta olmak üzere, faaliyetleri için ana şirket dahil, diğer şirketlerden ayrı bir internet sitesi kurmak ve işletmek ile yükümlüdür.”</w:t>
      </w:r>
    </w:p>
    <w:p w:rsidR="009E1688" w:rsidRPr="00694BE2" w:rsidRDefault="009E1688" w:rsidP="009E1688">
      <w:pPr>
        <w:pStyle w:val="ListeParagraf"/>
        <w:spacing w:after="0"/>
        <w:ind w:left="1440"/>
        <w:rPr>
          <w:rFonts w:ascii="Calibri" w:hAnsi="Calibri"/>
          <w:i/>
        </w:rPr>
      </w:pPr>
    </w:p>
    <w:p w:rsidR="009E1688" w:rsidRPr="00694BE2" w:rsidRDefault="009E1688" w:rsidP="000A5A56">
      <w:pPr>
        <w:pStyle w:val="ListeParagraf"/>
        <w:numPr>
          <w:ilvl w:val="0"/>
          <w:numId w:val="47"/>
        </w:numPr>
        <w:spacing w:after="0"/>
        <w:rPr>
          <w:rFonts w:ascii="Calibri" w:hAnsi="Calibri"/>
          <w:iCs/>
        </w:rPr>
      </w:pPr>
      <w:r w:rsidRPr="00694BE2">
        <w:rPr>
          <w:rFonts w:ascii="Calibri" w:hAnsi="Calibri"/>
          <w:iCs/>
        </w:rPr>
        <w:t xml:space="preserve">43 üncü maddesinin üçüncü fıkrası aşağıdaki şekilde değiştirilmiş, aynı maddenin dördüncü fıkrasında yer alan </w:t>
      </w:r>
      <w:r w:rsidRPr="00817BE5">
        <w:rPr>
          <w:rFonts w:ascii="Calibri" w:hAnsi="Calibri"/>
          <w:i/>
        </w:rPr>
        <w:t>“ilk geçici kabulünün yapıldığı tarihten”</w:t>
      </w:r>
      <w:r w:rsidRPr="00694BE2">
        <w:rPr>
          <w:rFonts w:ascii="Calibri" w:hAnsi="Calibri"/>
          <w:iCs/>
        </w:rPr>
        <w:t xml:space="preserve"> ibaresi </w:t>
      </w:r>
      <w:r w:rsidRPr="00817BE5">
        <w:rPr>
          <w:rFonts w:ascii="Calibri" w:hAnsi="Calibri"/>
          <w:i/>
        </w:rPr>
        <w:t>“kısmen veya tamamen kabulünün yapıldığı ilk tarihten”</w:t>
      </w:r>
      <w:r w:rsidRPr="00694BE2">
        <w:rPr>
          <w:rFonts w:ascii="Calibri" w:hAnsi="Calibri"/>
          <w:iCs/>
        </w:rPr>
        <w:t xml:space="preserve"> şeklinde değiştirilmiş ve aynı maddenin beşinci fıkrasının (a) bendinde yer alan </w:t>
      </w:r>
      <w:r w:rsidRPr="00817BE5">
        <w:rPr>
          <w:rFonts w:ascii="Calibri" w:hAnsi="Calibri"/>
          <w:i/>
        </w:rPr>
        <w:t>“ilk geçici”</w:t>
      </w:r>
      <w:r w:rsidRPr="00694BE2">
        <w:rPr>
          <w:rFonts w:ascii="Calibri" w:hAnsi="Calibri"/>
          <w:iCs/>
        </w:rPr>
        <w:t xml:space="preserve"> ibaresi </w:t>
      </w:r>
      <w:r w:rsidRPr="00817BE5">
        <w:rPr>
          <w:rFonts w:ascii="Calibri" w:hAnsi="Calibri"/>
          <w:i/>
        </w:rPr>
        <w:t>“kısmen veya tamamen”</w:t>
      </w:r>
      <w:r w:rsidRPr="00694BE2">
        <w:rPr>
          <w:rFonts w:ascii="Calibri" w:hAnsi="Calibri"/>
          <w:iCs/>
        </w:rPr>
        <w:t xml:space="preserve"> şeklinde değiştirilmiştir.</w:t>
      </w:r>
    </w:p>
    <w:p w:rsidR="009E1688" w:rsidRPr="00694BE2" w:rsidRDefault="009E1688" w:rsidP="009E1688">
      <w:pPr>
        <w:pStyle w:val="ListeParagraf"/>
        <w:spacing w:after="0"/>
        <w:ind w:left="1440"/>
        <w:rPr>
          <w:rFonts w:ascii="Calibri" w:hAnsi="Calibri"/>
          <w:iCs/>
        </w:rPr>
      </w:pPr>
    </w:p>
    <w:p w:rsidR="009E1688" w:rsidRPr="00817BE5" w:rsidRDefault="009E1688" w:rsidP="009E1688">
      <w:pPr>
        <w:pStyle w:val="ListeParagraf"/>
        <w:spacing w:after="0"/>
        <w:ind w:left="1440"/>
        <w:rPr>
          <w:rFonts w:ascii="Calibri" w:hAnsi="Calibri"/>
          <w:i/>
        </w:rPr>
      </w:pPr>
      <w:r w:rsidRPr="00817BE5">
        <w:rPr>
          <w:rFonts w:ascii="Calibri" w:hAnsi="Calibri"/>
          <w:i/>
        </w:rPr>
        <w:t>“(3) Önlisans ve lisans alma, lisans yenileme, önlisans ve lisans sureti çıkartma ile önlisans ve lisans tadili bedelleri peşin olarak ödenir. Aynı dilekçeyle veya elektronik ortamda aynı gün yapılan başvurularda farklı konuların bulunması halinde, söz konusu başvuru kapsamında Kurul ve ilgili ana hizmet birimi tarafından ayrı ayrı sonuçlandırılacak tadiller için ayrı tadil bedelleri alınır.”</w:t>
      </w:r>
    </w:p>
    <w:p w:rsidR="009E1688" w:rsidRPr="00694BE2" w:rsidRDefault="009E1688" w:rsidP="009E1688">
      <w:pPr>
        <w:pStyle w:val="ListeParagraf"/>
        <w:spacing w:after="0"/>
        <w:ind w:left="1440"/>
        <w:rPr>
          <w:rFonts w:ascii="Calibri" w:hAnsi="Calibri"/>
          <w:i/>
        </w:rPr>
      </w:pPr>
    </w:p>
    <w:p w:rsidR="009E1688" w:rsidRPr="00694BE2" w:rsidRDefault="009E1688" w:rsidP="000A5A56">
      <w:pPr>
        <w:pStyle w:val="ListeParagraf"/>
        <w:numPr>
          <w:ilvl w:val="0"/>
          <w:numId w:val="47"/>
        </w:numPr>
        <w:spacing w:after="0"/>
        <w:rPr>
          <w:rFonts w:ascii="Calibri" w:hAnsi="Calibri"/>
          <w:iCs/>
        </w:rPr>
      </w:pPr>
      <w:r w:rsidRPr="00694BE2">
        <w:rPr>
          <w:rFonts w:ascii="Calibri" w:hAnsi="Calibri"/>
          <w:iCs/>
        </w:rPr>
        <w:t xml:space="preserve">48 inci maddesinin ikinci fıkrasının (ç) bendinde yer alan </w:t>
      </w:r>
      <w:r w:rsidRPr="00817BE5">
        <w:rPr>
          <w:rFonts w:ascii="Calibri" w:hAnsi="Calibri"/>
          <w:i/>
        </w:rPr>
        <w:t>“Tüketicilere yönelik çağrı hizmetleri”</w:t>
      </w:r>
      <w:r w:rsidRPr="00694BE2">
        <w:rPr>
          <w:rFonts w:ascii="Calibri" w:hAnsi="Calibri"/>
          <w:iCs/>
        </w:rPr>
        <w:t xml:space="preserve"> ibaresinden sonra gelmek üzere </w:t>
      </w:r>
      <w:r w:rsidRPr="00817BE5">
        <w:rPr>
          <w:rFonts w:ascii="Calibri" w:hAnsi="Calibri"/>
          <w:i/>
        </w:rPr>
        <w:t>“ve tahsilat işlemleri”</w:t>
      </w:r>
      <w:r w:rsidRPr="00694BE2">
        <w:rPr>
          <w:rFonts w:ascii="Calibri" w:hAnsi="Calibri"/>
          <w:iCs/>
        </w:rPr>
        <w:t xml:space="preserve"> ibaresi eklenmiş ve aynı bentte yer alan “</w:t>
      </w:r>
      <w:r w:rsidRPr="00817BE5">
        <w:rPr>
          <w:rFonts w:ascii="Calibri" w:hAnsi="Calibri"/>
          <w:i/>
        </w:rPr>
        <w:t>tüketici”</w:t>
      </w:r>
      <w:r w:rsidRPr="00694BE2">
        <w:rPr>
          <w:rFonts w:ascii="Calibri" w:hAnsi="Calibri"/>
          <w:iCs/>
        </w:rPr>
        <w:t xml:space="preserve"> ibaresi </w:t>
      </w:r>
      <w:r w:rsidRPr="00817BE5">
        <w:rPr>
          <w:rFonts w:ascii="Calibri" w:hAnsi="Calibri"/>
          <w:i/>
        </w:rPr>
        <w:t>“kullanıcı”</w:t>
      </w:r>
      <w:r w:rsidRPr="00694BE2">
        <w:rPr>
          <w:rFonts w:ascii="Calibri" w:hAnsi="Calibri"/>
          <w:iCs/>
        </w:rPr>
        <w:t xml:space="preserve"> şeklinde değiştirilmiştir.</w:t>
      </w:r>
    </w:p>
    <w:p w:rsidR="009E1688" w:rsidRPr="00694BE2" w:rsidRDefault="009E1688" w:rsidP="009E1688">
      <w:pPr>
        <w:pStyle w:val="ListeParagraf"/>
        <w:spacing w:after="0"/>
        <w:ind w:left="1440"/>
        <w:rPr>
          <w:rFonts w:ascii="Calibri" w:hAnsi="Calibri"/>
          <w:iCs/>
        </w:rPr>
      </w:pPr>
    </w:p>
    <w:p w:rsidR="009E1688" w:rsidRPr="00694BE2" w:rsidRDefault="009E1688" w:rsidP="000A5A56">
      <w:pPr>
        <w:pStyle w:val="ListeParagraf"/>
        <w:numPr>
          <w:ilvl w:val="0"/>
          <w:numId w:val="47"/>
        </w:numPr>
        <w:spacing w:after="0"/>
        <w:rPr>
          <w:rFonts w:ascii="Calibri" w:hAnsi="Calibri"/>
          <w:iCs/>
        </w:rPr>
      </w:pPr>
      <w:r w:rsidRPr="00694BE2">
        <w:rPr>
          <w:rFonts w:ascii="Calibri" w:hAnsi="Calibri"/>
          <w:iCs/>
        </w:rPr>
        <w:t xml:space="preserve">57 nci maddesinin ikinci fıkrasında yer alan </w:t>
      </w:r>
      <w:r w:rsidRPr="00817BE5">
        <w:rPr>
          <w:rFonts w:ascii="Calibri" w:hAnsi="Calibri"/>
          <w:i/>
        </w:rPr>
        <w:t>“Üretim lisansı”</w:t>
      </w:r>
      <w:r w:rsidRPr="00694BE2">
        <w:rPr>
          <w:rFonts w:ascii="Calibri" w:hAnsi="Calibri"/>
          <w:iCs/>
        </w:rPr>
        <w:t xml:space="preserve"> ibaresi </w:t>
      </w:r>
      <w:r w:rsidRPr="00817BE5">
        <w:rPr>
          <w:rFonts w:ascii="Calibri" w:hAnsi="Calibri"/>
          <w:i/>
        </w:rPr>
        <w:t>“Tarifesi düzenlemeye tabi olmayan lisans”</w:t>
      </w:r>
      <w:r w:rsidRPr="00694BE2">
        <w:rPr>
          <w:rFonts w:ascii="Calibri" w:hAnsi="Calibri"/>
          <w:iCs/>
        </w:rPr>
        <w:t xml:space="preserve"> şeklinde değiştirilmiştir.</w:t>
      </w:r>
    </w:p>
    <w:p w:rsidR="009E1688" w:rsidRPr="00694BE2" w:rsidRDefault="009E1688" w:rsidP="009E1688">
      <w:pPr>
        <w:pStyle w:val="ListeParagraf"/>
        <w:spacing w:after="0"/>
        <w:ind w:left="1440"/>
        <w:rPr>
          <w:rFonts w:ascii="Calibri" w:hAnsi="Calibri"/>
          <w:iCs/>
        </w:rPr>
      </w:pPr>
    </w:p>
    <w:p w:rsidR="009E1688" w:rsidRPr="00694BE2" w:rsidRDefault="009E1688" w:rsidP="000A5A56">
      <w:pPr>
        <w:pStyle w:val="ListeParagraf"/>
        <w:numPr>
          <w:ilvl w:val="0"/>
          <w:numId w:val="47"/>
        </w:numPr>
        <w:spacing w:after="0"/>
        <w:rPr>
          <w:rFonts w:ascii="Calibri" w:hAnsi="Calibri"/>
          <w:iCs/>
        </w:rPr>
      </w:pPr>
      <w:r w:rsidRPr="00694BE2">
        <w:rPr>
          <w:rFonts w:ascii="Calibri" w:hAnsi="Calibri"/>
          <w:iCs/>
        </w:rPr>
        <w:t>59 uncu maddesinin yedinci fıkrası aşağıdaki şekilde değiştirilmiştir.</w:t>
      </w:r>
    </w:p>
    <w:p w:rsidR="009E1688" w:rsidRPr="00694BE2" w:rsidRDefault="009E1688" w:rsidP="009E1688">
      <w:pPr>
        <w:pStyle w:val="ListeParagraf"/>
        <w:spacing w:after="0"/>
        <w:ind w:left="1440"/>
        <w:rPr>
          <w:rFonts w:ascii="Calibri" w:hAnsi="Calibri"/>
          <w:iCs/>
        </w:rPr>
      </w:pPr>
    </w:p>
    <w:p w:rsidR="009E1688" w:rsidRPr="00817BE5" w:rsidRDefault="009E1688" w:rsidP="009E1688">
      <w:pPr>
        <w:pStyle w:val="ListeParagraf"/>
        <w:spacing w:after="0"/>
        <w:ind w:left="1440"/>
        <w:rPr>
          <w:rFonts w:ascii="Calibri" w:hAnsi="Calibri"/>
          <w:i/>
        </w:rPr>
      </w:pPr>
      <w:r w:rsidRPr="00817BE5">
        <w:rPr>
          <w:rFonts w:ascii="Calibri" w:hAnsi="Calibri"/>
          <w:i/>
        </w:rPr>
        <w:t>“(7) İzin verildiği tarihten itibaren altı aydan az olmamak üzere Kurul tarafından belirlenen süre içerisinde, birleşme veya bölünme işlemi tamamlanmadığı takdirde, verilen izin geçersiz olur. Bu durumda, Kurul kararı ile yeniden izin almaksızın birleşme ve bölünme işlemlerine devam olunamaz.”</w:t>
      </w:r>
    </w:p>
    <w:p w:rsidR="009E1688" w:rsidRPr="00694BE2" w:rsidRDefault="009E1688" w:rsidP="009E1688">
      <w:pPr>
        <w:pStyle w:val="ListeParagraf"/>
        <w:spacing w:after="0"/>
        <w:ind w:left="1440"/>
        <w:rPr>
          <w:rFonts w:ascii="Calibri" w:hAnsi="Calibri"/>
          <w:iCs/>
        </w:rPr>
      </w:pPr>
    </w:p>
    <w:p w:rsidR="009E1688" w:rsidRPr="00694BE2" w:rsidRDefault="009E1688" w:rsidP="000A5A56">
      <w:pPr>
        <w:pStyle w:val="ListeParagraf"/>
        <w:numPr>
          <w:ilvl w:val="0"/>
          <w:numId w:val="47"/>
        </w:numPr>
        <w:spacing w:after="0"/>
        <w:rPr>
          <w:rFonts w:ascii="Calibri" w:hAnsi="Calibri"/>
          <w:iCs/>
        </w:rPr>
      </w:pPr>
      <w:r w:rsidRPr="00694BE2">
        <w:rPr>
          <w:rFonts w:ascii="Calibri" w:hAnsi="Calibri"/>
          <w:iCs/>
        </w:rPr>
        <w:t>Aynı Yönetmeliğe aşağıdaki geçici maddeler eklenmiştir.</w:t>
      </w:r>
    </w:p>
    <w:p w:rsidR="009E1688" w:rsidRPr="00694BE2" w:rsidRDefault="009E1688" w:rsidP="009E1688">
      <w:pPr>
        <w:pStyle w:val="ListeParagraf"/>
        <w:spacing w:after="0"/>
        <w:ind w:left="1440"/>
        <w:rPr>
          <w:rFonts w:ascii="Calibri" w:hAnsi="Calibri"/>
          <w:iCs/>
        </w:rPr>
      </w:pPr>
    </w:p>
    <w:p w:rsidR="009E1688" w:rsidRPr="00817BE5" w:rsidRDefault="009E1688" w:rsidP="009E1688">
      <w:pPr>
        <w:pStyle w:val="ListeParagraf"/>
        <w:spacing w:after="0"/>
        <w:ind w:left="1440"/>
        <w:rPr>
          <w:rFonts w:ascii="Calibri" w:hAnsi="Calibri"/>
          <w:i/>
        </w:rPr>
      </w:pPr>
      <w:r w:rsidRPr="00817BE5">
        <w:rPr>
          <w:rFonts w:ascii="Calibri" w:hAnsi="Calibri"/>
          <w:i/>
        </w:rPr>
        <w:t>“Dağıtım lisansı sahibinin hak ve yükümlülükleri ile tedarik lisansı sahibinin hak ve yükümlülükleri</w:t>
      </w:r>
    </w:p>
    <w:p w:rsidR="009E1688" w:rsidRPr="00817BE5" w:rsidRDefault="009E1688" w:rsidP="009E1688">
      <w:pPr>
        <w:pStyle w:val="ListeParagraf"/>
        <w:spacing w:after="0"/>
        <w:ind w:left="1440"/>
        <w:rPr>
          <w:rFonts w:ascii="Calibri" w:hAnsi="Calibri"/>
          <w:i/>
        </w:rPr>
      </w:pPr>
    </w:p>
    <w:p w:rsidR="009E1688" w:rsidRPr="00817BE5" w:rsidRDefault="009E1688" w:rsidP="009E1688">
      <w:pPr>
        <w:pStyle w:val="ListeParagraf"/>
        <w:spacing w:after="0"/>
        <w:ind w:left="1440"/>
        <w:rPr>
          <w:rFonts w:ascii="Calibri" w:hAnsi="Calibri"/>
          <w:i/>
        </w:rPr>
      </w:pPr>
      <w:r w:rsidRPr="00817BE5">
        <w:rPr>
          <w:rFonts w:ascii="Calibri" w:hAnsi="Calibri"/>
          <w:i/>
        </w:rPr>
        <w:t>GEÇİCİ MADDE 33- (1) Bu Yönetmeliğin, 33 üncü maddesinin altıncı ve yedinci fıkraları ile 34 üncü maddesinin dokuzuncu, onuncu ve on birinci fıkralarında yer alan düzenlemelere aykırı olan hususlar için 1/7/2022 tarihine kadar gerekli işlemler yapılır.</w:t>
      </w:r>
    </w:p>
    <w:p w:rsidR="009E1688" w:rsidRPr="00694BE2" w:rsidRDefault="009E1688" w:rsidP="009E1688">
      <w:pPr>
        <w:pStyle w:val="ListeParagraf"/>
        <w:spacing w:after="0"/>
        <w:ind w:left="1440"/>
        <w:rPr>
          <w:rFonts w:ascii="Calibri" w:hAnsi="Calibri"/>
          <w:iCs/>
        </w:rPr>
      </w:pPr>
    </w:p>
    <w:p w:rsidR="009E1688" w:rsidRPr="00817BE5" w:rsidRDefault="009E1688" w:rsidP="009E1688">
      <w:pPr>
        <w:pStyle w:val="ListeParagraf"/>
        <w:spacing w:after="0"/>
        <w:ind w:left="1440"/>
        <w:rPr>
          <w:rFonts w:ascii="Calibri" w:hAnsi="Calibri"/>
          <w:i/>
        </w:rPr>
      </w:pPr>
      <w:r w:rsidRPr="00817BE5">
        <w:rPr>
          <w:rFonts w:ascii="Calibri" w:hAnsi="Calibri"/>
          <w:i/>
        </w:rPr>
        <w:t>Çevre izin ve lisans belgeleri</w:t>
      </w:r>
    </w:p>
    <w:p w:rsidR="009E1688" w:rsidRPr="00817BE5" w:rsidRDefault="009E1688" w:rsidP="009E1688">
      <w:pPr>
        <w:pStyle w:val="ListeParagraf"/>
        <w:spacing w:after="0"/>
        <w:ind w:left="1440"/>
        <w:rPr>
          <w:rFonts w:ascii="Calibri" w:hAnsi="Calibri"/>
          <w:i/>
        </w:rPr>
      </w:pPr>
    </w:p>
    <w:p w:rsidR="009E1688" w:rsidRDefault="009E1688" w:rsidP="009E1688">
      <w:pPr>
        <w:pStyle w:val="ListeParagraf"/>
        <w:spacing w:after="0"/>
        <w:ind w:left="1440"/>
        <w:rPr>
          <w:rFonts w:ascii="Calibri" w:hAnsi="Calibri"/>
          <w:i/>
        </w:rPr>
      </w:pPr>
      <w:r w:rsidRPr="00817BE5">
        <w:rPr>
          <w:rFonts w:ascii="Calibri" w:hAnsi="Calibri"/>
          <w:i/>
        </w:rPr>
        <w:lastRenderedPageBreak/>
        <w:t>GEÇİCİ MADDE 34- (1) Bu maddenin yürürlüğe girdiği tarih itibarıyla kabulü yapılarak kısmen veya tamamen işletmeye geçen biyokütleye dayalı elektrik üretim tesislerine ilişkin lisans sahibi tüzel kişiler, Çevre İzin ve Lisans Yönetmeliği kapsamında Çevre, Şehircilik ve İklim Değişikliği Bakanlığından alınması gereken belgeyi bu maddenin yürürlüğe girdiği tarihten itibaren yirmi dört ay içerisinde Kuruma sunmak zorundadır.”</w:t>
      </w:r>
    </w:p>
    <w:p w:rsidR="009E1688" w:rsidRPr="00817BE5" w:rsidRDefault="009E1688" w:rsidP="009E1688">
      <w:pPr>
        <w:pStyle w:val="ListeParagraf"/>
        <w:spacing w:after="0"/>
        <w:ind w:left="1440"/>
        <w:rPr>
          <w:rFonts w:ascii="Calibri" w:hAnsi="Calibri"/>
          <w:i/>
        </w:rPr>
      </w:pPr>
    </w:p>
    <w:p w:rsidR="009E1688" w:rsidRPr="004F2451" w:rsidRDefault="009E1688" w:rsidP="000A5A56">
      <w:pPr>
        <w:pStyle w:val="ListeParagraf"/>
        <w:numPr>
          <w:ilvl w:val="0"/>
          <w:numId w:val="26"/>
        </w:numPr>
        <w:spacing w:after="0"/>
        <w:rPr>
          <w:rFonts w:ascii="Calibri" w:hAnsi="Calibri"/>
          <w:i/>
        </w:rPr>
      </w:pPr>
      <w:bookmarkStart w:id="45" w:name="_Hlk115943756"/>
      <w:r>
        <w:rPr>
          <w:rFonts w:ascii="Calibri" w:hAnsi="Calibri"/>
          <w:bCs/>
        </w:rPr>
        <w:t>22</w:t>
      </w:r>
      <w:r w:rsidRPr="005B3935">
        <w:rPr>
          <w:rFonts w:ascii="Calibri" w:hAnsi="Calibri"/>
          <w:bCs/>
        </w:rPr>
        <w:t>.0</w:t>
      </w:r>
      <w:r>
        <w:rPr>
          <w:rFonts w:ascii="Calibri" w:hAnsi="Calibri"/>
          <w:bCs/>
        </w:rPr>
        <w:t>3</w:t>
      </w:r>
      <w:r w:rsidRPr="005B3935">
        <w:rPr>
          <w:rFonts w:ascii="Calibri" w:hAnsi="Calibri"/>
          <w:bCs/>
        </w:rPr>
        <w:t>.202</w:t>
      </w:r>
      <w:r>
        <w:rPr>
          <w:rFonts w:ascii="Calibri" w:hAnsi="Calibri"/>
          <w:bCs/>
        </w:rPr>
        <w:t>2</w:t>
      </w:r>
      <w:r w:rsidRPr="005B3935">
        <w:rPr>
          <w:rFonts w:ascii="Calibri" w:hAnsi="Calibri"/>
          <w:bCs/>
        </w:rPr>
        <w:t xml:space="preserve"> tarihli ve 31</w:t>
      </w:r>
      <w:r>
        <w:rPr>
          <w:rFonts w:ascii="Calibri" w:hAnsi="Calibri"/>
          <w:bCs/>
        </w:rPr>
        <w:t>786</w:t>
      </w:r>
      <w:r w:rsidRPr="005B3935">
        <w:rPr>
          <w:rFonts w:ascii="Calibri" w:hAnsi="Calibri"/>
          <w:bCs/>
        </w:rPr>
        <w:t xml:space="preserve"> sayılı Resmî </w:t>
      </w:r>
      <w:r w:rsidR="00274939">
        <w:rPr>
          <w:rFonts w:ascii="Calibri" w:hAnsi="Calibri"/>
          <w:bCs/>
        </w:rPr>
        <w:t>Gazetede</w:t>
      </w:r>
      <w:r w:rsidRPr="005B3935">
        <w:rPr>
          <w:rFonts w:ascii="Calibri" w:hAnsi="Calibri"/>
          <w:bCs/>
        </w:rPr>
        <w:t xml:space="preserve"> yayımlanan Değişiklik Yönetmeliği ile</w:t>
      </w:r>
      <w:r w:rsidRPr="005B3935">
        <w:rPr>
          <w:rFonts w:ascii="Calibri" w:hAnsi="Calibri"/>
          <w:b/>
          <w:bCs/>
        </w:rPr>
        <w:t xml:space="preserve"> </w:t>
      </w:r>
      <w:r w:rsidRPr="005E050D">
        <w:rPr>
          <w:rFonts w:ascii="Calibri" w:hAnsi="Calibri"/>
          <w:b/>
        </w:rPr>
        <w:t>Elektrik Piyasası Bağlantı ve Sistem Kullanım Yönetmeliğinin</w:t>
      </w:r>
    </w:p>
    <w:p w:rsidR="004F2451" w:rsidRPr="005E050D" w:rsidRDefault="004F2451" w:rsidP="004F2451">
      <w:pPr>
        <w:pStyle w:val="ListeParagraf"/>
        <w:spacing w:after="0"/>
        <w:rPr>
          <w:rFonts w:ascii="Calibri" w:hAnsi="Calibri"/>
          <w:i/>
        </w:rPr>
      </w:pPr>
    </w:p>
    <w:bookmarkEnd w:id="45"/>
    <w:p w:rsidR="009E1688" w:rsidRDefault="009E1688" w:rsidP="000A5A56">
      <w:pPr>
        <w:pStyle w:val="ListeParagraf"/>
        <w:numPr>
          <w:ilvl w:val="0"/>
          <w:numId w:val="25"/>
        </w:numPr>
        <w:spacing w:after="0"/>
        <w:rPr>
          <w:rFonts w:ascii="Calibri" w:hAnsi="Calibri"/>
          <w:iCs/>
        </w:rPr>
      </w:pPr>
      <w:r w:rsidRPr="005E050D">
        <w:rPr>
          <w:rFonts w:ascii="Calibri" w:hAnsi="Calibri"/>
          <w:iCs/>
        </w:rPr>
        <w:t>7 nci maddesinin birinci fıkrası aşağıdaki şekilde değiştirilmiştir.</w:t>
      </w:r>
    </w:p>
    <w:p w:rsidR="009E1688" w:rsidRDefault="009E1688" w:rsidP="009E1688">
      <w:pPr>
        <w:pStyle w:val="ListeParagraf"/>
        <w:spacing w:after="0"/>
        <w:ind w:left="1440"/>
        <w:rPr>
          <w:rFonts w:ascii="Calibri" w:hAnsi="Calibri"/>
          <w:iCs/>
        </w:rPr>
      </w:pPr>
    </w:p>
    <w:p w:rsidR="009E1688" w:rsidRDefault="009E1688" w:rsidP="009E1688">
      <w:pPr>
        <w:pStyle w:val="ListeParagraf"/>
        <w:spacing w:after="0"/>
        <w:ind w:left="1440"/>
        <w:rPr>
          <w:rFonts w:ascii="Calibri" w:hAnsi="Calibri"/>
          <w:i/>
        </w:rPr>
      </w:pPr>
      <w:r w:rsidRPr="005E050D">
        <w:rPr>
          <w:rFonts w:ascii="Calibri" w:hAnsi="Calibri"/>
          <w:i/>
        </w:rPr>
        <w:t>“(1) Kullanıcıya bağlantı ve sistem kullanım anlaşmalarında tahsis edilen kapasite, kullanıcının anlaşma gücünü oluşturur. İletim sistemine bağlantı noktasından alınan veya verilen elektrik enerjisi kapasitesinin azami değeri, bağlantı ve sistem kullanım anlaşmalarında belirtilen anlaşma gücünü aşamaz. Ancak, arz güvenliği gerekçesiyle Bakanlık tarafından talep edilmesi durumunda, Kurul tarafından belirlenecek süre boyunca ve ilgili Kurul kararında belirtilen esaslar çerçevesinde, üretim tesisleri tarafından anlaşma gücünün üzerinde sisteme elektrik enerjisi verilebilir. Bu kapsamda anlaşma gücünün üzerinde sisteme verilen enerji güç aşımı olarak değerlendirilmez.”</w:t>
      </w:r>
    </w:p>
    <w:p w:rsidR="009E1688" w:rsidRDefault="009E1688" w:rsidP="009E1688">
      <w:pPr>
        <w:pStyle w:val="ListeParagraf"/>
        <w:spacing w:after="0"/>
        <w:ind w:left="1440"/>
        <w:rPr>
          <w:rFonts w:ascii="Calibri" w:hAnsi="Calibri"/>
          <w:i/>
        </w:rPr>
      </w:pPr>
    </w:p>
    <w:p w:rsidR="009E1688" w:rsidRDefault="009E1688" w:rsidP="000A5A56">
      <w:pPr>
        <w:pStyle w:val="ListeParagraf"/>
        <w:numPr>
          <w:ilvl w:val="0"/>
          <w:numId w:val="25"/>
        </w:numPr>
        <w:spacing w:after="0"/>
        <w:rPr>
          <w:rFonts w:ascii="Calibri" w:hAnsi="Calibri"/>
          <w:iCs/>
        </w:rPr>
      </w:pPr>
      <w:r w:rsidRPr="005E050D">
        <w:rPr>
          <w:rFonts w:ascii="Calibri" w:hAnsi="Calibri"/>
          <w:iCs/>
        </w:rPr>
        <w:t>14 üncü maddesinin birinci fıkrası aşağıdaki şekilde değiştirilmiştir.</w:t>
      </w:r>
    </w:p>
    <w:p w:rsidR="009E1688" w:rsidRDefault="009E1688" w:rsidP="009E1688">
      <w:pPr>
        <w:pStyle w:val="ListeParagraf"/>
        <w:spacing w:after="0"/>
        <w:ind w:left="1440"/>
        <w:rPr>
          <w:rFonts w:ascii="Calibri" w:hAnsi="Calibri"/>
          <w:iCs/>
        </w:rPr>
      </w:pPr>
    </w:p>
    <w:p w:rsidR="009E1688" w:rsidRDefault="009E1688" w:rsidP="009E1688">
      <w:pPr>
        <w:pStyle w:val="ListeParagraf"/>
        <w:spacing w:after="0"/>
        <w:ind w:left="1440"/>
        <w:rPr>
          <w:rFonts w:ascii="Calibri" w:hAnsi="Calibri"/>
          <w:i/>
        </w:rPr>
      </w:pPr>
      <w:r w:rsidRPr="005E050D">
        <w:rPr>
          <w:rFonts w:ascii="Calibri" w:hAnsi="Calibri"/>
          <w:i/>
        </w:rPr>
        <w:t>“(1) Kullanıcıya bağlantı anlaşmasında tahsis edilen kapasite, kullanıcının anlaşma gücünü oluşturur. Dağıtım sistemine bağlantı noktasından alınan veya verilen elektrik enerjisi kapasitesinin sayaçla ölçülen azami değerinin anlaşma gücünü aşmaması esastır. Ancak, arz güvenliği gerekçesiyle Bakanlık tarafından talep edilmesi durumunda, Kurul tarafından belirlenecek süre boyunca ve ilgili Kurul kararında belirtilen esaslar çerçevesinde, üretim tesisleri tarafından anlaşma gücünün üzerinde sisteme elektrik enerjisi verilebilir. Bu kapsamda anlaşma gücünün üzerinde sisteme verilen enerji güç aşımı olarak değerlendirilmez.”</w:t>
      </w:r>
    </w:p>
    <w:p w:rsidR="009E1688" w:rsidRPr="005E050D" w:rsidRDefault="009E1688" w:rsidP="009E1688">
      <w:pPr>
        <w:pStyle w:val="ListeParagraf"/>
        <w:spacing w:after="0"/>
        <w:ind w:left="1440"/>
        <w:rPr>
          <w:rFonts w:ascii="Calibri" w:hAnsi="Calibri"/>
          <w:i/>
        </w:rPr>
      </w:pPr>
    </w:p>
    <w:p w:rsidR="009E1688" w:rsidRPr="00311C69" w:rsidRDefault="009E1688" w:rsidP="000A5A56">
      <w:pPr>
        <w:pStyle w:val="ListeParagraf"/>
        <w:numPr>
          <w:ilvl w:val="0"/>
          <w:numId w:val="26"/>
        </w:numPr>
        <w:spacing w:after="0"/>
        <w:rPr>
          <w:rFonts w:ascii="Calibri" w:hAnsi="Calibri"/>
        </w:rPr>
      </w:pPr>
      <w:r w:rsidRPr="00A174E8">
        <w:rPr>
          <w:rFonts w:ascii="Calibri" w:hAnsi="Calibri"/>
          <w:bCs/>
        </w:rPr>
        <w:t xml:space="preserve">02.04.2022 tarihli ve 31797 sayılı Resmî </w:t>
      </w:r>
      <w:r w:rsidR="00274939">
        <w:rPr>
          <w:rFonts w:ascii="Calibri" w:hAnsi="Calibri"/>
          <w:bCs/>
        </w:rPr>
        <w:t>Gazetede</w:t>
      </w:r>
      <w:r w:rsidRPr="00A174E8">
        <w:rPr>
          <w:rFonts w:ascii="Calibri" w:hAnsi="Calibri"/>
          <w:bCs/>
        </w:rPr>
        <w:t xml:space="preserve"> amacı; elektrikli araçlara elektrik enerjisi temininin sağlandığı şarj ünitesi ve istasyonlarının kurulması, şarj ağı ve şarj ağına bağlı şarj istasyonlarının işletilmesi ile şarj hizmetinin sunulmasına ilişkin usul ve esasları belirlemek</w:t>
      </w:r>
      <w:r>
        <w:rPr>
          <w:rFonts w:ascii="Calibri" w:hAnsi="Calibri"/>
          <w:bCs/>
        </w:rPr>
        <w:t xml:space="preserve"> olan  </w:t>
      </w:r>
      <w:r w:rsidRPr="00A174E8">
        <w:rPr>
          <w:rFonts w:ascii="Calibri" w:hAnsi="Calibri"/>
          <w:b/>
          <w:bCs/>
        </w:rPr>
        <w:t>Şarj Hizmeti Yönetmeliği</w:t>
      </w:r>
      <w:r>
        <w:rPr>
          <w:rFonts w:ascii="Calibri" w:hAnsi="Calibri"/>
          <w:bCs/>
        </w:rPr>
        <w:t xml:space="preserve"> yayımlanmıştır.</w:t>
      </w:r>
    </w:p>
    <w:p w:rsidR="009E1688" w:rsidRDefault="009E1688" w:rsidP="009E1688">
      <w:pPr>
        <w:pStyle w:val="ListeParagraf"/>
        <w:spacing w:after="0"/>
        <w:rPr>
          <w:rFonts w:ascii="Calibri" w:hAnsi="Calibri"/>
        </w:rPr>
      </w:pPr>
    </w:p>
    <w:p w:rsidR="009E1688" w:rsidRPr="00311C69" w:rsidRDefault="009E1688" w:rsidP="000A5A56">
      <w:pPr>
        <w:numPr>
          <w:ilvl w:val="0"/>
          <w:numId w:val="26"/>
        </w:numPr>
        <w:spacing w:after="0"/>
        <w:contextualSpacing/>
        <w:rPr>
          <w:rFonts w:ascii="Calibri" w:hAnsi="Calibri"/>
          <w:bCs/>
        </w:rPr>
      </w:pPr>
      <w:bookmarkStart w:id="46" w:name="_Hlk115951614"/>
      <w:r>
        <w:rPr>
          <w:rFonts w:ascii="Calibri" w:hAnsi="Calibri"/>
          <w:bCs/>
        </w:rPr>
        <w:t>08</w:t>
      </w:r>
      <w:r w:rsidRPr="00311C69">
        <w:rPr>
          <w:rFonts w:ascii="Calibri" w:hAnsi="Calibri"/>
          <w:bCs/>
        </w:rPr>
        <w:t>.0</w:t>
      </w:r>
      <w:r>
        <w:rPr>
          <w:rFonts w:ascii="Calibri" w:hAnsi="Calibri"/>
          <w:bCs/>
        </w:rPr>
        <w:t>4</w:t>
      </w:r>
      <w:r w:rsidRPr="00311C69">
        <w:rPr>
          <w:rFonts w:ascii="Calibri" w:hAnsi="Calibri"/>
          <w:bCs/>
        </w:rPr>
        <w:t>.2022 tarihli ve 31</w:t>
      </w:r>
      <w:r>
        <w:rPr>
          <w:rFonts w:ascii="Calibri" w:hAnsi="Calibri"/>
          <w:bCs/>
        </w:rPr>
        <w:t>803</w:t>
      </w:r>
      <w:r w:rsidRPr="00311C69">
        <w:rPr>
          <w:rFonts w:ascii="Calibri" w:hAnsi="Calibri"/>
          <w:bCs/>
        </w:rPr>
        <w:t xml:space="preserve"> sayılı Resmî </w:t>
      </w:r>
      <w:r w:rsidR="00274939">
        <w:rPr>
          <w:rFonts w:ascii="Calibri" w:hAnsi="Calibri"/>
          <w:bCs/>
        </w:rPr>
        <w:t>Gazetede</w:t>
      </w:r>
      <w:r w:rsidRPr="00311C69">
        <w:rPr>
          <w:rFonts w:ascii="Calibri" w:hAnsi="Calibri"/>
          <w:bCs/>
        </w:rPr>
        <w:t xml:space="preserve"> yayımlanan Değişiklik Yönetmeliği ile</w:t>
      </w:r>
      <w:r w:rsidRPr="00311C69">
        <w:rPr>
          <w:rFonts w:ascii="Calibri" w:hAnsi="Calibri"/>
          <w:b/>
          <w:bCs/>
        </w:rPr>
        <w:t xml:space="preserve"> Elektrik Piyasası Tüketici Hizmetleri Yönetmeliğinin</w:t>
      </w:r>
      <w:bookmarkEnd w:id="46"/>
      <w:r w:rsidRPr="00311C69">
        <w:rPr>
          <w:rFonts w:ascii="Calibri" w:hAnsi="Calibri"/>
          <w:b/>
          <w:bCs/>
        </w:rPr>
        <w:t xml:space="preserve"> </w:t>
      </w:r>
      <w:r w:rsidRPr="00311C69">
        <w:rPr>
          <w:rFonts w:ascii="Calibri" w:hAnsi="Calibri"/>
          <w:bCs/>
        </w:rPr>
        <w:t>43 üncü maddesinin dördüncü fıkrası aşağıdaki şekilde değiştirilmiştir.</w:t>
      </w:r>
    </w:p>
    <w:p w:rsidR="009E1688" w:rsidRDefault="009E1688" w:rsidP="009E1688">
      <w:pPr>
        <w:spacing w:after="0"/>
        <w:ind w:left="720"/>
        <w:contextualSpacing/>
        <w:rPr>
          <w:rFonts w:ascii="Calibri" w:hAnsi="Calibri"/>
          <w:b/>
          <w:bCs/>
        </w:rPr>
      </w:pPr>
    </w:p>
    <w:p w:rsidR="009E1688" w:rsidRPr="00E365E1" w:rsidRDefault="009E1688" w:rsidP="009E1688">
      <w:pPr>
        <w:pStyle w:val="ListeParagraf"/>
        <w:spacing w:after="0"/>
        <w:ind w:left="1440"/>
        <w:rPr>
          <w:rFonts w:ascii="Calibri" w:hAnsi="Calibri"/>
          <w:bCs/>
          <w:i/>
        </w:rPr>
      </w:pPr>
      <w:r w:rsidRPr="00E365E1">
        <w:rPr>
          <w:rFonts w:ascii="Calibri" w:hAnsi="Calibri"/>
          <w:bCs/>
          <w:i/>
        </w:rPr>
        <w:t>“(4) Dağıtım lisansı sahibi tüzel kişi 42 nci maddenin birinci fıkrasının (b) ve (c) bentleri kapsamındaki tüm tespitler için, (a) ve (ç) bentleri kapsamında ise tüketimin doğru tespit edilmesinin engellendiğinin tespiti halinde kaçak elektrik enerjisi tüketimi tespit edilen gerçek veya tüzel kişiler hakkında Cumhuriyet Savcılığına suç duyurusunda bulunabilir.”</w:t>
      </w:r>
    </w:p>
    <w:p w:rsidR="009E1688" w:rsidRPr="00311C69" w:rsidRDefault="009E1688" w:rsidP="009E1688">
      <w:pPr>
        <w:pStyle w:val="ListeParagraf"/>
        <w:spacing w:after="0"/>
        <w:rPr>
          <w:rFonts w:ascii="Calibri" w:hAnsi="Calibri"/>
          <w:i/>
        </w:rPr>
      </w:pPr>
    </w:p>
    <w:p w:rsidR="000630DD" w:rsidRPr="00AB660C" w:rsidRDefault="009E1688" w:rsidP="000A5A56">
      <w:pPr>
        <w:pStyle w:val="ListeParagraf"/>
        <w:numPr>
          <w:ilvl w:val="0"/>
          <w:numId w:val="26"/>
        </w:numPr>
        <w:spacing w:after="160" w:line="259" w:lineRule="auto"/>
      </w:pPr>
      <w:r w:rsidRPr="00ED3296">
        <w:rPr>
          <w:rFonts w:ascii="Calibri" w:hAnsi="Calibri"/>
          <w:bCs/>
        </w:rPr>
        <w:lastRenderedPageBreak/>
        <w:t xml:space="preserve">15.04.2022 tarihli ve 31810 sayılı Resmî </w:t>
      </w:r>
      <w:r w:rsidR="00274939">
        <w:rPr>
          <w:rFonts w:ascii="Calibri" w:hAnsi="Calibri"/>
          <w:bCs/>
        </w:rPr>
        <w:t>Gazetede</w:t>
      </w:r>
      <w:r w:rsidRPr="00ED3296">
        <w:rPr>
          <w:rFonts w:ascii="Calibri" w:hAnsi="Calibri"/>
          <w:bCs/>
        </w:rPr>
        <w:t xml:space="preserve"> amacı elektriğin kaliteli, güvenli ve sürekli olarak kullanıcılara sunulması olan </w:t>
      </w:r>
      <w:r w:rsidRPr="00ED3296">
        <w:rPr>
          <w:rFonts w:ascii="Calibri" w:hAnsi="Calibri"/>
          <w:b/>
          <w:bCs/>
        </w:rPr>
        <w:t>Elektrik Dağıtım Sistemi Yönetmeliği</w:t>
      </w:r>
      <w:r w:rsidRPr="00ED3296">
        <w:rPr>
          <w:rFonts w:ascii="Calibri" w:hAnsi="Calibri"/>
          <w:bCs/>
        </w:rPr>
        <w:t xml:space="preserve"> yayımlanmış, 02.01.2014 tarihli ve 28870 sayılı Resmî </w:t>
      </w:r>
      <w:r w:rsidR="00274939">
        <w:rPr>
          <w:rFonts w:ascii="Calibri" w:hAnsi="Calibri"/>
          <w:bCs/>
        </w:rPr>
        <w:t>Gazetede</w:t>
      </w:r>
      <w:r w:rsidRPr="00ED3296">
        <w:rPr>
          <w:rFonts w:ascii="Calibri" w:hAnsi="Calibri"/>
          <w:bCs/>
        </w:rPr>
        <w:t xml:space="preserve"> yayımlanan Elektrik Piyasası Dağıtım Yönetmeliği yürürlükten kaldırılmıştır.</w:t>
      </w:r>
    </w:p>
    <w:p w:rsidR="00AB660C" w:rsidRPr="00237BCB" w:rsidRDefault="00AB660C" w:rsidP="00AB660C">
      <w:pPr>
        <w:pStyle w:val="ListeParagraf"/>
        <w:spacing w:after="160" w:line="259" w:lineRule="auto"/>
      </w:pPr>
    </w:p>
    <w:p w:rsidR="00AB660C" w:rsidRPr="005E050D" w:rsidRDefault="00AB660C" w:rsidP="000A5A56">
      <w:pPr>
        <w:pStyle w:val="ListeParagraf"/>
        <w:numPr>
          <w:ilvl w:val="0"/>
          <w:numId w:val="26"/>
        </w:numPr>
        <w:spacing w:after="0"/>
        <w:rPr>
          <w:rFonts w:ascii="Calibri" w:hAnsi="Calibri"/>
          <w:i/>
        </w:rPr>
      </w:pPr>
      <w:r>
        <w:rPr>
          <w:rFonts w:ascii="Calibri" w:hAnsi="Calibri"/>
          <w:bCs/>
        </w:rPr>
        <w:t>15</w:t>
      </w:r>
      <w:r w:rsidRPr="005B3935">
        <w:rPr>
          <w:rFonts w:ascii="Calibri" w:hAnsi="Calibri"/>
          <w:bCs/>
        </w:rPr>
        <w:t>.0</w:t>
      </w:r>
      <w:r>
        <w:rPr>
          <w:rFonts w:ascii="Calibri" w:hAnsi="Calibri"/>
          <w:bCs/>
        </w:rPr>
        <w:t>6</w:t>
      </w:r>
      <w:r w:rsidRPr="005B3935">
        <w:rPr>
          <w:rFonts w:ascii="Calibri" w:hAnsi="Calibri"/>
          <w:bCs/>
        </w:rPr>
        <w:t>.202</w:t>
      </w:r>
      <w:r>
        <w:rPr>
          <w:rFonts w:ascii="Calibri" w:hAnsi="Calibri"/>
          <w:bCs/>
        </w:rPr>
        <w:t>2</w:t>
      </w:r>
      <w:r w:rsidRPr="005B3935">
        <w:rPr>
          <w:rFonts w:ascii="Calibri" w:hAnsi="Calibri"/>
          <w:bCs/>
        </w:rPr>
        <w:t xml:space="preserve"> tarihli ve </w:t>
      </w:r>
      <w:r>
        <w:rPr>
          <w:rFonts w:ascii="Calibri" w:hAnsi="Calibri"/>
          <w:bCs/>
        </w:rPr>
        <w:t>31867</w:t>
      </w:r>
      <w:r w:rsidRPr="005B3935">
        <w:rPr>
          <w:rFonts w:ascii="Calibri" w:hAnsi="Calibri"/>
          <w:bCs/>
        </w:rPr>
        <w:t xml:space="preserve"> sayılı Resmî </w:t>
      </w:r>
      <w:r w:rsidR="00274939">
        <w:rPr>
          <w:rFonts w:ascii="Calibri" w:hAnsi="Calibri"/>
          <w:bCs/>
        </w:rPr>
        <w:t>Gazetede</w:t>
      </w:r>
      <w:r w:rsidRPr="005B3935">
        <w:rPr>
          <w:rFonts w:ascii="Calibri" w:hAnsi="Calibri"/>
          <w:bCs/>
        </w:rPr>
        <w:t xml:space="preserve"> yayımlanan Değişiklik Yönetmeliği ile</w:t>
      </w:r>
      <w:r w:rsidRPr="005B3935">
        <w:rPr>
          <w:rFonts w:ascii="Calibri" w:hAnsi="Calibri"/>
          <w:b/>
          <w:bCs/>
        </w:rPr>
        <w:t xml:space="preserve"> </w:t>
      </w:r>
      <w:r w:rsidRPr="00AB660C">
        <w:rPr>
          <w:rFonts w:ascii="Calibri" w:hAnsi="Calibri"/>
          <w:b/>
        </w:rPr>
        <w:t xml:space="preserve">Elektrik Piyasası Dengeleme Ve Uzlaştırma </w:t>
      </w:r>
      <w:r w:rsidRPr="005E050D">
        <w:rPr>
          <w:rFonts w:ascii="Calibri" w:hAnsi="Calibri"/>
          <w:b/>
        </w:rPr>
        <w:t>Yönetmeliğinin</w:t>
      </w:r>
      <w:r>
        <w:rPr>
          <w:rFonts w:ascii="Calibri" w:hAnsi="Calibri"/>
          <w:b/>
        </w:rPr>
        <w:t xml:space="preserve"> </w:t>
      </w:r>
      <w:r w:rsidRPr="00AB660C">
        <w:rPr>
          <w:rFonts w:ascii="Calibri" w:hAnsi="Calibri"/>
        </w:rPr>
        <w:t>132/Ç maddesine aşağıdaki fıkra eklenmiştir.</w:t>
      </w:r>
    </w:p>
    <w:p w:rsidR="00AB660C" w:rsidRDefault="00AB660C" w:rsidP="00AB660C">
      <w:pPr>
        <w:pStyle w:val="ListeParagraf"/>
        <w:spacing w:after="0"/>
        <w:ind w:left="1440"/>
        <w:rPr>
          <w:rFonts w:ascii="Calibri" w:hAnsi="Calibri"/>
          <w:i/>
        </w:rPr>
      </w:pPr>
    </w:p>
    <w:p w:rsidR="00237BCB" w:rsidRDefault="00AB660C" w:rsidP="00AB660C">
      <w:pPr>
        <w:pStyle w:val="ListeParagraf"/>
        <w:spacing w:after="0"/>
        <w:ind w:left="1440"/>
        <w:rPr>
          <w:rFonts w:ascii="Calibri" w:hAnsi="Calibri"/>
          <w:i/>
        </w:rPr>
      </w:pPr>
      <w:r w:rsidRPr="00AB660C">
        <w:rPr>
          <w:rFonts w:ascii="Calibri" w:hAnsi="Calibri"/>
          <w:i/>
        </w:rPr>
        <w:t xml:space="preserve">“(17) 12/5/2019 tarihli ve 30772 sayılı Resmî </w:t>
      </w:r>
      <w:r w:rsidR="00274939">
        <w:rPr>
          <w:rFonts w:ascii="Calibri" w:hAnsi="Calibri"/>
          <w:i/>
        </w:rPr>
        <w:t>Gazetede</w:t>
      </w:r>
      <w:r w:rsidRPr="00AB660C">
        <w:rPr>
          <w:rFonts w:ascii="Calibri" w:hAnsi="Calibri"/>
          <w:i/>
        </w:rPr>
        <w:t xml:space="preserve"> yayımlanan Elektrik Piyasasında Lisanssız Elektrik Üretim Yönetmeliği kapsamında görevli tedarik şirketlerinin lisanssız üreticilere yapılması gereken ödemeleri zamanında ve/veya kısmen ya da tamamen yerine getirmediğinin tespit edilmesi halinde, söz konusu ödemelerin zamanında yapılabilmesi amacıyla avans alacaklarının bloke edilmesi de dahil uygulanacak diğer tedbirlere ilişkin usul ve esaslar Kurul tarafından belirlenir.”</w:t>
      </w:r>
    </w:p>
    <w:p w:rsidR="00D2549D" w:rsidRDefault="00D2549D" w:rsidP="00AB660C">
      <w:pPr>
        <w:pStyle w:val="ListeParagraf"/>
        <w:spacing w:after="0"/>
        <w:ind w:left="1440"/>
        <w:rPr>
          <w:rFonts w:ascii="Calibri" w:hAnsi="Calibri"/>
          <w:i/>
        </w:rPr>
      </w:pPr>
    </w:p>
    <w:p w:rsidR="00EF448F" w:rsidRPr="005E050D" w:rsidRDefault="00D2549D" w:rsidP="000A5A56">
      <w:pPr>
        <w:pStyle w:val="ListeParagraf"/>
        <w:numPr>
          <w:ilvl w:val="0"/>
          <w:numId w:val="26"/>
        </w:numPr>
        <w:spacing w:after="0"/>
        <w:rPr>
          <w:rFonts w:ascii="Calibri" w:hAnsi="Calibri"/>
          <w:i/>
        </w:rPr>
      </w:pPr>
      <w:r>
        <w:rPr>
          <w:rFonts w:ascii="Calibri" w:hAnsi="Calibri"/>
          <w:bCs/>
        </w:rPr>
        <w:t>01</w:t>
      </w:r>
      <w:r w:rsidR="00EF448F" w:rsidRPr="005B3935">
        <w:rPr>
          <w:rFonts w:ascii="Calibri" w:hAnsi="Calibri"/>
          <w:bCs/>
        </w:rPr>
        <w:t>.0</w:t>
      </w:r>
      <w:r>
        <w:rPr>
          <w:rFonts w:ascii="Calibri" w:hAnsi="Calibri"/>
          <w:bCs/>
        </w:rPr>
        <w:t>7</w:t>
      </w:r>
      <w:r w:rsidR="00EF448F" w:rsidRPr="005B3935">
        <w:rPr>
          <w:rFonts w:ascii="Calibri" w:hAnsi="Calibri"/>
          <w:bCs/>
        </w:rPr>
        <w:t>.202</w:t>
      </w:r>
      <w:r w:rsidR="00EF448F">
        <w:rPr>
          <w:rFonts w:ascii="Calibri" w:hAnsi="Calibri"/>
          <w:bCs/>
        </w:rPr>
        <w:t>2</w:t>
      </w:r>
      <w:r w:rsidR="00EF448F" w:rsidRPr="005B3935">
        <w:rPr>
          <w:rFonts w:ascii="Calibri" w:hAnsi="Calibri"/>
          <w:bCs/>
        </w:rPr>
        <w:t xml:space="preserve"> tarihli ve </w:t>
      </w:r>
      <w:r w:rsidR="00EF448F">
        <w:rPr>
          <w:rFonts w:ascii="Calibri" w:hAnsi="Calibri"/>
          <w:bCs/>
        </w:rPr>
        <w:t>318</w:t>
      </w:r>
      <w:r>
        <w:rPr>
          <w:rFonts w:ascii="Calibri" w:hAnsi="Calibri"/>
          <w:bCs/>
        </w:rPr>
        <w:t>83</w:t>
      </w:r>
      <w:r w:rsidR="00EF448F" w:rsidRPr="005B3935">
        <w:rPr>
          <w:rFonts w:ascii="Calibri" w:hAnsi="Calibri"/>
          <w:bCs/>
        </w:rPr>
        <w:t xml:space="preserve"> sayılı Resmî </w:t>
      </w:r>
      <w:r w:rsidR="00274939">
        <w:rPr>
          <w:rFonts w:ascii="Calibri" w:hAnsi="Calibri"/>
          <w:bCs/>
        </w:rPr>
        <w:t>Gazetede</w:t>
      </w:r>
      <w:r w:rsidR="00EF448F" w:rsidRPr="005B3935">
        <w:rPr>
          <w:rFonts w:ascii="Calibri" w:hAnsi="Calibri"/>
          <w:bCs/>
        </w:rPr>
        <w:t xml:space="preserve"> yayımlanan Değişiklik Yönetmeliği ile</w:t>
      </w:r>
      <w:r w:rsidR="00EF448F" w:rsidRPr="005B3935">
        <w:rPr>
          <w:rFonts w:ascii="Calibri" w:hAnsi="Calibri"/>
          <w:b/>
          <w:bCs/>
        </w:rPr>
        <w:t xml:space="preserve"> </w:t>
      </w:r>
      <w:r w:rsidR="00EF448F" w:rsidRPr="00AB660C">
        <w:rPr>
          <w:rFonts w:ascii="Calibri" w:hAnsi="Calibri"/>
          <w:b/>
        </w:rPr>
        <w:t xml:space="preserve">Elektrik Piyasası Dengeleme Ve Uzlaştırma </w:t>
      </w:r>
      <w:r w:rsidR="00EF448F" w:rsidRPr="005E050D">
        <w:rPr>
          <w:rFonts w:ascii="Calibri" w:hAnsi="Calibri"/>
          <w:b/>
        </w:rPr>
        <w:t>Yönetmeliğinin</w:t>
      </w:r>
      <w:r w:rsidR="00EF448F">
        <w:rPr>
          <w:rFonts w:ascii="Calibri" w:hAnsi="Calibri"/>
          <w:b/>
        </w:rPr>
        <w:t xml:space="preserve"> </w:t>
      </w:r>
      <w:r w:rsidR="00EF448F" w:rsidRPr="00AB660C">
        <w:rPr>
          <w:rFonts w:ascii="Calibri" w:hAnsi="Calibri"/>
        </w:rPr>
        <w:t>132/</w:t>
      </w:r>
      <w:r>
        <w:rPr>
          <w:rFonts w:ascii="Calibri" w:hAnsi="Calibri"/>
        </w:rPr>
        <w:t>D</w:t>
      </w:r>
      <w:r w:rsidR="00EF448F" w:rsidRPr="00AB660C">
        <w:rPr>
          <w:rFonts w:ascii="Calibri" w:hAnsi="Calibri"/>
        </w:rPr>
        <w:t xml:space="preserve"> maddesine aşağıdaki fıkra eklenmiştir.</w:t>
      </w:r>
    </w:p>
    <w:p w:rsidR="00EF448F" w:rsidRDefault="00EF448F" w:rsidP="00EF448F">
      <w:pPr>
        <w:pStyle w:val="ListeParagraf"/>
        <w:spacing w:after="0"/>
        <w:ind w:left="1440"/>
        <w:rPr>
          <w:rFonts w:ascii="Calibri" w:hAnsi="Calibri"/>
          <w:i/>
        </w:rPr>
      </w:pPr>
    </w:p>
    <w:p w:rsidR="00D2549D" w:rsidRPr="00D2549D" w:rsidRDefault="00D2549D" w:rsidP="00D2549D">
      <w:pPr>
        <w:pStyle w:val="ListeParagraf"/>
        <w:spacing w:after="0"/>
        <w:ind w:left="1440"/>
        <w:rPr>
          <w:rFonts w:ascii="Calibri" w:hAnsi="Calibri"/>
          <w:i/>
        </w:rPr>
      </w:pPr>
      <w:r w:rsidRPr="00D2549D">
        <w:rPr>
          <w:rFonts w:ascii="Calibri" w:hAnsi="Calibri"/>
          <w:i/>
        </w:rPr>
        <w:t>“(11) Görevli tedarik şirketleri, 17 nci maddenin ikinci fıkrasının (a), (b), (c) ve (ç) bentleri kapsamında oluşturulan kategori için, Kurul tarafından gerekli görülmesi halinde ve Kurul tarafından belirlenen süre boyunca; 132/Ç maddesinin birinci fıkrasında belirtilen avans ödeme bildirimlerinde yer alan bedelleri söz konusu süre boyunca kısmen veya tamamen ödemeyebilirler. Bu kapsamda yapılmayan avans ödemelerine ilişkin olarak;</w:t>
      </w:r>
    </w:p>
    <w:p w:rsidR="00D2549D" w:rsidRPr="00D2549D" w:rsidRDefault="00D2549D" w:rsidP="00D2549D">
      <w:pPr>
        <w:pStyle w:val="ListeParagraf"/>
        <w:spacing w:after="0"/>
        <w:ind w:left="1440"/>
        <w:rPr>
          <w:rFonts w:ascii="Calibri" w:hAnsi="Calibri"/>
          <w:i/>
        </w:rPr>
      </w:pPr>
      <w:r w:rsidRPr="00D2549D">
        <w:rPr>
          <w:rFonts w:ascii="Calibri" w:hAnsi="Calibri"/>
          <w:i/>
        </w:rPr>
        <w:t>a) İlgili fatura dönemine ait bakiye tutarların ödemesi fatura son ödeme tarihine kadar gerçekleştirilir.</w:t>
      </w:r>
    </w:p>
    <w:p w:rsidR="00D2549D" w:rsidRPr="00D2549D" w:rsidRDefault="00D2549D" w:rsidP="00D2549D">
      <w:pPr>
        <w:pStyle w:val="ListeParagraf"/>
        <w:spacing w:after="0"/>
        <w:ind w:left="1440"/>
        <w:rPr>
          <w:rFonts w:ascii="Calibri" w:hAnsi="Calibri"/>
          <w:i/>
        </w:rPr>
      </w:pPr>
      <w:r w:rsidRPr="00D2549D">
        <w:rPr>
          <w:rFonts w:ascii="Calibri" w:hAnsi="Calibri"/>
          <w:i/>
        </w:rPr>
        <w:t>b) Bakiye tutarlar için temerrüt faizi uygulanır. Temerrüt faizi oranı, 6183 sayılı Kanunun 51 inci maddesine göre belirlenen faiz oranıdır.</w:t>
      </w:r>
    </w:p>
    <w:p w:rsidR="00EF448F" w:rsidRDefault="00D2549D" w:rsidP="00D2549D">
      <w:pPr>
        <w:pStyle w:val="ListeParagraf"/>
        <w:spacing w:after="0"/>
        <w:ind w:left="1440"/>
        <w:rPr>
          <w:rFonts w:ascii="Calibri" w:hAnsi="Calibri"/>
          <w:i/>
        </w:rPr>
      </w:pPr>
      <w:r w:rsidRPr="00D2549D">
        <w:rPr>
          <w:rFonts w:ascii="Calibri" w:hAnsi="Calibri"/>
          <w:i/>
        </w:rPr>
        <w:t>c) İlgili fatura dönemi son ödeme tarihine kadar bu maddenin altıncı fıkrası uygulanmaz.”</w:t>
      </w:r>
    </w:p>
    <w:p w:rsidR="00D2549D" w:rsidRPr="00AB660C" w:rsidRDefault="00D2549D" w:rsidP="00D2549D">
      <w:pPr>
        <w:pStyle w:val="ListeParagraf"/>
        <w:spacing w:after="0"/>
        <w:ind w:left="1440"/>
        <w:rPr>
          <w:rFonts w:ascii="Calibri" w:hAnsi="Calibri"/>
          <w:i/>
        </w:rPr>
      </w:pPr>
    </w:p>
    <w:p w:rsidR="00D2549D" w:rsidRPr="004F2451" w:rsidRDefault="00D2549D" w:rsidP="000A5A56">
      <w:pPr>
        <w:pStyle w:val="ListeParagraf"/>
        <w:numPr>
          <w:ilvl w:val="0"/>
          <w:numId w:val="26"/>
        </w:numPr>
        <w:spacing w:after="0"/>
        <w:rPr>
          <w:rFonts w:ascii="Calibri" w:hAnsi="Calibri"/>
          <w:i/>
        </w:rPr>
      </w:pPr>
      <w:r>
        <w:rPr>
          <w:rFonts w:ascii="Calibri" w:hAnsi="Calibri"/>
          <w:bCs/>
        </w:rPr>
        <w:t>11</w:t>
      </w:r>
      <w:r w:rsidRPr="005B3935">
        <w:rPr>
          <w:rFonts w:ascii="Calibri" w:hAnsi="Calibri"/>
          <w:bCs/>
        </w:rPr>
        <w:t>.0</w:t>
      </w:r>
      <w:r>
        <w:rPr>
          <w:rFonts w:ascii="Calibri" w:hAnsi="Calibri"/>
          <w:bCs/>
        </w:rPr>
        <w:t>8</w:t>
      </w:r>
      <w:r w:rsidRPr="005B3935">
        <w:rPr>
          <w:rFonts w:ascii="Calibri" w:hAnsi="Calibri"/>
          <w:bCs/>
        </w:rPr>
        <w:t>.202</w:t>
      </w:r>
      <w:r>
        <w:rPr>
          <w:rFonts w:ascii="Calibri" w:hAnsi="Calibri"/>
          <w:bCs/>
        </w:rPr>
        <w:t>2</w:t>
      </w:r>
      <w:r w:rsidRPr="005B3935">
        <w:rPr>
          <w:rFonts w:ascii="Calibri" w:hAnsi="Calibri"/>
          <w:bCs/>
        </w:rPr>
        <w:t xml:space="preserve"> tarihli ve 31</w:t>
      </w:r>
      <w:r>
        <w:rPr>
          <w:rFonts w:ascii="Calibri" w:hAnsi="Calibri"/>
          <w:bCs/>
        </w:rPr>
        <w:t>920</w:t>
      </w:r>
      <w:r w:rsidRPr="005B3935">
        <w:rPr>
          <w:rFonts w:ascii="Calibri" w:hAnsi="Calibri"/>
          <w:bCs/>
        </w:rPr>
        <w:t xml:space="preserve"> sayılı Resmî </w:t>
      </w:r>
      <w:r w:rsidR="00274939">
        <w:rPr>
          <w:rFonts w:ascii="Calibri" w:hAnsi="Calibri"/>
          <w:bCs/>
        </w:rPr>
        <w:t>Gazetede</w:t>
      </w:r>
      <w:r w:rsidRPr="005B3935">
        <w:rPr>
          <w:rFonts w:ascii="Calibri" w:hAnsi="Calibri"/>
          <w:bCs/>
        </w:rPr>
        <w:t xml:space="preserve"> yayımlanan Değişiklik Yönetmeliği ile</w:t>
      </w:r>
      <w:r w:rsidRPr="005B3935">
        <w:rPr>
          <w:rFonts w:ascii="Calibri" w:hAnsi="Calibri"/>
          <w:b/>
          <w:bCs/>
        </w:rPr>
        <w:t xml:space="preserve"> </w:t>
      </w:r>
      <w:r w:rsidRPr="00D2549D">
        <w:rPr>
          <w:rFonts w:ascii="Calibri" w:hAnsi="Calibri"/>
          <w:b/>
        </w:rPr>
        <w:t>Elektrik Piyasasında Lisanssız Elektrik Üretim</w:t>
      </w:r>
      <w:r w:rsidRPr="005E050D">
        <w:rPr>
          <w:rFonts w:ascii="Calibri" w:hAnsi="Calibri"/>
          <w:b/>
        </w:rPr>
        <w:t xml:space="preserve"> Yönetmeliğinin</w:t>
      </w:r>
    </w:p>
    <w:p w:rsidR="004F2451" w:rsidRPr="005E050D" w:rsidRDefault="004F2451" w:rsidP="004F2451">
      <w:pPr>
        <w:pStyle w:val="ListeParagraf"/>
        <w:spacing w:after="0"/>
        <w:rPr>
          <w:rFonts w:ascii="Calibri" w:hAnsi="Calibri"/>
          <w:i/>
        </w:rPr>
      </w:pPr>
    </w:p>
    <w:p w:rsidR="00D2549D" w:rsidRDefault="000A333E" w:rsidP="000A5A56">
      <w:pPr>
        <w:pStyle w:val="ListeParagraf"/>
        <w:numPr>
          <w:ilvl w:val="0"/>
          <w:numId w:val="25"/>
        </w:numPr>
        <w:spacing w:after="0"/>
        <w:rPr>
          <w:rFonts w:ascii="Calibri" w:hAnsi="Calibri"/>
          <w:iCs/>
        </w:rPr>
      </w:pPr>
      <w:r w:rsidRPr="000A333E">
        <w:rPr>
          <w:rFonts w:ascii="Calibri" w:hAnsi="Calibri"/>
          <w:iCs/>
        </w:rPr>
        <w:t xml:space="preserve">1 inci maddesinin birinci fıkrasında yer alan </w:t>
      </w:r>
      <w:r w:rsidRPr="000A333E">
        <w:rPr>
          <w:rFonts w:ascii="Calibri" w:hAnsi="Calibri"/>
          <w:i/>
          <w:iCs/>
        </w:rPr>
        <w:t xml:space="preserve">“tüketicilerin elektrik ihtiyaçlarını” </w:t>
      </w:r>
      <w:r w:rsidRPr="000A333E">
        <w:rPr>
          <w:rFonts w:ascii="Calibri" w:hAnsi="Calibri"/>
          <w:iCs/>
        </w:rPr>
        <w:t xml:space="preserve">ibaresinden sonra gelen </w:t>
      </w:r>
      <w:r w:rsidRPr="000A333E">
        <w:rPr>
          <w:rFonts w:ascii="Calibri" w:hAnsi="Calibri"/>
          <w:i/>
          <w:iCs/>
        </w:rPr>
        <w:t>“tüketim noktasına en yakın”</w:t>
      </w:r>
      <w:r w:rsidRPr="000A333E">
        <w:rPr>
          <w:rFonts w:ascii="Calibri" w:hAnsi="Calibri"/>
          <w:iCs/>
        </w:rPr>
        <w:t xml:space="preserve"> ibaresi ve </w:t>
      </w:r>
      <w:r w:rsidRPr="000A333E">
        <w:rPr>
          <w:rFonts w:ascii="Calibri" w:hAnsi="Calibri"/>
          <w:i/>
          <w:iCs/>
        </w:rPr>
        <w:t>“küçük ölçekli üretim kaynaklarının etkin kullanımının sağlanması”</w:t>
      </w:r>
      <w:r w:rsidRPr="000A333E">
        <w:rPr>
          <w:rFonts w:ascii="Calibri" w:hAnsi="Calibri"/>
          <w:iCs/>
        </w:rPr>
        <w:t xml:space="preserve"> ibaresinden sonra gelen </w:t>
      </w:r>
      <w:r w:rsidRPr="000A333E">
        <w:rPr>
          <w:rFonts w:ascii="Calibri" w:hAnsi="Calibri"/>
          <w:i/>
          <w:iCs/>
        </w:rPr>
        <w:t>“ile elektrik şebekesinde meydana gelen kayıp miktarlarının düşürülmesi”</w:t>
      </w:r>
      <w:r w:rsidRPr="000A333E">
        <w:rPr>
          <w:rFonts w:ascii="Calibri" w:hAnsi="Calibri"/>
          <w:iCs/>
        </w:rPr>
        <w:t xml:space="preserve"> ibaresi yürürlükten kaldırılmıştır.</w:t>
      </w:r>
    </w:p>
    <w:p w:rsidR="000A333E" w:rsidRDefault="000A333E" w:rsidP="000A333E">
      <w:pPr>
        <w:pStyle w:val="ListeParagraf"/>
        <w:spacing w:after="0"/>
        <w:ind w:left="1440"/>
        <w:rPr>
          <w:rFonts w:ascii="Calibri" w:hAnsi="Calibri"/>
          <w:iCs/>
        </w:rPr>
      </w:pPr>
    </w:p>
    <w:p w:rsidR="000A333E" w:rsidRDefault="000A333E" w:rsidP="000A5A56">
      <w:pPr>
        <w:pStyle w:val="ListeParagraf"/>
        <w:numPr>
          <w:ilvl w:val="0"/>
          <w:numId w:val="25"/>
        </w:numPr>
        <w:spacing w:after="0"/>
        <w:rPr>
          <w:rFonts w:ascii="Calibri" w:hAnsi="Calibri"/>
          <w:iCs/>
        </w:rPr>
      </w:pPr>
      <w:r w:rsidRPr="000A333E">
        <w:rPr>
          <w:rFonts w:ascii="Calibri" w:hAnsi="Calibri"/>
          <w:iCs/>
        </w:rPr>
        <w:t xml:space="preserve">4 üncü maddesinin birinci fıkrasının (c) bendinde yer alan </w:t>
      </w:r>
      <w:r w:rsidRPr="000A333E">
        <w:rPr>
          <w:rFonts w:ascii="Calibri" w:hAnsi="Calibri"/>
          <w:i/>
          <w:iCs/>
        </w:rPr>
        <w:t>“kurulu gücün kullanım faktörü ile çarpılmış halini”</w:t>
      </w:r>
      <w:r w:rsidRPr="000A333E">
        <w:rPr>
          <w:rFonts w:ascii="Calibri" w:hAnsi="Calibri"/>
          <w:iCs/>
        </w:rPr>
        <w:t xml:space="preserve"> ibaresinden sonra gelmek üzere </w:t>
      </w:r>
      <w:r w:rsidRPr="000A333E">
        <w:rPr>
          <w:rFonts w:ascii="Calibri" w:hAnsi="Calibri"/>
          <w:i/>
          <w:iCs/>
        </w:rPr>
        <w:t>“özel trafolu müşteriler için tek terimli tarife sınıfına tabi olan kullanıcılar için kurulu gücün 0,60 katı, cos φ=1 alınarak hesaplanan hali ile çift terimli tarife sınıfına tabi kullanıcılar için talep edilen gücü veya iletim sistemi için bağlantı anlaşmasında yer alan güç değerini,”</w:t>
      </w:r>
      <w:r w:rsidRPr="000A333E">
        <w:rPr>
          <w:rFonts w:ascii="Calibri" w:hAnsi="Calibri"/>
          <w:iCs/>
        </w:rPr>
        <w:t xml:space="preserve"> ibaresi, (i) bendinde yer alan </w:t>
      </w:r>
      <w:r w:rsidRPr="000A333E">
        <w:rPr>
          <w:rFonts w:ascii="Calibri" w:hAnsi="Calibri"/>
          <w:i/>
          <w:iCs/>
        </w:rPr>
        <w:t>“Elektrik piyasasına ilişkin kanun,”</w:t>
      </w:r>
      <w:r w:rsidRPr="000A333E">
        <w:rPr>
          <w:rFonts w:ascii="Calibri" w:hAnsi="Calibri"/>
          <w:iCs/>
        </w:rPr>
        <w:t xml:space="preserve"> ibaresinden sonra gelmek üzere </w:t>
      </w:r>
      <w:r w:rsidRPr="000A333E">
        <w:rPr>
          <w:rFonts w:ascii="Calibri" w:hAnsi="Calibri"/>
          <w:i/>
          <w:iCs/>
        </w:rPr>
        <w:t>“Cumhurbaşkanlığı kararnamesi, Cumhurbaşkanı kararı,”</w:t>
      </w:r>
      <w:r w:rsidRPr="000A333E">
        <w:rPr>
          <w:rFonts w:ascii="Calibri" w:hAnsi="Calibri"/>
          <w:iCs/>
        </w:rPr>
        <w:t xml:space="preserve"> ibaresi eklenmiş, (v) bendinde yer alan </w:t>
      </w:r>
      <w:r w:rsidRPr="000A333E">
        <w:rPr>
          <w:rFonts w:ascii="Calibri" w:hAnsi="Calibri"/>
          <w:i/>
          <w:iCs/>
        </w:rPr>
        <w:t>“jeotermal, biyokütle,”</w:t>
      </w:r>
      <w:r w:rsidRPr="000A333E">
        <w:rPr>
          <w:rFonts w:ascii="Calibri" w:hAnsi="Calibri"/>
          <w:iCs/>
        </w:rPr>
        <w:t xml:space="preserve"> ibaresinden sonra gelen </w:t>
      </w:r>
      <w:r w:rsidRPr="000A333E">
        <w:rPr>
          <w:rFonts w:ascii="Calibri" w:hAnsi="Calibri"/>
          <w:i/>
          <w:iCs/>
        </w:rPr>
        <w:t>“biyokütleden elde edilen gaz (çöp gazı dahil),”</w:t>
      </w:r>
      <w:r w:rsidRPr="000A333E">
        <w:rPr>
          <w:rFonts w:ascii="Calibri" w:hAnsi="Calibri"/>
          <w:iCs/>
        </w:rPr>
        <w:t xml:space="preserve"> ibaresi ve </w:t>
      </w:r>
      <w:r w:rsidRPr="000A333E">
        <w:rPr>
          <w:rFonts w:ascii="Calibri" w:hAnsi="Calibri"/>
          <w:i/>
          <w:iCs/>
        </w:rPr>
        <w:t>“dalga, akıntı”</w:t>
      </w:r>
      <w:r w:rsidRPr="000A333E">
        <w:rPr>
          <w:rFonts w:ascii="Calibri" w:hAnsi="Calibri"/>
          <w:iCs/>
        </w:rPr>
        <w:t xml:space="preserve"> ibaresinden sonra gelen </w:t>
      </w:r>
      <w:r w:rsidRPr="000A333E">
        <w:rPr>
          <w:rFonts w:ascii="Calibri" w:hAnsi="Calibri"/>
          <w:i/>
          <w:iCs/>
        </w:rPr>
        <w:t>“enerjisi”</w:t>
      </w:r>
      <w:r w:rsidRPr="000A333E">
        <w:rPr>
          <w:rFonts w:ascii="Calibri" w:hAnsi="Calibri"/>
          <w:iCs/>
        </w:rPr>
        <w:t xml:space="preserve"> ibaresi yürürlükten kaldırılmış ve aynı fıkraya aşağıdaki bentler eklenmiştir.</w:t>
      </w:r>
    </w:p>
    <w:p w:rsidR="000A333E" w:rsidRDefault="000A333E" w:rsidP="000A333E">
      <w:pPr>
        <w:pStyle w:val="ListeParagraf"/>
        <w:spacing w:after="0"/>
        <w:ind w:left="1440"/>
        <w:rPr>
          <w:rFonts w:ascii="Calibri" w:hAnsi="Calibri"/>
          <w:iCs/>
        </w:rPr>
      </w:pPr>
    </w:p>
    <w:p w:rsidR="000A333E" w:rsidRDefault="000A333E" w:rsidP="000A333E">
      <w:pPr>
        <w:pStyle w:val="ListeParagraf"/>
        <w:spacing w:after="0"/>
        <w:ind w:left="1440"/>
        <w:rPr>
          <w:rFonts w:ascii="Calibri" w:hAnsi="Calibri"/>
          <w:i/>
        </w:rPr>
      </w:pPr>
      <w:r w:rsidRPr="000A333E">
        <w:rPr>
          <w:rFonts w:ascii="Calibri" w:hAnsi="Calibri"/>
          <w:i/>
        </w:rPr>
        <w:t>“aa) İlgili dönem: Yönetmelikte tanımlanan aykırılığın başladığı ve sona erdiği tarihler dahil olmak üzere geçen süreyi,</w:t>
      </w:r>
    </w:p>
    <w:p w:rsidR="00327127" w:rsidRPr="000A333E" w:rsidRDefault="00327127" w:rsidP="000A333E">
      <w:pPr>
        <w:pStyle w:val="ListeParagraf"/>
        <w:spacing w:after="0"/>
        <w:ind w:left="1440"/>
        <w:rPr>
          <w:rFonts w:ascii="Calibri" w:hAnsi="Calibri"/>
          <w:i/>
        </w:rPr>
      </w:pPr>
    </w:p>
    <w:p w:rsidR="00EF448F" w:rsidRDefault="000A333E" w:rsidP="000A333E">
      <w:pPr>
        <w:pStyle w:val="ListeParagraf"/>
        <w:spacing w:after="0"/>
        <w:ind w:left="1440"/>
        <w:rPr>
          <w:rFonts w:ascii="Calibri" w:hAnsi="Calibri"/>
          <w:i/>
        </w:rPr>
      </w:pPr>
      <w:r w:rsidRPr="000A333E">
        <w:rPr>
          <w:rFonts w:ascii="Calibri" w:hAnsi="Calibri"/>
          <w:i/>
        </w:rPr>
        <w:t>bb) YEPDİS: EİGM tarafından talep edilen bilgileri içeren ve işletilen Yenilenebilir Enerji Kaynakları Değerlendirme ve İzleme Sistemini,”</w:t>
      </w:r>
    </w:p>
    <w:p w:rsidR="000A333E" w:rsidRDefault="000A333E" w:rsidP="000A333E">
      <w:pPr>
        <w:pStyle w:val="ListeParagraf"/>
        <w:spacing w:after="0"/>
        <w:ind w:left="1440"/>
        <w:rPr>
          <w:rFonts w:ascii="Calibri" w:hAnsi="Calibri"/>
          <w:i/>
        </w:rPr>
      </w:pPr>
    </w:p>
    <w:p w:rsidR="000A333E" w:rsidRDefault="000A333E" w:rsidP="000A5A56">
      <w:pPr>
        <w:pStyle w:val="ListeParagraf"/>
        <w:numPr>
          <w:ilvl w:val="0"/>
          <w:numId w:val="25"/>
        </w:numPr>
        <w:spacing w:after="0"/>
        <w:rPr>
          <w:rFonts w:ascii="Calibri" w:hAnsi="Calibri"/>
          <w:iCs/>
        </w:rPr>
      </w:pPr>
      <w:r w:rsidRPr="000A333E">
        <w:rPr>
          <w:rFonts w:ascii="Calibri" w:hAnsi="Calibri"/>
          <w:iCs/>
        </w:rPr>
        <w:t xml:space="preserve">5 inci maddesinin birinci fıkrasının (ğ) bendinde yer alan </w:t>
      </w:r>
      <w:r w:rsidRPr="000A333E">
        <w:rPr>
          <w:rFonts w:ascii="Calibri" w:hAnsi="Calibri"/>
          <w:i/>
          <w:iCs/>
        </w:rPr>
        <w:t>“Elektrik aboneliği Devlet Su İşleri Genel Müdürlüğüne”</w:t>
      </w:r>
      <w:r w:rsidRPr="000A333E">
        <w:rPr>
          <w:rFonts w:ascii="Calibri" w:hAnsi="Calibri"/>
          <w:iCs/>
        </w:rPr>
        <w:t xml:space="preserve"> ibaresinden sonra gelmek üzere </w:t>
      </w:r>
      <w:r w:rsidRPr="000A333E">
        <w:rPr>
          <w:rFonts w:ascii="Calibri" w:hAnsi="Calibri"/>
          <w:i/>
          <w:iCs/>
        </w:rPr>
        <w:t>“veya sulama birliklerine,”</w:t>
      </w:r>
      <w:r w:rsidRPr="000A333E">
        <w:rPr>
          <w:rFonts w:ascii="Calibri" w:hAnsi="Calibri"/>
          <w:iCs/>
        </w:rPr>
        <w:t xml:space="preserve"> ibaresi, </w:t>
      </w:r>
      <w:r w:rsidRPr="000A333E">
        <w:rPr>
          <w:rFonts w:ascii="Calibri" w:hAnsi="Calibri"/>
          <w:i/>
          <w:iCs/>
        </w:rPr>
        <w:t>“Devlet Su İşleri Genel Müdürlüğü tarafından”</w:t>
      </w:r>
      <w:r w:rsidRPr="000A333E">
        <w:rPr>
          <w:rFonts w:ascii="Calibri" w:hAnsi="Calibri"/>
          <w:iCs/>
        </w:rPr>
        <w:t xml:space="preserve"> ibaresinden sonra gelmek üzere </w:t>
      </w:r>
      <w:r w:rsidRPr="000A333E">
        <w:rPr>
          <w:rFonts w:ascii="Calibri" w:hAnsi="Calibri"/>
          <w:i/>
          <w:iCs/>
        </w:rPr>
        <w:t>“veya DSİ’nin izniyle sulama birlikleri tarafından”</w:t>
      </w:r>
      <w:r w:rsidRPr="000A333E">
        <w:rPr>
          <w:rFonts w:ascii="Calibri" w:hAnsi="Calibri"/>
          <w:iCs/>
        </w:rPr>
        <w:t xml:space="preserve"> ibaresi eklenmiş, fıkra sonunda yer alan </w:t>
      </w:r>
      <w:r w:rsidRPr="000A333E">
        <w:rPr>
          <w:rFonts w:ascii="Calibri" w:hAnsi="Calibri"/>
          <w:i/>
          <w:iCs/>
        </w:rPr>
        <w:t>“tesisleri”</w:t>
      </w:r>
      <w:r w:rsidRPr="000A333E">
        <w:rPr>
          <w:rFonts w:ascii="Calibri" w:hAnsi="Calibri"/>
          <w:iCs/>
        </w:rPr>
        <w:t xml:space="preserve"> ibaresi </w:t>
      </w:r>
      <w:r w:rsidRPr="000A333E">
        <w:rPr>
          <w:rFonts w:ascii="Calibri" w:hAnsi="Calibri"/>
          <w:i/>
          <w:iCs/>
        </w:rPr>
        <w:t>“tesisi”</w:t>
      </w:r>
      <w:r w:rsidRPr="000A333E">
        <w:rPr>
          <w:rFonts w:ascii="Calibri" w:hAnsi="Calibri"/>
          <w:iCs/>
        </w:rPr>
        <w:t xml:space="preserve"> şeklinde değiştirilmiş, (h) bendi aşağıdaki şekilde değiştirilmiş, aynı fıkranın sonuna aşağıdaki bentler eklenmiş, aynı maddenin dördüncü fıkrasında yer alan </w:t>
      </w:r>
      <w:r w:rsidRPr="000A333E">
        <w:rPr>
          <w:rFonts w:ascii="Calibri" w:hAnsi="Calibri"/>
          <w:i/>
          <w:iCs/>
        </w:rPr>
        <w:t>“Bu Yönetmelik çerçevesinde, dağıtım”</w:t>
      </w:r>
      <w:r w:rsidRPr="000A333E">
        <w:rPr>
          <w:rFonts w:ascii="Calibri" w:hAnsi="Calibri"/>
          <w:iCs/>
        </w:rPr>
        <w:t xml:space="preserve"> ibaresinden sonra gelmek üzere </w:t>
      </w:r>
      <w:r w:rsidRPr="000A333E">
        <w:rPr>
          <w:rFonts w:ascii="Calibri" w:hAnsi="Calibri"/>
          <w:i/>
          <w:iCs/>
        </w:rPr>
        <w:t>“ve/veya iletim”</w:t>
      </w:r>
      <w:r w:rsidRPr="000A333E">
        <w:rPr>
          <w:rFonts w:ascii="Calibri" w:hAnsi="Calibri"/>
          <w:iCs/>
        </w:rPr>
        <w:t xml:space="preserve"> ibaresi eklenmiş, “</w:t>
      </w:r>
      <w:r w:rsidRPr="000A333E">
        <w:rPr>
          <w:rFonts w:ascii="Calibri" w:hAnsi="Calibri"/>
          <w:i/>
          <w:iCs/>
        </w:rPr>
        <w:t>aynı mahsuplaşma”</w:t>
      </w:r>
      <w:r w:rsidRPr="000A333E">
        <w:rPr>
          <w:rFonts w:ascii="Calibri" w:hAnsi="Calibri"/>
          <w:iCs/>
        </w:rPr>
        <w:t xml:space="preserve"> ibaresinden sonra gelmek üzere </w:t>
      </w:r>
      <w:r w:rsidRPr="000A333E">
        <w:rPr>
          <w:rFonts w:ascii="Calibri" w:hAnsi="Calibri"/>
          <w:i/>
          <w:iCs/>
        </w:rPr>
        <w:t>“ve destekleme”</w:t>
      </w:r>
      <w:r w:rsidRPr="000A333E">
        <w:rPr>
          <w:rFonts w:ascii="Calibri" w:hAnsi="Calibri"/>
          <w:iCs/>
        </w:rPr>
        <w:t xml:space="preserve"> ibaresi eklenmiş,  </w:t>
      </w:r>
      <w:r w:rsidRPr="000A333E">
        <w:rPr>
          <w:rFonts w:ascii="Calibri" w:hAnsi="Calibri"/>
          <w:i/>
          <w:iCs/>
        </w:rPr>
        <w:t>“kaynağına dayalı üretim tesisi veya aynı ölçüm noktasında birden fazla kojenerasyon tesisi”</w:t>
      </w:r>
      <w:r w:rsidRPr="000A333E">
        <w:rPr>
          <w:rFonts w:ascii="Calibri" w:hAnsi="Calibri"/>
          <w:iCs/>
        </w:rPr>
        <w:t xml:space="preserve"> ibaresi </w:t>
      </w:r>
      <w:r w:rsidRPr="000A333E">
        <w:rPr>
          <w:rFonts w:ascii="Calibri" w:hAnsi="Calibri"/>
          <w:i/>
          <w:iCs/>
        </w:rPr>
        <w:t>“kaynağına dayalı üretim tesisi ve/veya aynı ölçüm noktasında birden fazla kojenerasyon tesisi”</w:t>
      </w:r>
      <w:r w:rsidRPr="000A333E">
        <w:rPr>
          <w:rFonts w:ascii="Calibri" w:hAnsi="Calibri"/>
          <w:iCs/>
        </w:rPr>
        <w:t xml:space="preserve"> şeklinde değiştirilmiş, aynı maddenin beşinci fıkrasında yer alan “</w:t>
      </w:r>
      <w:r w:rsidRPr="000A333E">
        <w:rPr>
          <w:rFonts w:ascii="Calibri" w:hAnsi="Calibri"/>
          <w:i/>
          <w:iCs/>
        </w:rPr>
        <w:t>Bu Yönetmelik kapsamında üretim tesisi kuracak gerçek veya tüzel kişilerin üretim tesisleri ile tüketim tesislerinin aynı dağıtım bölgesi içerisinde olması zorunludur.”</w:t>
      </w:r>
      <w:r w:rsidRPr="000A333E">
        <w:rPr>
          <w:rFonts w:ascii="Calibri" w:hAnsi="Calibri"/>
          <w:iCs/>
        </w:rPr>
        <w:t xml:space="preserve"> cümlesinden sonra gelmek üzere </w:t>
      </w:r>
      <w:r w:rsidRPr="000A333E">
        <w:rPr>
          <w:rFonts w:ascii="Calibri" w:hAnsi="Calibri"/>
          <w:i/>
          <w:iCs/>
        </w:rPr>
        <w:t>“Ancak, 5 inci maddenin birinci fıkrasının (h) bendi kapsamında, tüketim tesisinin bulunduğu dağıtım lisansı bölgesi dışında da üretim tesisi kurulabilir.”</w:t>
      </w:r>
      <w:r w:rsidRPr="000A333E">
        <w:rPr>
          <w:rFonts w:ascii="Calibri" w:hAnsi="Calibri"/>
          <w:iCs/>
        </w:rPr>
        <w:t xml:space="preserve"> cümlesi eklenmiş, aynı maddenin altıncı fıkrasında yer alan </w:t>
      </w:r>
      <w:r w:rsidRPr="000A333E">
        <w:rPr>
          <w:rFonts w:ascii="Calibri" w:hAnsi="Calibri"/>
          <w:i/>
          <w:iCs/>
        </w:rPr>
        <w:t>“(a), (b), (ç), (d), (f), (g), (ğ) ve (h) bentleri”</w:t>
      </w:r>
      <w:r w:rsidRPr="000A333E">
        <w:rPr>
          <w:rFonts w:ascii="Calibri" w:hAnsi="Calibri"/>
          <w:iCs/>
        </w:rPr>
        <w:t xml:space="preserve"> ibaresi, </w:t>
      </w:r>
      <w:r w:rsidRPr="000A333E">
        <w:rPr>
          <w:rFonts w:ascii="Calibri" w:hAnsi="Calibri"/>
          <w:i/>
          <w:iCs/>
        </w:rPr>
        <w:t>“(a), (b), (ç), (d), (f), (g), (ğ), (h), (ı) ve (i) bentleri ibaresi”</w:t>
      </w:r>
      <w:r w:rsidRPr="000A333E">
        <w:rPr>
          <w:rFonts w:ascii="Calibri" w:hAnsi="Calibri"/>
          <w:iCs/>
        </w:rPr>
        <w:t xml:space="preserve"> şeklinde değiştirilmiş, aynı maddeye aşağıdaki fıkralar eklenmiştir.</w:t>
      </w:r>
    </w:p>
    <w:p w:rsidR="000A333E" w:rsidRDefault="000A333E" w:rsidP="000A333E">
      <w:pPr>
        <w:pStyle w:val="ListeParagraf"/>
        <w:spacing w:after="0"/>
        <w:ind w:left="1440"/>
        <w:rPr>
          <w:rFonts w:ascii="Calibri" w:hAnsi="Calibri"/>
          <w:iCs/>
        </w:rPr>
      </w:pPr>
    </w:p>
    <w:p w:rsidR="000A333E" w:rsidRDefault="000A333E" w:rsidP="000A333E">
      <w:pPr>
        <w:pStyle w:val="ListeParagraf"/>
        <w:spacing w:after="0"/>
        <w:ind w:left="1440"/>
        <w:rPr>
          <w:rFonts w:ascii="Calibri" w:hAnsi="Calibri"/>
          <w:i/>
        </w:rPr>
      </w:pPr>
      <w:r w:rsidRPr="000A333E">
        <w:rPr>
          <w:rFonts w:ascii="Calibri" w:hAnsi="Calibri"/>
          <w:i/>
        </w:rPr>
        <w:t>“h) Belediyeler ve bunların bağlı kuruluşları ile sanayi tesisleri ve tarımsal sulama amaçlı tesisler tarafından bağlantı anlaşmasındaki sözleşme gücünün iki katı ve diğer kişiler bağlantı anlaşmasındaki sözleşme gücü ile sınırlı olmak kaydıyla, tüketim tesisi ile aynı ya da farklı ölçüm noktasında kurulan yenilenebilir enerji kaynaklarına dayalı üretim tesisi,”</w:t>
      </w:r>
    </w:p>
    <w:p w:rsidR="000A333E" w:rsidRPr="000A333E" w:rsidRDefault="000A333E" w:rsidP="000A333E">
      <w:pPr>
        <w:pStyle w:val="ListeParagraf"/>
        <w:spacing w:after="0"/>
        <w:ind w:left="1440"/>
        <w:rPr>
          <w:rFonts w:ascii="Calibri" w:hAnsi="Calibri"/>
          <w:i/>
        </w:rPr>
      </w:pPr>
    </w:p>
    <w:p w:rsidR="000A333E" w:rsidRDefault="000A333E" w:rsidP="000A333E">
      <w:pPr>
        <w:pStyle w:val="ListeParagraf"/>
        <w:spacing w:after="0"/>
        <w:ind w:left="1440"/>
        <w:rPr>
          <w:rFonts w:ascii="Calibri" w:hAnsi="Calibri"/>
          <w:i/>
        </w:rPr>
      </w:pPr>
      <w:r w:rsidRPr="000A333E">
        <w:rPr>
          <w:rFonts w:ascii="Calibri" w:hAnsi="Calibri"/>
          <w:i/>
        </w:rPr>
        <w:t>“ı) Sulama birliklerinin işletme, bakım, onarım ve yönetim sorumluluğuna sahip olduğu taşınmazlar ile sulama birliği ve DSİ’nin mülkiyetinde veya tasarrufu altında bulunan diğer taşınmazlar üzerinde DSİ’nin uygun görüşüyle kurulan ve sulama birlikleri tarafından işletilen bağlantı anlaşmasındaki sözleşme gücü ile sınırlı olmak kaydıyla tüketim tesisi ile aynı ya da farklı ölçüm noktasında kurulan yenilenebilir enerji üretim tesisleri,</w:t>
      </w:r>
    </w:p>
    <w:p w:rsidR="000A333E" w:rsidRPr="000A333E" w:rsidRDefault="000A333E" w:rsidP="000A333E">
      <w:pPr>
        <w:pStyle w:val="ListeParagraf"/>
        <w:spacing w:after="0"/>
        <w:ind w:left="1440"/>
        <w:rPr>
          <w:rFonts w:ascii="Calibri" w:hAnsi="Calibri"/>
          <w:i/>
        </w:rPr>
      </w:pPr>
    </w:p>
    <w:p w:rsidR="000A333E" w:rsidRDefault="000A333E" w:rsidP="000A333E">
      <w:pPr>
        <w:pStyle w:val="ListeParagraf"/>
        <w:spacing w:after="0"/>
        <w:ind w:left="1440"/>
        <w:rPr>
          <w:rFonts w:ascii="Calibri" w:hAnsi="Calibri"/>
          <w:i/>
        </w:rPr>
      </w:pPr>
      <w:r w:rsidRPr="000A333E">
        <w:rPr>
          <w:rFonts w:ascii="Calibri" w:hAnsi="Calibri"/>
          <w:i/>
        </w:rPr>
        <w:t>i) İl özel idareleri tarafından kurulan tüzel kişilerin, il özel idaresi tarafından işletilen basınçlı borulu sulama şebekesi veya klasik kanallı şebekeleri ile sadece sulama amacına hizmet eden şebekenin su kaynağı üzerinde teknik imkânın olması ve DSİ tarafından uygun bulunması hâlinde kurulacak üretim tesisleri.”</w:t>
      </w:r>
    </w:p>
    <w:p w:rsidR="000A333E" w:rsidRPr="000A333E" w:rsidRDefault="000A333E" w:rsidP="000A333E">
      <w:pPr>
        <w:pStyle w:val="ListeParagraf"/>
        <w:spacing w:after="0"/>
        <w:ind w:left="1440"/>
        <w:rPr>
          <w:rFonts w:ascii="Calibri" w:hAnsi="Calibri"/>
          <w:i/>
        </w:rPr>
      </w:pPr>
    </w:p>
    <w:p w:rsidR="000A333E" w:rsidRDefault="000A333E" w:rsidP="000A333E">
      <w:pPr>
        <w:pStyle w:val="ListeParagraf"/>
        <w:spacing w:after="0"/>
        <w:ind w:left="1440"/>
        <w:rPr>
          <w:rFonts w:ascii="Calibri" w:hAnsi="Calibri"/>
          <w:i/>
        </w:rPr>
      </w:pPr>
      <w:r w:rsidRPr="000A333E">
        <w:rPr>
          <w:rFonts w:ascii="Calibri" w:hAnsi="Calibri"/>
          <w:i/>
        </w:rPr>
        <w:t xml:space="preserve">“(9) Mahsuplaşma işlemleri 26 ncı madde uyarınca yürütülen ve birinci fıkranın (c) bendi kapsamında; bağlantı anlaşmasına çağrı mektubu düzenlenen, bağlantı anlaşması imzalanan veya kabul işlemleri tamamlanan üretim tesisleriyle ilişkilendirilen mevcut tüketim tesisleri sabit </w:t>
      </w:r>
      <w:r w:rsidRPr="000A333E">
        <w:rPr>
          <w:rFonts w:ascii="Calibri" w:hAnsi="Calibri"/>
          <w:i/>
        </w:rPr>
        <w:lastRenderedPageBreak/>
        <w:t>kalmak kaydıyla, farklı ölçüm noktasında yer alan tüketim tesisleri ilişkilendirilerek birinci fıkranın (h) bendi kapsamına geçiş sağlanabilir.</w:t>
      </w:r>
    </w:p>
    <w:p w:rsidR="000A333E" w:rsidRPr="000A333E" w:rsidRDefault="000A333E" w:rsidP="000A333E">
      <w:pPr>
        <w:pStyle w:val="ListeParagraf"/>
        <w:spacing w:after="0"/>
        <w:ind w:left="1440"/>
        <w:rPr>
          <w:rFonts w:ascii="Calibri" w:hAnsi="Calibri"/>
          <w:i/>
        </w:rPr>
      </w:pPr>
    </w:p>
    <w:p w:rsidR="000A333E" w:rsidRDefault="000A333E" w:rsidP="000A333E">
      <w:pPr>
        <w:pStyle w:val="ListeParagraf"/>
        <w:spacing w:after="0"/>
        <w:ind w:left="1440"/>
        <w:rPr>
          <w:rFonts w:ascii="Calibri" w:hAnsi="Calibri"/>
          <w:i/>
        </w:rPr>
      </w:pPr>
      <w:r w:rsidRPr="000A333E">
        <w:rPr>
          <w:rFonts w:ascii="Calibri" w:hAnsi="Calibri"/>
          <w:i/>
        </w:rPr>
        <w:t>(10) Mahsuplaşma işlemleri geçici 1 inci ve geçici 4 üncü madde hükümleri kapsamında ve 26 ncı madde uyarınca yürütülen ve birinci fıkranın (ç) bendi kapsamında; bağlantı anlaşmasına çağrı mektubu düzenlenen, bağlantı anlaşması imzalanan veya kabul işlemleri tamamlanan üretim tesisleri için birinci fıkranın (ç) bendi kapsamında kurulu güç artış talebinde bulunulabilir.”</w:t>
      </w:r>
    </w:p>
    <w:p w:rsidR="00327127" w:rsidRDefault="00327127" w:rsidP="000A333E">
      <w:pPr>
        <w:pStyle w:val="ListeParagraf"/>
        <w:spacing w:after="0"/>
        <w:ind w:left="1440"/>
        <w:rPr>
          <w:rFonts w:ascii="Calibri" w:hAnsi="Calibri"/>
          <w:i/>
        </w:rPr>
      </w:pPr>
    </w:p>
    <w:p w:rsidR="00327127" w:rsidRDefault="00327127" w:rsidP="000A5A56">
      <w:pPr>
        <w:pStyle w:val="ListeParagraf"/>
        <w:numPr>
          <w:ilvl w:val="0"/>
          <w:numId w:val="25"/>
        </w:numPr>
        <w:spacing w:after="0"/>
        <w:rPr>
          <w:rFonts w:ascii="Calibri" w:hAnsi="Calibri"/>
          <w:iCs/>
        </w:rPr>
      </w:pPr>
      <w:r w:rsidRPr="00327127">
        <w:rPr>
          <w:rFonts w:ascii="Calibri" w:hAnsi="Calibri"/>
          <w:iCs/>
        </w:rPr>
        <w:t xml:space="preserve">7 nci maddesinin ikinci fıkrasında yer alan  </w:t>
      </w:r>
      <w:r w:rsidRPr="00327127">
        <w:rPr>
          <w:rFonts w:ascii="Calibri" w:hAnsi="Calibri"/>
          <w:i/>
          <w:iCs/>
        </w:rPr>
        <w:t>“Transformatörün başvuru sahibine ait olması durumunda, söz konusu kapasite azami transformatör gücü kadar olur.”</w:t>
      </w:r>
      <w:r w:rsidRPr="00327127">
        <w:rPr>
          <w:rFonts w:ascii="Calibri" w:hAnsi="Calibri"/>
          <w:iCs/>
        </w:rPr>
        <w:t xml:space="preserve"> cümlesinden sonra gelmek üzere “</w:t>
      </w:r>
      <w:r w:rsidRPr="00327127">
        <w:rPr>
          <w:rFonts w:ascii="Calibri" w:hAnsi="Calibri"/>
          <w:i/>
          <w:iCs/>
        </w:rPr>
        <w:t>Sadece belirli bir iş alanında faaliyet gösteren kişilere ait tüketim tesisleri için tesis edilmiş ve dışarıdan herhangi bir gerçek ya da tüzel kişinin faydalanmasının mümkün olmadığı veya sanayi bölgelerine ait dağıtım transformatörleri için azami transformatör gücüne kadar üretim tesisi başvurusunda bulunulabilir.”</w:t>
      </w:r>
      <w:r w:rsidRPr="00327127">
        <w:rPr>
          <w:rFonts w:ascii="Calibri" w:hAnsi="Calibri"/>
          <w:iCs/>
        </w:rPr>
        <w:t xml:space="preserve"> cümlesi eklenmiş, aynı maddenin üçüncü fıkrasında yer alan </w:t>
      </w:r>
      <w:r w:rsidRPr="00327127">
        <w:rPr>
          <w:rFonts w:ascii="Calibri" w:hAnsi="Calibri"/>
          <w:i/>
          <w:iCs/>
        </w:rPr>
        <w:t>“11 inci maddenin birinci fıkrası kapsamında yer alan”</w:t>
      </w:r>
      <w:r w:rsidRPr="00327127">
        <w:rPr>
          <w:rFonts w:ascii="Calibri" w:hAnsi="Calibri"/>
          <w:iCs/>
        </w:rPr>
        <w:t xml:space="preserve"> ibaresinden sonra gelmek üzere </w:t>
      </w:r>
      <w:r w:rsidRPr="00327127">
        <w:rPr>
          <w:rFonts w:ascii="Calibri" w:hAnsi="Calibri"/>
          <w:i/>
          <w:iCs/>
        </w:rPr>
        <w:t>“kişiler ile sadece belirli bir iş alanında faaliyet gösteren kişilere ait tüketim tesisleri için tesis edilmiş ve dışarıdan herhangi bir gerçek ya da tüzel kişinin faydalanmasının mümkün olmadığı veya sanayi bölgelerine ait dağıtım transformatörlerinden sisteme bağlanan”</w:t>
      </w:r>
      <w:r w:rsidRPr="00327127">
        <w:rPr>
          <w:rFonts w:ascii="Calibri" w:hAnsi="Calibri"/>
          <w:iCs/>
        </w:rPr>
        <w:t xml:space="preserve"> ibaresi eklenmiş, aynı maddenin dördüncü fıkrasına aşağıdaki bent eklenmiş, aynı maddenin altıncı fıkrasında yer alan </w:t>
      </w:r>
      <w:r w:rsidRPr="00327127">
        <w:rPr>
          <w:rFonts w:ascii="Calibri" w:hAnsi="Calibri"/>
          <w:i/>
          <w:iCs/>
        </w:rPr>
        <w:t>“TEİAŞ tarafından ilgili trafo merkezine ilişkin arıza akım limitinin aşıldığının”</w:t>
      </w:r>
      <w:r w:rsidRPr="00327127">
        <w:rPr>
          <w:rFonts w:ascii="Calibri" w:hAnsi="Calibri"/>
          <w:iCs/>
        </w:rPr>
        <w:t xml:space="preserve"> ibaresinden sonra gelmek üzere </w:t>
      </w:r>
      <w:r w:rsidRPr="00327127">
        <w:rPr>
          <w:rFonts w:ascii="Calibri" w:hAnsi="Calibri"/>
          <w:i/>
          <w:iCs/>
        </w:rPr>
        <w:t>“ve/veya ilgili trafo merkezindeki transformatör cebri soğutmasız nominal görünür gücünün aşıldığının”</w:t>
      </w:r>
      <w:r w:rsidRPr="00327127">
        <w:rPr>
          <w:rFonts w:ascii="Calibri" w:hAnsi="Calibri"/>
          <w:iCs/>
        </w:rPr>
        <w:t xml:space="preserve"> ibaresi eklenmiş, aynı maddenin yedinci fıkrasının </w:t>
      </w:r>
      <w:r w:rsidRPr="00327127">
        <w:rPr>
          <w:rFonts w:ascii="Calibri" w:hAnsi="Calibri"/>
          <w:i/>
          <w:iCs/>
        </w:rPr>
        <w:t>“dağıtım merkezi ve enerji nakil hattı ile”</w:t>
      </w:r>
      <w:r w:rsidRPr="00327127">
        <w:rPr>
          <w:rFonts w:ascii="Calibri" w:hAnsi="Calibri"/>
          <w:iCs/>
        </w:rPr>
        <w:t xml:space="preserve"> ibaresinden sonra gelmek üzere </w:t>
      </w:r>
      <w:r w:rsidRPr="00327127">
        <w:rPr>
          <w:rFonts w:ascii="Calibri" w:hAnsi="Calibri"/>
          <w:i/>
          <w:iCs/>
        </w:rPr>
        <w:t>“özel trafosu olan kişiler için”</w:t>
      </w:r>
      <w:r w:rsidRPr="00327127">
        <w:rPr>
          <w:rFonts w:ascii="Calibri" w:hAnsi="Calibri"/>
          <w:iCs/>
        </w:rPr>
        <w:t xml:space="preserve"> ibaresi, </w:t>
      </w:r>
      <w:r w:rsidRPr="00327127">
        <w:rPr>
          <w:rFonts w:ascii="Calibri" w:hAnsi="Calibri"/>
          <w:i/>
          <w:iCs/>
        </w:rPr>
        <w:t>“tüketim tesisine ait”</w:t>
      </w:r>
      <w:r w:rsidRPr="00327127">
        <w:rPr>
          <w:rFonts w:ascii="Calibri" w:hAnsi="Calibri"/>
          <w:iCs/>
        </w:rPr>
        <w:t xml:space="preserve"> ibaresinden sonra gelmek üzere </w:t>
      </w:r>
      <w:r w:rsidRPr="00327127">
        <w:rPr>
          <w:rFonts w:ascii="Calibri" w:hAnsi="Calibri"/>
          <w:i/>
          <w:iCs/>
        </w:rPr>
        <w:t>“trafoyu içerecek şekilde”</w:t>
      </w:r>
      <w:r w:rsidRPr="00327127">
        <w:rPr>
          <w:rFonts w:ascii="Calibri" w:hAnsi="Calibri"/>
          <w:iCs/>
        </w:rPr>
        <w:t xml:space="preserve"> ibaresi eklenmiş, aynı maddenin sekizinci fıkrası aşağıdaki şekilde değiştirilmiş, aynı maddenin onuncu fıkrasında yer alan </w:t>
      </w:r>
      <w:r w:rsidRPr="00327127">
        <w:rPr>
          <w:rFonts w:ascii="Calibri" w:hAnsi="Calibri"/>
          <w:i/>
          <w:iCs/>
        </w:rPr>
        <w:t>“(c), (f), (ğ) ve (h) bendi”</w:t>
      </w:r>
      <w:r w:rsidRPr="00327127">
        <w:rPr>
          <w:rFonts w:ascii="Calibri" w:hAnsi="Calibri"/>
          <w:iCs/>
        </w:rPr>
        <w:t xml:space="preserve"> ibaresi </w:t>
      </w:r>
      <w:r w:rsidRPr="00327127">
        <w:rPr>
          <w:rFonts w:ascii="Calibri" w:hAnsi="Calibri"/>
          <w:i/>
          <w:iCs/>
        </w:rPr>
        <w:t>“(c), (f), (ğ) ve (ı) bendi”</w:t>
      </w:r>
      <w:r w:rsidRPr="00327127">
        <w:rPr>
          <w:rFonts w:ascii="Calibri" w:hAnsi="Calibri"/>
          <w:iCs/>
        </w:rPr>
        <w:t xml:space="preserve"> şeklinde değiştirilmiş, aynı maddenin on dördüncü fıkrasında yer alan </w:t>
      </w:r>
      <w:r w:rsidRPr="00327127">
        <w:rPr>
          <w:rFonts w:ascii="Calibri" w:hAnsi="Calibri"/>
          <w:i/>
          <w:iCs/>
        </w:rPr>
        <w:t>“değişikliğe ilişkin sunulacak teknik değerlendirme formunda yer alan bilgiler teknik değerlendirme yapılması için”</w:t>
      </w:r>
      <w:r w:rsidRPr="00327127">
        <w:rPr>
          <w:rFonts w:ascii="Calibri" w:hAnsi="Calibri"/>
          <w:iCs/>
        </w:rPr>
        <w:t xml:space="preserve"> ibaresinden sonra gelmek üzere “</w:t>
      </w:r>
      <w:r w:rsidRPr="00327127">
        <w:rPr>
          <w:rFonts w:ascii="Calibri" w:hAnsi="Calibri"/>
          <w:i/>
          <w:iCs/>
        </w:rPr>
        <w:t xml:space="preserve">YEPDİS’e girilerek” </w:t>
      </w:r>
      <w:r w:rsidRPr="00327127">
        <w:rPr>
          <w:rFonts w:ascii="Calibri" w:hAnsi="Calibri"/>
          <w:iCs/>
        </w:rPr>
        <w:t>ibaresi eklenmiş, aynı maddeye aşağıdaki fıkra eklenmiştir.</w:t>
      </w:r>
    </w:p>
    <w:p w:rsidR="00327127" w:rsidRDefault="00327127" w:rsidP="00327127">
      <w:pPr>
        <w:pStyle w:val="ListeParagraf"/>
        <w:spacing w:after="0"/>
        <w:ind w:left="1440"/>
        <w:rPr>
          <w:rFonts w:ascii="Calibri" w:hAnsi="Calibri"/>
          <w:iCs/>
        </w:rPr>
      </w:pPr>
    </w:p>
    <w:p w:rsidR="00327127" w:rsidRDefault="00327127" w:rsidP="00327127">
      <w:pPr>
        <w:pStyle w:val="ListeParagraf"/>
        <w:spacing w:after="0"/>
        <w:ind w:left="1440"/>
        <w:rPr>
          <w:rFonts w:ascii="Calibri" w:hAnsi="Calibri"/>
          <w:i/>
        </w:rPr>
      </w:pPr>
      <w:r w:rsidRPr="00327127">
        <w:rPr>
          <w:rFonts w:ascii="Calibri" w:hAnsi="Calibri"/>
          <w:i/>
        </w:rPr>
        <w:t>“c) (h) bendi kapsamında kurulacak yenilenebilir enerji kaynaklarına dayalı tesisler, kurulu gücüne bağlı olarak veya aynı ölçüm noktasındaki kurulumlarda tüketim tesisinin sisteme iletim seviyesinden bağlı olması halinde,”</w:t>
      </w:r>
    </w:p>
    <w:p w:rsidR="00327127" w:rsidRPr="00327127" w:rsidRDefault="00327127" w:rsidP="00327127">
      <w:pPr>
        <w:pStyle w:val="ListeParagraf"/>
        <w:spacing w:after="0"/>
        <w:ind w:left="1440"/>
        <w:rPr>
          <w:rFonts w:ascii="Calibri" w:hAnsi="Calibri"/>
          <w:i/>
        </w:rPr>
      </w:pPr>
    </w:p>
    <w:p w:rsidR="00327127" w:rsidRDefault="00327127" w:rsidP="00327127">
      <w:pPr>
        <w:pStyle w:val="ListeParagraf"/>
        <w:spacing w:after="0"/>
        <w:ind w:left="1440"/>
        <w:rPr>
          <w:rFonts w:ascii="Calibri" w:hAnsi="Calibri"/>
          <w:i/>
        </w:rPr>
      </w:pPr>
      <w:r w:rsidRPr="00327127">
        <w:rPr>
          <w:rFonts w:ascii="Calibri" w:hAnsi="Calibri"/>
          <w:i/>
        </w:rPr>
        <w:t>“(8) İletim veya dağıtım seviyesinden 10 MW ve üzeri kurulu güce sahip olarak 5 inci maddenin birinci fıkrasının (h) bendi kapsamında kurulacak üretim tesisleri hariç olmak üzere, bu Yönetmelik kapsamında kurulacak üretim tesisleri için dördüncü fıkrada tanımlanan istisnalar dışında trafo merkezlerine doğrudan bağlantı ve fider tahsisi yapılmaz.”</w:t>
      </w:r>
    </w:p>
    <w:p w:rsidR="00327127" w:rsidRPr="00327127" w:rsidRDefault="00327127" w:rsidP="00327127">
      <w:pPr>
        <w:pStyle w:val="ListeParagraf"/>
        <w:spacing w:after="0"/>
        <w:ind w:left="1440"/>
        <w:rPr>
          <w:rFonts w:ascii="Calibri" w:hAnsi="Calibri"/>
          <w:i/>
        </w:rPr>
      </w:pPr>
    </w:p>
    <w:p w:rsidR="00327127" w:rsidRDefault="00327127" w:rsidP="00327127">
      <w:pPr>
        <w:pStyle w:val="ListeParagraf"/>
        <w:spacing w:after="0"/>
        <w:ind w:left="1440"/>
        <w:rPr>
          <w:rFonts w:ascii="Calibri" w:hAnsi="Calibri"/>
          <w:i/>
        </w:rPr>
      </w:pPr>
      <w:r w:rsidRPr="00327127">
        <w:rPr>
          <w:rFonts w:ascii="Calibri" w:hAnsi="Calibri"/>
          <w:i/>
        </w:rPr>
        <w:t>“(18) 5 inci maddenin birinci fıkrasının (h) bendinde tanımlanan kişilerce aynı ölçüm noktasında ve bağlantı anlaşmasındaki sözleşme gücünün iki katına kadar üretim tesisi kurulmak istenmesi halinde, özel trafosu olan kişiler için çekiş yönlü bağlantı anlaşmasındaki sözleşme gücü sabit kalmak kaydıyla, trafolarda güç artış talebinde bulunulabilir.”</w:t>
      </w:r>
    </w:p>
    <w:p w:rsidR="00327127" w:rsidRDefault="00327127" w:rsidP="00327127">
      <w:pPr>
        <w:pStyle w:val="ListeParagraf"/>
        <w:spacing w:after="0"/>
        <w:ind w:left="1440"/>
        <w:rPr>
          <w:rFonts w:ascii="Calibri" w:hAnsi="Calibri"/>
          <w:i/>
        </w:rPr>
      </w:pPr>
    </w:p>
    <w:p w:rsidR="00327127" w:rsidRDefault="00327127" w:rsidP="000A5A56">
      <w:pPr>
        <w:pStyle w:val="ListeParagraf"/>
        <w:numPr>
          <w:ilvl w:val="0"/>
          <w:numId w:val="25"/>
        </w:numPr>
        <w:spacing w:after="0"/>
        <w:rPr>
          <w:rFonts w:ascii="Calibri" w:hAnsi="Calibri"/>
          <w:iCs/>
        </w:rPr>
      </w:pPr>
      <w:r w:rsidRPr="00327127">
        <w:rPr>
          <w:rFonts w:ascii="Calibri" w:hAnsi="Calibri"/>
          <w:iCs/>
        </w:rPr>
        <w:t>10 uncu maddesinin birinci fıkrası aşağıdaki şekilde değiştirilmiştir.</w:t>
      </w:r>
    </w:p>
    <w:p w:rsidR="00327127" w:rsidRPr="00327127" w:rsidRDefault="00327127" w:rsidP="00327127">
      <w:pPr>
        <w:pStyle w:val="ListeParagraf"/>
        <w:spacing w:after="0"/>
        <w:ind w:left="1440"/>
        <w:rPr>
          <w:rFonts w:ascii="Calibri" w:hAnsi="Calibri"/>
          <w:iCs/>
        </w:rPr>
      </w:pPr>
    </w:p>
    <w:p w:rsidR="00327127" w:rsidRPr="00327127" w:rsidRDefault="00327127" w:rsidP="00327127">
      <w:pPr>
        <w:pStyle w:val="ListeParagraf"/>
        <w:spacing w:after="0"/>
        <w:ind w:left="1440"/>
        <w:rPr>
          <w:rFonts w:ascii="Calibri" w:hAnsi="Calibri"/>
          <w:i/>
        </w:rPr>
      </w:pPr>
      <w:r w:rsidRPr="00327127">
        <w:rPr>
          <w:rFonts w:ascii="Calibri" w:hAnsi="Calibri"/>
          <w:i/>
        </w:rPr>
        <w:t>“(1) 5 inci maddenin birinci fıkrasının (c), (ç), (d), (e), (f), (g), (ğ), (h), (ı) ve (i) bentleri kapsamında üretim yapmak isteyen gerçek veya tüzel kişiler, Kurul kararıyla belirlenen bilgi ve belgeler ile ilgili şebeke işletmecisine başvuruda bulunur.”</w:t>
      </w:r>
    </w:p>
    <w:p w:rsidR="00327127" w:rsidRDefault="00327127" w:rsidP="00327127">
      <w:pPr>
        <w:pStyle w:val="ListeParagraf"/>
        <w:spacing w:after="0"/>
        <w:ind w:left="1440"/>
        <w:rPr>
          <w:rFonts w:ascii="Calibri" w:hAnsi="Calibri"/>
          <w:iCs/>
        </w:rPr>
      </w:pPr>
    </w:p>
    <w:p w:rsidR="00327127" w:rsidRDefault="00327127" w:rsidP="000A5A56">
      <w:pPr>
        <w:pStyle w:val="ListeParagraf"/>
        <w:numPr>
          <w:ilvl w:val="0"/>
          <w:numId w:val="25"/>
        </w:numPr>
        <w:spacing w:after="0"/>
        <w:rPr>
          <w:rFonts w:ascii="Calibri" w:hAnsi="Calibri"/>
          <w:iCs/>
        </w:rPr>
      </w:pPr>
      <w:r w:rsidRPr="00327127">
        <w:rPr>
          <w:rFonts w:ascii="Calibri" w:hAnsi="Calibri"/>
          <w:iCs/>
        </w:rPr>
        <w:t xml:space="preserve">11 inci maddesinin birinci fıkrasında yer alan </w:t>
      </w:r>
      <w:r w:rsidRPr="00327127">
        <w:rPr>
          <w:rFonts w:ascii="Calibri" w:hAnsi="Calibri"/>
          <w:i/>
          <w:iCs/>
        </w:rPr>
        <w:t>“10 kW’a (10 kW dahil)”</w:t>
      </w:r>
      <w:r w:rsidRPr="00327127">
        <w:rPr>
          <w:rFonts w:ascii="Calibri" w:hAnsi="Calibri"/>
          <w:iCs/>
        </w:rPr>
        <w:t xml:space="preserve"> ibaresi </w:t>
      </w:r>
      <w:r w:rsidRPr="00327127">
        <w:rPr>
          <w:rFonts w:ascii="Calibri" w:hAnsi="Calibri"/>
          <w:i/>
          <w:iCs/>
        </w:rPr>
        <w:t>“25 kW’a (25 kW dahil)”</w:t>
      </w:r>
      <w:r w:rsidRPr="00327127">
        <w:rPr>
          <w:rFonts w:ascii="Calibri" w:hAnsi="Calibri"/>
          <w:iCs/>
        </w:rPr>
        <w:t xml:space="preserve"> şeklinde değiştirilmiş ve aynı maddeye aşağıdaki fıkra eklenmiştir.</w:t>
      </w:r>
    </w:p>
    <w:p w:rsidR="00327127" w:rsidRPr="00327127" w:rsidRDefault="00327127" w:rsidP="00327127">
      <w:pPr>
        <w:pStyle w:val="ListeParagraf"/>
        <w:spacing w:after="0"/>
        <w:ind w:left="1440"/>
        <w:rPr>
          <w:rFonts w:ascii="Calibri" w:hAnsi="Calibri"/>
          <w:iCs/>
        </w:rPr>
      </w:pPr>
    </w:p>
    <w:p w:rsidR="00327127" w:rsidRPr="00327127" w:rsidRDefault="00327127" w:rsidP="00327127">
      <w:pPr>
        <w:pStyle w:val="ListeParagraf"/>
        <w:spacing w:after="0"/>
        <w:ind w:left="1440"/>
        <w:rPr>
          <w:rFonts w:ascii="Calibri" w:hAnsi="Calibri"/>
          <w:i/>
        </w:rPr>
      </w:pPr>
      <w:r w:rsidRPr="00327127">
        <w:rPr>
          <w:rFonts w:ascii="Calibri" w:hAnsi="Calibri"/>
          <w:i/>
        </w:rPr>
        <w:t>“(5) Atık lastiklerin işlenmesi sonucu ortaya çıkan yan ürünler olan pirolitik yağ ve pirolitik gazın yakıt olarak kullanılması planlanan lisanssız üretim başvurularında, söz konusu yakıtın ilgili elektrik üretim tesisinde üretilmesi ve bu kaynaklar dışında başka kaynak kullanılmaması gerekir.”</w:t>
      </w:r>
    </w:p>
    <w:p w:rsidR="00327127" w:rsidRDefault="00327127" w:rsidP="00327127">
      <w:pPr>
        <w:pStyle w:val="ListeParagraf"/>
        <w:spacing w:after="0"/>
        <w:ind w:left="1440"/>
        <w:rPr>
          <w:rFonts w:ascii="Calibri" w:hAnsi="Calibri"/>
          <w:i/>
        </w:rPr>
      </w:pPr>
    </w:p>
    <w:p w:rsidR="00327127" w:rsidRDefault="00327127" w:rsidP="000A5A56">
      <w:pPr>
        <w:pStyle w:val="ListeParagraf"/>
        <w:numPr>
          <w:ilvl w:val="0"/>
          <w:numId w:val="25"/>
        </w:numPr>
        <w:spacing w:after="0"/>
        <w:rPr>
          <w:rFonts w:ascii="Calibri" w:hAnsi="Calibri"/>
          <w:iCs/>
        </w:rPr>
      </w:pPr>
      <w:r w:rsidRPr="00327127">
        <w:rPr>
          <w:rFonts w:ascii="Calibri" w:hAnsi="Calibri"/>
          <w:iCs/>
        </w:rPr>
        <w:t xml:space="preserve">13 üncü maddesinin birinci fıkrasında yer alan </w:t>
      </w:r>
      <w:r w:rsidRPr="00327127">
        <w:rPr>
          <w:rFonts w:ascii="Calibri" w:hAnsi="Calibri"/>
          <w:i/>
          <w:iCs/>
        </w:rPr>
        <w:t>“on beş”</w:t>
      </w:r>
      <w:r w:rsidRPr="00327127">
        <w:rPr>
          <w:rFonts w:ascii="Calibri" w:hAnsi="Calibri"/>
          <w:iCs/>
        </w:rPr>
        <w:t xml:space="preserve"> ibaresi </w:t>
      </w:r>
      <w:r w:rsidRPr="00327127">
        <w:rPr>
          <w:rFonts w:ascii="Calibri" w:hAnsi="Calibri"/>
          <w:i/>
          <w:iCs/>
        </w:rPr>
        <w:t>“yirmi”</w:t>
      </w:r>
      <w:r w:rsidRPr="00327127">
        <w:rPr>
          <w:rFonts w:ascii="Calibri" w:hAnsi="Calibri"/>
          <w:iCs/>
        </w:rPr>
        <w:t xml:space="preserve"> şeklinde, aynı maddenin dördüncü fıkrasında yer alan </w:t>
      </w:r>
      <w:r w:rsidRPr="00327127">
        <w:rPr>
          <w:rFonts w:ascii="Calibri" w:hAnsi="Calibri"/>
          <w:i/>
          <w:iCs/>
        </w:rPr>
        <w:t>“on beş”</w:t>
      </w:r>
      <w:r w:rsidRPr="00327127">
        <w:rPr>
          <w:rFonts w:ascii="Calibri" w:hAnsi="Calibri"/>
          <w:iCs/>
        </w:rPr>
        <w:t xml:space="preserve"> ibaresi </w:t>
      </w:r>
      <w:r w:rsidRPr="00327127">
        <w:rPr>
          <w:rFonts w:ascii="Calibri" w:hAnsi="Calibri"/>
          <w:i/>
          <w:iCs/>
        </w:rPr>
        <w:t>“yirmi”</w:t>
      </w:r>
      <w:r w:rsidRPr="00327127">
        <w:rPr>
          <w:rFonts w:ascii="Calibri" w:hAnsi="Calibri"/>
          <w:iCs/>
        </w:rPr>
        <w:t xml:space="preserve"> şeklinde değiştirilmiştir.</w:t>
      </w:r>
    </w:p>
    <w:p w:rsidR="004F2451" w:rsidRDefault="004F2451" w:rsidP="004F2451">
      <w:pPr>
        <w:pStyle w:val="ListeParagraf"/>
        <w:spacing w:after="0"/>
        <w:ind w:left="1440"/>
        <w:rPr>
          <w:rFonts w:ascii="Calibri" w:hAnsi="Calibri"/>
          <w:iCs/>
        </w:rPr>
      </w:pPr>
    </w:p>
    <w:p w:rsidR="00327127" w:rsidRDefault="00327127" w:rsidP="000A5A56">
      <w:pPr>
        <w:pStyle w:val="ListeParagraf"/>
        <w:numPr>
          <w:ilvl w:val="0"/>
          <w:numId w:val="25"/>
        </w:numPr>
        <w:spacing w:after="0"/>
        <w:rPr>
          <w:rFonts w:ascii="Calibri" w:hAnsi="Calibri"/>
          <w:iCs/>
        </w:rPr>
      </w:pPr>
      <w:r w:rsidRPr="00327127">
        <w:rPr>
          <w:rFonts w:ascii="Calibri" w:hAnsi="Calibri"/>
          <w:iCs/>
        </w:rPr>
        <w:t xml:space="preserve">14 üncü maddesinin birinci fıkrası aşağıdaki şekilde değiştirilmiş, aynı maddenin üçüncü fıkrasında yer alan </w:t>
      </w:r>
      <w:r w:rsidRPr="00327127">
        <w:rPr>
          <w:rFonts w:ascii="Calibri" w:hAnsi="Calibri"/>
          <w:i/>
          <w:iCs/>
        </w:rPr>
        <w:t>“kurulması planlanan tesisin ölçme ve koruma sistemi açısından değerlendirilmesi yapılarak”</w:t>
      </w:r>
      <w:r w:rsidRPr="00327127">
        <w:rPr>
          <w:rFonts w:ascii="Calibri" w:hAnsi="Calibri"/>
          <w:iCs/>
        </w:rPr>
        <w:t xml:space="preserve"> ibaresinden sonra gelmek üzere </w:t>
      </w:r>
      <w:r w:rsidRPr="00327127">
        <w:rPr>
          <w:rFonts w:ascii="Calibri" w:hAnsi="Calibri"/>
          <w:i/>
          <w:iCs/>
        </w:rPr>
        <w:t>“bağlantı noktası itibarıyla iletim veya dağıtım şebekesi kısıtları dikkate alınarak”</w:t>
      </w:r>
      <w:r w:rsidRPr="00327127">
        <w:rPr>
          <w:rFonts w:ascii="Calibri" w:hAnsi="Calibri"/>
          <w:iCs/>
        </w:rPr>
        <w:t xml:space="preserve"> ibaresi eklenmiş, aynı maddenin dördüncü fıkrasında yer alan </w:t>
      </w:r>
      <w:r w:rsidRPr="00327127">
        <w:rPr>
          <w:rFonts w:ascii="Calibri" w:hAnsi="Calibri"/>
          <w:i/>
          <w:iCs/>
        </w:rPr>
        <w:t>“Teknik değerlendirme sonuçlarından sonra başvurular”</w:t>
      </w:r>
      <w:r w:rsidRPr="00327127">
        <w:rPr>
          <w:rFonts w:ascii="Calibri" w:hAnsi="Calibri"/>
          <w:iCs/>
        </w:rPr>
        <w:t xml:space="preserve"> ibaresinden sonra gelmek üzere </w:t>
      </w:r>
      <w:r w:rsidRPr="00327127">
        <w:rPr>
          <w:rFonts w:ascii="Calibri" w:hAnsi="Calibri"/>
          <w:i/>
          <w:iCs/>
        </w:rPr>
        <w:t>“varsa”</w:t>
      </w:r>
      <w:r w:rsidRPr="00327127">
        <w:rPr>
          <w:rFonts w:ascii="Calibri" w:hAnsi="Calibri"/>
          <w:iCs/>
        </w:rPr>
        <w:t xml:space="preserve"> ibaresi eklenmiş, aynı maddenin sekizinci fıkrasında yer alan </w:t>
      </w:r>
      <w:r w:rsidRPr="00327127">
        <w:rPr>
          <w:rFonts w:ascii="Calibri" w:hAnsi="Calibri"/>
          <w:i/>
          <w:iCs/>
        </w:rPr>
        <w:t>“on beş”</w:t>
      </w:r>
      <w:r w:rsidRPr="00327127">
        <w:rPr>
          <w:rFonts w:ascii="Calibri" w:hAnsi="Calibri"/>
          <w:iCs/>
        </w:rPr>
        <w:t xml:space="preserve"> ibaresi </w:t>
      </w:r>
      <w:r w:rsidRPr="00327127">
        <w:rPr>
          <w:rFonts w:ascii="Calibri" w:hAnsi="Calibri"/>
          <w:i/>
          <w:iCs/>
        </w:rPr>
        <w:t>“yirmi”</w:t>
      </w:r>
      <w:r w:rsidRPr="00327127">
        <w:rPr>
          <w:rFonts w:ascii="Calibri" w:hAnsi="Calibri"/>
          <w:iCs/>
        </w:rPr>
        <w:t xml:space="preserve"> şeklinde değiştirilmiştir.</w:t>
      </w:r>
    </w:p>
    <w:p w:rsidR="00327127" w:rsidRPr="00327127" w:rsidRDefault="00327127" w:rsidP="00327127">
      <w:pPr>
        <w:pStyle w:val="ListeParagraf"/>
        <w:spacing w:after="0"/>
        <w:ind w:left="1440"/>
        <w:rPr>
          <w:rFonts w:ascii="Calibri" w:hAnsi="Calibri"/>
          <w:iCs/>
        </w:rPr>
      </w:pPr>
    </w:p>
    <w:p w:rsidR="00327127" w:rsidRPr="00327127" w:rsidRDefault="00327127" w:rsidP="00327127">
      <w:pPr>
        <w:pStyle w:val="ListeParagraf"/>
        <w:spacing w:after="0"/>
        <w:ind w:left="1440"/>
        <w:rPr>
          <w:rFonts w:ascii="Calibri" w:hAnsi="Calibri"/>
          <w:i/>
        </w:rPr>
      </w:pPr>
      <w:r w:rsidRPr="00327127">
        <w:rPr>
          <w:rFonts w:ascii="Calibri" w:hAnsi="Calibri"/>
          <w:i/>
        </w:rPr>
        <w:t>“(1) Eksiksiz olarak yapıldığı tespit edilen başvurular, komisyon tarafından evrak yönünden değerlendirme yapılan ayı takip eden ayın yirmi günü içinde teknik yönden değerlendirilir. TEİAŞ tarafından arıza akım limitinin ve/veya ilgili trafo merkezindeki transformatör cebri soğutmasız nominal görünür gücünün aşıldığı bildirilen başvurular teknik değerlendirme yapılmaksızın reddedilir.”</w:t>
      </w:r>
    </w:p>
    <w:p w:rsidR="00327127" w:rsidRDefault="00327127" w:rsidP="00327127">
      <w:pPr>
        <w:pStyle w:val="ListeParagraf"/>
        <w:spacing w:after="0"/>
        <w:ind w:left="1440"/>
        <w:rPr>
          <w:rFonts w:ascii="Calibri" w:hAnsi="Calibri"/>
          <w:i/>
        </w:rPr>
      </w:pPr>
    </w:p>
    <w:p w:rsidR="00327127" w:rsidRDefault="00327127" w:rsidP="000A5A56">
      <w:pPr>
        <w:pStyle w:val="ListeParagraf"/>
        <w:numPr>
          <w:ilvl w:val="0"/>
          <w:numId w:val="25"/>
        </w:numPr>
        <w:spacing w:after="0"/>
        <w:rPr>
          <w:rFonts w:ascii="Calibri" w:hAnsi="Calibri"/>
          <w:iCs/>
        </w:rPr>
      </w:pPr>
      <w:r w:rsidRPr="00327127">
        <w:rPr>
          <w:rFonts w:ascii="Calibri" w:hAnsi="Calibri"/>
          <w:iCs/>
        </w:rPr>
        <w:t xml:space="preserve">16 ncı maddesinin birinci fıkrasında yer alan </w:t>
      </w:r>
      <w:r w:rsidRPr="002E6439">
        <w:rPr>
          <w:rFonts w:ascii="Calibri" w:hAnsi="Calibri"/>
          <w:i/>
          <w:iCs/>
        </w:rPr>
        <w:t>“başvurunun uygun bulunma tarihinden itibaren on işgünü içinde teknik değerlendirme yapılması için”</w:t>
      </w:r>
      <w:r w:rsidRPr="00327127">
        <w:rPr>
          <w:rFonts w:ascii="Calibri" w:hAnsi="Calibri"/>
          <w:iCs/>
        </w:rPr>
        <w:t xml:space="preserve"> ibaresinden sonra gelmek üzere </w:t>
      </w:r>
      <w:r w:rsidRPr="002E6439">
        <w:rPr>
          <w:rFonts w:ascii="Calibri" w:hAnsi="Calibri"/>
          <w:i/>
          <w:iCs/>
        </w:rPr>
        <w:t>“YEPDİS’e girilerek”</w:t>
      </w:r>
      <w:r w:rsidRPr="00327127">
        <w:rPr>
          <w:rFonts w:ascii="Calibri" w:hAnsi="Calibri"/>
          <w:iCs/>
        </w:rPr>
        <w:t xml:space="preserve"> ibaresi eklenmiştir.</w:t>
      </w:r>
    </w:p>
    <w:p w:rsidR="00327127" w:rsidRDefault="00327127" w:rsidP="00327127">
      <w:pPr>
        <w:spacing w:after="0"/>
        <w:rPr>
          <w:rFonts w:ascii="Calibri" w:hAnsi="Calibri"/>
          <w:iCs/>
        </w:rPr>
      </w:pPr>
    </w:p>
    <w:p w:rsidR="002E6439" w:rsidRDefault="002E6439" w:rsidP="000A5A56">
      <w:pPr>
        <w:pStyle w:val="ListeParagraf"/>
        <w:numPr>
          <w:ilvl w:val="0"/>
          <w:numId w:val="25"/>
        </w:numPr>
        <w:spacing w:after="0"/>
        <w:rPr>
          <w:rFonts w:ascii="Calibri" w:hAnsi="Calibri"/>
          <w:iCs/>
        </w:rPr>
      </w:pPr>
      <w:r w:rsidRPr="002E6439">
        <w:rPr>
          <w:rFonts w:ascii="Calibri" w:hAnsi="Calibri"/>
          <w:iCs/>
        </w:rPr>
        <w:t>17 nci maddesinin birinci fıkrası aşağıdaki şekilde değiştirilmiş, aynı maddenin ikinci fıkrasına aşağıdaki bent eklenmiş, üçüncü fıkrası aşağıdaki şekilde değiştirilmiştir.</w:t>
      </w:r>
    </w:p>
    <w:p w:rsidR="00327127" w:rsidRPr="00327127" w:rsidRDefault="00327127" w:rsidP="00327127">
      <w:pPr>
        <w:pStyle w:val="ListeParagraf"/>
        <w:spacing w:after="0"/>
        <w:ind w:left="1440"/>
        <w:rPr>
          <w:rFonts w:ascii="Calibri" w:hAnsi="Calibri"/>
          <w:iCs/>
        </w:rPr>
      </w:pPr>
    </w:p>
    <w:p w:rsidR="002E6439" w:rsidRDefault="002E6439" w:rsidP="002E6439">
      <w:pPr>
        <w:pStyle w:val="ListeParagraf"/>
        <w:spacing w:after="0"/>
        <w:ind w:left="1440"/>
        <w:rPr>
          <w:rFonts w:ascii="Calibri" w:hAnsi="Calibri"/>
          <w:i/>
        </w:rPr>
      </w:pPr>
      <w:r w:rsidRPr="002E6439">
        <w:rPr>
          <w:rFonts w:ascii="Calibri" w:hAnsi="Calibri"/>
          <w:i/>
        </w:rPr>
        <w:t>“(1) Kendisine bağlantı anlaşmasına çağrı mektubu tebliğ edilenlere, bağlantı anlaşmasına çağrı mektubunun tebliğ tarihinden itibaren yüz seksen gün süre verilir. Bağlantı anlaşmasına çağrı mektubu sahipleri söz konusu sürenin ilk otuz günü içerisinde Çevresel Etki Değerlendirmesi Yönetmeliğinin Ek-1 Listesine tabi projeler ile ‘ÇED Gereklidir’ kararı verilen projeler için ilgili idareye başvuru yapar ve ilk doksan günü içerisinde üretim tesisi ve varsa bağlantı hattı projesini Bakanlık veya Bakanlığın yetki verdiği kurum ve/veya tüzel kişilerin onayına sunar. Yukarıda belirlenen süreler içinde başvuruda bulunmayan gerçek veya tüzel kişilerin bağlantı başvuruları geçersiz sayılarak sunmuş oldukları belgeler kendilerine iade edilir.”</w:t>
      </w:r>
    </w:p>
    <w:p w:rsidR="002E6439" w:rsidRPr="002E6439" w:rsidRDefault="002E6439" w:rsidP="002E6439">
      <w:pPr>
        <w:pStyle w:val="ListeParagraf"/>
        <w:spacing w:after="0"/>
        <w:ind w:left="1440"/>
        <w:rPr>
          <w:rFonts w:ascii="Calibri" w:hAnsi="Calibri"/>
          <w:i/>
        </w:rPr>
      </w:pPr>
    </w:p>
    <w:p w:rsidR="002E6439" w:rsidRDefault="002E6439" w:rsidP="002E6439">
      <w:pPr>
        <w:pStyle w:val="ListeParagraf"/>
        <w:spacing w:after="0"/>
        <w:ind w:left="1440"/>
        <w:rPr>
          <w:rFonts w:ascii="Calibri" w:hAnsi="Calibri"/>
          <w:i/>
        </w:rPr>
      </w:pPr>
      <w:r w:rsidRPr="002E6439">
        <w:rPr>
          <w:rFonts w:ascii="Calibri" w:hAnsi="Calibri"/>
          <w:i/>
        </w:rPr>
        <w:t>“c) Çevresel Etki Değerlendirmesi Yönetmeliğinin Ek-1 Listesine tabi projeler ile ‘ÇED Gereklidir’ kararı verilen projeler için ilgili idarece düzenlenen belge.”</w:t>
      </w:r>
    </w:p>
    <w:p w:rsidR="002E6439" w:rsidRPr="002E6439" w:rsidRDefault="002E6439" w:rsidP="002E6439">
      <w:pPr>
        <w:pStyle w:val="ListeParagraf"/>
        <w:spacing w:after="0"/>
        <w:ind w:left="1440"/>
        <w:rPr>
          <w:rFonts w:ascii="Calibri" w:hAnsi="Calibri"/>
          <w:i/>
        </w:rPr>
      </w:pPr>
    </w:p>
    <w:p w:rsidR="00327127" w:rsidRDefault="002E6439" w:rsidP="002E6439">
      <w:pPr>
        <w:pStyle w:val="ListeParagraf"/>
        <w:spacing w:after="0"/>
        <w:ind w:left="1440"/>
        <w:rPr>
          <w:rFonts w:ascii="Calibri" w:hAnsi="Calibri"/>
          <w:i/>
        </w:rPr>
      </w:pPr>
      <w:r w:rsidRPr="002E6439">
        <w:rPr>
          <w:rFonts w:ascii="Calibri" w:hAnsi="Calibri"/>
          <w:i/>
        </w:rPr>
        <w:t>“(3) İkinci fıkrada belirlenen belgeleri zamanında edinemeyen başvuru sahiplerine, birinci fıkrada belirlenen süreler içerisinde yazılı olarak ilgili şebeke işletmecisine başvurması ve bu başvuruda birinci fıkrada tanımlanan süre içerisinde ilgili başvurularda bulunduğunu belgelerle tevsik etmesi şartıyla, ilgili şebeke işletmecisi tarafından yüz seksen gün ilave süre verilir.”</w:t>
      </w:r>
    </w:p>
    <w:p w:rsidR="002E6439" w:rsidRDefault="002E6439" w:rsidP="002E6439">
      <w:pPr>
        <w:pStyle w:val="ListeParagraf"/>
        <w:spacing w:after="0"/>
        <w:ind w:left="1440"/>
        <w:rPr>
          <w:rFonts w:ascii="Calibri" w:hAnsi="Calibri"/>
          <w:i/>
        </w:rPr>
      </w:pPr>
    </w:p>
    <w:p w:rsidR="002E6439" w:rsidRDefault="002E6439" w:rsidP="000A5A56">
      <w:pPr>
        <w:pStyle w:val="ListeParagraf"/>
        <w:numPr>
          <w:ilvl w:val="0"/>
          <w:numId w:val="25"/>
        </w:numPr>
        <w:spacing w:after="0"/>
        <w:rPr>
          <w:rFonts w:ascii="Calibri" w:hAnsi="Calibri"/>
          <w:iCs/>
        </w:rPr>
      </w:pPr>
      <w:r w:rsidRPr="002E6439">
        <w:rPr>
          <w:rFonts w:ascii="Calibri" w:hAnsi="Calibri"/>
          <w:iCs/>
        </w:rPr>
        <w:t>19 uncu maddesinin birinci fıkrası aşağıdaki şekilde değiştirilmiştir.</w:t>
      </w:r>
    </w:p>
    <w:p w:rsidR="002E6439" w:rsidRPr="00327127" w:rsidRDefault="002E6439" w:rsidP="002E6439">
      <w:pPr>
        <w:pStyle w:val="ListeParagraf"/>
        <w:spacing w:after="0"/>
        <w:ind w:left="1440"/>
        <w:rPr>
          <w:rFonts w:ascii="Calibri" w:hAnsi="Calibri"/>
          <w:iCs/>
        </w:rPr>
      </w:pPr>
    </w:p>
    <w:p w:rsidR="002E6439" w:rsidRPr="002E6439" w:rsidRDefault="002E6439" w:rsidP="002E6439">
      <w:pPr>
        <w:pStyle w:val="ListeParagraf"/>
        <w:spacing w:after="0"/>
        <w:ind w:left="1440"/>
        <w:rPr>
          <w:rFonts w:ascii="Calibri" w:hAnsi="Calibri"/>
          <w:i/>
        </w:rPr>
      </w:pPr>
      <w:r w:rsidRPr="002E6439">
        <w:rPr>
          <w:rFonts w:ascii="Calibri" w:hAnsi="Calibri"/>
          <w:i/>
        </w:rPr>
        <w:t>“(1) Bu Yönetmelik hükümlerine göre şebekeye bağlanacak üretim tesislerinin kabul işlemlerinin, bağlantı anlaşmasının imza tarihinden itibaren, 30 uncu maddenin yedinci fıkrası hükmü saklı kalmak kaydıyla;</w:t>
      </w:r>
    </w:p>
    <w:p w:rsidR="002E6439" w:rsidRPr="002E6439" w:rsidRDefault="002E6439" w:rsidP="002E6439">
      <w:pPr>
        <w:pStyle w:val="ListeParagraf"/>
        <w:spacing w:after="0"/>
        <w:ind w:left="1440"/>
        <w:rPr>
          <w:rFonts w:ascii="Calibri" w:hAnsi="Calibri"/>
          <w:i/>
        </w:rPr>
      </w:pPr>
      <w:r w:rsidRPr="002E6439">
        <w:rPr>
          <w:rFonts w:ascii="Calibri" w:hAnsi="Calibri"/>
          <w:i/>
        </w:rPr>
        <w:t>a) İlgili şebeke işletmecisine ait dağıtım trafosunu kullanan tüm üretim tesislerinde bir yıl,</w:t>
      </w:r>
    </w:p>
    <w:p w:rsidR="002E6439" w:rsidRPr="002E6439" w:rsidRDefault="002E6439" w:rsidP="002E6439">
      <w:pPr>
        <w:pStyle w:val="ListeParagraf"/>
        <w:spacing w:after="0"/>
        <w:ind w:left="1440"/>
        <w:rPr>
          <w:rFonts w:ascii="Calibri" w:hAnsi="Calibri"/>
          <w:i/>
        </w:rPr>
      </w:pPr>
      <w:r w:rsidRPr="002E6439">
        <w:rPr>
          <w:rFonts w:ascii="Calibri" w:hAnsi="Calibri"/>
          <w:i/>
        </w:rPr>
        <w:t>b) İlgili şebeke işletmecisine ait dağıtım trafosunu kullanmayan,</w:t>
      </w:r>
    </w:p>
    <w:p w:rsidR="002E6439" w:rsidRPr="002E6439" w:rsidRDefault="002E6439" w:rsidP="002E6439">
      <w:pPr>
        <w:pStyle w:val="ListeParagraf"/>
        <w:spacing w:after="0"/>
        <w:ind w:left="1440"/>
        <w:rPr>
          <w:rFonts w:ascii="Calibri" w:hAnsi="Calibri"/>
          <w:i/>
        </w:rPr>
      </w:pPr>
      <w:r w:rsidRPr="002E6439">
        <w:rPr>
          <w:rFonts w:ascii="Calibri" w:hAnsi="Calibri"/>
          <w:i/>
        </w:rPr>
        <w:t>1) Hidrolik kaynağa dayalı üretim tesislerinde üç yıl,</w:t>
      </w:r>
    </w:p>
    <w:p w:rsidR="002E6439" w:rsidRPr="002E6439" w:rsidRDefault="002E6439" w:rsidP="002E6439">
      <w:pPr>
        <w:pStyle w:val="ListeParagraf"/>
        <w:spacing w:after="0"/>
        <w:ind w:left="1440"/>
        <w:rPr>
          <w:rFonts w:ascii="Calibri" w:hAnsi="Calibri"/>
          <w:i/>
        </w:rPr>
      </w:pPr>
      <w:r w:rsidRPr="002E6439">
        <w:rPr>
          <w:rFonts w:ascii="Calibri" w:hAnsi="Calibri"/>
          <w:i/>
        </w:rPr>
        <w:t>2) Diğer kaynaklara dayalı üretim tesislerinde iki yıl.</w:t>
      </w:r>
    </w:p>
    <w:p w:rsidR="002E6439" w:rsidRPr="002E6439" w:rsidRDefault="002E6439" w:rsidP="002E6439">
      <w:pPr>
        <w:pStyle w:val="ListeParagraf"/>
        <w:spacing w:after="0"/>
        <w:ind w:left="1440"/>
        <w:rPr>
          <w:rFonts w:ascii="Calibri" w:hAnsi="Calibri"/>
          <w:i/>
        </w:rPr>
      </w:pPr>
      <w:r w:rsidRPr="002E6439">
        <w:rPr>
          <w:rFonts w:ascii="Calibri" w:hAnsi="Calibri"/>
          <w:i/>
        </w:rPr>
        <w:t xml:space="preserve">c) İletim şebekesine bağlanacak üretim tesislerinde 2/11/2013 tarihli ve 28809 sayılı Resmî </w:t>
      </w:r>
      <w:r w:rsidR="00274939">
        <w:rPr>
          <w:rFonts w:ascii="Calibri" w:hAnsi="Calibri"/>
          <w:i/>
        </w:rPr>
        <w:t>Gazetede</w:t>
      </w:r>
      <w:r w:rsidRPr="002E6439">
        <w:rPr>
          <w:rFonts w:ascii="Calibri" w:hAnsi="Calibri"/>
          <w:i/>
        </w:rPr>
        <w:t xml:space="preserve"> yayımlanan Elektrik Piyasası Lisans Yönetmeliği çerçevesinde aynı niteliklere sahip üretim tesisleri için öngörülen süre,</w:t>
      </w:r>
    </w:p>
    <w:p w:rsidR="002E6439" w:rsidRDefault="002E6439" w:rsidP="002E6439">
      <w:pPr>
        <w:pStyle w:val="ListeParagraf"/>
        <w:spacing w:after="0"/>
        <w:ind w:left="1440"/>
        <w:rPr>
          <w:rFonts w:ascii="Calibri" w:hAnsi="Calibri"/>
          <w:i/>
        </w:rPr>
      </w:pPr>
      <w:r w:rsidRPr="002E6439">
        <w:rPr>
          <w:rFonts w:ascii="Calibri" w:hAnsi="Calibri"/>
          <w:i/>
        </w:rPr>
        <w:t>içerisinde tamamlanması zorunludur. Bu maddenin yürürlüğe girmesinden sonra imzalanacak bağlantı anlaşmalarında bu sürelere de yer verilir. Elektrik Piyasası Lisans Yönetmeliğinin 35 inci maddesinde belirtilen mücbir sebepler ve Kurul tarafından uygun bulunan haller dışında, bu sürelerin sonunda üretim tesisinin tamamlanmaması halinde bağlantı anlaşması, tahsis edilen kapasite, teknik etkileşim izni ile su kullanım haklarına ilişkin izin belgeleri kendiliğinden hükümsüz hale gelir.”</w:t>
      </w:r>
    </w:p>
    <w:p w:rsidR="002E6439" w:rsidRDefault="002E6439" w:rsidP="002E6439">
      <w:pPr>
        <w:pStyle w:val="ListeParagraf"/>
        <w:spacing w:after="0"/>
        <w:ind w:left="1440"/>
        <w:rPr>
          <w:rFonts w:ascii="Calibri" w:hAnsi="Calibri"/>
          <w:i/>
        </w:rPr>
      </w:pPr>
    </w:p>
    <w:p w:rsidR="002E6439" w:rsidRDefault="002E6439" w:rsidP="000A5A56">
      <w:pPr>
        <w:pStyle w:val="ListeParagraf"/>
        <w:numPr>
          <w:ilvl w:val="0"/>
          <w:numId w:val="25"/>
        </w:numPr>
        <w:spacing w:after="0"/>
        <w:rPr>
          <w:rFonts w:ascii="Calibri" w:hAnsi="Calibri"/>
          <w:iCs/>
        </w:rPr>
      </w:pPr>
      <w:r w:rsidRPr="002E6439">
        <w:rPr>
          <w:rFonts w:ascii="Calibri" w:hAnsi="Calibri"/>
          <w:iCs/>
        </w:rPr>
        <w:t>21 inci maddesinin beşinci fıkrası aşağıdaki şekilde değiştirilmiştir.</w:t>
      </w:r>
    </w:p>
    <w:p w:rsidR="002E6439" w:rsidRPr="00327127" w:rsidRDefault="002E6439" w:rsidP="002E6439">
      <w:pPr>
        <w:pStyle w:val="ListeParagraf"/>
        <w:spacing w:after="0"/>
        <w:ind w:left="1440"/>
        <w:rPr>
          <w:rFonts w:ascii="Calibri" w:hAnsi="Calibri"/>
          <w:iCs/>
        </w:rPr>
      </w:pPr>
    </w:p>
    <w:p w:rsidR="002E6439" w:rsidRDefault="002E6439" w:rsidP="002E6439">
      <w:pPr>
        <w:pStyle w:val="ListeParagraf"/>
        <w:spacing w:after="0"/>
        <w:ind w:left="1440"/>
        <w:rPr>
          <w:rFonts w:ascii="Calibri" w:hAnsi="Calibri"/>
          <w:i/>
        </w:rPr>
      </w:pPr>
      <w:r w:rsidRPr="002E6439">
        <w:rPr>
          <w:rFonts w:ascii="Calibri" w:hAnsi="Calibri"/>
          <w:i/>
        </w:rPr>
        <w:t>“(5) Bu madde kapsamındaki sayaçlar dağıtım sistemine bağlanacak üretim tesisleri için ilgili dağıtım şebeke işletmecisi tarafından temin ve tesis edilir. İletim sistemine bağlanacak üretim tesisleri için kullanıcının mülkiyet sınırında kalan ölçüm noktalarına tesis edilecek sayaçlar kullanıcı tarafından temin edilir ve TEİAŞ tarafından tesis edilir.”</w:t>
      </w:r>
    </w:p>
    <w:p w:rsidR="002E6439" w:rsidRDefault="002E6439" w:rsidP="002E6439">
      <w:pPr>
        <w:pStyle w:val="ListeParagraf"/>
        <w:spacing w:after="0"/>
        <w:ind w:left="1440"/>
        <w:rPr>
          <w:rFonts w:ascii="Calibri" w:hAnsi="Calibri"/>
          <w:i/>
        </w:rPr>
      </w:pPr>
    </w:p>
    <w:p w:rsidR="002E6439" w:rsidRDefault="002E6439" w:rsidP="000A5A56">
      <w:pPr>
        <w:pStyle w:val="ListeParagraf"/>
        <w:numPr>
          <w:ilvl w:val="0"/>
          <w:numId w:val="25"/>
        </w:numPr>
        <w:spacing w:after="0"/>
        <w:rPr>
          <w:rFonts w:ascii="Calibri" w:hAnsi="Calibri"/>
          <w:iCs/>
        </w:rPr>
      </w:pPr>
      <w:r w:rsidRPr="002E6439">
        <w:rPr>
          <w:rFonts w:ascii="Calibri" w:hAnsi="Calibri"/>
          <w:iCs/>
        </w:rPr>
        <w:t xml:space="preserve">22 nci maddesinin birinci fıkrasında yer alan </w:t>
      </w:r>
      <w:r w:rsidRPr="002E6439">
        <w:rPr>
          <w:rFonts w:ascii="Calibri" w:hAnsi="Calibri"/>
          <w:i/>
          <w:iCs/>
        </w:rPr>
        <w:t>“Üretim tesisi, bağlantı”</w:t>
      </w:r>
      <w:r w:rsidRPr="002E6439">
        <w:rPr>
          <w:rFonts w:ascii="Calibri" w:hAnsi="Calibri"/>
          <w:iCs/>
        </w:rPr>
        <w:t xml:space="preserve"> ibaresinden sonra gelmek üzere </w:t>
      </w:r>
      <w:r w:rsidRPr="002E6439">
        <w:rPr>
          <w:rFonts w:ascii="Calibri" w:hAnsi="Calibri"/>
          <w:i/>
          <w:iCs/>
        </w:rPr>
        <w:t>“ve/veya sistem kullanım”</w:t>
      </w:r>
      <w:r w:rsidRPr="002E6439">
        <w:rPr>
          <w:rFonts w:ascii="Calibri" w:hAnsi="Calibri"/>
          <w:iCs/>
        </w:rPr>
        <w:t xml:space="preserve"> ibaresi, </w:t>
      </w:r>
      <w:r w:rsidRPr="002E6439">
        <w:rPr>
          <w:rFonts w:ascii="Calibri" w:hAnsi="Calibri"/>
          <w:i/>
          <w:iCs/>
        </w:rPr>
        <w:t>“Üretim tesisinin bağlantı”</w:t>
      </w:r>
      <w:r w:rsidRPr="002E6439">
        <w:rPr>
          <w:rFonts w:ascii="Calibri" w:hAnsi="Calibri"/>
          <w:iCs/>
        </w:rPr>
        <w:t xml:space="preserve"> ibaresinden sonra gelmek üzere </w:t>
      </w:r>
      <w:r w:rsidRPr="002E6439">
        <w:rPr>
          <w:rFonts w:ascii="Calibri" w:hAnsi="Calibri"/>
          <w:i/>
          <w:iCs/>
        </w:rPr>
        <w:t>“ve/veya sistem kullanım”</w:t>
      </w:r>
      <w:r w:rsidRPr="002E6439">
        <w:rPr>
          <w:rFonts w:ascii="Calibri" w:hAnsi="Calibri"/>
          <w:iCs/>
        </w:rPr>
        <w:t xml:space="preserve"> ibaresi, </w:t>
      </w:r>
      <w:r w:rsidRPr="002E6439">
        <w:rPr>
          <w:rFonts w:ascii="Calibri" w:hAnsi="Calibri"/>
          <w:i/>
          <w:iCs/>
        </w:rPr>
        <w:t xml:space="preserve">“daha büyük bir güçte çalıştırılması halinde” </w:t>
      </w:r>
      <w:r w:rsidRPr="002E6439">
        <w:rPr>
          <w:rFonts w:ascii="Calibri" w:hAnsi="Calibri"/>
          <w:iCs/>
        </w:rPr>
        <w:t xml:space="preserve">ibaresinden sonra gelmek üzere </w:t>
      </w:r>
      <w:r w:rsidRPr="002E6439">
        <w:rPr>
          <w:rFonts w:ascii="Calibri" w:hAnsi="Calibri"/>
          <w:i/>
          <w:iCs/>
        </w:rPr>
        <w:t>“dağıtım sistemine bağlı üreticiler için”</w:t>
      </w:r>
      <w:r w:rsidRPr="002E6439">
        <w:rPr>
          <w:rFonts w:ascii="Calibri" w:hAnsi="Calibri"/>
          <w:iCs/>
        </w:rPr>
        <w:t xml:space="preserve"> ibaresi, </w:t>
      </w:r>
      <w:r w:rsidRPr="002E6439">
        <w:rPr>
          <w:rFonts w:ascii="Calibri" w:hAnsi="Calibri"/>
          <w:i/>
          <w:iCs/>
        </w:rPr>
        <w:t>“Bağlantı Anlaşmasında yer alan cezai şartlar,”</w:t>
      </w:r>
      <w:r w:rsidRPr="002E6439">
        <w:rPr>
          <w:rFonts w:ascii="Calibri" w:hAnsi="Calibri"/>
          <w:iCs/>
        </w:rPr>
        <w:t xml:space="preserve"> ibaresinden sonra gelmek üzere </w:t>
      </w:r>
      <w:r w:rsidRPr="002E6439">
        <w:rPr>
          <w:rFonts w:ascii="Calibri" w:hAnsi="Calibri"/>
          <w:i/>
          <w:iCs/>
        </w:rPr>
        <w:t>“iletim sistemine bağlı üreticiler için iletim sistemi Sistem Kullanım Anlaşmasında yer alan cezai şartlar”</w:t>
      </w:r>
      <w:r w:rsidRPr="002E6439">
        <w:rPr>
          <w:rFonts w:ascii="Calibri" w:hAnsi="Calibri"/>
          <w:iCs/>
        </w:rPr>
        <w:t xml:space="preserve"> ibaresi eklenmiştir.</w:t>
      </w:r>
    </w:p>
    <w:p w:rsidR="002E6439" w:rsidRPr="00327127" w:rsidRDefault="002E6439" w:rsidP="002E6439">
      <w:pPr>
        <w:pStyle w:val="ListeParagraf"/>
        <w:spacing w:after="0"/>
        <w:ind w:left="1440"/>
        <w:rPr>
          <w:rFonts w:ascii="Calibri" w:hAnsi="Calibri"/>
          <w:iCs/>
        </w:rPr>
      </w:pPr>
    </w:p>
    <w:p w:rsidR="002E6439" w:rsidRDefault="002E6439" w:rsidP="000A5A56">
      <w:pPr>
        <w:pStyle w:val="ListeParagraf"/>
        <w:numPr>
          <w:ilvl w:val="0"/>
          <w:numId w:val="25"/>
        </w:numPr>
        <w:spacing w:after="0"/>
        <w:rPr>
          <w:rFonts w:ascii="Calibri" w:hAnsi="Calibri"/>
          <w:iCs/>
        </w:rPr>
      </w:pPr>
      <w:r w:rsidRPr="002E6439">
        <w:rPr>
          <w:rFonts w:ascii="Calibri" w:hAnsi="Calibri"/>
          <w:iCs/>
        </w:rPr>
        <w:t>24 üncü maddesine aşağıdaki fıkra eklenmiştir.</w:t>
      </w:r>
    </w:p>
    <w:p w:rsidR="002E6439" w:rsidRPr="00327127" w:rsidRDefault="002E6439" w:rsidP="002E6439">
      <w:pPr>
        <w:pStyle w:val="ListeParagraf"/>
        <w:spacing w:after="0"/>
        <w:ind w:left="1440"/>
        <w:rPr>
          <w:rFonts w:ascii="Calibri" w:hAnsi="Calibri"/>
          <w:iCs/>
        </w:rPr>
      </w:pPr>
    </w:p>
    <w:p w:rsidR="002E6439" w:rsidRDefault="002E6439" w:rsidP="002E6439">
      <w:pPr>
        <w:pStyle w:val="ListeParagraf"/>
        <w:spacing w:after="0"/>
        <w:ind w:left="1440"/>
        <w:rPr>
          <w:rFonts w:ascii="Calibri" w:hAnsi="Calibri"/>
          <w:i/>
        </w:rPr>
      </w:pPr>
      <w:r w:rsidRPr="002E6439">
        <w:rPr>
          <w:rFonts w:ascii="Calibri" w:hAnsi="Calibri"/>
          <w:i/>
        </w:rPr>
        <w:lastRenderedPageBreak/>
        <w:t>“(8) 5 inci maddenin birinci fıkrasının (d) bendi kapsamında kurulu üretim tesisleriyle, farklı ölçüm noktasında olmak kaydıyla, aynı fıkranın (h) bendi kapsamında üretim tesislerinin birlikte kurulması halinde, yapılacak saatlik mahsuplaşma sonrasında şebekeye verilen ihtiyaç fazlası enerji ilgili mevzuat uyarınca, YEK Kanununa ekli I sayılı Cetvelde lisanssız üretim tesisleri için belirlenen fiyat üzerinden YEKDEM kapsamında değerlendirilir.”</w:t>
      </w:r>
    </w:p>
    <w:p w:rsidR="002E6439" w:rsidRDefault="002E6439" w:rsidP="002E6439">
      <w:pPr>
        <w:pStyle w:val="ListeParagraf"/>
        <w:spacing w:after="0"/>
        <w:ind w:left="1440"/>
        <w:rPr>
          <w:rFonts w:ascii="Calibri" w:hAnsi="Calibri"/>
          <w:i/>
        </w:rPr>
      </w:pPr>
    </w:p>
    <w:p w:rsidR="002E6439" w:rsidRDefault="002E6439" w:rsidP="000A5A56">
      <w:pPr>
        <w:pStyle w:val="ListeParagraf"/>
        <w:numPr>
          <w:ilvl w:val="0"/>
          <w:numId w:val="25"/>
        </w:numPr>
        <w:spacing w:after="0"/>
        <w:rPr>
          <w:rFonts w:ascii="Calibri" w:hAnsi="Calibri"/>
          <w:iCs/>
        </w:rPr>
      </w:pPr>
      <w:r w:rsidRPr="002E6439">
        <w:rPr>
          <w:rFonts w:ascii="Calibri" w:hAnsi="Calibri"/>
          <w:iCs/>
        </w:rPr>
        <w:t xml:space="preserve">25 inci maddesinin birinci fıkrasının (e) bendinde yer alan </w:t>
      </w:r>
      <w:r w:rsidRPr="002E6439">
        <w:rPr>
          <w:rFonts w:ascii="Calibri" w:hAnsi="Calibri"/>
          <w:i/>
          <w:iCs/>
        </w:rPr>
        <w:t>“Piyasa işletmecisi tarafından kendisine yapılan ödemeyi, kendisine ödeme yapılan takvim ayını izleyen ayın en geç beşinci işgününe kadar ilgili üreticilere öder”</w:t>
      </w:r>
      <w:r w:rsidRPr="002E6439">
        <w:rPr>
          <w:rFonts w:ascii="Calibri" w:hAnsi="Calibri"/>
          <w:iCs/>
        </w:rPr>
        <w:t xml:space="preserve"> cümlesinden sonra gelmek üzere </w:t>
      </w:r>
      <w:r w:rsidRPr="002E6439">
        <w:rPr>
          <w:rFonts w:ascii="Calibri" w:hAnsi="Calibri"/>
          <w:i/>
          <w:iCs/>
        </w:rPr>
        <w:t>“ve ödemelerin tamamlanıp tamamlanmadığını, bahse konu tarihi takip eden hafta içinde Kuruma bildirir.”</w:t>
      </w:r>
      <w:r w:rsidRPr="002E6439">
        <w:rPr>
          <w:rFonts w:ascii="Calibri" w:hAnsi="Calibri"/>
          <w:iCs/>
        </w:rPr>
        <w:t xml:space="preserve"> ibaresi ve aynı fıkraya aşağıdaki bent eklenmiştir.</w:t>
      </w:r>
    </w:p>
    <w:p w:rsidR="002E6439" w:rsidRPr="00327127" w:rsidRDefault="002E6439" w:rsidP="002E6439">
      <w:pPr>
        <w:pStyle w:val="ListeParagraf"/>
        <w:spacing w:after="0"/>
        <w:ind w:left="1440"/>
        <w:rPr>
          <w:rFonts w:ascii="Calibri" w:hAnsi="Calibri"/>
          <w:iCs/>
        </w:rPr>
      </w:pPr>
    </w:p>
    <w:p w:rsidR="002E6439" w:rsidRDefault="002E6439" w:rsidP="002E6439">
      <w:pPr>
        <w:pStyle w:val="ListeParagraf"/>
        <w:spacing w:after="0"/>
        <w:ind w:left="1440"/>
        <w:rPr>
          <w:rFonts w:ascii="Calibri" w:hAnsi="Calibri"/>
          <w:i/>
        </w:rPr>
      </w:pPr>
      <w:r w:rsidRPr="002E6439">
        <w:rPr>
          <w:rFonts w:ascii="Calibri" w:hAnsi="Calibri"/>
          <w:i/>
        </w:rPr>
        <w:t>“f) Piyasa işletmecisi tarafından eksik ödeme yapılması halinde, kendisine yapılan ödemeyi kendisine ödeme yapılan takvim ayını izleyen ayın en geç beşinci işgününe kadar ilgili üreticilere, üreticilerin düzenledikleri faturaların fatura düzenleme tarihi dikkate alınarak eskiden yeniye doğru sırasıyla öder. Faturaların tarih sıralamasında, fatura tarihi aynı olan faturaların olması durumunda, aynı tarihli faturalar düşük bedelden yüksek bedel sırasına konularak en düşükten en yükseğe doğru ödemeler gerçekleştirilir.”</w:t>
      </w:r>
    </w:p>
    <w:p w:rsidR="002E6439" w:rsidRDefault="002E6439" w:rsidP="002E6439">
      <w:pPr>
        <w:pStyle w:val="ListeParagraf"/>
        <w:spacing w:after="0"/>
        <w:ind w:left="1440"/>
        <w:rPr>
          <w:rFonts w:ascii="Calibri" w:hAnsi="Calibri"/>
          <w:i/>
        </w:rPr>
      </w:pPr>
    </w:p>
    <w:p w:rsidR="002E6439" w:rsidRDefault="002E6439" w:rsidP="000A5A56">
      <w:pPr>
        <w:pStyle w:val="ListeParagraf"/>
        <w:numPr>
          <w:ilvl w:val="0"/>
          <w:numId w:val="25"/>
        </w:numPr>
        <w:spacing w:after="0"/>
        <w:rPr>
          <w:rFonts w:ascii="Calibri" w:hAnsi="Calibri"/>
          <w:iCs/>
        </w:rPr>
      </w:pPr>
      <w:r w:rsidRPr="002E6439">
        <w:rPr>
          <w:rFonts w:ascii="Calibri" w:hAnsi="Calibri"/>
          <w:iCs/>
        </w:rPr>
        <w:t xml:space="preserve">26 ncı maddesinin birinci fıkrasında yer alan </w:t>
      </w:r>
      <w:r w:rsidRPr="002E6439">
        <w:rPr>
          <w:rFonts w:ascii="Calibri" w:hAnsi="Calibri"/>
          <w:i/>
          <w:iCs/>
        </w:rPr>
        <w:t>“çağrı mektubu almaya hak kazanan”</w:t>
      </w:r>
      <w:r w:rsidRPr="002E6439">
        <w:rPr>
          <w:rFonts w:ascii="Calibri" w:hAnsi="Calibri"/>
          <w:iCs/>
        </w:rPr>
        <w:t xml:space="preserve"> ibaresinden sonra gelmek üzere </w:t>
      </w:r>
      <w:r w:rsidRPr="002E6439">
        <w:rPr>
          <w:rFonts w:ascii="Calibri" w:hAnsi="Calibri"/>
          <w:i/>
          <w:iCs/>
        </w:rPr>
        <w:t>“yenilenebilir enerji kaynaklarına dayalı”</w:t>
      </w:r>
      <w:r w:rsidRPr="002E6439">
        <w:rPr>
          <w:rFonts w:ascii="Calibri" w:hAnsi="Calibri"/>
          <w:iCs/>
        </w:rPr>
        <w:t xml:space="preserve"> ibaresi eklenmiş, aynı maddenin dördüncü fıkrasında yer alan </w:t>
      </w:r>
      <w:r w:rsidRPr="002E6439">
        <w:rPr>
          <w:rFonts w:ascii="Calibri" w:hAnsi="Calibri"/>
          <w:i/>
          <w:iCs/>
        </w:rPr>
        <w:t>“(c) bendi”</w:t>
      </w:r>
      <w:r w:rsidRPr="002E6439">
        <w:rPr>
          <w:rFonts w:ascii="Calibri" w:hAnsi="Calibri"/>
          <w:iCs/>
        </w:rPr>
        <w:t xml:space="preserve"> ibaresi, </w:t>
      </w:r>
      <w:r w:rsidRPr="002E6439">
        <w:rPr>
          <w:rFonts w:ascii="Calibri" w:hAnsi="Calibri"/>
          <w:i/>
          <w:iCs/>
        </w:rPr>
        <w:t>“(c), (f), (g), (ğ), (h), (ı) ve (i) bentleri”</w:t>
      </w:r>
      <w:r w:rsidRPr="002E6439">
        <w:rPr>
          <w:rFonts w:ascii="Calibri" w:hAnsi="Calibri"/>
          <w:iCs/>
        </w:rPr>
        <w:t xml:space="preserve"> şeklinde değiştirilmiş, altıncı fıkrasının (e) bendinde yer alan </w:t>
      </w:r>
      <w:r w:rsidRPr="002E6439">
        <w:rPr>
          <w:rFonts w:ascii="Calibri" w:hAnsi="Calibri"/>
          <w:i/>
          <w:iCs/>
        </w:rPr>
        <w:t>“en geç beşinci işgününe kadar ilgili üreticilere öder”</w:t>
      </w:r>
      <w:r w:rsidRPr="002E6439">
        <w:rPr>
          <w:rFonts w:ascii="Calibri" w:hAnsi="Calibri"/>
          <w:iCs/>
        </w:rPr>
        <w:t xml:space="preserve"> ibaresinden sonra gelmek üzere </w:t>
      </w:r>
      <w:r w:rsidRPr="002E6439">
        <w:rPr>
          <w:rFonts w:ascii="Calibri" w:hAnsi="Calibri"/>
          <w:i/>
          <w:iCs/>
        </w:rPr>
        <w:t>“ve ödemelerin tamamlanıp tamamlanmadığına ilişkin Kuruma bildirimde bulunur.”</w:t>
      </w:r>
      <w:r w:rsidRPr="002E6439">
        <w:rPr>
          <w:rFonts w:ascii="Calibri" w:hAnsi="Calibri"/>
          <w:iCs/>
        </w:rPr>
        <w:t xml:space="preserve"> ibaresi ve aşağıdaki bent eklenmiş, aynı maddeye aşağıda yer alan fıkralar eklenmiştir.</w:t>
      </w:r>
    </w:p>
    <w:p w:rsidR="002E6439" w:rsidRPr="00327127" w:rsidRDefault="002E6439" w:rsidP="002E6439">
      <w:pPr>
        <w:pStyle w:val="ListeParagraf"/>
        <w:spacing w:after="0"/>
        <w:ind w:left="1440"/>
        <w:rPr>
          <w:rFonts w:ascii="Calibri" w:hAnsi="Calibri"/>
          <w:iCs/>
        </w:rPr>
      </w:pPr>
    </w:p>
    <w:p w:rsidR="002E6439" w:rsidRDefault="002E6439" w:rsidP="002E6439">
      <w:pPr>
        <w:pStyle w:val="ListeParagraf"/>
        <w:spacing w:after="0"/>
        <w:ind w:left="1440"/>
        <w:rPr>
          <w:rFonts w:ascii="Calibri" w:hAnsi="Calibri"/>
          <w:i/>
        </w:rPr>
      </w:pPr>
      <w:r w:rsidRPr="002E6439">
        <w:rPr>
          <w:rFonts w:ascii="Calibri" w:hAnsi="Calibri"/>
          <w:i/>
        </w:rPr>
        <w:t>“g) Piyasa işletmecisi tarafından eksik ödeme yapılması halinde, kendisine yapılan ödemeyi kendisine ödeme yapılan takvim ayını izleyen ayın en geç beşinci işgününe kadar ilgili üreticilere ve tedarikçilere, ilgililerin düzenledikleri faturaların fatura düzenleme tarihi dikkate alınarak eskiden yeniye doğru sırasıyla öder. Faturaların tarih sıralamasında, fatura tarihi aynı olan faturaların olması durumunda, aynı tarihli faturalar düşük bedelden yüksek bedel sırasına konularak en düşükten en yükseğe doğru ödemeler gerçekleştirilir.”</w:t>
      </w:r>
    </w:p>
    <w:p w:rsidR="002E6439" w:rsidRPr="002E6439" w:rsidRDefault="002E6439" w:rsidP="002E6439">
      <w:pPr>
        <w:pStyle w:val="ListeParagraf"/>
        <w:spacing w:after="0"/>
        <w:ind w:left="1440"/>
        <w:rPr>
          <w:rFonts w:ascii="Calibri" w:hAnsi="Calibri"/>
          <w:i/>
        </w:rPr>
      </w:pPr>
    </w:p>
    <w:p w:rsidR="002E6439" w:rsidRDefault="002E6439" w:rsidP="002E6439">
      <w:pPr>
        <w:pStyle w:val="ListeParagraf"/>
        <w:spacing w:after="0"/>
        <w:ind w:left="1440"/>
        <w:rPr>
          <w:rFonts w:ascii="Calibri" w:hAnsi="Calibri"/>
          <w:i/>
        </w:rPr>
      </w:pPr>
      <w:r w:rsidRPr="002E6439">
        <w:rPr>
          <w:rFonts w:ascii="Calibri" w:hAnsi="Calibri"/>
          <w:i/>
        </w:rPr>
        <w:t>“(12) Sisteme dağıtım seviyesinden bağlı tüketim tesisleri için 5 inci maddenin birinci fıkrasının (h) bendi kapsamında sisteme iletim seviyesinden bağlanan üretim tesisi veya tesisleri kurulması halinde, üretim tesisine ait elektrik enerjisi veriş miktarları bağlantı anlaşmasında belirlenen yere takılan sayaç verilerinden saatlik bazda tespit edilerek TEİAŞ tarafından her ayın üçüncü işgününe kadar ilgili dağıtım şirketine bildirilir ve bu madde kapsamındaki iş ve işlemler ilgili dağıtım şirketi ile görevli tedarik şirketi tarafından yürütülür.</w:t>
      </w:r>
    </w:p>
    <w:p w:rsidR="002E6439" w:rsidRPr="002E6439" w:rsidRDefault="002E6439" w:rsidP="002E6439">
      <w:pPr>
        <w:pStyle w:val="ListeParagraf"/>
        <w:spacing w:after="0"/>
        <w:ind w:left="1440"/>
        <w:rPr>
          <w:rFonts w:ascii="Calibri" w:hAnsi="Calibri"/>
          <w:i/>
        </w:rPr>
      </w:pPr>
    </w:p>
    <w:p w:rsidR="002E6439" w:rsidRDefault="002E6439" w:rsidP="002E6439">
      <w:pPr>
        <w:pStyle w:val="ListeParagraf"/>
        <w:spacing w:after="0"/>
        <w:ind w:left="1440"/>
        <w:rPr>
          <w:rFonts w:ascii="Calibri" w:hAnsi="Calibri"/>
          <w:i/>
        </w:rPr>
      </w:pPr>
      <w:r w:rsidRPr="002E6439">
        <w:rPr>
          <w:rFonts w:ascii="Calibri" w:hAnsi="Calibri"/>
          <w:i/>
        </w:rPr>
        <w:t xml:space="preserve">(13) 5 inci maddenin birinci fıkrasının (h) bendi kapsamında sisteme farklı dağıtım bölgesi sınırları içerisinden bağlanacak şekilde üretim tesisi veya tesisleri kurulması halinde, tüketim tesisine ait elektrik enerjisi çekiş miktarları ve varsa aynı ölçüm noktasında üretim tesisine ait veriş miktarları bağlantı anlaşmasında belirlenen yere takılan sayaç verilerinden saatlik bazda tespit edilerek </w:t>
      </w:r>
      <w:r w:rsidRPr="002E6439">
        <w:rPr>
          <w:rFonts w:ascii="Calibri" w:hAnsi="Calibri"/>
          <w:i/>
        </w:rPr>
        <w:lastRenderedPageBreak/>
        <w:t>ilgili şebeke işletmecisi tarafından her ayın üçüncü işgününe kadar üretim tesisinin bulunduğu bölgedeki ilgili görevli tedarik şirketine bildirilir ve bu madde kapsamındaki iş ve işlemler ilgili şebeke işletmecisi ile görevli tedarik şirketi tarafından yürütülür. Bu madde kapsamında bir tüketim tesisi için birden fazla üretim tesisi kurulmak istenmesi halinde, tüm üretim tesislerinin aynı görevli tedarik şirketi bölgesi sınırları içinde bulunması zorunludur.</w:t>
      </w:r>
    </w:p>
    <w:p w:rsidR="002E6439" w:rsidRPr="002E6439" w:rsidRDefault="002E6439" w:rsidP="002E6439">
      <w:pPr>
        <w:pStyle w:val="ListeParagraf"/>
        <w:spacing w:after="0"/>
        <w:ind w:left="1440"/>
        <w:rPr>
          <w:rFonts w:ascii="Calibri" w:hAnsi="Calibri"/>
          <w:i/>
        </w:rPr>
      </w:pPr>
    </w:p>
    <w:p w:rsidR="002E6439" w:rsidRDefault="002E6439" w:rsidP="002E6439">
      <w:pPr>
        <w:pStyle w:val="ListeParagraf"/>
        <w:spacing w:after="0"/>
        <w:ind w:left="1440"/>
        <w:rPr>
          <w:rFonts w:ascii="Calibri" w:hAnsi="Calibri"/>
          <w:i/>
        </w:rPr>
      </w:pPr>
      <w:r w:rsidRPr="002E6439">
        <w:rPr>
          <w:rFonts w:ascii="Calibri" w:hAnsi="Calibri"/>
          <w:i/>
        </w:rPr>
        <w:t>(14) Bünyesinde üretim lisanslı kojenerasyon santrali bulunduran işletmelerle, farklı ölçüm noktasında olmak kaydıyla, 5 inci maddenin birinci fıkrasının (h) bendi kapsamında üretim tesislerinin birlikte kurulması halinde, işletmenin tüketimi ile 5 inci maddenin birinci fıkrasının (h) bendi kapsamında kurulan tesis için yapılacak aylık mahsuplaşma sonrasında şebekeye verilen ihtiyaç fazlası enerji ilgili mevzuat uyarınca, YEK Kanununa ekli I sayılı Cetvelde lisanssız üretim tesisleri için belirlenen  fiyat üzerinden YEKDEM kapsamında değerlendirilir.</w:t>
      </w:r>
    </w:p>
    <w:p w:rsidR="002E6439" w:rsidRPr="002E6439" w:rsidRDefault="002E6439" w:rsidP="002E6439">
      <w:pPr>
        <w:pStyle w:val="ListeParagraf"/>
        <w:spacing w:after="0"/>
        <w:ind w:left="1440"/>
        <w:rPr>
          <w:rFonts w:ascii="Calibri" w:hAnsi="Calibri"/>
          <w:i/>
        </w:rPr>
      </w:pPr>
    </w:p>
    <w:p w:rsidR="002E6439" w:rsidRDefault="002E6439" w:rsidP="002E6439">
      <w:pPr>
        <w:pStyle w:val="ListeParagraf"/>
        <w:spacing w:after="0"/>
        <w:ind w:left="1440"/>
        <w:rPr>
          <w:rFonts w:ascii="Calibri" w:hAnsi="Calibri"/>
          <w:i/>
        </w:rPr>
      </w:pPr>
      <w:r w:rsidRPr="002E6439">
        <w:rPr>
          <w:rFonts w:ascii="Calibri" w:hAnsi="Calibri"/>
          <w:i/>
        </w:rPr>
        <w:t>(15) Mahsuplaşma işlemleri bu madde kapsamında yürütülen, birinci fıkranın (ç) bendi kapsamında yer alan üretim tesisleri ile farklı ölçüm noktasında olmak kaydıyla, 5 inci maddenin birinci fıkrasının (h) bendi kapsamında üretim tesislerinin birlikte kurulması halinde, aylık mahsuplaşma sonucunda şebekeye enerji verilmesi halinde, söz konusu enerji miktarı ilgili mevzuat uyarınca YEKDEM kapsamında değerlendirilir. Ancak bu enerjinin görevli tedarik şirketi tarafından üretilerek sisteme verilmiş olduğu kabul edilir ve bu enerji ile ilgili olarak piyasa işletmecisi ve görevli tedarik şirketi tarafından herhangi bir ödeme yapılmaz ve bu kapsamda sisteme verilen enerji YEKDEM’e bedelsiz katkı olarak dikkate alınır. Bu fıkra kapsamında yer alan üretim tesislerinin toplam kurulu gücü, 5 inci maddenin birinci fıkrasının (h) bendi uyarınca ilişkili tüketim tesisine göre belirlenecek toplam kurulu güçten fazla olamaz.</w:t>
      </w:r>
    </w:p>
    <w:p w:rsidR="002E6439" w:rsidRPr="002E6439" w:rsidRDefault="002E6439" w:rsidP="002E6439">
      <w:pPr>
        <w:pStyle w:val="ListeParagraf"/>
        <w:spacing w:after="0"/>
        <w:ind w:left="1440"/>
        <w:rPr>
          <w:rFonts w:ascii="Calibri" w:hAnsi="Calibri"/>
          <w:i/>
        </w:rPr>
      </w:pPr>
    </w:p>
    <w:p w:rsidR="002E6439" w:rsidRDefault="002E6439" w:rsidP="002E6439">
      <w:pPr>
        <w:pStyle w:val="ListeParagraf"/>
        <w:spacing w:after="0"/>
        <w:ind w:left="1440"/>
        <w:rPr>
          <w:rFonts w:ascii="Calibri" w:hAnsi="Calibri"/>
          <w:i/>
        </w:rPr>
      </w:pPr>
      <w:r w:rsidRPr="002E6439">
        <w:rPr>
          <w:rFonts w:ascii="Calibri" w:hAnsi="Calibri"/>
          <w:i/>
        </w:rPr>
        <w:t>(16) 12/5/2019 tarihinden sonra yapılan başvurular neticesinde bağlantı anlaşmasına çağrı mektubu almaya hak kazanan kişilerin, ihtiyacının üzerinde satışa konu edilebilecek üretim miktarı, ilişkili tüketim tesisinin toplam elektrik enerjisi tüketimini geçemez. Bu miktarın üzerinde sisteme verilen enerji YEKDEM’e bedelsiz katkı olarak dikkate alınır. Bu fıkra hükmü, kurulu gücü 50 kW ve altındaki mesken abone grubundaki tüketim tesisleri ile ilişkilendirilen üretim tesisleri için uygulanmaz. Bu fıkranın uygulanmasına ilişkin usul ve esaslar Kurul tarafından belirlenir.”</w:t>
      </w:r>
    </w:p>
    <w:p w:rsidR="002E6439" w:rsidRDefault="002E6439" w:rsidP="002E6439">
      <w:pPr>
        <w:pStyle w:val="ListeParagraf"/>
        <w:spacing w:after="0"/>
        <w:ind w:left="1440"/>
        <w:rPr>
          <w:rFonts w:ascii="Calibri" w:hAnsi="Calibri"/>
          <w:i/>
        </w:rPr>
      </w:pPr>
    </w:p>
    <w:p w:rsidR="002E6439" w:rsidRDefault="002E6439" w:rsidP="000A5A56">
      <w:pPr>
        <w:pStyle w:val="ListeParagraf"/>
        <w:numPr>
          <w:ilvl w:val="0"/>
          <w:numId w:val="25"/>
        </w:numPr>
        <w:spacing w:after="0"/>
        <w:rPr>
          <w:rFonts w:ascii="Calibri" w:hAnsi="Calibri"/>
          <w:iCs/>
        </w:rPr>
      </w:pPr>
      <w:r w:rsidRPr="002E6439">
        <w:rPr>
          <w:rFonts w:ascii="Calibri" w:hAnsi="Calibri"/>
          <w:iCs/>
        </w:rPr>
        <w:t xml:space="preserve">28 inci maddesinin birinci fıkrasında yer alan </w:t>
      </w:r>
      <w:r w:rsidRPr="002E6439">
        <w:rPr>
          <w:rFonts w:ascii="Calibri" w:hAnsi="Calibri"/>
          <w:i/>
          <w:iCs/>
        </w:rPr>
        <w:t>“üretim tesisinde ürettikleri enerji”</w:t>
      </w:r>
      <w:r w:rsidRPr="002E6439">
        <w:rPr>
          <w:rFonts w:ascii="Calibri" w:hAnsi="Calibri"/>
          <w:iCs/>
        </w:rPr>
        <w:t xml:space="preserve"> ibaresinden sonra gelmek üzere </w:t>
      </w:r>
      <w:r w:rsidRPr="002E6439">
        <w:rPr>
          <w:rFonts w:ascii="Calibri" w:hAnsi="Calibri"/>
          <w:i/>
          <w:iCs/>
        </w:rPr>
        <w:t>“5 inci maddenin beşinci fıkrası hükmü saklı kalmak kaydıyla”</w:t>
      </w:r>
      <w:r w:rsidRPr="002E6439">
        <w:rPr>
          <w:rFonts w:ascii="Calibri" w:hAnsi="Calibri"/>
          <w:iCs/>
        </w:rPr>
        <w:t xml:space="preserve"> ibaresi ve aynı fıkranın sonuna </w:t>
      </w:r>
      <w:r w:rsidRPr="002E6439">
        <w:rPr>
          <w:rFonts w:ascii="Calibri" w:hAnsi="Calibri"/>
          <w:i/>
          <w:iCs/>
        </w:rPr>
        <w:t>“5 inci maddenin birinci fıkrasının (h) bendi kapsamında bir üretim tesisinde üretilen enerji, aynı dağıtım bölgesi içerisinde yer alma şartı aranmaksızın aynı kişiye ait tüketim tesisi ya da tesislerinde tüketilebilir. Bu hüküm kapsamında birden fazla tüketim tesisi için üretim tesisi kurulmak istenmesi ve yapılan mahsuplaşma işlemi sonunda tüketimin üretimden büyük olması halinde, tüketim faturası ilişkili tüketim tesislerinin mahsuplaşılmamış tüketimleri oranında düzenlenerek tebliğ edilir.”</w:t>
      </w:r>
      <w:r w:rsidRPr="002E6439">
        <w:rPr>
          <w:rFonts w:ascii="Calibri" w:hAnsi="Calibri"/>
          <w:iCs/>
        </w:rPr>
        <w:t xml:space="preserve"> cümleleri eklenmiş, aynı maddenin ikinci fıkrasının sonuna </w:t>
      </w:r>
      <w:r w:rsidRPr="002E6439">
        <w:rPr>
          <w:rFonts w:ascii="Calibri" w:hAnsi="Calibri"/>
          <w:i/>
          <w:iCs/>
        </w:rPr>
        <w:t>“Ancak OSB dağıtım lisansı bölgesi içinde yer alan bir tüketim tesisi için diğer madde hükümleri saklı kalmak kaydıyla OSB dağıtım lisansı bölgesi dışında da üretim tesisi kurulabilir.”</w:t>
      </w:r>
      <w:r w:rsidRPr="002E6439">
        <w:rPr>
          <w:rFonts w:ascii="Calibri" w:hAnsi="Calibri"/>
          <w:iCs/>
        </w:rPr>
        <w:t xml:space="preserve"> cümlesi eklenmiş, aynı maddenin sekizinci fıkrasında yer alan </w:t>
      </w:r>
      <w:r w:rsidRPr="002E6439">
        <w:rPr>
          <w:rFonts w:ascii="Calibri" w:hAnsi="Calibri"/>
          <w:i/>
          <w:iCs/>
        </w:rPr>
        <w:t>“aya”</w:t>
      </w:r>
      <w:r w:rsidRPr="002E6439">
        <w:rPr>
          <w:rFonts w:ascii="Calibri" w:hAnsi="Calibri"/>
          <w:iCs/>
        </w:rPr>
        <w:t xml:space="preserve"> ibaresi </w:t>
      </w:r>
      <w:r w:rsidRPr="002E6439">
        <w:rPr>
          <w:rFonts w:ascii="Calibri" w:hAnsi="Calibri"/>
          <w:i/>
          <w:iCs/>
        </w:rPr>
        <w:t>“döneme”</w:t>
      </w:r>
      <w:r w:rsidRPr="002E6439">
        <w:rPr>
          <w:rFonts w:ascii="Calibri" w:hAnsi="Calibri"/>
          <w:iCs/>
        </w:rPr>
        <w:t xml:space="preserve"> şeklinde değiştirilmiştir.</w:t>
      </w:r>
    </w:p>
    <w:p w:rsidR="002E6439" w:rsidRDefault="002E6439" w:rsidP="002E6439">
      <w:pPr>
        <w:pStyle w:val="ListeParagraf"/>
        <w:spacing w:after="0"/>
        <w:ind w:left="1440"/>
        <w:rPr>
          <w:rFonts w:ascii="Calibri" w:hAnsi="Calibri"/>
          <w:iCs/>
        </w:rPr>
      </w:pPr>
    </w:p>
    <w:p w:rsidR="002E6439" w:rsidRDefault="002E6439" w:rsidP="000A5A56">
      <w:pPr>
        <w:pStyle w:val="ListeParagraf"/>
        <w:numPr>
          <w:ilvl w:val="0"/>
          <w:numId w:val="25"/>
        </w:numPr>
        <w:spacing w:after="0"/>
        <w:rPr>
          <w:rFonts w:ascii="Calibri" w:hAnsi="Calibri"/>
          <w:iCs/>
        </w:rPr>
      </w:pPr>
      <w:r w:rsidRPr="002E6439">
        <w:rPr>
          <w:rFonts w:ascii="Calibri" w:hAnsi="Calibri"/>
          <w:iCs/>
        </w:rPr>
        <w:lastRenderedPageBreak/>
        <w:t xml:space="preserve">30 uncu maddesinin birinci fıkrasında yer alan </w:t>
      </w:r>
      <w:r w:rsidRPr="002E6439">
        <w:rPr>
          <w:rFonts w:ascii="Calibri" w:hAnsi="Calibri"/>
          <w:i/>
          <w:iCs/>
        </w:rPr>
        <w:t>“ilgili tüketim tesislerinin bağlantı anlaşmasındaki sözleşme gücünü geçmeyecek şekilde”</w:t>
      </w:r>
      <w:r w:rsidRPr="002E6439">
        <w:rPr>
          <w:rFonts w:ascii="Calibri" w:hAnsi="Calibri"/>
          <w:iCs/>
        </w:rPr>
        <w:t xml:space="preserve"> ibaresi kaldırılmış, aynı fıkranın sonuna </w:t>
      </w:r>
      <w:r w:rsidRPr="002E6439">
        <w:rPr>
          <w:rFonts w:ascii="Calibri" w:hAnsi="Calibri"/>
          <w:i/>
          <w:iCs/>
        </w:rPr>
        <w:t>“Ayrıca, 5 inci maddenin birinci fıkrasının (h) bendi kapsamında farklı bir dağıtım bölgesinde de üretim tesisi kurulabilir.”</w:t>
      </w:r>
      <w:r w:rsidRPr="002E6439">
        <w:rPr>
          <w:rFonts w:ascii="Calibri" w:hAnsi="Calibri"/>
          <w:iCs/>
        </w:rPr>
        <w:t xml:space="preserve"> cümlesi eklenmiştir.</w:t>
      </w:r>
    </w:p>
    <w:p w:rsidR="002E6439" w:rsidRDefault="002E6439" w:rsidP="002E6439">
      <w:pPr>
        <w:pStyle w:val="ListeParagraf"/>
        <w:rPr>
          <w:rFonts w:ascii="Calibri" w:hAnsi="Calibri"/>
          <w:iCs/>
        </w:rPr>
      </w:pPr>
    </w:p>
    <w:p w:rsidR="002E6439" w:rsidRDefault="002E6439" w:rsidP="000A5A56">
      <w:pPr>
        <w:pStyle w:val="ListeParagraf"/>
        <w:numPr>
          <w:ilvl w:val="0"/>
          <w:numId w:val="25"/>
        </w:numPr>
        <w:spacing w:after="0"/>
        <w:rPr>
          <w:rFonts w:ascii="Calibri" w:hAnsi="Calibri"/>
          <w:iCs/>
        </w:rPr>
      </w:pPr>
      <w:r w:rsidRPr="002E6439">
        <w:rPr>
          <w:rFonts w:ascii="Calibri" w:hAnsi="Calibri"/>
          <w:iCs/>
        </w:rPr>
        <w:t>36 ncı maddesinin birinci fıkrası aşağıdaki şekilde değiştirilmiştir.</w:t>
      </w:r>
    </w:p>
    <w:p w:rsidR="002E6439" w:rsidRPr="002E6439" w:rsidRDefault="002E6439" w:rsidP="002E6439">
      <w:pPr>
        <w:pStyle w:val="ListeParagraf"/>
        <w:rPr>
          <w:rFonts w:ascii="Calibri" w:hAnsi="Calibri"/>
          <w:iCs/>
        </w:rPr>
      </w:pPr>
    </w:p>
    <w:p w:rsidR="002E6439" w:rsidRDefault="00BC3DA0" w:rsidP="002E6439">
      <w:pPr>
        <w:pStyle w:val="ListeParagraf"/>
        <w:spacing w:after="0"/>
        <w:ind w:left="1440"/>
        <w:rPr>
          <w:rFonts w:ascii="Calibri" w:hAnsi="Calibri"/>
          <w:i/>
        </w:rPr>
      </w:pPr>
      <w:r w:rsidRPr="00BC3DA0">
        <w:rPr>
          <w:rFonts w:ascii="Calibri" w:hAnsi="Calibri"/>
          <w:i/>
        </w:rPr>
        <w:t>“(1) Bu Yönetmelik kapsamındaki üretim tesislerine emreamade kapasite bedeli tahakkuk ettirilmez.”</w:t>
      </w:r>
    </w:p>
    <w:p w:rsidR="00BC3DA0" w:rsidRDefault="00BC3DA0" w:rsidP="002E6439">
      <w:pPr>
        <w:pStyle w:val="ListeParagraf"/>
        <w:spacing w:after="0"/>
        <w:ind w:left="1440"/>
        <w:rPr>
          <w:rFonts w:ascii="Calibri" w:hAnsi="Calibri"/>
          <w:i/>
        </w:rPr>
      </w:pPr>
    </w:p>
    <w:p w:rsidR="00BC3DA0" w:rsidRDefault="00BC3DA0" w:rsidP="000A5A56">
      <w:pPr>
        <w:pStyle w:val="ListeParagraf"/>
        <w:numPr>
          <w:ilvl w:val="0"/>
          <w:numId w:val="25"/>
        </w:numPr>
        <w:spacing w:after="0"/>
        <w:rPr>
          <w:rFonts w:ascii="Calibri" w:hAnsi="Calibri"/>
          <w:iCs/>
        </w:rPr>
      </w:pPr>
      <w:r w:rsidRPr="00BC3DA0">
        <w:rPr>
          <w:rFonts w:ascii="Calibri" w:hAnsi="Calibri"/>
          <w:iCs/>
        </w:rPr>
        <w:t xml:space="preserve">37 nci maddesinin yedinci ve sekizinci fıkraları aşağıdaki şekilde değiştirilmiş, aynı maddenin on birinci fıkrasında yer alan </w:t>
      </w:r>
      <w:r w:rsidRPr="00BC3DA0">
        <w:rPr>
          <w:rFonts w:ascii="Calibri" w:hAnsi="Calibri"/>
          <w:i/>
          <w:iCs/>
        </w:rPr>
        <w:t>“İlgili şebeke işletmecileri ve ilgili görevli tedarik şirketleri bu Yönetmeliğin uygulanması veya Kurum tarafından istenen hususların yerine getirilmesi amacıyla yazılı veya elektronik ortamda gerekli veri ve bilgi transferi yapabilir.”</w:t>
      </w:r>
      <w:r w:rsidRPr="00BC3DA0">
        <w:rPr>
          <w:rFonts w:ascii="Calibri" w:hAnsi="Calibri"/>
          <w:iCs/>
        </w:rPr>
        <w:t xml:space="preserve"> cümlesinden sonra gelmek üzere </w:t>
      </w:r>
      <w:r w:rsidRPr="00BC3DA0">
        <w:rPr>
          <w:rFonts w:ascii="Calibri" w:hAnsi="Calibri"/>
          <w:i/>
          <w:iCs/>
        </w:rPr>
        <w:t>“Haberleşmenin gerekli olduğu durumlarda ilgililerce mevzuatta yer alan işlemlerin aksamamasını temin edecek şekilde sürelere riayet edilmesi ve gerekli tedbirlerin alınması zorunludur.”</w:t>
      </w:r>
      <w:r w:rsidRPr="00BC3DA0">
        <w:rPr>
          <w:rFonts w:ascii="Calibri" w:hAnsi="Calibri"/>
          <w:iCs/>
        </w:rPr>
        <w:t xml:space="preserve"> cümlesi eklenmiştir.</w:t>
      </w:r>
    </w:p>
    <w:p w:rsidR="00BC3DA0" w:rsidRPr="002E6439" w:rsidRDefault="00BC3DA0" w:rsidP="00BC3DA0">
      <w:pPr>
        <w:pStyle w:val="ListeParagraf"/>
        <w:rPr>
          <w:rFonts w:ascii="Calibri" w:hAnsi="Calibri"/>
          <w:iCs/>
        </w:rPr>
      </w:pPr>
    </w:p>
    <w:p w:rsidR="00BC3DA0" w:rsidRDefault="00BC3DA0" w:rsidP="00BC3DA0">
      <w:pPr>
        <w:pStyle w:val="ListeParagraf"/>
        <w:spacing w:after="0"/>
        <w:ind w:left="1440"/>
        <w:rPr>
          <w:rFonts w:ascii="Calibri" w:hAnsi="Calibri"/>
          <w:i/>
        </w:rPr>
      </w:pPr>
      <w:r w:rsidRPr="00BC3DA0">
        <w:rPr>
          <w:rFonts w:ascii="Calibri" w:hAnsi="Calibri"/>
          <w:i/>
        </w:rPr>
        <w:t>“(7) Lisanssız üretim tesisi sahibi tüzel kişinin; kendi tüzel kişiliği altında veya diğer bir tüzel kişi bünyesinde, tüm aktif ve pasifleri ile birlikte birleşmek istemesi halinde, ilgili üretim tesisi veya tesislerinin tamamının kabulünün yapılmış olması kaydıyla, birleşme işlemi mer’i mevzuat kapsamında gerçekleştirilir. Lisanssız üretim tesisi sahibi tüzel kişinin aynı kalması ve pay oranlarının değişmemesi kaydıyla kabul şartı aranmaz. Lisanssız üretim tesisi sahibi tüzel kişiler birleşme işlemini ilgili şebeke işletmecisine bildirir ve taraflar arasında bağlantı ve sistem kullanım anlaşmaları imzalanır.</w:t>
      </w:r>
    </w:p>
    <w:p w:rsidR="00BC3DA0" w:rsidRPr="00BC3DA0" w:rsidRDefault="00BC3DA0" w:rsidP="00BC3DA0">
      <w:pPr>
        <w:pStyle w:val="ListeParagraf"/>
        <w:spacing w:after="0"/>
        <w:ind w:left="1440"/>
        <w:rPr>
          <w:rFonts w:ascii="Calibri" w:hAnsi="Calibri"/>
          <w:i/>
        </w:rPr>
      </w:pPr>
    </w:p>
    <w:p w:rsidR="00BC3DA0" w:rsidRPr="00EF448F" w:rsidRDefault="00BC3DA0" w:rsidP="00BC3DA0">
      <w:pPr>
        <w:pStyle w:val="ListeParagraf"/>
        <w:spacing w:after="0"/>
        <w:ind w:left="1440"/>
        <w:rPr>
          <w:rFonts w:ascii="Calibri" w:hAnsi="Calibri"/>
          <w:i/>
        </w:rPr>
      </w:pPr>
      <w:r w:rsidRPr="00BC3DA0">
        <w:rPr>
          <w:rFonts w:ascii="Calibri" w:hAnsi="Calibri"/>
          <w:i/>
        </w:rPr>
        <w:t>(8) Bu Yönetmelik kapsamındaki bir tüzel kişinin, uhdesindeki üretim tesislerinin tamamının kabulünün yapılmış olması kaydıyla, tam veya kısmi olarak bölünmek istemesi halinde bölünme işlemi mer’i mevzuat kapsamında gerçekleştirilir. Lisanssız üretim tesisi sahibi tüzel kişinin aynı kalması ve pay oranlarının değişmemesi kaydıyla kabul şartı aranmaz. Lisanssız üretim tesisi sahibi tüzel kişiler bölünme işlemini ilgili şebeke işletmecisine bildirir ve taraflar arasında bağlantı ve sistem kullanım anlaşmaları imzalanır.”</w:t>
      </w:r>
    </w:p>
    <w:p w:rsidR="00BC3DA0" w:rsidRDefault="00BC3DA0" w:rsidP="002E6439">
      <w:pPr>
        <w:pStyle w:val="ListeParagraf"/>
        <w:spacing w:after="0"/>
        <w:ind w:left="1440"/>
        <w:rPr>
          <w:rFonts w:ascii="Calibri" w:hAnsi="Calibri"/>
          <w:i/>
        </w:rPr>
      </w:pPr>
    </w:p>
    <w:p w:rsidR="00BC3DA0" w:rsidRDefault="00BC3DA0" w:rsidP="000A5A56">
      <w:pPr>
        <w:pStyle w:val="ListeParagraf"/>
        <w:numPr>
          <w:ilvl w:val="0"/>
          <w:numId w:val="25"/>
        </w:numPr>
        <w:spacing w:after="0"/>
        <w:rPr>
          <w:rFonts w:ascii="Calibri" w:hAnsi="Calibri"/>
          <w:iCs/>
        </w:rPr>
      </w:pPr>
      <w:r w:rsidRPr="00BC3DA0">
        <w:rPr>
          <w:rFonts w:ascii="Calibri" w:hAnsi="Calibri"/>
          <w:iCs/>
        </w:rPr>
        <w:t>Aşağıdaki</w:t>
      </w:r>
      <w:r>
        <w:rPr>
          <w:rFonts w:ascii="Calibri" w:hAnsi="Calibri"/>
          <w:iCs/>
        </w:rPr>
        <w:t xml:space="preserve"> </w:t>
      </w:r>
      <w:r w:rsidRPr="00BC3DA0">
        <w:rPr>
          <w:rFonts w:ascii="Calibri" w:hAnsi="Calibri"/>
          <w:iCs/>
        </w:rPr>
        <w:t>geçici maddeler eklenmiştir.</w:t>
      </w:r>
    </w:p>
    <w:p w:rsidR="00BC3DA0" w:rsidRPr="002E6439" w:rsidRDefault="00BC3DA0" w:rsidP="00BC3DA0">
      <w:pPr>
        <w:pStyle w:val="ListeParagraf"/>
        <w:rPr>
          <w:rFonts w:ascii="Calibri" w:hAnsi="Calibri"/>
          <w:iCs/>
        </w:rPr>
      </w:pPr>
    </w:p>
    <w:p w:rsidR="00BC3DA0" w:rsidRPr="00BC3DA0" w:rsidRDefault="00BC3DA0" w:rsidP="00BC3DA0">
      <w:pPr>
        <w:pStyle w:val="ListeParagraf"/>
        <w:spacing w:after="0"/>
        <w:ind w:left="1440"/>
        <w:rPr>
          <w:rFonts w:ascii="Calibri" w:hAnsi="Calibri"/>
          <w:i/>
        </w:rPr>
      </w:pPr>
      <w:r w:rsidRPr="00BC3DA0">
        <w:rPr>
          <w:rFonts w:ascii="Calibri" w:hAnsi="Calibri"/>
          <w:i/>
        </w:rPr>
        <w:t>“OSB Dağıtım Lisansı sahibi tüzel kişiler tarafından kurulacak tesisler</w:t>
      </w:r>
    </w:p>
    <w:p w:rsidR="00BC3DA0" w:rsidRDefault="00BC3DA0" w:rsidP="00BC3DA0">
      <w:pPr>
        <w:pStyle w:val="ListeParagraf"/>
        <w:spacing w:after="0"/>
        <w:ind w:left="1440"/>
        <w:rPr>
          <w:rFonts w:ascii="Calibri" w:hAnsi="Calibri"/>
          <w:i/>
        </w:rPr>
      </w:pPr>
      <w:r w:rsidRPr="00BC3DA0">
        <w:rPr>
          <w:rFonts w:ascii="Calibri" w:hAnsi="Calibri"/>
          <w:i/>
        </w:rPr>
        <w:t xml:space="preserve">GEÇİCİ MADDE 5- (1) OSB Dağıtım Lisansı Sahibi Tüzel Kişiliğe ait lisanssız üretim tesisleri 14/3/2014 tarihli ve 28941 sayılı Resmî </w:t>
      </w:r>
      <w:r w:rsidR="00274939">
        <w:rPr>
          <w:rFonts w:ascii="Calibri" w:hAnsi="Calibri"/>
          <w:i/>
        </w:rPr>
        <w:t>Gazetede</w:t>
      </w:r>
      <w:r w:rsidRPr="00BC3DA0">
        <w:rPr>
          <w:rFonts w:ascii="Calibri" w:hAnsi="Calibri"/>
          <w:i/>
        </w:rPr>
        <w:t xml:space="preserve"> yayımlanan Organize Sanayi Bölgelerinin Elektrik Piyasası Faaliyetlerine İlişkin Yönetmeliğin 14 üncü maddesi uyarınca tanımlanan bağlantı noktalarında yer alan sayaçlar ile ilişkilendirilir ve mahsuplaşma işlemleri bu sayaçlar üzerinden yürütülür.</w:t>
      </w:r>
    </w:p>
    <w:p w:rsidR="00BC3DA0" w:rsidRPr="00BC3DA0" w:rsidRDefault="00BC3DA0" w:rsidP="00BC3DA0">
      <w:pPr>
        <w:pStyle w:val="ListeParagraf"/>
        <w:spacing w:after="0"/>
        <w:ind w:left="1440"/>
        <w:rPr>
          <w:rFonts w:ascii="Calibri" w:hAnsi="Calibri"/>
          <w:i/>
        </w:rPr>
      </w:pPr>
    </w:p>
    <w:p w:rsidR="00BC3DA0" w:rsidRPr="00BC3DA0" w:rsidRDefault="00BC3DA0" w:rsidP="00BC3DA0">
      <w:pPr>
        <w:pStyle w:val="ListeParagraf"/>
        <w:spacing w:after="0"/>
        <w:ind w:left="1440"/>
        <w:rPr>
          <w:rFonts w:ascii="Calibri" w:hAnsi="Calibri"/>
          <w:i/>
        </w:rPr>
      </w:pPr>
      <w:r w:rsidRPr="00BC3DA0">
        <w:rPr>
          <w:rFonts w:ascii="Calibri" w:hAnsi="Calibri"/>
          <w:i/>
        </w:rPr>
        <w:t>(2) Birinci fıkra kapsamında yer alan ve henüz gerekli ilişkilendirme işlemleri gerçekleştirilmeyen üretim tesisleri için gerekli ilişkilendirme işlemlerinin, ilgisine göre TEİAŞ veya ilgili dağıtım şirketi tarafından 28/2/2023 tarihine kadar tamamlanması zorunludur.</w:t>
      </w:r>
    </w:p>
    <w:p w:rsidR="00BC3DA0" w:rsidRDefault="00BC3DA0" w:rsidP="00BC3DA0">
      <w:pPr>
        <w:pStyle w:val="ListeParagraf"/>
        <w:spacing w:after="0"/>
        <w:ind w:left="1440"/>
        <w:rPr>
          <w:rFonts w:ascii="Calibri" w:hAnsi="Calibri"/>
          <w:i/>
        </w:rPr>
      </w:pPr>
      <w:r w:rsidRPr="00BC3DA0">
        <w:rPr>
          <w:rFonts w:ascii="Calibri" w:hAnsi="Calibri"/>
          <w:i/>
        </w:rPr>
        <w:lastRenderedPageBreak/>
        <w:t>(3) Bu madde kapsamında yer alan ve kabul işlemleri tamamlanarak işletmeye geçen üretim tesislerinde, saatlik veya aylık mahsuplaşma sonucu oluşan ihtiyaç fazlası enerji için ilgili mevzuat hükümleri uyarınca işlem tesis edilir.</w:t>
      </w:r>
    </w:p>
    <w:p w:rsidR="00BC3DA0" w:rsidRPr="00BC3DA0" w:rsidRDefault="00BC3DA0" w:rsidP="00BC3DA0">
      <w:pPr>
        <w:pStyle w:val="ListeParagraf"/>
        <w:spacing w:after="0"/>
        <w:ind w:left="1440"/>
        <w:rPr>
          <w:rFonts w:ascii="Calibri" w:hAnsi="Calibri"/>
          <w:i/>
        </w:rPr>
      </w:pPr>
    </w:p>
    <w:p w:rsidR="00BC3DA0" w:rsidRPr="00BC3DA0" w:rsidRDefault="00BC3DA0" w:rsidP="00BC3DA0">
      <w:pPr>
        <w:pStyle w:val="ListeParagraf"/>
        <w:spacing w:after="0"/>
        <w:ind w:left="1440"/>
        <w:rPr>
          <w:rFonts w:ascii="Calibri" w:hAnsi="Calibri"/>
          <w:i/>
        </w:rPr>
      </w:pPr>
      <w:r w:rsidRPr="00BC3DA0">
        <w:rPr>
          <w:rFonts w:ascii="Calibri" w:hAnsi="Calibri"/>
          <w:i/>
        </w:rPr>
        <w:t>Pirolitik gaz ve pirolitik yağ kullanan lisanssız üretim tesisleri</w:t>
      </w:r>
    </w:p>
    <w:p w:rsidR="00BC3DA0" w:rsidRDefault="00BC3DA0" w:rsidP="00BC3DA0">
      <w:pPr>
        <w:pStyle w:val="ListeParagraf"/>
        <w:spacing w:after="0"/>
        <w:ind w:left="1440"/>
        <w:rPr>
          <w:rFonts w:ascii="Calibri" w:hAnsi="Calibri"/>
          <w:i/>
        </w:rPr>
      </w:pPr>
      <w:r w:rsidRPr="00BC3DA0">
        <w:rPr>
          <w:rFonts w:ascii="Calibri" w:hAnsi="Calibri"/>
          <w:i/>
        </w:rPr>
        <w:t>GEÇİCİ MADDE 6- (1) Bu maddenin yürürlüğe girdiği tarih itibarıyla, atık lastiklerin işlenmesi sonucu ortaya çıkan yan ürünler olan pirolitik yağ ile pirolitik gazın yakıt olarak kullanılması planlanan ve bağlantı anlaşmasına çağrı mektubu düzenlenen, bağlantı anlaşması imzalanan ya da kabulü tamamlanarak işletmeye alınan elektrik üretim tesislerinde de söz konusu yakıtın ilgili elektrik üretim tesisinde üretilmesi ve bu kaynaklar dışında başka kaynak kullanılmaması zorunludur.</w:t>
      </w:r>
    </w:p>
    <w:p w:rsidR="00BC3DA0" w:rsidRPr="00BC3DA0" w:rsidRDefault="00BC3DA0" w:rsidP="00BC3DA0">
      <w:pPr>
        <w:pStyle w:val="ListeParagraf"/>
        <w:spacing w:after="0"/>
        <w:ind w:left="1440"/>
        <w:rPr>
          <w:rFonts w:ascii="Calibri" w:hAnsi="Calibri"/>
          <w:i/>
        </w:rPr>
      </w:pPr>
    </w:p>
    <w:p w:rsidR="00BC3DA0" w:rsidRDefault="00BC3DA0" w:rsidP="00BC3DA0">
      <w:pPr>
        <w:pStyle w:val="ListeParagraf"/>
        <w:spacing w:after="0"/>
        <w:ind w:left="1440"/>
        <w:rPr>
          <w:rFonts w:ascii="Calibri" w:hAnsi="Calibri"/>
          <w:i/>
        </w:rPr>
      </w:pPr>
      <w:r w:rsidRPr="00BC3DA0">
        <w:rPr>
          <w:rFonts w:ascii="Calibri" w:hAnsi="Calibri"/>
          <w:i/>
        </w:rPr>
        <w:t>(2) Kabulü tamamlanan lisanssız üretim tesislerinden, pirolitik yağ ile pirolitik gazı elektrik üretim tesislerinde üretilmeyen ve bu kaynaklar dışında başka kaynak kullanan üretim tesislerinin 31/8/2023 tarihine kadar ilgili yakıtları elektrik üretim tesisinde üretecek şekilde gerekli işlemleri yapar ve varsa diğer kaynakların kullanımına son vermesi gerekir.”</w:t>
      </w:r>
    </w:p>
    <w:p w:rsidR="00BC3DA0" w:rsidRDefault="00BC3DA0" w:rsidP="002E6439">
      <w:pPr>
        <w:pStyle w:val="ListeParagraf"/>
        <w:spacing w:after="0"/>
        <w:ind w:left="1440"/>
        <w:rPr>
          <w:rFonts w:ascii="Calibri" w:hAnsi="Calibri"/>
          <w:i/>
        </w:rPr>
      </w:pPr>
    </w:p>
    <w:p w:rsidR="00BC3DA0" w:rsidRPr="004F2451" w:rsidRDefault="00BC3DA0" w:rsidP="000A5A56">
      <w:pPr>
        <w:pStyle w:val="ListeParagraf"/>
        <w:numPr>
          <w:ilvl w:val="0"/>
          <w:numId w:val="26"/>
        </w:numPr>
        <w:spacing w:after="0"/>
        <w:rPr>
          <w:rFonts w:ascii="Calibri" w:hAnsi="Calibri"/>
          <w:i/>
        </w:rPr>
      </w:pPr>
      <w:r>
        <w:rPr>
          <w:rFonts w:ascii="Calibri" w:hAnsi="Calibri"/>
          <w:bCs/>
        </w:rPr>
        <w:t>08</w:t>
      </w:r>
      <w:r w:rsidRPr="005B3935">
        <w:rPr>
          <w:rFonts w:ascii="Calibri" w:hAnsi="Calibri"/>
          <w:bCs/>
        </w:rPr>
        <w:t>.0</w:t>
      </w:r>
      <w:r>
        <w:rPr>
          <w:rFonts w:ascii="Calibri" w:hAnsi="Calibri"/>
          <w:bCs/>
        </w:rPr>
        <w:t>9</w:t>
      </w:r>
      <w:r w:rsidRPr="005B3935">
        <w:rPr>
          <w:rFonts w:ascii="Calibri" w:hAnsi="Calibri"/>
          <w:bCs/>
        </w:rPr>
        <w:t>.202</w:t>
      </w:r>
      <w:r>
        <w:rPr>
          <w:rFonts w:ascii="Calibri" w:hAnsi="Calibri"/>
          <w:bCs/>
        </w:rPr>
        <w:t>2</w:t>
      </w:r>
      <w:r w:rsidRPr="005B3935">
        <w:rPr>
          <w:rFonts w:ascii="Calibri" w:hAnsi="Calibri"/>
          <w:bCs/>
        </w:rPr>
        <w:t xml:space="preserve"> tarihli ve </w:t>
      </w:r>
      <w:r>
        <w:rPr>
          <w:rFonts w:ascii="Calibri" w:hAnsi="Calibri"/>
          <w:bCs/>
        </w:rPr>
        <w:t>31947</w:t>
      </w:r>
      <w:r w:rsidRPr="005B3935">
        <w:rPr>
          <w:rFonts w:ascii="Calibri" w:hAnsi="Calibri"/>
          <w:bCs/>
        </w:rPr>
        <w:t xml:space="preserve"> sayılı Resmî </w:t>
      </w:r>
      <w:r w:rsidR="00274939">
        <w:rPr>
          <w:rFonts w:ascii="Calibri" w:hAnsi="Calibri"/>
          <w:bCs/>
        </w:rPr>
        <w:t>Gazetede</w:t>
      </w:r>
      <w:r w:rsidRPr="005B3935">
        <w:rPr>
          <w:rFonts w:ascii="Calibri" w:hAnsi="Calibri"/>
          <w:bCs/>
        </w:rPr>
        <w:t xml:space="preserve"> yayımlanan Değişiklik Yönetmeliği ile</w:t>
      </w:r>
      <w:r w:rsidRPr="005B3935">
        <w:rPr>
          <w:rFonts w:ascii="Calibri" w:hAnsi="Calibri"/>
          <w:b/>
          <w:bCs/>
        </w:rPr>
        <w:t xml:space="preserve"> </w:t>
      </w:r>
      <w:r w:rsidRPr="00BC3DA0">
        <w:rPr>
          <w:rFonts w:ascii="Calibri" w:hAnsi="Calibri"/>
          <w:b/>
        </w:rPr>
        <w:t xml:space="preserve">Elektrik Piyasası Bağlantı </w:t>
      </w:r>
      <w:r w:rsidR="00D44F80">
        <w:rPr>
          <w:rFonts w:ascii="Calibri" w:hAnsi="Calibri"/>
          <w:b/>
        </w:rPr>
        <w:t>v</w:t>
      </w:r>
      <w:r w:rsidRPr="00BC3DA0">
        <w:rPr>
          <w:rFonts w:ascii="Calibri" w:hAnsi="Calibri"/>
          <w:b/>
        </w:rPr>
        <w:t>e Sistem Kullanım</w:t>
      </w:r>
      <w:r w:rsidRPr="005E050D">
        <w:rPr>
          <w:rFonts w:ascii="Calibri" w:hAnsi="Calibri"/>
          <w:b/>
        </w:rPr>
        <w:t xml:space="preserve"> Yönetmeliğinin</w:t>
      </w:r>
    </w:p>
    <w:p w:rsidR="004F2451" w:rsidRPr="005E050D" w:rsidRDefault="004F2451" w:rsidP="004F2451">
      <w:pPr>
        <w:pStyle w:val="ListeParagraf"/>
        <w:spacing w:after="0"/>
        <w:rPr>
          <w:rFonts w:ascii="Calibri" w:hAnsi="Calibri"/>
          <w:i/>
        </w:rPr>
      </w:pPr>
    </w:p>
    <w:p w:rsidR="00BC3DA0" w:rsidRDefault="003D6E95" w:rsidP="000A5A56">
      <w:pPr>
        <w:pStyle w:val="ListeParagraf"/>
        <w:numPr>
          <w:ilvl w:val="0"/>
          <w:numId w:val="25"/>
        </w:numPr>
        <w:spacing w:after="0"/>
        <w:rPr>
          <w:rFonts w:ascii="Calibri" w:hAnsi="Calibri"/>
          <w:iCs/>
        </w:rPr>
      </w:pPr>
      <w:r w:rsidRPr="003D6E95">
        <w:rPr>
          <w:rFonts w:ascii="Calibri" w:hAnsi="Calibri"/>
          <w:iCs/>
        </w:rPr>
        <w:t>10/A maddesine aşağıdaki fıkralar eklenmiştir.</w:t>
      </w:r>
    </w:p>
    <w:p w:rsidR="00BC3DA0" w:rsidRDefault="00BC3DA0" w:rsidP="00BC3DA0">
      <w:pPr>
        <w:pStyle w:val="ListeParagraf"/>
        <w:spacing w:after="0"/>
        <w:ind w:left="1440"/>
        <w:rPr>
          <w:rFonts w:ascii="Calibri" w:hAnsi="Calibri"/>
          <w:iCs/>
        </w:rPr>
      </w:pPr>
    </w:p>
    <w:p w:rsidR="003D6E95" w:rsidRDefault="003D6E95" w:rsidP="003D6E95">
      <w:pPr>
        <w:pStyle w:val="ListeParagraf"/>
        <w:spacing w:after="0"/>
        <w:ind w:left="1440"/>
        <w:rPr>
          <w:rFonts w:ascii="Calibri" w:hAnsi="Calibri"/>
          <w:i/>
        </w:rPr>
      </w:pPr>
      <w:r w:rsidRPr="003D6E95">
        <w:rPr>
          <w:rFonts w:ascii="Calibri" w:hAnsi="Calibri"/>
          <w:i/>
        </w:rPr>
        <w:t>“(8) Tarımsal faaliyet amaçlı bağlantı taleplerinde, birden fazla talebin bulunması ve şebeke yatırımının gerekmesi halinde, bu kapsamda tesis edilen bağlantı hatları, tarımsal bağlantı hattı olarak kabul edilir. Bu çerçevede, tarımsal bağlantı hattı tesis edilmesi için, fiili şebeke güzergahına göre uzaklığı 2 km’ye kadar olan kullanım yerleri için en az iki ve uzaklığı 5 km’ye kadar olan kullanım yerleri için en az beş kullanım yerine ilişkin bağlantı başvurusunun yapılmış olması gerekir. Bu kapsamda bulunan kullanım yerlerine ilişkin bağlantı hattı mesafesi her bir kullanım yeri için beş yüz metre olarak uygulanır. Bu çerçevede, ortak kullanıma konu şebeke unsurları ilgili dağıtım şirketi tarafından tesis edilir. Tarımsal bağlantı hattının yapılacağı taşınmazlar için söz konusu taşınmaz malikinin muvafakatinin verilmiş olduğu kabul edilir.</w:t>
      </w:r>
    </w:p>
    <w:p w:rsidR="003D6E95" w:rsidRPr="003D6E95" w:rsidRDefault="003D6E95" w:rsidP="003D6E95">
      <w:pPr>
        <w:pStyle w:val="ListeParagraf"/>
        <w:spacing w:after="0"/>
        <w:ind w:left="1440"/>
        <w:rPr>
          <w:rFonts w:ascii="Calibri" w:hAnsi="Calibri"/>
          <w:i/>
        </w:rPr>
      </w:pPr>
    </w:p>
    <w:p w:rsidR="00BC3DA0" w:rsidRDefault="003D6E95" w:rsidP="003D6E95">
      <w:pPr>
        <w:pStyle w:val="ListeParagraf"/>
        <w:spacing w:after="0"/>
        <w:ind w:left="1440"/>
        <w:rPr>
          <w:rFonts w:ascii="Calibri" w:hAnsi="Calibri"/>
          <w:i/>
        </w:rPr>
      </w:pPr>
      <w:r w:rsidRPr="003D6E95">
        <w:rPr>
          <w:rFonts w:ascii="Calibri" w:hAnsi="Calibri"/>
          <w:i/>
        </w:rPr>
        <w:t>(9) Sekizinci fıkra kapsamında tesis edilen tarımsal bağlantı hattı, geçici kabulünün tamamlanması ile birlikte herhangi bir işleme gerek kalmaksızın dağıtım tesisi niteliğini haiz olur. Talep halinde bu hattan yeni bağlantı görüşleri verilir.”</w:t>
      </w:r>
    </w:p>
    <w:p w:rsidR="00BC3DA0" w:rsidRDefault="00BC3DA0" w:rsidP="002E6439">
      <w:pPr>
        <w:pStyle w:val="ListeParagraf"/>
        <w:spacing w:after="0"/>
        <w:ind w:left="1440"/>
        <w:rPr>
          <w:rFonts w:ascii="Calibri" w:hAnsi="Calibri"/>
          <w:i/>
        </w:rPr>
      </w:pPr>
    </w:p>
    <w:p w:rsidR="003D6E95" w:rsidRDefault="003D6E95" w:rsidP="000A5A56">
      <w:pPr>
        <w:pStyle w:val="ListeParagraf"/>
        <w:numPr>
          <w:ilvl w:val="0"/>
          <w:numId w:val="25"/>
        </w:numPr>
        <w:spacing w:after="0"/>
        <w:rPr>
          <w:rFonts w:ascii="Calibri" w:hAnsi="Calibri"/>
          <w:iCs/>
        </w:rPr>
      </w:pPr>
      <w:r w:rsidRPr="003D6E95">
        <w:rPr>
          <w:rFonts w:ascii="Calibri" w:hAnsi="Calibri"/>
          <w:iCs/>
        </w:rPr>
        <w:t>10/B maddesinin birinci fıkrası aşağıdaki şekilde değiştirilmiştir.</w:t>
      </w:r>
    </w:p>
    <w:p w:rsidR="003D6E95" w:rsidRDefault="003D6E95" w:rsidP="003D6E95">
      <w:pPr>
        <w:pStyle w:val="ListeParagraf"/>
        <w:spacing w:after="0"/>
        <w:ind w:left="1440"/>
        <w:rPr>
          <w:rFonts w:ascii="Calibri" w:hAnsi="Calibri"/>
          <w:iCs/>
        </w:rPr>
      </w:pPr>
    </w:p>
    <w:p w:rsidR="003D6E95" w:rsidRPr="003D6E95" w:rsidRDefault="003D6E95" w:rsidP="003D6E95">
      <w:pPr>
        <w:pStyle w:val="ListeParagraf"/>
        <w:spacing w:after="0"/>
        <w:ind w:left="1440"/>
        <w:rPr>
          <w:rFonts w:ascii="Calibri" w:hAnsi="Calibri"/>
          <w:i/>
        </w:rPr>
      </w:pPr>
      <w:r w:rsidRPr="003D6E95">
        <w:rPr>
          <w:rFonts w:ascii="Calibri" w:hAnsi="Calibri"/>
          <w:i/>
        </w:rPr>
        <w:t>“(1) Bağlantı talebine konu yerin tüketim tesisi olması halinde ilgili tüketim tesisinin dağıtım şebekesine bağlantısının sağlanması amacıyla tesis edilecek bağlantı hattının, kullanım yerinin bulunduğu kullanıcı mülkiyetindeki arazi sınırları dışında kalan kısmı;</w:t>
      </w:r>
    </w:p>
    <w:p w:rsidR="003D6E95" w:rsidRPr="003D6E95" w:rsidRDefault="003D6E95" w:rsidP="003D6E95">
      <w:pPr>
        <w:pStyle w:val="ListeParagraf"/>
        <w:spacing w:after="0"/>
        <w:ind w:left="1440"/>
        <w:rPr>
          <w:rFonts w:ascii="Calibri" w:hAnsi="Calibri"/>
          <w:i/>
        </w:rPr>
      </w:pPr>
      <w:r w:rsidRPr="003D6E95">
        <w:rPr>
          <w:rFonts w:ascii="Calibri" w:hAnsi="Calibri"/>
          <w:i/>
        </w:rPr>
        <w:t>a) Meskun mahal içinde bulunan OG kullanıcıları için beş yüz metreden,</w:t>
      </w:r>
    </w:p>
    <w:p w:rsidR="003D6E95" w:rsidRPr="003D6E95" w:rsidRDefault="003D6E95" w:rsidP="003D6E95">
      <w:pPr>
        <w:pStyle w:val="ListeParagraf"/>
        <w:spacing w:after="0"/>
        <w:ind w:left="1440"/>
        <w:rPr>
          <w:rFonts w:ascii="Calibri" w:hAnsi="Calibri"/>
          <w:i/>
        </w:rPr>
      </w:pPr>
      <w:r w:rsidRPr="003D6E95">
        <w:rPr>
          <w:rFonts w:ascii="Calibri" w:hAnsi="Calibri"/>
          <w:i/>
        </w:rPr>
        <w:t>b) Meskun mahal içinde bulunan AG kullanıcısı için altmış metre, birden fazla kullanıcı olması halinde yüz yirmi metreden,</w:t>
      </w:r>
    </w:p>
    <w:p w:rsidR="003D6E95" w:rsidRPr="003D6E95" w:rsidRDefault="003D6E95" w:rsidP="003D6E95">
      <w:pPr>
        <w:pStyle w:val="ListeParagraf"/>
        <w:spacing w:after="0"/>
        <w:ind w:left="1440"/>
        <w:rPr>
          <w:rFonts w:ascii="Calibri" w:hAnsi="Calibri"/>
          <w:i/>
        </w:rPr>
      </w:pPr>
      <w:r w:rsidRPr="003D6E95">
        <w:rPr>
          <w:rFonts w:ascii="Calibri" w:hAnsi="Calibri"/>
          <w:i/>
        </w:rPr>
        <w:t>c) Meskun mahal dışında bulunan AG kullanıcıları için iki yüz metreden,</w:t>
      </w:r>
    </w:p>
    <w:p w:rsidR="003D6E95" w:rsidRDefault="003D6E95" w:rsidP="003D6E95">
      <w:pPr>
        <w:pStyle w:val="ListeParagraf"/>
        <w:spacing w:after="0"/>
        <w:ind w:left="1440"/>
        <w:rPr>
          <w:rFonts w:ascii="Calibri" w:hAnsi="Calibri"/>
          <w:i/>
        </w:rPr>
      </w:pPr>
      <w:r w:rsidRPr="003D6E95">
        <w:rPr>
          <w:rFonts w:ascii="Calibri" w:hAnsi="Calibri"/>
          <w:i/>
        </w:rPr>
        <w:lastRenderedPageBreak/>
        <w:t>fazla olamaz. Bu mesafeleri aşan kısımlar, dağıtım tesisi çerçevesinde yapılır.”</w:t>
      </w:r>
    </w:p>
    <w:p w:rsidR="003D6E95" w:rsidRDefault="003D6E95" w:rsidP="002E6439">
      <w:pPr>
        <w:pStyle w:val="ListeParagraf"/>
        <w:spacing w:after="0"/>
        <w:ind w:left="1440"/>
        <w:rPr>
          <w:rFonts w:ascii="Calibri" w:hAnsi="Calibri"/>
          <w:i/>
        </w:rPr>
      </w:pPr>
    </w:p>
    <w:p w:rsidR="003D6E95" w:rsidRPr="004F2451" w:rsidRDefault="003D6E95" w:rsidP="000A5A56">
      <w:pPr>
        <w:pStyle w:val="ListeParagraf"/>
        <w:numPr>
          <w:ilvl w:val="0"/>
          <w:numId w:val="26"/>
        </w:numPr>
        <w:spacing w:after="0"/>
        <w:rPr>
          <w:rFonts w:ascii="Calibri" w:hAnsi="Calibri"/>
          <w:i/>
        </w:rPr>
      </w:pPr>
      <w:r>
        <w:rPr>
          <w:rFonts w:ascii="Calibri" w:hAnsi="Calibri"/>
          <w:bCs/>
        </w:rPr>
        <w:t>01</w:t>
      </w:r>
      <w:r w:rsidRPr="005B3935">
        <w:rPr>
          <w:rFonts w:ascii="Calibri" w:hAnsi="Calibri"/>
          <w:bCs/>
        </w:rPr>
        <w:t>.</w:t>
      </w:r>
      <w:r>
        <w:rPr>
          <w:rFonts w:ascii="Calibri" w:hAnsi="Calibri"/>
          <w:bCs/>
        </w:rPr>
        <w:t>10</w:t>
      </w:r>
      <w:r w:rsidRPr="005B3935">
        <w:rPr>
          <w:rFonts w:ascii="Calibri" w:hAnsi="Calibri"/>
          <w:bCs/>
        </w:rPr>
        <w:t>.202</w:t>
      </w:r>
      <w:r>
        <w:rPr>
          <w:rFonts w:ascii="Calibri" w:hAnsi="Calibri"/>
          <w:bCs/>
        </w:rPr>
        <w:t>2</w:t>
      </w:r>
      <w:r w:rsidRPr="005B3935">
        <w:rPr>
          <w:rFonts w:ascii="Calibri" w:hAnsi="Calibri"/>
          <w:bCs/>
        </w:rPr>
        <w:t xml:space="preserve"> tarihli ve </w:t>
      </w:r>
      <w:r>
        <w:rPr>
          <w:rFonts w:ascii="Calibri" w:hAnsi="Calibri"/>
          <w:bCs/>
        </w:rPr>
        <w:t>31970</w:t>
      </w:r>
      <w:r w:rsidRPr="005B3935">
        <w:rPr>
          <w:rFonts w:ascii="Calibri" w:hAnsi="Calibri"/>
          <w:bCs/>
        </w:rPr>
        <w:t xml:space="preserve"> sayılı Resmî </w:t>
      </w:r>
      <w:r w:rsidR="00274939">
        <w:rPr>
          <w:rFonts w:ascii="Calibri" w:hAnsi="Calibri"/>
          <w:bCs/>
        </w:rPr>
        <w:t>Gazetede</w:t>
      </w:r>
      <w:r w:rsidRPr="005B3935">
        <w:rPr>
          <w:rFonts w:ascii="Calibri" w:hAnsi="Calibri"/>
          <w:bCs/>
        </w:rPr>
        <w:t xml:space="preserve"> yayımlanan Değişiklik Yönetmeliği ile</w:t>
      </w:r>
      <w:r w:rsidRPr="005B3935">
        <w:rPr>
          <w:rFonts w:ascii="Calibri" w:hAnsi="Calibri"/>
          <w:b/>
          <w:bCs/>
        </w:rPr>
        <w:t xml:space="preserve"> </w:t>
      </w:r>
      <w:r w:rsidRPr="003D6E95">
        <w:rPr>
          <w:rFonts w:ascii="Calibri" w:hAnsi="Calibri"/>
          <w:b/>
        </w:rPr>
        <w:t>Elektrik Piyasasında Lisanssız Elektrik Üretim</w:t>
      </w:r>
      <w:r w:rsidRPr="005E050D">
        <w:rPr>
          <w:rFonts w:ascii="Calibri" w:hAnsi="Calibri"/>
          <w:b/>
        </w:rPr>
        <w:t xml:space="preserve"> Yönetmeliğinin</w:t>
      </w:r>
    </w:p>
    <w:p w:rsidR="004F2451" w:rsidRPr="005E050D" w:rsidRDefault="004F2451" w:rsidP="004F2451">
      <w:pPr>
        <w:pStyle w:val="ListeParagraf"/>
        <w:spacing w:after="0"/>
        <w:rPr>
          <w:rFonts w:ascii="Calibri" w:hAnsi="Calibri"/>
          <w:i/>
        </w:rPr>
      </w:pPr>
    </w:p>
    <w:p w:rsidR="003D6E95" w:rsidRDefault="003D6E95" w:rsidP="000A5A56">
      <w:pPr>
        <w:pStyle w:val="ListeParagraf"/>
        <w:numPr>
          <w:ilvl w:val="0"/>
          <w:numId w:val="25"/>
        </w:numPr>
        <w:spacing w:after="0"/>
        <w:rPr>
          <w:rFonts w:ascii="Calibri" w:hAnsi="Calibri"/>
          <w:iCs/>
        </w:rPr>
      </w:pPr>
      <w:r w:rsidRPr="003D6E95">
        <w:rPr>
          <w:rFonts w:ascii="Calibri" w:hAnsi="Calibri"/>
          <w:iCs/>
        </w:rPr>
        <w:t>26 ncı maddesinin on üçüncü fıkrası aşağıdaki şekilde değiştirilmiştir.</w:t>
      </w:r>
    </w:p>
    <w:p w:rsidR="003D6E95" w:rsidRDefault="003D6E95" w:rsidP="003D6E95">
      <w:pPr>
        <w:pStyle w:val="ListeParagraf"/>
        <w:spacing w:after="0"/>
        <w:ind w:left="1440"/>
        <w:rPr>
          <w:rFonts w:ascii="Calibri" w:hAnsi="Calibri"/>
          <w:iCs/>
        </w:rPr>
      </w:pPr>
    </w:p>
    <w:p w:rsidR="003D6E95" w:rsidRDefault="003D6E95" w:rsidP="003D6E95">
      <w:pPr>
        <w:pStyle w:val="ListeParagraf"/>
        <w:spacing w:after="0"/>
        <w:ind w:left="1440"/>
        <w:rPr>
          <w:rFonts w:ascii="Calibri" w:hAnsi="Calibri"/>
          <w:i/>
        </w:rPr>
      </w:pPr>
      <w:r w:rsidRPr="003D6E95">
        <w:rPr>
          <w:rFonts w:ascii="Calibri" w:hAnsi="Calibri"/>
          <w:i/>
        </w:rPr>
        <w:t>“(13) 5 inci maddenin birinci fıkrasının (h) bendi kapsamında sisteme farklı dağıtım bölgesi sınırları içerisinden bağlanacak şekilde üretim tesisi veya tesisleri kurulması halinde, tüketim tesis veya tesislerine ait elektrik enerjisi çekiş miktarları ve varsa aynı ölçüm noktasında üretim tesisine ait veriş miktarları bağlantı anlaşmasında belirlenen yere takılan sayaç verilerinden saatlik bazda tespit edilerek ilgili şebeke işletmecisi tarafından her ayın üçüncü işgününe kadar ilgili görevli tedarik şirketine veya ilgili piyasa işletmecisine bildirilir. Bu madde kapsamında bir veya birden fazla tüketim tesisi için birden fazla üretim tesisi kurulmak istenmesi halinde, farklı görevli tedarik şirketi bölgesi sınırları içinde de üretim tesisi kurulabilir. Üretim ve/veya tüketim tesislerinin farklı dağıtım ya da görevli tedarik şirketi bölgesi sınırları içinde olması durumunda mahsuplaşma işlemleri, piyasa işletmecisi tarafından yürütülür.”</w:t>
      </w:r>
    </w:p>
    <w:p w:rsidR="003D6E95" w:rsidRDefault="003D6E95" w:rsidP="002E6439">
      <w:pPr>
        <w:pStyle w:val="ListeParagraf"/>
        <w:spacing w:after="0"/>
        <w:ind w:left="1440"/>
        <w:rPr>
          <w:rFonts w:ascii="Calibri" w:hAnsi="Calibri"/>
          <w:i/>
        </w:rPr>
      </w:pPr>
    </w:p>
    <w:p w:rsidR="003D6E95" w:rsidRDefault="003D6E95" w:rsidP="000A5A56">
      <w:pPr>
        <w:pStyle w:val="ListeParagraf"/>
        <w:numPr>
          <w:ilvl w:val="0"/>
          <w:numId w:val="25"/>
        </w:numPr>
        <w:spacing w:after="0"/>
        <w:rPr>
          <w:rFonts w:ascii="Calibri" w:hAnsi="Calibri"/>
          <w:iCs/>
        </w:rPr>
      </w:pPr>
      <w:r w:rsidRPr="003D6E95">
        <w:rPr>
          <w:rFonts w:ascii="Calibri" w:hAnsi="Calibri"/>
          <w:iCs/>
        </w:rPr>
        <w:t xml:space="preserve">28 inci maddesinin birinci fıkrasında yer alan </w:t>
      </w:r>
      <w:r w:rsidRPr="003D6E95">
        <w:rPr>
          <w:rFonts w:ascii="Calibri" w:hAnsi="Calibri"/>
          <w:i/>
          <w:iCs/>
        </w:rPr>
        <w:t>“5 inci maddenin birinci fıkrasının (h) bendi kapsamında bir üretim tesisinde”</w:t>
      </w:r>
      <w:r w:rsidRPr="003D6E95">
        <w:rPr>
          <w:rFonts w:ascii="Calibri" w:hAnsi="Calibri"/>
          <w:iCs/>
        </w:rPr>
        <w:t xml:space="preserve"> ibaresi </w:t>
      </w:r>
      <w:r w:rsidRPr="003D6E95">
        <w:rPr>
          <w:rFonts w:ascii="Calibri" w:hAnsi="Calibri"/>
          <w:i/>
          <w:iCs/>
        </w:rPr>
        <w:t>“5 inci maddenin birinci fıkrasının (h) bendi kapsamındaki üretim tesislerinde”</w:t>
      </w:r>
      <w:r w:rsidRPr="003D6E95">
        <w:rPr>
          <w:rFonts w:ascii="Calibri" w:hAnsi="Calibri"/>
          <w:iCs/>
        </w:rPr>
        <w:t xml:space="preserve"> şeklinde, ikinci fıkrasında yer alan </w:t>
      </w:r>
      <w:r w:rsidRPr="003D6E95">
        <w:rPr>
          <w:rFonts w:ascii="Calibri" w:hAnsi="Calibri"/>
          <w:i/>
          <w:iCs/>
        </w:rPr>
        <w:t>“ancak yine OSB dağıtım lisans bölgesi içindeki”</w:t>
      </w:r>
      <w:r w:rsidRPr="003D6E95">
        <w:rPr>
          <w:rFonts w:ascii="Calibri" w:hAnsi="Calibri"/>
          <w:iCs/>
        </w:rPr>
        <w:t xml:space="preserve"> ibaresi </w:t>
      </w:r>
      <w:r w:rsidRPr="003D6E95">
        <w:rPr>
          <w:rFonts w:ascii="Calibri" w:hAnsi="Calibri"/>
          <w:i/>
          <w:iCs/>
        </w:rPr>
        <w:t>“OSB dağıtım lisans bölgesi dışındaki”</w:t>
      </w:r>
      <w:r w:rsidRPr="003D6E95">
        <w:rPr>
          <w:rFonts w:ascii="Calibri" w:hAnsi="Calibri"/>
          <w:iCs/>
        </w:rPr>
        <w:t xml:space="preserve"> şeklinde değiştirilmiştir.</w:t>
      </w:r>
    </w:p>
    <w:p w:rsidR="003D6E95" w:rsidRDefault="003D6E95" w:rsidP="003D6E95">
      <w:pPr>
        <w:pStyle w:val="ListeParagraf"/>
        <w:spacing w:after="0"/>
        <w:ind w:left="1440"/>
        <w:rPr>
          <w:rFonts w:ascii="Calibri" w:hAnsi="Calibri"/>
          <w:iCs/>
        </w:rPr>
      </w:pPr>
    </w:p>
    <w:p w:rsidR="003D6E95" w:rsidRDefault="003D6E95" w:rsidP="000A5A56">
      <w:pPr>
        <w:pStyle w:val="ListeParagraf"/>
        <w:numPr>
          <w:ilvl w:val="0"/>
          <w:numId w:val="25"/>
        </w:numPr>
        <w:spacing w:after="0"/>
        <w:rPr>
          <w:rFonts w:ascii="Calibri" w:hAnsi="Calibri"/>
          <w:iCs/>
        </w:rPr>
      </w:pPr>
      <w:r w:rsidRPr="003D6E95">
        <w:rPr>
          <w:rFonts w:ascii="Calibri" w:hAnsi="Calibri"/>
          <w:iCs/>
        </w:rPr>
        <w:t>30 uncu maddesinin ikinci fıkrasında yer alan “aynı dağıtım bölgesinde yer almak koşuluyla” ibaresi yürürlükten kaldırılmış ve aynı maddenin beşinci fıkrasına aşağıdaki cümle eklenmiştir.</w:t>
      </w:r>
    </w:p>
    <w:p w:rsidR="003D6E95" w:rsidRPr="003D6E95" w:rsidRDefault="003D6E95" w:rsidP="003D6E95">
      <w:pPr>
        <w:pStyle w:val="ListeParagraf"/>
        <w:rPr>
          <w:rFonts w:ascii="Calibri" w:hAnsi="Calibri"/>
          <w:iCs/>
        </w:rPr>
      </w:pPr>
    </w:p>
    <w:p w:rsidR="003D6E95" w:rsidRDefault="003D6E95" w:rsidP="003D6E95">
      <w:pPr>
        <w:pStyle w:val="ListeParagraf"/>
        <w:spacing w:after="0"/>
        <w:ind w:left="1440"/>
        <w:rPr>
          <w:rFonts w:ascii="Calibri" w:hAnsi="Calibri"/>
          <w:i/>
        </w:rPr>
      </w:pPr>
      <w:r w:rsidRPr="003D6E95">
        <w:rPr>
          <w:rFonts w:ascii="Calibri" w:hAnsi="Calibri"/>
          <w:i/>
        </w:rPr>
        <w:t>“Serbest tüketici hakkını kullanmayarak görevli tedarik şirketinden elektrik temin eden tüketim tesisleri için bu fıkra hükmü uygulanmaz.”</w:t>
      </w:r>
    </w:p>
    <w:p w:rsidR="003D6E95" w:rsidRPr="003D6E95" w:rsidRDefault="003D6E95" w:rsidP="003D6E95">
      <w:pPr>
        <w:pStyle w:val="ListeParagraf"/>
        <w:spacing w:after="0"/>
        <w:ind w:left="1440"/>
        <w:rPr>
          <w:rFonts w:ascii="Calibri" w:hAnsi="Calibri"/>
          <w:i/>
        </w:rPr>
      </w:pPr>
    </w:p>
    <w:p w:rsidR="003D6E95" w:rsidRDefault="003D6E95" w:rsidP="000A5A56">
      <w:pPr>
        <w:pStyle w:val="ListeParagraf"/>
        <w:numPr>
          <w:ilvl w:val="0"/>
          <w:numId w:val="25"/>
        </w:numPr>
        <w:spacing w:after="0"/>
        <w:rPr>
          <w:rFonts w:ascii="Calibri" w:hAnsi="Calibri"/>
          <w:iCs/>
        </w:rPr>
      </w:pPr>
      <w:r w:rsidRPr="003D6E95">
        <w:rPr>
          <w:rFonts w:ascii="Calibri" w:hAnsi="Calibri"/>
          <w:iCs/>
        </w:rPr>
        <w:t>Aşağıdaki</w:t>
      </w:r>
      <w:r>
        <w:rPr>
          <w:rFonts w:ascii="Calibri" w:hAnsi="Calibri"/>
          <w:iCs/>
        </w:rPr>
        <w:t xml:space="preserve"> </w:t>
      </w:r>
      <w:r w:rsidRPr="003D6E95">
        <w:rPr>
          <w:rFonts w:ascii="Calibri" w:hAnsi="Calibri"/>
          <w:iCs/>
        </w:rPr>
        <w:t>geçici madde eklenmiştir.</w:t>
      </w:r>
    </w:p>
    <w:p w:rsidR="003D6E95" w:rsidRDefault="003D6E95" w:rsidP="003D6E95">
      <w:pPr>
        <w:pStyle w:val="ListeParagraf"/>
        <w:spacing w:after="0"/>
        <w:ind w:left="1440"/>
        <w:rPr>
          <w:rFonts w:ascii="Calibri" w:hAnsi="Calibri"/>
          <w:iCs/>
        </w:rPr>
      </w:pPr>
    </w:p>
    <w:p w:rsidR="003D6E95" w:rsidRPr="003D6E95" w:rsidRDefault="003D6E95" w:rsidP="003D6E95">
      <w:pPr>
        <w:pStyle w:val="ListeParagraf"/>
        <w:spacing w:after="0"/>
        <w:ind w:left="1440"/>
        <w:rPr>
          <w:rFonts w:ascii="Calibri" w:hAnsi="Calibri"/>
          <w:i/>
        </w:rPr>
      </w:pPr>
      <w:r w:rsidRPr="003D6E95">
        <w:rPr>
          <w:rFonts w:ascii="Calibri" w:hAnsi="Calibri"/>
          <w:i/>
        </w:rPr>
        <w:t>“Birden fazla dağıtım ve/veya görevli tedarik bölgesi içerisinde yapılacak başvurulara ait mahsuplaşma işlemleri</w:t>
      </w:r>
    </w:p>
    <w:p w:rsidR="003D6E95" w:rsidRPr="003D6E95" w:rsidRDefault="003D6E95" w:rsidP="003D6E95">
      <w:pPr>
        <w:pStyle w:val="ListeParagraf"/>
        <w:spacing w:after="0"/>
        <w:ind w:left="1440"/>
        <w:rPr>
          <w:rFonts w:ascii="Calibri" w:hAnsi="Calibri"/>
          <w:i/>
        </w:rPr>
      </w:pPr>
      <w:r w:rsidRPr="003D6E95">
        <w:rPr>
          <w:rFonts w:ascii="Calibri" w:hAnsi="Calibri"/>
          <w:i/>
        </w:rPr>
        <w:t>GEÇİCİ MADDE 7- (1) 26 ncı ve 30 uncu maddeler kapsamında işlemleri yürütülen tesislerde, üretim ve/veya tüketim tesislerinin farklı dağıtım ya da görevli tedarik şirketi bölgesi sınırları içinde olması halinde mahsuplaşma işlemlerinin nasıl yürütüleceğine ilişkin gerekli altyapı 3 (üç) ay içerisinde piyasa işletmecisi tarafından hazırlanır.</w:t>
      </w:r>
    </w:p>
    <w:p w:rsidR="003D6E95" w:rsidRPr="003D6E95" w:rsidRDefault="003D6E95" w:rsidP="003D6E95">
      <w:pPr>
        <w:pStyle w:val="ListeParagraf"/>
        <w:spacing w:after="0"/>
        <w:ind w:left="1440"/>
        <w:rPr>
          <w:rFonts w:ascii="Calibri" w:hAnsi="Calibri"/>
          <w:i/>
        </w:rPr>
      </w:pPr>
      <w:r w:rsidRPr="003D6E95">
        <w:rPr>
          <w:rFonts w:ascii="Calibri" w:hAnsi="Calibri"/>
          <w:i/>
        </w:rPr>
        <w:t>(2) Üretim tesislerinin farklı görevli tedarik şirketi bölgesi sınırları içinde olmasına yönelik yeni başvurular ile halihazırda işletmede olan tesislere yönelik talepler, 1/1/2023 tarihinden itibaren değerlendirmeye alınır.</w:t>
      </w:r>
    </w:p>
    <w:p w:rsidR="003D6E95" w:rsidRDefault="003D6E95" w:rsidP="003D6E95">
      <w:pPr>
        <w:pStyle w:val="ListeParagraf"/>
        <w:spacing w:after="0"/>
        <w:ind w:left="1440"/>
        <w:rPr>
          <w:rFonts w:ascii="Calibri" w:hAnsi="Calibri"/>
          <w:i/>
        </w:rPr>
      </w:pPr>
      <w:r w:rsidRPr="003D6E95">
        <w:rPr>
          <w:rFonts w:ascii="Calibri" w:hAnsi="Calibri"/>
          <w:i/>
        </w:rPr>
        <w:t>(3) Bu Yönetmeliğin yayımlandığı tarih itibarıyla işletmede olan veya 1/1/2023 tarihine kadar işletmeye girecek üretim tesisleri ile farklı dağıtım ya da görevli tedarik şirketi bölgesi içindeki tüketim tesislerinin mahsuplaşma işlemleri, 1/1/2023 tarihine kadar üretim tesisinin bulunduğu bölgedeki görevli tedarik şirketi tarafından yürütülür.”</w:t>
      </w:r>
    </w:p>
    <w:p w:rsidR="003D6E95" w:rsidRDefault="003D6E95" w:rsidP="002E6439">
      <w:pPr>
        <w:pStyle w:val="ListeParagraf"/>
        <w:spacing w:after="0"/>
        <w:ind w:left="1440"/>
        <w:rPr>
          <w:rFonts w:ascii="Calibri" w:hAnsi="Calibri"/>
          <w:i/>
        </w:rPr>
      </w:pPr>
    </w:p>
    <w:p w:rsidR="003D6E95" w:rsidRPr="004F2451" w:rsidRDefault="003D6E95" w:rsidP="000A5A56">
      <w:pPr>
        <w:pStyle w:val="ListeParagraf"/>
        <w:numPr>
          <w:ilvl w:val="0"/>
          <w:numId w:val="26"/>
        </w:numPr>
        <w:spacing w:after="0"/>
        <w:rPr>
          <w:rFonts w:ascii="Calibri" w:hAnsi="Calibri"/>
          <w:i/>
        </w:rPr>
      </w:pPr>
      <w:r>
        <w:rPr>
          <w:rFonts w:ascii="Calibri" w:hAnsi="Calibri"/>
          <w:bCs/>
        </w:rPr>
        <w:lastRenderedPageBreak/>
        <w:t>19</w:t>
      </w:r>
      <w:r w:rsidRPr="005B3935">
        <w:rPr>
          <w:rFonts w:ascii="Calibri" w:hAnsi="Calibri"/>
          <w:bCs/>
        </w:rPr>
        <w:t>.</w:t>
      </w:r>
      <w:r>
        <w:rPr>
          <w:rFonts w:ascii="Calibri" w:hAnsi="Calibri"/>
          <w:bCs/>
        </w:rPr>
        <w:t>11</w:t>
      </w:r>
      <w:r w:rsidRPr="005B3935">
        <w:rPr>
          <w:rFonts w:ascii="Calibri" w:hAnsi="Calibri"/>
          <w:bCs/>
        </w:rPr>
        <w:t>.202</w:t>
      </w:r>
      <w:r>
        <w:rPr>
          <w:rFonts w:ascii="Calibri" w:hAnsi="Calibri"/>
          <w:bCs/>
        </w:rPr>
        <w:t>2</w:t>
      </w:r>
      <w:r w:rsidRPr="005B3935">
        <w:rPr>
          <w:rFonts w:ascii="Calibri" w:hAnsi="Calibri"/>
          <w:bCs/>
        </w:rPr>
        <w:t xml:space="preserve"> tarihli ve </w:t>
      </w:r>
      <w:r>
        <w:rPr>
          <w:rFonts w:ascii="Calibri" w:hAnsi="Calibri"/>
          <w:bCs/>
        </w:rPr>
        <w:t>32018</w:t>
      </w:r>
      <w:r w:rsidRPr="005B3935">
        <w:rPr>
          <w:rFonts w:ascii="Calibri" w:hAnsi="Calibri"/>
          <w:bCs/>
        </w:rPr>
        <w:t xml:space="preserve"> sayılı Resmî </w:t>
      </w:r>
      <w:r w:rsidR="00274939">
        <w:rPr>
          <w:rFonts w:ascii="Calibri" w:hAnsi="Calibri"/>
          <w:bCs/>
        </w:rPr>
        <w:t>Gazetede</w:t>
      </w:r>
      <w:r w:rsidRPr="005B3935">
        <w:rPr>
          <w:rFonts w:ascii="Calibri" w:hAnsi="Calibri"/>
          <w:bCs/>
        </w:rPr>
        <w:t xml:space="preserve"> yayımlanan Değişiklik Yönetmeliği ile</w:t>
      </w:r>
      <w:r w:rsidRPr="005B3935">
        <w:rPr>
          <w:rFonts w:ascii="Calibri" w:hAnsi="Calibri"/>
          <w:b/>
          <w:bCs/>
        </w:rPr>
        <w:t xml:space="preserve"> </w:t>
      </w:r>
      <w:r w:rsidRPr="003D6E95">
        <w:rPr>
          <w:rFonts w:ascii="Calibri" w:hAnsi="Calibri"/>
          <w:b/>
        </w:rPr>
        <w:t xml:space="preserve">Elektrik Piyasası Bağlantı </w:t>
      </w:r>
      <w:r w:rsidR="00D44F80">
        <w:rPr>
          <w:rFonts w:ascii="Calibri" w:hAnsi="Calibri"/>
          <w:b/>
        </w:rPr>
        <w:t>v</w:t>
      </w:r>
      <w:r w:rsidRPr="003D6E95">
        <w:rPr>
          <w:rFonts w:ascii="Calibri" w:hAnsi="Calibri"/>
          <w:b/>
        </w:rPr>
        <w:t>e Sistem Kullanım</w:t>
      </w:r>
      <w:r w:rsidRPr="005E050D">
        <w:rPr>
          <w:rFonts w:ascii="Calibri" w:hAnsi="Calibri"/>
          <w:b/>
        </w:rPr>
        <w:t xml:space="preserve"> Yönetmeliğinin</w:t>
      </w:r>
    </w:p>
    <w:p w:rsidR="004F2451" w:rsidRPr="005E050D" w:rsidRDefault="004F2451" w:rsidP="004F2451">
      <w:pPr>
        <w:pStyle w:val="ListeParagraf"/>
        <w:spacing w:after="0"/>
        <w:rPr>
          <w:rFonts w:ascii="Calibri" w:hAnsi="Calibri"/>
          <w:i/>
        </w:rPr>
      </w:pPr>
    </w:p>
    <w:p w:rsidR="003D6E95" w:rsidRDefault="003D6E95" w:rsidP="000A5A56">
      <w:pPr>
        <w:pStyle w:val="ListeParagraf"/>
        <w:numPr>
          <w:ilvl w:val="0"/>
          <w:numId w:val="25"/>
        </w:numPr>
        <w:spacing w:after="0"/>
        <w:rPr>
          <w:rFonts w:ascii="Calibri" w:hAnsi="Calibri"/>
          <w:iCs/>
        </w:rPr>
      </w:pPr>
      <w:r w:rsidRPr="003D6E95">
        <w:rPr>
          <w:rFonts w:ascii="Calibri" w:hAnsi="Calibri"/>
          <w:iCs/>
        </w:rPr>
        <w:t>5/A maddesinin birinci fıkrası yürürlükten kaldırılmıştır.</w:t>
      </w:r>
    </w:p>
    <w:p w:rsidR="003D6E95" w:rsidRDefault="003D6E95" w:rsidP="003D6E95">
      <w:pPr>
        <w:pStyle w:val="ListeParagraf"/>
        <w:spacing w:after="0"/>
        <w:ind w:left="1440"/>
        <w:rPr>
          <w:rFonts w:ascii="Calibri" w:hAnsi="Calibri"/>
          <w:iCs/>
        </w:rPr>
      </w:pPr>
    </w:p>
    <w:p w:rsidR="003D6E95" w:rsidRPr="004F2451" w:rsidRDefault="003D6E95" w:rsidP="000A5A56">
      <w:pPr>
        <w:pStyle w:val="ListeParagraf"/>
        <w:numPr>
          <w:ilvl w:val="0"/>
          <w:numId w:val="26"/>
        </w:numPr>
        <w:spacing w:after="0"/>
        <w:rPr>
          <w:rFonts w:ascii="Calibri" w:hAnsi="Calibri"/>
          <w:i/>
        </w:rPr>
      </w:pPr>
      <w:r>
        <w:rPr>
          <w:rFonts w:ascii="Calibri" w:hAnsi="Calibri"/>
          <w:bCs/>
        </w:rPr>
        <w:t>19</w:t>
      </w:r>
      <w:r w:rsidRPr="005B3935">
        <w:rPr>
          <w:rFonts w:ascii="Calibri" w:hAnsi="Calibri"/>
          <w:bCs/>
        </w:rPr>
        <w:t>.</w:t>
      </w:r>
      <w:r>
        <w:rPr>
          <w:rFonts w:ascii="Calibri" w:hAnsi="Calibri"/>
          <w:bCs/>
        </w:rPr>
        <w:t>11</w:t>
      </w:r>
      <w:r w:rsidRPr="005B3935">
        <w:rPr>
          <w:rFonts w:ascii="Calibri" w:hAnsi="Calibri"/>
          <w:bCs/>
        </w:rPr>
        <w:t>.202</w:t>
      </w:r>
      <w:r>
        <w:rPr>
          <w:rFonts w:ascii="Calibri" w:hAnsi="Calibri"/>
          <w:bCs/>
        </w:rPr>
        <w:t>2</w:t>
      </w:r>
      <w:r w:rsidRPr="005B3935">
        <w:rPr>
          <w:rFonts w:ascii="Calibri" w:hAnsi="Calibri"/>
          <w:bCs/>
        </w:rPr>
        <w:t xml:space="preserve"> tarihli ve </w:t>
      </w:r>
      <w:r>
        <w:rPr>
          <w:rFonts w:ascii="Calibri" w:hAnsi="Calibri"/>
          <w:bCs/>
        </w:rPr>
        <w:t>32018</w:t>
      </w:r>
      <w:r w:rsidRPr="005B3935">
        <w:rPr>
          <w:rFonts w:ascii="Calibri" w:hAnsi="Calibri"/>
          <w:bCs/>
        </w:rPr>
        <w:t xml:space="preserve"> sayılı Resmî </w:t>
      </w:r>
      <w:r w:rsidR="00274939">
        <w:rPr>
          <w:rFonts w:ascii="Calibri" w:hAnsi="Calibri"/>
          <w:bCs/>
        </w:rPr>
        <w:t>Gazetede</w:t>
      </w:r>
      <w:r w:rsidRPr="005B3935">
        <w:rPr>
          <w:rFonts w:ascii="Calibri" w:hAnsi="Calibri"/>
          <w:bCs/>
        </w:rPr>
        <w:t xml:space="preserve"> yayımlanan Değişiklik Yönetmeliği ile</w:t>
      </w:r>
      <w:r w:rsidRPr="005B3935">
        <w:rPr>
          <w:rFonts w:ascii="Calibri" w:hAnsi="Calibri"/>
          <w:b/>
          <w:bCs/>
        </w:rPr>
        <w:t xml:space="preserve"> </w:t>
      </w:r>
      <w:r w:rsidRPr="003D6E95">
        <w:rPr>
          <w:rFonts w:ascii="Calibri" w:hAnsi="Calibri"/>
          <w:b/>
        </w:rPr>
        <w:t xml:space="preserve">Elektrik Piyasası Dengeleme </w:t>
      </w:r>
      <w:r w:rsidR="00D44F80">
        <w:rPr>
          <w:rFonts w:ascii="Calibri" w:hAnsi="Calibri"/>
          <w:b/>
        </w:rPr>
        <w:t>v</w:t>
      </w:r>
      <w:r w:rsidRPr="003D6E95">
        <w:rPr>
          <w:rFonts w:ascii="Calibri" w:hAnsi="Calibri"/>
          <w:b/>
        </w:rPr>
        <w:t>e Uzlaştırma</w:t>
      </w:r>
      <w:r w:rsidRPr="005E050D">
        <w:rPr>
          <w:rFonts w:ascii="Calibri" w:hAnsi="Calibri"/>
          <w:b/>
        </w:rPr>
        <w:t xml:space="preserve"> Yönetmeliğinin</w:t>
      </w:r>
    </w:p>
    <w:p w:rsidR="004F2451" w:rsidRPr="005E050D" w:rsidRDefault="004F2451" w:rsidP="004F2451">
      <w:pPr>
        <w:pStyle w:val="ListeParagraf"/>
        <w:spacing w:after="0"/>
        <w:rPr>
          <w:rFonts w:ascii="Calibri" w:hAnsi="Calibri"/>
          <w:i/>
        </w:rPr>
      </w:pPr>
    </w:p>
    <w:p w:rsidR="003D6E95" w:rsidRDefault="007C34DC" w:rsidP="000A5A56">
      <w:pPr>
        <w:pStyle w:val="ListeParagraf"/>
        <w:numPr>
          <w:ilvl w:val="0"/>
          <w:numId w:val="25"/>
        </w:numPr>
        <w:spacing w:after="0"/>
        <w:rPr>
          <w:rFonts w:ascii="Calibri" w:hAnsi="Calibri"/>
          <w:iCs/>
        </w:rPr>
      </w:pPr>
      <w:r w:rsidRPr="007C34DC">
        <w:rPr>
          <w:rFonts w:ascii="Calibri" w:hAnsi="Calibri"/>
          <w:iCs/>
        </w:rPr>
        <w:t xml:space="preserve">4 üncü maddesinin birinci fıkrasının (s) bendinde yer alan </w:t>
      </w:r>
      <w:r w:rsidRPr="007C34DC">
        <w:rPr>
          <w:rFonts w:ascii="Calibri" w:hAnsi="Calibri"/>
          <w:i/>
          <w:iCs/>
        </w:rPr>
        <w:t>“elektrik depolama”</w:t>
      </w:r>
      <w:r w:rsidRPr="007C34DC">
        <w:rPr>
          <w:rFonts w:ascii="Calibri" w:hAnsi="Calibri"/>
          <w:iCs/>
        </w:rPr>
        <w:t xml:space="preserve"> ibaresinden sonra gelmek üzere </w:t>
      </w:r>
      <w:r w:rsidRPr="007C34DC">
        <w:rPr>
          <w:rFonts w:ascii="Calibri" w:hAnsi="Calibri"/>
          <w:i/>
          <w:iCs/>
        </w:rPr>
        <w:t>“ünitesini veya”</w:t>
      </w:r>
      <w:r w:rsidRPr="007C34DC">
        <w:rPr>
          <w:rFonts w:ascii="Calibri" w:hAnsi="Calibri"/>
          <w:iCs/>
        </w:rPr>
        <w:t xml:space="preserve"> ibaresi eklenmiş, (iiiiii) bendi aşağıdaki şekilde değiştirilmiş ve aynı fıkraya aşağıdaki bent eklenmiştir.</w:t>
      </w:r>
    </w:p>
    <w:p w:rsidR="003D6E95" w:rsidRDefault="003D6E95" w:rsidP="003D6E95">
      <w:pPr>
        <w:pStyle w:val="ListeParagraf"/>
        <w:spacing w:after="0"/>
        <w:ind w:left="1440"/>
        <w:rPr>
          <w:rFonts w:ascii="Calibri" w:hAnsi="Calibri"/>
          <w:iCs/>
        </w:rPr>
      </w:pPr>
    </w:p>
    <w:p w:rsidR="007C34DC" w:rsidRPr="007C34DC" w:rsidRDefault="007C34DC" w:rsidP="007C34DC">
      <w:pPr>
        <w:pStyle w:val="ListeParagraf"/>
        <w:spacing w:after="0"/>
        <w:ind w:left="1440"/>
        <w:rPr>
          <w:rFonts w:ascii="Calibri" w:hAnsi="Calibri"/>
          <w:i/>
        </w:rPr>
      </w:pPr>
      <w:r w:rsidRPr="007C34DC">
        <w:rPr>
          <w:rFonts w:ascii="Calibri" w:hAnsi="Calibri"/>
          <w:i/>
        </w:rPr>
        <w:t>“iiiiii) Elektrik depolama tesisi: Elektrik enerjisini başka bir enerji türüne çevirerek depolayabilen ve depolanan enerjiyi kullanılmak üzere tekrar elektrik enerjisine çevirerek sisteme verebilen tesisi,”</w:t>
      </w:r>
    </w:p>
    <w:p w:rsidR="003D6E95" w:rsidRDefault="007C34DC" w:rsidP="007C34DC">
      <w:pPr>
        <w:pStyle w:val="ListeParagraf"/>
        <w:spacing w:after="0"/>
        <w:ind w:left="1440"/>
        <w:rPr>
          <w:rFonts w:ascii="Calibri" w:hAnsi="Calibri"/>
          <w:i/>
        </w:rPr>
      </w:pPr>
      <w:r w:rsidRPr="007C34DC">
        <w:rPr>
          <w:rFonts w:ascii="Calibri" w:hAnsi="Calibri"/>
          <w:i/>
        </w:rPr>
        <w:t>“jjjjjj) Depolamalı elektrik üretim tesisi: Kanunun 7 nci maddesinin onuncu ve on birinci fıkraları kapsamında kurulan üretim tesisini,”</w:t>
      </w:r>
    </w:p>
    <w:p w:rsidR="007C34DC" w:rsidRDefault="007C34DC" w:rsidP="007C34DC">
      <w:pPr>
        <w:pStyle w:val="ListeParagraf"/>
        <w:spacing w:after="0"/>
        <w:ind w:left="1440"/>
        <w:rPr>
          <w:rFonts w:ascii="Calibri" w:hAnsi="Calibri"/>
          <w:i/>
        </w:rPr>
      </w:pPr>
    </w:p>
    <w:p w:rsidR="007C34DC" w:rsidRDefault="007C34DC" w:rsidP="000A5A56">
      <w:pPr>
        <w:pStyle w:val="ListeParagraf"/>
        <w:numPr>
          <w:ilvl w:val="0"/>
          <w:numId w:val="25"/>
        </w:numPr>
        <w:spacing w:after="0"/>
        <w:rPr>
          <w:rFonts w:ascii="Calibri" w:hAnsi="Calibri"/>
          <w:iCs/>
        </w:rPr>
      </w:pPr>
      <w:r w:rsidRPr="007C34DC">
        <w:rPr>
          <w:rFonts w:ascii="Calibri" w:hAnsi="Calibri"/>
          <w:iCs/>
        </w:rPr>
        <w:t xml:space="preserve">17 nci maddesinin üçüncü fıkrasının (a) bendi aşağıdaki şekilde değiştirilmiş, (b) bendinde yer alan </w:t>
      </w:r>
      <w:r w:rsidRPr="007C34DC">
        <w:rPr>
          <w:rFonts w:ascii="Calibri" w:hAnsi="Calibri"/>
          <w:i/>
          <w:iCs/>
        </w:rPr>
        <w:t>“üretim veya elektrik depolama”</w:t>
      </w:r>
      <w:r w:rsidRPr="007C34DC">
        <w:rPr>
          <w:rFonts w:ascii="Calibri" w:hAnsi="Calibri"/>
          <w:iCs/>
        </w:rPr>
        <w:t xml:space="preserve"> ibarelerinden sonra gelmek üzere </w:t>
      </w:r>
      <w:r w:rsidRPr="007C34DC">
        <w:rPr>
          <w:rFonts w:ascii="Calibri" w:hAnsi="Calibri"/>
          <w:i/>
          <w:iCs/>
        </w:rPr>
        <w:t>“ünitesinin veya”</w:t>
      </w:r>
      <w:r w:rsidRPr="007C34DC">
        <w:rPr>
          <w:rFonts w:ascii="Calibri" w:hAnsi="Calibri"/>
          <w:iCs/>
        </w:rPr>
        <w:t xml:space="preserve"> ibareleri eklenmiştir.</w:t>
      </w:r>
    </w:p>
    <w:p w:rsidR="007C34DC" w:rsidRDefault="007C34DC" w:rsidP="007C34DC">
      <w:pPr>
        <w:pStyle w:val="ListeParagraf"/>
        <w:spacing w:after="0"/>
        <w:ind w:left="1440"/>
        <w:rPr>
          <w:rFonts w:ascii="Calibri" w:hAnsi="Calibri"/>
          <w:iCs/>
        </w:rPr>
      </w:pPr>
    </w:p>
    <w:p w:rsidR="007C34DC" w:rsidRPr="007C34DC" w:rsidRDefault="007C34DC" w:rsidP="007C34DC">
      <w:pPr>
        <w:pStyle w:val="ListeParagraf"/>
        <w:spacing w:after="0"/>
        <w:ind w:left="1440"/>
        <w:rPr>
          <w:rFonts w:ascii="Calibri" w:hAnsi="Calibri"/>
          <w:i/>
        </w:rPr>
      </w:pPr>
      <w:r w:rsidRPr="007C34DC">
        <w:rPr>
          <w:rFonts w:ascii="Calibri" w:hAnsi="Calibri"/>
          <w:i/>
        </w:rPr>
        <w:t>“a) Bakanlık tarafından kabulü yapılmış bir üretim veya elektrik depolama ünitesine veya tesisine ilişkin kayıt işlemlerinin tamamlanmamış olması halinde, söz konusu üretim veya elektrik depolama ünitesinin veya tesisinin iletim veya dağıtım sistemine verdiği elektrik enerjisi uzlaştırma hesaplamalarında dikkate alınmaz. İletim veya dağıtım sistemine verilen elektrik enerjisi miktarına ilişkin olarak Piyasa İşletmecisi tarafından herhangi bir tahakkuk ve ödeme yapılmaz. Bu üretim veya elektrik depolama ünitesinin veya tesisinin iletim veya dağıtım sisteminden çektiği elektrik enerjisi miktarı, usulsüz elektrik enerjisi tüketimine ilişkin ilgili mevzuat hükümleri çerçevesinde değerlendirilir.”</w:t>
      </w:r>
    </w:p>
    <w:p w:rsidR="007C34DC" w:rsidRDefault="007C34DC" w:rsidP="007C34DC">
      <w:pPr>
        <w:pStyle w:val="ListeParagraf"/>
        <w:spacing w:after="0"/>
        <w:ind w:left="1440"/>
        <w:rPr>
          <w:rFonts w:ascii="Calibri" w:hAnsi="Calibri"/>
          <w:i/>
        </w:rPr>
      </w:pPr>
    </w:p>
    <w:p w:rsidR="007C34DC" w:rsidRDefault="007C34DC" w:rsidP="000A5A56">
      <w:pPr>
        <w:pStyle w:val="ListeParagraf"/>
        <w:numPr>
          <w:ilvl w:val="0"/>
          <w:numId w:val="25"/>
        </w:numPr>
        <w:spacing w:after="0"/>
        <w:rPr>
          <w:rFonts w:ascii="Calibri" w:hAnsi="Calibri"/>
          <w:iCs/>
        </w:rPr>
      </w:pPr>
      <w:r w:rsidRPr="007C34DC">
        <w:rPr>
          <w:rFonts w:ascii="Calibri" w:hAnsi="Calibri"/>
          <w:iCs/>
        </w:rPr>
        <w:t xml:space="preserve">21 inci maddesinin ikinci fıkrasının (g) bendinde yer alan </w:t>
      </w:r>
      <w:r w:rsidRPr="007C34DC">
        <w:rPr>
          <w:rFonts w:ascii="Calibri" w:hAnsi="Calibri"/>
          <w:i/>
          <w:iCs/>
        </w:rPr>
        <w:t>“Elektrik depolama”</w:t>
      </w:r>
      <w:r w:rsidRPr="007C34DC">
        <w:rPr>
          <w:rFonts w:ascii="Calibri" w:hAnsi="Calibri"/>
          <w:iCs/>
        </w:rPr>
        <w:t xml:space="preserve"> ibaresinden sonra gelmek üzere </w:t>
      </w:r>
      <w:r w:rsidRPr="007C34DC">
        <w:rPr>
          <w:rFonts w:ascii="Calibri" w:hAnsi="Calibri"/>
          <w:i/>
          <w:iCs/>
        </w:rPr>
        <w:t>“ünitesi veya”</w:t>
      </w:r>
      <w:r w:rsidRPr="007C34DC">
        <w:rPr>
          <w:rFonts w:ascii="Calibri" w:hAnsi="Calibri"/>
          <w:iCs/>
        </w:rPr>
        <w:t xml:space="preserve"> ibaresi eklenmiştir.</w:t>
      </w:r>
    </w:p>
    <w:p w:rsidR="007C34DC" w:rsidRDefault="007C34DC" w:rsidP="007C34DC">
      <w:pPr>
        <w:pStyle w:val="ListeParagraf"/>
        <w:spacing w:after="0"/>
        <w:ind w:left="1440"/>
        <w:rPr>
          <w:rFonts w:ascii="Calibri" w:hAnsi="Calibri"/>
          <w:i/>
        </w:rPr>
      </w:pPr>
    </w:p>
    <w:p w:rsidR="007C34DC" w:rsidRDefault="007C34DC" w:rsidP="000A5A56">
      <w:pPr>
        <w:pStyle w:val="ListeParagraf"/>
        <w:numPr>
          <w:ilvl w:val="0"/>
          <w:numId w:val="25"/>
        </w:numPr>
        <w:spacing w:after="0"/>
        <w:rPr>
          <w:rFonts w:ascii="Calibri" w:hAnsi="Calibri"/>
          <w:iCs/>
        </w:rPr>
      </w:pPr>
      <w:r w:rsidRPr="007C34DC">
        <w:rPr>
          <w:rFonts w:ascii="Calibri" w:hAnsi="Calibri"/>
          <w:iCs/>
        </w:rPr>
        <w:t xml:space="preserve">22 nci maddesinin ikinci fıkrasının (c) bendinde yer alan </w:t>
      </w:r>
      <w:r w:rsidRPr="007C34DC">
        <w:rPr>
          <w:rFonts w:ascii="Calibri" w:hAnsi="Calibri"/>
          <w:i/>
          <w:iCs/>
        </w:rPr>
        <w:t>“elektrik depolama”</w:t>
      </w:r>
      <w:r w:rsidRPr="007C34DC">
        <w:rPr>
          <w:rFonts w:ascii="Calibri" w:hAnsi="Calibri"/>
          <w:iCs/>
        </w:rPr>
        <w:t xml:space="preserve"> ibaresinden sonra gelmek üzere </w:t>
      </w:r>
      <w:r w:rsidRPr="007C34DC">
        <w:rPr>
          <w:rFonts w:ascii="Calibri" w:hAnsi="Calibri"/>
          <w:i/>
          <w:iCs/>
        </w:rPr>
        <w:t>“ünitesi veya”</w:t>
      </w:r>
      <w:r w:rsidRPr="007C34DC">
        <w:rPr>
          <w:rFonts w:ascii="Calibri" w:hAnsi="Calibri"/>
          <w:iCs/>
        </w:rPr>
        <w:t xml:space="preserve"> ibaresi eklenmiştir.</w:t>
      </w:r>
    </w:p>
    <w:p w:rsidR="007C34DC" w:rsidRDefault="007C34DC" w:rsidP="007C34DC">
      <w:pPr>
        <w:pStyle w:val="ListeParagraf"/>
        <w:spacing w:after="0"/>
        <w:ind w:left="1440"/>
        <w:rPr>
          <w:rFonts w:ascii="Calibri" w:hAnsi="Calibri"/>
          <w:i/>
        </w:rPr>
      </w:pPr>
    </w:p>
    <w:p w:rsidR="007C34DC" w:rsidRDefault="007C34DC" w:rsidP="000A5A56">
      <w:pPr>
        <w:pStyle w:val="ListeParagraf"/>
        <w:numPr>
          <w:ilvl w:val="0"/>
          <w:numId w:val="25"/>
        </w:numPr>
        <w:spacing w:after="0"/>
        <w:rPr>
          <w:rFonts w:ascii="Calibri" w:hAnsi="Calibri"/>
          <w:iCs/>
        </w:rPr>
      </w:pPr>
      <w:r w:rsidRPr="007C34DC">
        <w:rPr>
          <w:rFonts w:ascii="Calibri" w:hAnsi="Calibri"/>
          <w:iCs/>
        </w:rPr>
        <w:t xml:space="preserve">28 inci maddesinin birinci fıkrasının (c) bendinde yer alan </w:t>
      </w:r>
      <w:r w:rsidRPr="007C34DC">
        <w:rPr>
          <w:rFonts w:ascii="Calibri" w:hAnsi="Calibri"/>
          <w:i/>
          <w:iCs/>
        </w:rPr>
        <w:t>“üretim tesislerine ait lisanslar ile”</w:t>
      </w:r>
      <w:r w:rsidRPr="007C34DC">
        <w:rPr>
          <w:rFonts w:ascii="Calibri" w:hAnsi="Calibri"/>
          <w:iCs/>
        </w:rPr>
        <w:t xml:space="preserve"> ibaresinden ve (ç) bendinde yer alan </w:t>
      </w:r>
      <w:r w:rsidRPr="007C34DC">
        <w:rPr>
          <w:rFonts w:ascii="Calibri" w:hAnsi="Calibri"/>
          <w:i/>
          <w:iCs/>
        </w:rPr>
        <w:t>“Üretim tesisleri,”</w:t>
      </w:r>
      <w:r w:rsidRPr="007C34DC">
        <w:rPr>
          <w:rFonts w:ascii="Calibri" w:hAnsi="Calibri"/>
          <w:iCs/>
        </w:rPr>
        <w:t xml:space="preserve"> ibaresinden sonra gelmek üzere </w:t>
      </w:r>
      <w:r w:rsidRPr="007C34DC">
        <w:rPr>
          <w:rFonts w:ascii="Calibri" w:hAnsi="Calibri"/>
          <w:i/>
          <w:iCs/>
        </w:rPr>
        <w:t>“depolamalı elektrik üretim tesisleri bünyesindeki elektrik depolama ünitesi,”</w:t>
      </w:r>
      <w:r w:rsidRPr="007C34DC">
        <w:rPr>
          <w:rFonts w:ascii="Calibri" w:hAnsi="Calibri"/>
          <w:iCs/>
        </w:rPr>
        <w:t xml:space="preserve"> ibaresi eklenmiştir.</w:t>
      </w:r>
    </w:p>
    <w:p w:rsidR="007C34DC" w:rsidRDefault="007C34DC" w:rsidP="007C34DC">
      <w:pPr>
        <w:pStyle w:val="ListeParagraf"/>
        <w:spacing w:after="0"/>
        <w:ind w:left="1440"/>
        <w:rPr>
          <w:rFonts w:ascii="Calibri" w:hAnsi="Calibri"/>
          <w:i/>
        </w:rPr>
      </w:pPr>
    </w:p>
    <w:p w:rsidR="007C34DC" w:rsidRDefault="007C34DC" w:rsidP="000A5A56">
      <w:pPr>
        <w:pStyle w:val="ListeParagraf"/>
        <w:numPr>
          <w:ilvl w:val="0"/>
          <w:numId w:val="25"/>
        </w:numPr>
        <w:spacing w:after="0"/>
        <w:rPr>
          <w:rFonts w:ascii="Calibri" w:hAnsi="Calibri"/>
          <w:iCs/>
        </w:rPr>
      </w:pPr>
      <w:r w:rsidRPr="007C34DC">
        <w:rPr>
          <w:rFonts w:ascii="Calibri" w:hAnsi="Calibri"/>
          <w:iCs/>
        </w:rPr>
        <w:t xml:space="preserve">68 inci maddesinin birinci fıkrasının (a) bendinde yer alan </w:t>
      </w:r>
      <w:r w:rsidRPr="007C34DC">
        <w:rPr>
          <w:rFonts w:ascii="Calibri" w:hAnsi="Calibri"/>
          <w:i/>
          <w:iCs/>
        </w:rPr>
        <w:t>“elektrik depolama”</w:t>
      </w:r>
      <w:r w:rsidRPr="007C34DC">
        <w:rPr>
          <w:rFonts w:ascii="Calibri" w:hAnsi="Calibri"/>
          <w:iCs/>
        </w:rPr>
        <w:t xml:space="preserve"> ibaresinden sonra gelmek üzere </w:t>
      </w:r>
      <w:r w:rsidRPr="007C34DC">
        <w:rPr>
          <w:rFonts w:ascii="Calibri" w:hAnsi="Calibri"/>
          <w:i/>
          <w:iCs/>
        </w:rPr>
        <w:t xml:space="preserve">“ünitesi veya” </w:t>
      </w:r>
      <w:r w:rsidRPr="007C34DC">
        <w:rPr>
          <w:rFonts w:ascii="Calibri" w:hAnsi="Calibri"/>
          <w:iCs/>
        </w:rPr>
        <w:t>ibaresi eklenmiştir.</w:t>
      </w:r>
    </w:p>
    <w:p w:rsidR="007C34DC" w:rsidRDefault="007C34DC" w:rsidP="007C34DC">
      <w:pPr>
        <w:pStyle w:val="ListeParagraf"/>
        <w:spacing w:after="0"/>
        <w:ind w:left="1440"/>
        <w:rPr>
          <w:rFonts w:ascii="Calibri" w:hAnsi="Calibri"/>
          <w:i/>
        </w:rPr>
      </w:pPr>
    </w:p>
    <w:p w:rsidR="007C34DC" w:rsidRDefault="007C34DC" w:rsidP="000A5A56">
      <w:pPr>
        <w:pStyle w:val="ListeParagraf"/>
        <w:numPr>
          <w:ilvl w:val="0"/>
          <w:numId w:val="25"/>
        </w:numPr>
        <w:spacing w:after="0"/>
        <w:rPr>
          <w:rFonts w:ascii="Calibri" w:hAnsi="Calibri"/>
          <w:iCs/>
        </w:rPr>
      </w:pPr>
      <w:r w:rsidRPr="007C34DC">
        <w:rPr>
          <w:rFonts w:ascii="Calibri" w:hAnsi="Calibri"/>
          <w:iCs/>
        </w:rPr>
        <w:lastRenderedPageBreak/>
        <w:t xml:space="preserve">69 uncu maddesinin beşinci fıkrasında yer alan </w:t>
      </w:r>
      <w:r w:rsidRPr="007C34DC">
        <w:rPr>
          <w:rFonts w:ascii="Calibri" w:hAnsi="Calibri"/>
          <w:i/>
          <w:iCs/>
        </w:rPr>
        <w:t>“elektrik depolama”</w:t>
      </w:r>
      <w:r w:rsidRPr="007C34DC">
        <w:rPr>
          <w:rFonts w:ascii="Calibri" w:hAnsi="Calibri"/>
          <w:iCs/>
        </w:rPr>
        <w:t xml:space="preserve"> ibarelerinden sonra gelmek üzere </w:t>
      </w:r>
      <w:r w:rsidRPr="007C34DC">
        <w:rPr>
          <w:rFonts w:ascii="Calibri" w:hAnsi="Calibri"/>
          <w:i/>
          <w:iCs/>
        </w:rPr>
        <w:t>“üniteleri veya”</w:t>
      </w:r>
      <w:r w:rsidRPr="007C34DC">
        <w:rPr>
          <w:rFonts w:ascii="Calibri" w:hAnsi="Calibri"/>
          <w:iCs/>
        </w:rPr>
        <w:t xml:space="preserve"> ibareleri eklenmiştir.</w:t>
      </w:r>
    </w:p>
    <w:p w:rsidR="007C34DC" w:rsidRDefault="007C34DC" w:rsidP="007C34DC">
      <w:pPr>
        <w:pStyle w:val="ListeParagraf"/>
        <w:spacing w:after="0"/>
        <w:ind w:left="1440"/>
        <w:rPr>
          <w:rFonts w:ascii="Calibri" w:hAnsi="Calibri"/>
          <w:i/>
        </w:rPr>
      </w:pPr>
    </w:p>
    <w:p w:rsidR="007C34DC" w:rsidRDefault="007C34DC" w:rsidP="000A5A56">
      <w:pPr>
        <w:pStyle w:val="ListeParagraf"/>
        <w:numPr>
          <w:ilvl w:val="0"/>
          <w:numId w:val="25"/>
        </w:numPr>
        <w:spacing w:after="0"/>
        <w:rPr>
          <w:rFonts w:ascii="Calibri" w:hAnsi="Calibri"/>
          <w:iCs/>
        </w:rPr>
      </w:pPr>
      <w:r w:rsidRPr="007C34DC">
        <w:rPr>
          <w:rFonts w:ascii="Calibri" w:hAnsi="Calibri"/>
          <w:iCs/>
        </w:rPr>
        <w:t>81 inci maddesinden sonra gelmek üzere aşağıdaki madde eklenmiştir.</w:t>
      </w:r>
    </w:p>
    <w:p w:rsidR="007C34DC" w:rsidRPr="007C34DC" w:rsidRDefault="007C34DC" w:rsidP="007C34DC">
      <w:pPr>
        <w:pStyle w:val="ListeParagraf"/>
        <w:rPr>
          <w:rFonts w:ascii="Calibri" w:hAnsi="Calibri"/>
          <w:iCs/>
        </w:rPr>
      </w:pPr>
    </w:p>
    <w:p w:rsidR="007C34DC" w:rsidRPr="007C34DC" w:rsidRDefault="007C34DC" w:rsidP="007C34DC">
      <w:pPr>
        <w:pStyle w:val="ListeParagraf"/>
        <w:spacing w:after="0"/>
        <w:ind w:left="1440"/>
        <w:rPr>
          <w:rFonts w:ascii="Calibri" w:hAnsi="Calibri"/>
          <w:i/>
        </w:rPr>
      </w:pPr>
      <w:r w:rsidRPr="007C34DC">
        <w:rPr>
          <w:rFonts w:ascii="Calibri" w:hAnsi="Calibri"/>
          <w:i/>
        </w:rPr>
        <w:t>“Depolamalı elektrik üretim tesislerine ilişkin uygulamalar</w:t>
      </w:r>
    </w:p>
    <w:p w:rsidR="007C34DC" w:rsidRDefault="007C34DC" w:rsidP="007C34DC">
      <w:pPr>
        <w:pStyle w:val="ListeParagraf"/>
        <w:spacing w:after="0"/>
        <w:ind w:left="1440"/>
        <w:rPr>
          <w:rFonts w:ascii="Calibri" w:hAnsi="Calibri"/>
          <w:i/>
        </w:rPr>
      </w:pPr>
      <w:r w:rsidRPr="007C34DC">
        <w:rPr>
          <w:rFonts w:ascii="Calibri" w:hAnsi="Calibri"/>
          <w:i/>
        </w:rPr>
        <w:t xml:space="preserve">MADDE 81/A- (1) 2/11/2013 tarihli ve 28809 sayılı Resmî </w:t>
      </w:r>
      <w:r w:rsidR="00274939">
        <w:rPr>
          <w:rFonts w:ascii="Calibri" w:hAnsi="Calibri"/>
          <w:i/>
        </w:rPr>
        <w:t>Gazetede</w:t>
      </w:r>
      <w:r w:rsidRPr="007C34DC">
        <w:rPr>
          <w:rFonts w:ascii="Calibri" w:hAnsi="Calibri"/>
          <w:i/>
        </w:rPr>
        <w:t xml:space="preserve"> yayımlanan Elektrik Piyasası Lisans Yönetmeliğinin 27 nci maddesinin sekizinci fıkrası kapsamında, depolamalı elektrik üretim tesislerinin sisteme veriş miktarları, uzlaştırma hesaplamalarında dikkate alınmaz.”</w:t>
      </w:r>
    </w:p>
    <w:p w:rsidR="007C34DC" w:rsidRDefault="007C34DC" w:rsidP="007C34DC">
      <w:pPr>
        <w:pStyle w:val="ListeParagraf"/>
        <w:spacing w:after="0"/>
        <w:ind w:left="1440"/>
        <w:rPr>
          <w:rFonts w:ascii="Calibri" w:hAnsi="Calibri"/>
          <w:iCs/>
        </w:rPr>
      </w:pPr>
    </w:p>
    <w:p w:rsidR="007C34DC" w:rsidRDefault="007C34DC" w:rsidP="000A5A56">
      <w:pPr>
        <w:pStyle w:val="ListeParagraf"/>
        <w:numPr>
          <w:ilvl w:val="0"/>
          <w:numId w:val="25"/>
        </w:numPr>
        <w:spacing w:after="0"/>
        <w:rPr>
          <w:rFonts w:ascii="Calibri" w:hAnsi="Calibri"/>
          <w:iCs/>
        </w:rPr>
      </w:pPr>
      <w:r w:rsidRPr="007C34DC">
        <w:rPr>
          <w:rFonts w:ascii="Calibri" w:hAnsi="Calibri"/>
          <w:iCs/>
        </w:rPr>
        <w:t>110 uncu maddesine aşağıdaki fıkra eklenmiştir.</w:t>
      </w:r>
    </w:p>
    <w:p w:rsidR="007C34DC" w:rsidRPr="007C34DC" w:rsidRDefault="007C34DC" w:rsidP="007C34DC">
      <w:pPr>
        <w:pStyle w:val="ListeParagraf"/>
        <w:rPr>
          <w:rFonts w:ascii="Calibri" w:hAnsi="Calibri"/>
          <w:iCs/>
        </w:rPr>
      </w:pPr>
    </w:p>
    <w:p w:rsidR="007C34DC" w:rsidRDefault="007C34DC" w:rsidP="007C34DC">
      <w:pPr>
        <w:pStyle w:val="ListeParagraf"/>
        <w:spacing w:after="0"/>
        <w:ind w:left="1440"/>
        <w:rPr>
          <w:rFonts w:ascii="Calibri" w:hAnsi="Calibri"/>
          <w:i/>
        </w:rPr>
      </w:pPr>
      <w:r w:rsidRPr="007C34DC">
        <w:rPr>
          <w:rFonts w:ascii="Calibri" w:hAnsi="Calibri"/>
          <w:i/>
        </w:rPr>
        <w:t>“(5) Kurul, bu madde kapsamında enerji dengesizlik ve kesinleşmiş günlük üretim/tüketim programından sapma tutarının hesaplanmasında kaynak bazlı ve depolamalı elektrik üretim tesisleri için farklı metodolojiler veya katsayılar uygulayabilir.”</w:t>
      </w:r>
    </w:p>
    <w:p w:rsidR="007C34DC" w:rsidRDefault="007C34DC" w:rsidP="007C34DC">
      <w:pPr>
        <w:pStyle w:val="ListeParagraf"/>
        <w:spacing w:after="0"/>
        <w:ind w:left="1440"/>
        <w:rPr>
          <w:rFonts w:ascii="Calibri" w:hAnsi="Calibri"/>
          <w:iCs/>
        </w:rPr>
      </w:pPr>
    </w:p>
    <w:p w:rsidR="007C34DC" w:rsidRDefault="007C34DC" w:rsidP="000A5A56">
      <w:pPr>
        <w:pStyle w:val="ListeParagraf"/>
        <w:numPr>
          <w:ilvl w:val="0"/>
          <w:numId w:val="25"/>
        </w:numPr>
        <w:spacing w:after="0"/>
        <w:rPr>
          <w:rFonts w:ascii="Calibri" w:hAnsi="Calibri"/>
          <w:iCs/>
        </w:rPr>
      </w:pPr>
      <w:r w:rsidRPr="007C34DC">
        <w:rPr>
          <w:rFonts w:ascii="Calibri" w:hAnsi="Calibri"/>
          <w:iCs/>
        </w:rPr>
        <w:t>132/G maddesinin birinci fıkrasının (d) bendinde yer alan “elektrik depolama” ibarelerinden sonra gelmek üzere “ünitelerinin veya” ibareleri eklenmiştir.</w:t>
      </w:r>
    </w:p>
    <w:p w:rsidR="007C34DC" w:rsidRDefault="007C34DC" w:rsidP="007C34DC">
      <w:pPr>
        <w:pStyle w:val="ListeParagraf"/>
        <w:spacing w:after="0"/>
        <w:ind w:left="1440"/>
        <w:rPr>
          <w:rFonts w:ascii="Calibri" w:hAnsi="Calibri"/>
          <w:iCs/>
        </w:rPr>
      </w:pPr>
    </w:p>
    <w:p w:rsidR="007E0ADA" w:rsidRPr="004F2451" w:rsidRDefault="007E0ADA" w:rsidP="000A5A56">
      <w:pPr>
        <w:pStyle w:val="ListeParagraf"/>
        <w:numPr>
          <w:ilvl w:val="0"/>
          <w:numId w:val="26"/>
        </w:numPr>
        <w:spacing w:after="0"/>
        <w:rPr>
          <w:rFonts w:ascii="Calibri" w:hAnsi="Calibri"/>
          <w:i/>
        </w:rPr>
      </w:pPr>
      <w:r>
        <w:rPr>
          <w:rFonts w:ascii="Calibri" w:hAnsi="Calibri"/>
          <w:bCs/>
        </w:rPr>
        <w:t>19</w:t>
      </w:r>
      <w:r w:rsidRPr="005B3935">
        <w:rPr>
          <w:rFonts w:ascii="Calibri" w:hAnsi="Calibri"/>
          <w:bCs/>
        </w:rPr>
        <w:t>.</w:t>
      </w:r>
      <w:r>
        <w:rPr>
          <w:rFonts w:ascii="Calibri" w:hAnsi="Calibri"/>
          <w:bCs/>
        </w:rPr>
        <w:t>11</w:t>
      </w:r>
      <w:r w:rsidRPr="005B3935">
        <w:rPr>
          <w:rFonts w:ascii="Calibri" w:hAnsi="Calibri"/>
          <w:bCs/>
        </w:rPr>
        <w:t>.202</w:t>
      </w:r>
      <w:r>
        <w:rPr>
          <w:rFonts w:ascii="Calibri" w:hAnsi="Calibri"/>
          <w:bCs/>
        </w:rPr>
        <w:t>2</w:t>
      </w:r>
      <w:r w:rsidRPr="005B3935">
        <w:rPr>
          <w:rFonts w:ascii="Calibri" w:hAnsi="Calibri"/>
          <w:bCs/>
        </w:rPr>
        <w:t xml:space="preserve"> tarihli ve </w:t>
      </w:r>
      <w:r>
        <w:rPr>
          <w:rFonts w:ascii="Calibri" w:hAnsi="Calibri"/>
          <w:bCs/>
        </w:rPr>
        <w:t>32018</w:t>
      </w:r>
      <w:r w:rsidRPr="005B3935">
        <w:rPr>
          <w:rFonts w:ascii="Calibri" w:hAnsi="Calibri"/>
          <w:bCs/>
        </w:rPr>
        <w:t xml:space="preserve"> sayılı Resmî </w:t>
      </w:r>
      <w:r w:rsidR="00274939">
        <w:rPr>
          <w:rFonts w:ascii="Calibri" w:hAnsi="Calibri"/>
          <w:bCs/>
        </w:rPr>
        <w:t>Gazetede</w:t>
      </w:r>
      <w:r w:rsidRPr="005B3935">
        <w:rPr>
          <w:rFonts w:ascii="Calibri" w:hAnsi="Calibri"/>
          <w:bCs/>
        </w:rPr>
        <w:t xml:space="preserve"> yayımlanan Değişiklik Yönetmeliği ile</w:t>
      </w:r>
      <w:r w:rsidRPr="005B3935">
        <w:rPr>
          <w:rFonts w:ascii="Calibri" w:hAnsi="Calibri"/>
          <w:b/>
          <w:bCs/>
        </w:rPr>
        <w:t xml:space="preserve"> </w:t>
      </w:r>
      <w:r w:rsidRPr="007E0ADA">
        <w:rPr>
          <w:rFonts w:ascii="Calibri" w:hAnsi="Calibri"/>
          <w:b/>
        </w:rPr>
        <w:t>Elektrik Piyasası Lisans</w:t>
      </w:r>
      <w:r w:rsidRPr="005E050D">
        <w:rPr>
          <w:rFonts w:ascii="Calibri" w:hAnsi="Calibri"/>
          <w:b/>
        </w:rPr>
        <w:t xml:space="preserve"> Yönetmeliğinin</w:t>
      </w:r>
    </w:p>
    <w:p w:rsidR="004F2451" w:rsidRPr="005E050D" w:rsidRDefault="004F2451" w:rsidP="004F2451">
      <w:pPr>
        <w:pStyle w:val="ListeParagraf"/>
        <w:spacing w:after="0"/>
        <w:rPr>
          <w:rFonts w:ascii="Calibri" w:hAnsi="Calibri"/>
          <w:i/>
        </w:rPr>
      </w:pPr>
    </w:p>
    <w:p w:rsidR="007E0ADA" w:rsidRDefault="007E0ADA" w:rsidP="000A5A56">
      <w:pPr>
        <w:pStyle w:val="ListeParagraf"/>
        <w:numPr>
          <w:ilvl w:val="0"/>
          <w:numId w:val="25"/>
        </w:numPr>
        <w:spacing w:after="0"/>
        <w:rPr>
          <w:rFonts w:ascii="Calibri" w:hAnsi="Calibri"/>
          <w:iCs/>
        </w:rPr>
      </w:pPr>
      <w:r w:rsidRPr="007E0ADA">
        <w:rPr>
          <w:rFonts w:ascii="Calibri" w:hAnsi="Calibri"/>
          <w:iCs/>
        </w:rPr>
        <w:t>4 üncü maddesinin birinci fıkrasının (ııı) bendi aşağıdaki şekilde değiştirilmiş ve aynı fıkraya aşağıdaki bentler eklenmiştir.</w:t>
      </w:r>
    </w:p>
    <w:p w:rsidR="007E0ADA" w:rsidRDefault="007E0ADA" w:rsidP="007E0ADA">
      <w:pPr>
        <w:pStyle w:val="ListeParagraf"/>
        <w:spacing w:after="0"/>
        <w:ind w:left="1440"/>
        <w:rPr>
          <w:rFonts w:ascii="Calibri" w:hAnsi="Calibri"/>
          <w:iCs/>
        </w:rPr>
      </w:pPr>
    </w:p>
    <w:p w:rsidR="007E0ADA" w:rsidRPr="007E0ADA" w:rsidRDefault="007E0ADA" w:rsidP="007E0ADA">
      <w:pPr>
        <w:pStyle w:val="ListeParagraf"/>
        <w:spacing w:after="0"/>
        <w:ind w:left="1440"/>
        <w:rPr>
          <w:rFonts w:ascii="Calibri" w:hAnsi="Calibri"/>
          <w:i/>
        </w:rPr>
      </w:pPr>
      <w:r w:rsidRPr="007E0ADA">
        <w:rPr>
          <w:rFonts w:ascii="Calibri" w:hAnsi="Calibri"/>
          <w:i/>
        </w:rPr>
        <w:t>“ııı) Yenilenebilir enerji kaynaklarına dayalı üretim tesisleri: Rüzgâr, güneş, jeotermal, biyokütle, dalga, akıntı ve gel-git ile kanal tipi veya rezervuar alanı on beş kilometrekarenin altında olan hidroelektrik üretim tesislerini,”</w:t>
      </w:r>
    </w:p>
    <w:p w:rsidR="007E0ADA" w:rsidRPr="007E0ADA" w:rsidRDefault="007E0ADA" w:rsidP="007E0ADA">
      <w:pPr>
        <w:pStyle w:val="ListeParagraf"/>
        <w:spacing w:after="0"/>
        <w:ind w:left="1440"/>
        <w:rPr>
          <w:rFonts w:ascii="Calibri" w:hAnsi="Calibri"/>
          <w:i/>
        </w:rPr>
      </w:pPr>
      <w:r w:rsidRPr="007E0ADA">
        <w:rPr>
          <w:rFonts w:ascii="Calibri" w:hAnsi="Calibri"/>
          <w:i/>
        </w:rPr>
        <w:t>“dddd) Depolamalı elektrik üretim tesisi: Kanunun 7 nci maddesinin onuncu ve on birinci fıkraları kapsamında kurulan üretim tesisini,</w:t>
      </w:r>
    </w:p>
    <w:p w:rsidR="007E0ADA" w:rsidRPr="007E0ADA" w:rsidRDefault="007E0ADA" w:rsidP="007E0ADA">
      <w:pPr>
        <w:pStyle w:val="ListeParagraf"/>
        <w:spacing w:after="0"/>
        <w:ind w:left="1440"/>
        <w:rPr>
          <w:rFonts w:ascii="Calibri" w:hAnsi="Calibri"/>
          <w:i/>
        </w:rPr>
      </w:pPr>
      <w:r w:rsidRPr="007E0ADA">
        <w:rPr>
          <w:rFonts w:ascii="Calibri" w:hAnsi="Calibri"/>
          <w:i/>
        </w:rPr>
        <w:t>eeee) Elektrik depolama kapasitesi: Elektrik depolama ünitesinin megavat-saat cinsinden depolayabileceği toplam elektrik enerjisi miktarını,</w:t>
      </w:r>
    </w:p>
    <w:p w:rsidR="007E0ADA" w:rsidRPr="007C34DC" w:rsidRDefault="007E0ADA" w:rsidP="007E0ADA">
      <w:pPr>
        <w:pStyle w:val="ListeParagraf"/>
        <w:spacing w:after="0"/>
        <w:ind w:left="1440"/>
        <w:rPr>
          <w:rFonts w:ascii="Calibri" w:hAnsi="Calibri"/>
          <w:i/>
        </w:rPr>
      </w:pPr>
      <w:r w:rsidRPr="007E0ADA">
        <w:rPr>
          <w:rFonts w:ascii="Calibri" w:hAnsi="Calibri"/>
          <w:i/>
        </w:rPr>
        <w:t>ffff) Elektrik depolama ünitesi kurulu gücü: Elektrik depolama ünitesinin anlık olarak sisteme verebileceği megavat cinsinden azami gücü,”</w:t>
      </w:r>
    </w:p>
    <w:p w:rsidR="007C34DC" w:rsidRDefault="007C34DC" w:rsidP="007C34DC">
      <w:pPr>
        <w:pStyle w:val="ListeParagraf"/>
        <w:spacing w:after="0"/>
        <w:ind w:left="1440"/>
        <w:rPr>
          <w:rFonts w:ascii="Calibri" w:hAnsi="Calibri"/>
          <w:iCs/>
        </w:rPr>
      </w:pPr>
    </w:p>
    <w:p w:rsidR="007E0ADA" w:rsidRPr="007E0ADA" w:rsidRDefault="007E0ADA" w:rsidP="000A5A56">
      <w:pPr>
        <w:pStyle w:val="ListeParagraf"/>
        <w:numPr>
          <w:ilvl w:val="0"/>
          <w:numId w:val="25"/>
        </w:numPr>
        <w:spacing w:after="0"/>
        <w:rPr>
          <w:rFonts w:ascii="Calibri" w:hAnsi="Calibri"/>
          <w:iCs/>
        </w:rPr>
      </w:pPr>
      <w:r w:rsidRPr="007E0ADA">
        <w:rPr>
          <w:rFonts w:ascii="Calibri" w:hAnsi="Calibri"/>
          <w:iCs/>
        </w:rPr>
        <w:t>5 inci maddesinin birinci fıkrası aşağıdaki şekilde değiştirilmiş, aynı maddenin üçüncü fıkrasına aşağıdaki bent eklenmiştir.</w:t>
      </w:r>
    </w:p>
    <w:p w:rsidR="007C34DC" w:rsidRDefault="007C34DC" w:rsidP="007C34DC">
      <w:pPr>
        <w:pStyle w:val="ListeParagraf"/>
        <w:spacing w:after="0"/>
        <w:ind w:left="1440"/>
        <w:rPr>
          <w:rFonts w:ascii="Calibri" w:hAnsi="Calibri"/>
          <w:i/>
        </w:rPr>
      </w:pPr>
    </w:p>
    <w:p w:rsidR="007E0ADA" w:rsidRDefault="007E0ADA" w:rsidP="007E0ADA">
      <w:pPr>
        <w:pStyle w:val="ListeParagraf"/>
        <w:spacing w:after="0"/>
        <w:ind w:left="1440"/>
        <w:rPr>
          <w:rFonts w:ascii="Calibri" w:hAnsi="Calibri"/>
          <w:i/>
        </w:rPr>
      </w:pPr>
      <w:r w:rsidRPr="007E0ADA">
        <w:rPr>
          <w:rFonts w:ascii="Calibri" w:hAnsi="Calibri"/>
          <w:i/>
        </w:rPr>
        <w:t xml:space="preserve">“(1) Piyasada faaliyet göstermek isteyen tüzel kişi, faaliyetine başlamadan önce; bu Yönetmelik kapsamındaki istisnalar hariç, her faaliyet için ve söz konusu faaliyetlerin birden fazla tesiste yürütülecek olması hâlinde, her tesis için ayrı lisans almak zorundadır. Bağlantı noktası ve tesisin fiziki durumuna göre, Kurul, birden fazla projeye konu üniteleri, tek bir önlisans veya lisans kapsamında değerlendirebilir. Depolamalı elektrik üretim tesisi bünyesindeki elektrik depolama ünitesi, üretim tesisine bütünleşik elektrik depolama ünitesi ile birden çok kaynaklı elektrik </w:t>
      </w:r>
      <w:r w:rsidRPr="007E0ADA">
        <w:rPr>
          <w:rFonts w:ascii="Calibri" w:hAnsi="Calibri"/>
          <w:i/>
        </w:rPr>
        <w:lastRenderedPageBreak/>
        <w:t>üretim tesislerinde kullanılan yardımcı kaynak ünitesi, ana kaynağa dayalı tesisin ünitesi olarak kabul edilir ve tesis tek bir önlisans veya lisans kapsamında değerlendirilir.”</w:t>
      </w:r>
    </w:p>
    <w:p w:rsidR="007E0ADA" w:rsidRPr="007E0ADA" w:rsidRDefault="007E0ADA" w:rsidP="007E0ADA">
      <w:pPr>
        <w:pStyle w:val="ListeParagraf"/>
        <w:spacing w:after="0"/>
        <w:ind w:left="1440"/>
        <w:rPr>
          <w:rFonts w:ascii="Calibri" w:hAnsi="Calibri"/>
          <w:i/>
        </w:rPr>
      </w:pPr>
    </w:p>
    <w:p w:rsidR="007E0ADA" w:rsidRDefault="007E0ADA" w:rsidP="007E0ADA">
      <w:pPr>
        <w:pStyle w:val="ListeParagraf"/>
        <w:spacing w:after="0"/>
        <w:ind w:left="1440"/>
        <w:rPr>
          <w:rFonts w:ascii="Calibri" w:hAnsi="Calibri"/>
          <w:i/>
        </w:rPr>
      </w:pPr>
      <w:r w:rsidRPr="007E0ADA">
        <w:rPr>
          <w:rFonts w:ascii="Calibri" w:hAnsi="Calibri"/>
          <w:i/>
        </w:rPr>
        <w:t>“d) İcra takibi sonucu üretim tesisinin satışının kesinleşmesi üzerine satışa konu üretim tesisini satın alan tüzel kişinin başvurması ve başvuru kapsamındaki yükümlülüklerini yerine getirmesi hâlinde bu tüzel kişiye eskisinin devamı mahiyetinde yeni lisans verilir ve söz konusu lisans, devir işlemlerinin tamamlanması ve eski lisansın sona ermesi ile yürürlüğe girer.”</w:t>
      </w:r>
    </w:p>
    <w:p w:rsidR="003D6E95" w:rsidRDefault="003D6E95" w:rsidP="002E6439">
      <w:pPr>
        <w:pStyle w:val="ListeParagraf"/>
        <w:spacing w:after="0"/>
        <w:ind w:left="1440"/>
        <w:rPr>
          <w:rFonts w:ascii="Calibri" w:hAnsi="Calibri"/>
          <w:i/>
        </w:rPr>
      </w:pPr>
    </w:p>
    <w:p w:rsidR="007E0ADA" w:rsidRDefault="007E0ADA" w:rsidP="000A5A56">
      <w:pPr>
        <w:pStyle w:val="ListeParagraf"/>
        <w:numPr>
          <w:ilvl w:val="0"/>
          <w:numId w:val="25"/>
        </w:numPr>
        <w:spacing w:after="0"/>
        <w:rPr>
          <w:rFonts w:ascii="Calibri" w:hAnsi="Calibri"/>
          <w:iCs/>
        </w:rPr>
      </w:pPr>
      <w:r w:rsidRPr="007E0ADA">
        <w:rPr>
          <w:rFonts w:ascii="Calibri" w:hAnsi="Calibri"/>
          <w:iCs/>
        </w:rPr>
        <w:t>10 uncu maddesinin yedinci fıkrası aşağıdaki şekilde değiştirilmiş ve aynı maddeye aşağıdaki fıkra eklenmiştir.</w:t>
      </w:r>
    </w:p>
    <w:p w:rsidR="007E0ADA" w:rsidRDefault="007E0ADA" w:rsidP="007E0ADA">
      <w:pPr>
        <w:spacing w:after="0"/>
        <w:rPr>
          <w:rFonts w:ascii="Calibri" w:hAnsi="Calibri"/>
          <w:iCs/>
        </w:rPr>
      </w:pPr>
    </w:p>
    <w:p w:rsidR="007E0ADA" w:rsidRPr="007E0ADA" w:rsidRDefault="007E0ADA" w:rsidP="007E0ADA">
      <w:pPr>
        <w:pStyle w:val="ListeParagraf"/>
        <w:spacing w:after="0"/>
        <w:ind w:left="1440"/>
        <w:rPr>
          <w:rFonts w:ascii="Calibri" w:hAnsi="Calibri"/>
          <w:i/>
        </w:rPr>
      </w:pPr>
      <w:r w:rsidRPr="007E0ADA">
        <w:rPr>
          <w:rFonts w:ascii="Calibri" w:hAnsi="Calibri"/>
          <w:i/>
        </w:rPr>
        <w:t>“(7) Tedarik lisansında, varsa müstakil elektrik depolama tesis veya tesislerine; önlisans veya üretim lisansında varsa üretim tesisine bütünleşik elektrik depolama ünitesine, depolamalı elektrik üretim tesisinde ise elektrik depolama ünitesine ilişkin hükümlere de yer verilir.”</w:t>
      </w:r>
    </w:p>
    <w:p w:rsidR="007E0ADA" w:rsidRDefault="007E0ADA" w:rsidP="007E0ADA">
      <w:pPr>
        <w:pStyle w:val="ListeParagraf"/>
        <w:spacing w:after="0"/>
        <w:ind w:left="1440"/>
        <w:rPr>
          <w:rFonts w:ascii="Calibri" w:hAnsi="Calibri"/>
          <w:i/>
        </w:rPr>
      </w:pPr>
      <w:r w:rsidRPr="007E0ADA">
        <w:rPr>
          <w:rFonts w:ascii="Calibri" w:hAnsi="Calibri"/>
          <w:i/>
        </w:rPr>
        <w:t>“(8) Tarifesi düzenlemeye tabi faaliyet yürüten lisans sahibi tüzel kişilerin dolaylı pay sahipleri arasında yabancı uyruklu ortakların bulunması halinde, söz konusu ortakların lisansa nasıl dercedileceği Kurul kararı ile belirlenir.”</w:t>
      </w:r>
    </w:p>
    <w:p w:rsidR="007E0ADA" w:rsidRPr="007E0ADA" w:rsidRDefault="007E0ADA" w:rsidP="007E0ADA">
      <w:pPr>
        <w:pStyle w:val="ListeParagraf"/>
        <w:spacing w:after="0"/>
        <w:ind w:left="1440"/>
        <w:rPr>
          <w:rFonts w:ascii="Calibri" w:hAnsi="Calibri"/>
          <w:iCs/>
        </w:rPr>
      </w:pPr>
    </w:p>
    <w:p w:rsidR="007E0ADA" w:rsidRDefault="007E0ADA" w:rsidP="000A5A56">
      <w:pPr>
        <w:pStyle w:val="ListeParagraf"/>
        <w:numPr>
          <w:ilvl w:val="0"/>
          <w:numId w:val="25"/>
        </w:numPr>
        <w:spacing w:after="0"/>
        <w:rPr>
          <w:rFonts w:ascii="Calibri" w:hAnsi="Calibri"/>
          <w:iCs/>
        </w:rPr>
      </w:pPr>
      <w:r w:rsidRPr="007E0ADA">
        <w:rPr>
          <w:rFonts w:ascii="Calibri" w:hAnsi="Calibri"/>
          <w:iCs/>
        </w:rPr>
        <w:t xml:space="preserve">12 nci maddesinin beşinci fıkrasına aşağıdaki bent eklenmiş, yedinci fıkrasında yer alan </w:t>
      </w:r>
      <w:r w:rsidRPr="007E0ADA">
        <w:rPr>
          <w:rFonts w:ascii="Calibri" w:hAnsi="Calibri"/>
          <w:i/>
          <w:iCs/>
        </w:rPr>
        <w:t>“YEKA için yapılacak başvurular”</w:t>
      </w:r>
      <w:r w:rsidRPr="007E0ADA">
        <w:rPr>
          <w:rFonts w:ascii="Calibri" w:hAnsi="Calibri"/>
          <w:iCs/>
        </w:rPr>
        <w:t xml:space="preserve"> ibaresinden sonra gelmek üzere </w:t>
      </w:r>
      <w:r w:rsidRPr="007E0ADA">
        <w:rPr>
          <w:rFonts w:ascii="Calibri" w:hAnsi="Calibri"/>
          <w:i/>
          <w:iCs/>
        </w:rPr>
        <w:t>“ile depolamalı elektrik üretim tesisi kapsamında yapılacak başvurular”</w:t>
      </w:r>
      <w:r w:rsidRPr="007E0ADA">
        <w:rPr>
          <w:rFonts w:ascii="Calibri" w:hAnsi="Calibri"/>
          <w:iCs/>
        </w:rPr>
        <w:t xml:space="preserve"> ibaresi eklenmiş, on birinci fıkrası aşağıdaki şekilde değiştirilmiş, aynı maddeye aşağıdaki fıkralar eklenmiştir.</w:t>
      </w:r>
    </w:p>
    <w:p w:rsidR="007E0ADA" w:rsidRPr="007E0ADA" w:rsidRDefault="007E0ADA" w:rsidP="007E0ADA">
      <w:pPr>
        <w:pStyle w:val="ListeParagraf"/>
        <w:spacing w:after="0"/>
        <w:ind w:left="1440"/>
        <w:rPr>
          <w:rFonts w:ascii="Calibri" w:hAnsi="Calibri"/>
          <w:i/>
        </w:rPr>
      </w:pPr>
    </w:p>
    <w:p w:rsidR="007E0ADA" w:rsidRPr="007E0ADA" w:rsidRDefault="007E0ADA" w:rsidP="007E0ADA">
      <w:pPr>
        <w:pStyle w:val="ListeParagraf"/>
        <w:spacing w:after="0"/>
        <w:ind w:left="1440"/>
        <w:rPr>
          <w:rFonts w:ascii="Calibri" w:hAnsi="Calibri"/>
          <w:i/>
        </w:rPr>
      </w:pPr>
      <w:r w:rsidRPr="007E0ADA">
        <w:rPr>
          <w:rFonts w:ascii="Calibri" w:hAnsi="Calibri"/>
          <w:i/>
        </w:rPr>
        <w:t xml:space="preserve">“f) Depolamalı elektrik üretim tesisi kapsamındaki önlisans başvurularında, bu fıkranın (a) ve (b) bentleri kapsamındaki yükümlülüklerin belirlenmesinde, </w:t>
      </w:r>
      <w:r w:rsidR="00151CF9">
        <w:rPr>
          <w:rFonts w:ascii="Calibri" w:hAnsi="Calibri"/>
          <w:i/>
        </w:rPr>
        <w:t>Rüzgâr</w:t>
      </w:r>
      <w:r w:rsidRPr="007E0ADA">
        <w:rPr>
          <w:rFonts w:ascii="Calibri" w:hAnsi="Calibri"/>
          <w:i/>
        </w:rPr>
        <w:t xml:space="preserve"> veya güneş enerjisine dayalı mekanik kurulu gücü ile elektrik depolama ünitesinin kapasitesine denk gelen bedeller toplanarak birlikte değerlendirilir.”</w:t>
      </w:r>
    </w:p>
    <w:p w:rsidR="007E0ADA" w:rsidRPr="007E0ADA" w:rsidRDefault="007E0ADA" w:rsidP="007E0ADA">
      <w:pPr>
        <w:pStyle w:val="ListeParagraf"/>
        <w:spacing w:after="0"/>
        <w:ind w:left="1440"/>
        <w:rPr>
          <w:rFonts w:ascii="Calibri" w:hAnsi="Calibri"/>
          <w:i/>
        </w:rPr>
      </w:pPr>
      <w:r w:rsidRPr="007E0ADA">
        <w:rPr>
          <w:rFonts w:ascii="Calibri" w:hAnsi="Calibri"/>
          <w:i/>
        </w:rPr>
        <w:t xml:space="preserve">“(11) YEKA için yapılacak başvurular ile depolamalı elektrik üretim tesisi kapsamında yapılacak başvurular hariç </w:t>
      </w:r>
      <w:r w:rsidR="00151CF9">
        <w:rPr>
          <w:rFonts w:ascii="Calibri" w:hAnsi="Calibri"/>
          <w:i/>
        </w:rPr>
        <w:t>Rüzgâr</w:t>
      </w:r>
      <w:r w:rsidRPr="007E0ADA">
        <w:rPr>
          <w:rFonts w:ascii="Calibri" w:hAnsi="Calibri"/>
          <w:i/>
        </w:rPr>
        <w:t xml:space="preserve"> ve güneş enerjisine dayalı önlisans başvuruları açısından beşinci fıkranın (ç) bendinde aranan yükümlülükler ile Kurul kararı ile belirlenen bilgi ve belgelerin Kuruma sunulmasına ilişkin yükümlülükler söz konusu tüzel kişinin 15 inci maddenin ikinci fıkrasının (c) bendi uyarınca bağlantı görüşünü kabul ve taahhüt etmesini veya etmiş sayılmasını müteakip tanınacak doksan günlük süre içerisinde yerine getirilir.”</w:t>
      </w:r>
    </w:p>
    <w:p w:rsidR="007E0ADA" w:rsidRPr="007E0ADA" w:rsidRDefault="007E0ADA" w:rsidP="007E0ADA">
      <w:pPr>
        <w:pStyle w:val="ListeParagraf"/>
        <w:spacing w:after="0"/>
        <w:ind w:left="1440"/>
        <w:rPr>
          <w:rFonts w:ascii="Calibri" w:hAnsi="Calibri"/>
          <w:i/>
        </w:rPr>
      </w:pPr>
      <w:r w:rsidRPr="007E0ADA">
        <w:rPr>
          <w:rFonts w:ascii="Calibri" w:hAnsi="Calibri"/>
          <w:i/>
        </w:rPr>
        <w:t>“(14) Depolamalı elektrik üretim tesisi kapsamında önlisans başvurusunda bulunulması halinde, bu maddede belirtilen hükümlere ek olarak;</w:t>
      </w:r>
    </w:p>
    <w:p w:rsidR="007E0ADA" w:rsidRPr="007E0ADA" w:rsidRDefault="007E0ADA" w:rsidP="007E0ADA">
      <w:pPr>
        <w:pStyle w:val="ListeParagraf"/>
        <w:spacing w:after="0"/>
        <w:ind w:left="1440"/>
        <w:rPr>
          <w:rFonts w:ascii="Calibri" w:hAnsi="Calibri"/>
          <w:i/>
        </w:rPr>
      </w:pPr>
      <w:r w:rsidRPr="007E0ADA">
        <w:rPr>
          <w:rFonts w:ascii="Calibri" w:hAnsi="Calibri"/>
          <w:i/>
        </w:rPr>
        <w:t xml:space="preserve">a) </w:t>
      </w:r>
      <w:r w:rsidR="00151CF9">
        <w:rPr>
          <w:rFonts w:ascii="Calibri" w:hAnsi="Calibri"/>
          <w:i/>
        </w:rPr>
        <w:t>Rüzgâr</w:t>
      </w:r>
      <w:r w:rsidRPr="007E0ADA">
        <w:rPr>
          <w:rFonts w:ascii="Calibri" w:hAnsi="Calibri"/>
          <w:i/>
        </w:rPr>
        <w:t xml:space="preserve"> veya güneş enerjisine dayalı elektrik üretim tesisinin elektriksel kurulu gücünün, kurulması taahhüt edilen elektrik depolama ünitesi kurulu gücüne oranının azami 1 olması,</w:t>
      </w:r>
    </w:p>
    <w:p w:rsidR="007E0ADA" w:rsidRPr="007E0ADA" w:rsidRDefault="007E0ADA" w:rsidP="007E0ADA">
      <w:pPr>
        <w:pStyle w:val="ListeParagraf"/>
        <w:spacing w:after="0"/>
        <w:ind w:left="1440"/>
        <w:rPr>
          <w:rFonts w:ascii="Calibri" w:hAnsi="Calibri"/>
          <w:i/>
        </w:rPr>
      </w:pPr>
      <w:r w:rsidRPr="007E0ADA">
        <w:rPr>
          <w:rFonts w:ascii="Calibri" w:hAnsi="Calibri"/>
          <w:i/>
        </w:rPr>
        <w:t xml:space="preserve">b) Başvuruların, </w:t>
      </w:r>
      <w:r w:rsidR="00151CF9">
        <w:rPr>
          <w:rFonts w:ascii="Calibri" w:hAnsi="Calibri"/>
          <w:i/>
        </w:rPr>
        <w:t>Rüzgâr</w:t>
      </w:r>
      <w:r w:rsidRPr="007E0ADA">
        <w:rPr>
          <w:rFonts w:ascii="Calibri" w:hAnsi="Calibri"/>
          <w:i/>
        </w:rPr>
        <w:t xml:space="preserve"> enerjisine dayalı başvurular için asgari 20 MWe, güneş enerjisine dayalı başvurular için ise asgari 10 MWe kurulu güçte olması ve 250 MWe’yi aşmaması,</w:t>
      </w:r>
    </w:p>
    <w:p w:rsidR="007E0ADA" w:rsidRPr="007E0ADA" w:rsidRDefault="007E0ADA" w:rsidP="007E0ADA">
      <w:pPr>
        <w:pStyle w:val="ListeParagraf"/>
        <w:spacing w:after="0"/>
        <w:ind w:left="1440"/>
        <w:rPr>
          <w:rFonts w:ascii="Calibri" w:hAnsi="Calibri"/>
          <w:i/>
        </w:rPr>
      </w:pPr>
      <w:r w:rsidRPr="007E0ADA">
        <w:rPr>
          <w:rFonts w:ascii="Calibri" w:hAnsi="Calibri"/>
          <w:i/>
        </w:rPr>
        <w:t>c) Taahhüt edilen elektrik depolama kapasitesinin söz konusu elektrik depolama ünitesi kurulu gücüne oranının asgari 1 olması,</w:t>
      </w:r>
    </w:p>
    <w:p w:rsidR="007E0ADA" w:rsidRPr="007E0ADA" w:rsidRDefault="007E0ADA" w:rsidP="007E0ADA">
      <w:pPr>
        <w:pStyle w:val="ListeParagraf"/>
        <w:spacing w:after="0"/>
        <w:ind w:left="1440"/>
        <w:rPr>
          <w:rFonts w:ascii="Calibri" w:hAnsi="Calibri"/>
          <w:i/>
        </w:rPr>
      </w:pPr>
      <w:r w:rsidRPr="007E0ADA">
        <w:rPr>
          <w:rFonts w:ascii="Calibri" w:hAnsi="Calibri"/>
          <w:i/>
        </w:rPr>
        <w:t>ç) Taahhüt edilen elektrik depolama ünitesinin başvuruya konu santral sahası sınırları içerisinde olması,</w:t>
      </w:r>
    </w:p>
    <w:p w:rsidR="007E0ADA" w:rsidRPr="007E0ADA" w:rsidRDefault="007E0ADA" w:rsidP="007E0ADA">
      <w:pPr>
        <w:pStyle w:val="ListeParagraf"/>
        <w:spacing w:after="0"/>
        <w:ind w:left="1440"/>
        <w:rPr>
          <w:rFonts w:ascii="Calibri" w:hAnsi="Calibri"/>
          <w:i/>
        </w:rPr>
      </w:pPr>
      <w:r w:rsidRPr="007E0ADA">
        <w:rPr>
          <w:rFonts w:ascii="Calibri" w:hAnsi="Calibri"/>
          <w:i/>
        </w:rPr>
        <w:t>zorunludur.</w:t>
      </w:r>
    </w:p>
    <w:p w:rsidR="007E0ADA" w:rsidRPr="007E0ADA" w:rsidRDefault="007E0ADA" w:rsidP="007E0ADA">
      <w:pPr>
        <w:pStyle w:val="ListeParagraf"/>
        <w:spacing w:after="0"/>
        <w:ind w:left="1440"/>
        <w:rPr>
          <w:rFonts w:ascii="Calibri" w:hAnsi="Calibri"/>
          <w:i/>
        </w:rPr>
      </w:pPr>
      <w:r w:rsidRPr="007E0ADA">
        <w:rPr>
          <w:rFonts w:ascii="Calibri" w:hAnsi="Calibri"/>
          <w:i/>
        </w:rPr>
        <w:lastRenderedPageBreak/>
        <w:t>(15) Önlisans başvurularında talep edilen mekanik kurulu güç, elektriksel kurulu gücün iki katını aşamaz.”</w:t>
      </w:r>
    </w:p>
    <w:p w:rsidR="007E0ADA" w:rsidRDefault="007E0ADA" w:rsidP="007E0ADA">
      <w:pPr>
        <w:spacing w:after="0"/>
        <w:rPr>
          <w:rFonts w:ascii="Calibri" w:hAnsi="Calibri"/>
          <w:iCs/>
        </w:rPr>
      </w:pPr>
    </w:p>
    <w:p w:rsidR="007E0ADA" w:rsidRDefault="007E0ADA" w:rsidP="000A5A56">
      <w:pPr>
        <w:pStyle w:val="ListeParagraf"/>
        <w:numPr>
          <w:ilvl w:val="0"/>
          <w:numId w:val="25"/>
        </w:numPr>
        <w:spacing w:after="0"/>
        <w:rPr>
          <w:rFonts w:ascii="Calibri" w:hAnsi="Calibri"/>
          <w:iCs/>
        </w:rPr>
      </w:pPr>
      <w:r w:rsidRPr="007E0ADA">
        <w:rPr>
          <w:rFonts w:ascii="Calibri" w:hAnsi="Calibri"/>
          <w:iCs/>
        </w:rPr>
        <w:t>13 üncü maddesinin üçüncü fıkrasına aşağıdaki cümle eklenmiştir.</w:t>
      </w:r>
    </w:p>
    <w:p w:rsidR="007E0ADA" w:rsidRDefault="007E0ADA" w:rsidP="007E0ADA">
      <w:pPr>
        <w:spacing w:after="0"/>
        <w:rPr>
          <w:rFonts w:ascii="Calibri" w:hAnsi="Calibri"/>
          <w:iCs/>
        </w:rPr>
      </w:pPr>
    </w:p>
    <w:p w:rsidR="007E0ADA" w:rsidRPr="007E0ADA" w:rsidRDefault="007E0ADA" w:rsidP="007E0ADA">
      <w:pPr>
        <w:pStyle w:val="ListeParagraf"/>
        <w:spacing w:after="0"/>
        <w:ind w:left="1440"/>
        <w:rPr>
          <w:rFonts w:ascii="Calibri" w:hAnsi="Calibri"/>
          <w:i/>
        </w:rPr>
      </w:pPr>
      <w:r w:rsidRPr="007E0ADA">
        <w:rPr>
          <w:rFonts w:ascii="Calibri" w:hAnsi="Calibri"/>
          <w:i/>
        </w:rPr>
        <w:t>“Depolamalı elektrik üretim tesisleri için 15 inci maddenin dokuzuncu fıkrasında belirtilen usulde duyuru yapılır.”</w:t>
      </w:r>
    </w:p>
    <w:p w:rsidR="007E0ADA" w:rsidRDefault="007E0ADA" w:rsidP="007E0ADA">
      <w:pPr>
        <w:spacing w:after="0"/>
        <w:rPr>
          <w:rFonts w:ascii="Calibri" w:hAnsi="Calibri"/>
          <w:iCs/>
        </w:rPr>
      </w:pPr>
    </w:p>
    <w:p w:rsidR="007E0ADA" w:rsidRPr="007E0ADA" w:rsidRDefault="007E0ADA" w:rsidP="000A5A56">
      <w:pPr>
        <w:pStyle w:val="ListeParagraf"/>
        <w:numPr>
          <w:ilvl w:val="0"/>
          <w:numId w:val="25"/>
        </w:numPr>
        <w:spacing w:after="0"/>
        <w:rPr>
          <w:rFonts w:ascii="Calibri" w:hAnsi="Calibri"/>
          <w:iCs/>
        </w:rPr>
      </w:pPr>
      <w:r w:rsidRPr="007E0ADA">
        <w:rPr>
          <w:rFonts w:ascii="Calibri" w:hAnsi="Calibri"/>
          <w:iCs/>
        </w:rPr>
        <w:t xml:space="preserve">15 inci maddesinin üçüncü fıkrasında yer alan </w:t>
      </w:r>
      <w:r w:rsidRPr="007E0ADA">
        <w:rPr>
          <w:rFonts w:ascii="Calibri" w:hAnsi="Calibri"/>
          <w:i/>
          <w:iCs/>
        </w:rPr>
        <w:t>“</w:t>
      </w:r>
      <w:r w:rsidR="00151CF9">
        <w:rPr>
          <w:rFonts w:ascii="Calibri" w:hAnsi="Calibri"/>
          <w:i/>
          <w:iCs/>
        </w:rPr>
        <w:t>Rüzgâr</w:t>
      </w:r>
      <w:r w:rsidRPr="007E0ADA">
        <w:rPr>
          <w:rFonts w:ascii="Calibri" w:hAnsi="Calibri"/>
          <w:i/>
          <w:iCs/>
        </w:rPr>
        <w:t xml:space="preserve"> veya güneş enerjisine dayalı”</w:t>
      </w:r>
      <w:r w:rsidRPr="007E0ADA">
        <w:rPr>
          <w:rFonts w:ascii="Calibri" w:hAnsi="Calibri"/>
          <w:iCs/>
        </w:rPr>
        <w:t xml:space="preserve"> ibaresi </w:t>
      </w:r>
      <w:r w:rsidRPr="007E0ADA">
        <w:rPr>
          <w:rFonts w:ascii="Calibri" w:hAnsi="Calibri"/>
          <w:i/>
          <w:iCs/>
        </w:rPr>
        <w:t xml:space="preserve">“Depolamalı elektrik üretim tesisi kapsamındaki başvurular hariç </w:t>
      </w:r>
      <w:r w:rsidR="00151CF9">
        <w:rPr>
          <w:rFonts w:ascii="Calibri" w:hAnsi="Calibri"/>
          <w:i/>
          <w:iCs/>
        </w:rPr>
        <w:t>Rüzgâr</w:t>
      </w:r>
      <w:r w:rsidRPr="007E0ADA">
        <w:rPr>
          <w:rFonts w:ascii="Calibri" w:hAnsi="Calibri"/>
          <w:i/>
          <w:iCs/>
        </w:rPr>
        <w:t xml:space="preserve"> veya güneş enerjisine dayalı” </w:t>
      </w:r>
      <w:r w:rsidRPr="007E0ADA">
        <w:rPr>
          <w:rFonts w:ascii="Calibri" w:hAnsi="Calibri"/>
          <w:iCs/>
        </w:rPr>
        <w:t>şeklinde değiştirilmiş, sekizinci fıkrası aşağıdaki şekilde değiştirilmiş ve aynı maddeye aşağıdaki fıkra eklenmiştir.</w:t>
      </w:r>
    </w:p>
    <w:p w:rsidR="007E0ADA" w:rsidRDefault="007E0ADA" w:rsidP="007E0ADA">
      <w:pPr>
        <w:spacing w:after="0"/>
        <w:rPr>
          <w:rFonts w:ascii="Calibri" w:hAnsi="Calibri"/>
          <w:iCs/>
        </w:rPr>
      </w:pPr>
    </w:p>
    <w:p w:rsidR="007E0ADA" w:rsidRPr="007E0ADA" w:rsidRDefault="007E0ADA" w:rsidP="007E0ADA">
      <w:pPr>
        <w:pStyle w:val="ListeParagraf"/>
        <w:spacing w:after="0"/>
        <w:ind w:left="1440"/>
        <w:rPr>
          <w:rFonts w:ascii="Calibri" w:hAnsi="Calibri"/>
          <w:i/>
        </w:rPr>
      </w:pPr>
      <w:r w:rsidRPr="007E0ADA">
        <w:rPr>
          <w:rFonts w:ascii="Calibri" w:hAnsi="Calibri"/>
          <w:i/>
        </w:rPr>
        <w:t>“(8) Depolamalı elektrik üretim tesisleri dahil, önlisans başvurusu kapsamında kurulması planlanan elektrik üretim tesisinde, üretim tesisine bütünleşik elektrik depolama ünitesi de kurulmak istenmesi hâlinde elektrik depolama ünitesinin gerekli teknik kriterlere uygunluğu hakkında TEİAŞ’tan görüş istenir.”</w:t>
      </w:r>
    </w:p>
    <w:p w:rsidR="007E0ADA" w:rsidRPr="007E0ADA" w:rsidRDefault="007E0ADA" w:rsidP="007E0ADA">
      <w:pPr>
        <w:pStyle w:val="ListeParagraf"/>
        <w:spacing w:after="0"/>
        <w:ind w:left="1440"/>
        <w:rPr>
          <w:rFonts w:ascii="Calibri" w:hAnsi="Calibri"/>
          <w:i/>
        </w:rPr>
      </w:pPr>
      <w:r w:rsidRPr="007E0ADA">
        <w:rPr>
          <w:rFonts w:ascii="Calibri" w:hAnsi="Calibri"/>
          <w:i/>
        </w:rPr>
        <w:t>“(9) Depolamalı elektrik üretim tesisi için yapılan önlisans başvuruları aşağıdaki usule göre değerlendirilir:</w:t>
      </w:r>
    </w:p>
    <w:p w:rsidR="007E0ADA" w:rsidRPr="007E0ADA" w:rsidRDefault="007E0ADA" w:rsidP="007E0ADA">
      <w:pPr>
        <w:pStyle w:val="ListeParagraf"/>
        <w:spacing w:after="0"/>
        <w:ind w:left="1440"/>
        <w:rPr>
          <w:rFonts w:ascii="Calibri" w:hAnsi="Calibri"/>
          <w:i/>
        </w:rPr>
      </w:pPr>
      <w:r w:rsidRPr="007E0ADA">
        <w:rPr>
          <w:rFonts w:ascii="Calibri" w:hAnsi="Calibri"/>
          <w:i/>
        </w:rPr>
        <w:t>a) Başvurular 13 üncü madde hükümleri kapsamında değerlendirmeye alınır.</w:t>
      </w:r>
    </w:p>
    <w:p w:rsidR="007E0ADA" w:rsidRPr="007E0ADA" w:rsidRDefault="007E0ADA" w:rsidP="007E0ADA">
      <w:pPr>
        <w:pStyle w:val="ListeParagraf"/>
        <w:spacing w:after="0"/>
        <w:ind w:left="1440"/>
        <w:rPr>
          <w:rFonts w:ascii="Calibri" w:hAnsi="Calibri"/>
          <w:i/>
        </w:rPr>
      </w:pPr>
      <w:r w:rsidRPr="007E0ADA">
        <w:rPr>
          <w:rFonts w:ascii="Calibri" w:hAnsi="Calibri"/>
          <w:i/>
        </w:rPr>
        <w:t>b) Değerlendirmeye alınan başvurular, değerlendirmeye alınma sırasına göre, bağlantı görüşlerinin oluşturulması için TEİAŞ’a gönderilir. TEİAŞ, Kurum tarafından gönderilen sıraya uygun olarak, bağlantı bölgesi kapasitesine ulaşıncaya kadar Kanunun 23 üncü maddesi kapsamında bağlantı görüşü verir. Sıralanan başvurular içinde bağlantı bölgesi kapasitesini aşan ilk başvuru sahibi tüzel kişiden, proje kurulu gücünü, kalan kapasite için revize etmesi talep edilir. Bu fıkra kapsamındaki değerlendirmeler sonucunda hesaplanan kapasitenin 12 nci maddenin on dördüncü fıkrasında belirtilen asgari limitlerin altında olması halinde TEİAŞ tarafından olumsuz görüş verilir. TEİAŞ tarafından verilen bağlantı görüşleri için ikinci fıkranın (c) bendi uygulanır.</w:t>
      </w:r>
    </w:p>
    <w:p w:rsidR="007E0ADA" w:rsidRPr="007E0ADA" w:rsidRDefault="007E0ADA" w:rsidP="007E0ADA">
      <w:pPr>
        <w:pStyle w:val="ListeParagraf"/>
        <w:spacing w:after="0"/>
        <w:ind w:left="1440"/>
        <w:rPr>
          <w:rFonts w:ascii="Calibri" w:hAnsi="Calibri"/>
          <w:i/>
        </w:rPr>
      </w:pPr>
      <w:r w:rsidRPr="007E0ADA">
        <w:rPr>
          <w:rFonts w:ascii="Calibri" w:hAnsi="Calibri"/>
          <w:i/>
        </w:rPr>
        <w:t>c) TEİAŞ tarafından olumlu bağlantı görüşü verilen önlisans başvuruları, Kurum internet sayfasında duyurulur. Duyurusu yapılan başvuruya, üçüncü şahıslar tarafından on iş günü içerisinde ve sadece kişisel hak ihlali açısından yazılı olarak itirazda bulunulabilir. Olumlu bağlantı görüşü verilen önlisans başvuruları teknik değerlendirme yapılmak üzere, Kurum tarafından TEİAŞ’a bildirilen sıraya uygun olarak, Enerji İşleri Genel Müdürlüğüne gönderilir. Enerji İşleri Genel Müdürlüğü, Kurum tarafından bildirilen sıraya uygun olarak teknik değerlendirmeyi tamamlayarak Kuruma bildirir.  Enerji İşleri Genel Müdürlüğü tarafından santral sahalarında kesişme veya çakışma tespit edilmesi halinde, Kurum tarafından sonraki başvuru veya başvurulardan santral sahalarını revize etmesi talep edilir. Bu kapsamda yapılan değerlendirme sonucunda, sahası değişen başvuru veya başvurular, yeniden teknik değerlendirme yapılmak üzere Enerji İşleri Genel Müdürlüğüne gönderilir.”</w:t>
      </w:r>
    </w:p>
    <w:p w:rsidR="007E0ADA" w:rsidRDefault="007E0ADA" w:rsidP="007E0ADA">
      <w:pPr>
        <w:spacing w:after="0"/>
        <w:rPr>
          <w:rFonts w:ascii="Calibri" w:hAnsi="Calibri"/>
          <w:iCs/>
        </w:rPr>
      </w:pPr>
    </w:p>
    <w:p w:rsidR="007E0ADA" w:rsidRDefault="007E0ADA" w:rsidP="000A5A56">
      <w:pPr>
        <w:pStyle w:val="ListeParagraf"/>
        <w:numPr>
          <w:ilvl w:val="0"/>
          <w:numId w:val="25"/>
        </w:numPr>
        <w:spacing w:after="0"/>
        <w:rPr>
          <w:rFonts w:ascii="Calibri" w:hAnsi="Calibri"/>
          <w:iCs/>
        </w:rPr>
      </w:pPr>
      <w:r w:rsidRPr="007E0ADA">
        <w:rPr>
          <w:rFonts w:ascii="Calibri" w:hAnsi="Calibri"/>
          <w:iCs/>
        </w:rPr>
        <w:t>16 ncı maddesinin dördüncü fıkrasının (a), (ç) ve (d) bentleri aşağıdaki şekilde değiştirilmiştir.</w:t>
      </w:r>
    </w:p>
    <w:p w:rsidR="007E0ADA" w:rsidRDefault="007E0ADA" w:rsidP="007E0ADA">
      <w:pPr>
        <w:spacing w:after="0"/>
        <w:rPr>
          <w:rFonts w:ascii="Calibri" w:hAnsi="Calibri"/>
          <w:iCs/>
        </w:rPr>
      </w:pPr>
    </w:p>
    <w:p w:rsidR="007E0ADA" w:rsidRPr="007E0ADA" w:rsidRDefault="007E0ADA" w:rsidP="007E0ADA">
      <w:pPr>
        <w:pStyle w:val="ListeParagraf"/>
        <w:spacing w:after="0"/>
        <w:ind w:left="1440"/>
        <w:rPr>
          <w:rFonts w:ascii="Calibri" w:hAnsi="Calibri"/>
          <w:i/>
        </w:rPr>
      </w:pPr>
      <w:r w:rsidRPr="007E0ADA">
        <w:rPr>
          <w:rFonts w:ascii="Calibri" w:hAnsi="Calibri"/>
          <w:i/>
        </w:rPr>
        <w:t>“a) TEİAŞ veya ilgili dağıtım şirketi tarafından uygun bağlantı görüşü verilmeyen başvurular ile 15 inci maddenin dokuzuncu fıkrası kapsamında yapılan değerlendirmede kalan kapasiteyi kabul etmeyen başvurular.”</w:t>
      </w:r>
    </w:p>
    <w:p w:rsidR="007E0ADA" w:rsidRPr="007E0ADA" w:rsidRDefault="007E0ADA" w:rsidP="007E0ADA">
      <w:pPr>
        <w:pStyle w:val="ListeParagraf"/>
        <w:spacing w:after="0"/>
        <w:ind w:left="1440"/>
        <w:rPr>
          <w:rFonts w:ascii="Calibri" w:hAnsi="Calibri"/>
          <w:i/>
        </w:rPr>
      </w:pPr>
      <w:r w:rsidRPr="007E0ADA">
        <w:rPr>
          <w:rFonts w:ascii="Calibri" w:hAnsi="Calibri"/>
          <w:i/>
        </w:rPr>
        <w:lastRenderedPageBreak/>
        <w:t xml:space="preserve">“ç) Ana kaynağı veya yardımcı kaynağından biri </w:t>
      </w:r>
      <w:r w:rsidR="00151CF9">
        <w:rPr>
          <w:rFonts w:ascii="Calibri" w:hAnsi="Calibri"/>
          <w:i/>
        </w:rPr>
        <w:t>Rüzgâr</w:t>
      </w:r>
      <w:r w:rsidRPr="007E0ADA">
        <w:rPr>
          <w:rFonts w:ascii="Calibri" w:hAnsi="Calibri"/>
          <w:i/>
        </w:rPr>
        <w:t>, güneş, biyokütle veya jeotermal olan tesisler ile depolamalı elektrik üretim tesisleri için Enerji İşleri Genel Müdürlüğü tarafından teknik değerlendirmesi uygun bulunmayan başvurular.</w:t>
      </w:r>
    </w:p>
    <w:p w:rsidR="007E0ADA" w:rsidRDefault="007E0ADA" w:rsidP="007E0ADA">
      <w:pPr>
        <w:pStyle w:val="ListeParagraf"/>
        <w:spacing w:after="0"/>
        <w:ind w:left="1440"/>
        <w:rPr>
          <w:rFonts w:ascii="Calibri" w:hAnsi="Calibri"/>
          <w:i/>
        </w:rPr>
      </w:pPr>
      <w:r w:rsidRPr="007E0ADA">
        <w:rPr>
          <w:rFonts w:ascii="Calibri" w:hAnsi="Calibri"/>
          <w:i/>
        </w:rPr>
        <w:t>d) YEKA için yapılacak başvurular ile depolamalı elektrik üretim tesisi kapsamında yapılacak başvurular hariç Enerji İşleri Genel Müdürlüğü tarafından ölçüm istasyonunun, üretim tesisine ilişkin bilgi formunda verilen koordinatlara göre üretim tesisinin kurulacağı önlisans başvurusu yapılan santral sahası alanında yer almadığı bildirilen başvurular.”</w:t>
      </w:r>
    </w:p>
    <w:p w:rsidR="007E0ADA" w:rsidRDefault="007E0ADA" w:rsidP="007E0ADA">
      <w:pPr>
        <w:pStyle w:val="ListeParagraf"/>
        <w:spacing w:after="0"/>
        <w:ind w:left="1440"/>
        <w:rPr>
          <w:rFonts w:ascii="Calibri" w:hAnsi="Calibri"/>
          <w:i/>
        </w:rPr>
      </w:pPr>
    </w:p>
    <w:p w:rsidR="007E0ADA" w:rsidRPr="00EE69AF" w:rsidRDefault="007E0ADA" w:rsidP="000A5A56">
      <w:pPr>
        <w:pStyle w:val="ListeParagraf"/>
        <w:numPr>
          <w:ilvl w:val="0"/>
          <w:numId w:val="25"/>
        </w:numPr>
        <w:spacing w:after="0"/>
        <w:rPr>
          <w:rFonts w:ascii="Calibri" w:hAnsi="Calibri"/>
          <w:i/>
        </w:rPr>
      </w:pPr>
      <w:r w:rsidRPr="007E0ADA">
        <w:rPr>
          <w:rFonts w:ascii="Calibri" w:hAnsi="Calibri"/>
          <w:iCs/>
        </w:rPr>
        <w:t>17 nci maddesinin beşinci fıkrası aşağıdaki şekilde değiştirilmiştir.</w:t>
      </w:r>
    </w:p>
    <w:p w:rsidR="00EE69AF" w:rsidRPr="00EE69AF" w:rsidRDefault="00EE69AF" w:rsidP="00EE69AF">
      <w:pPr>
        <w:pStyle w:val="ListeParagraf"/>
        <w:spacing w:after="0"/>
        <w:ind w:left="1440"/>
        <w:rPr>
          <w:rFonts w:ascii="Calibri" w:hAnsi="Calibri"/>
          <w:i/>
        </w:rPr>
      </w:pPr>
    </w:p>
    <w:p w:rsidR="00EE69AF" w:rsidRPr="00EE69AF" w:rsidRDefault="00EE69AF" w:rsidP="00EE69AF">
      <w:pPr>
        <w:pStyle w:val="ListeParagraf"/>
        <w:spacing w:after="0"/>
        <w:ind w:left="1440"/>
        <w:rPr>
          <w:rFonts w:ascii="Calibri" w:hAnsi="Calibri"/>
          <w:i/>
        </w:rPr>
      </w:pPr>
      <w:r w:rsidRPr="00EE69AF">
        <w:rPr>
          <w:rFonts w:ascii="Calibri" w:hAnsi="Calibri"/>
          <w:i/>
        </w:rPr>
        <w:t>“(5) Birden çok kaynaklı elektrik üretim tesisi ve üretim tesisine bütünleşik elektrik depolama ünitesi kurmak amacıyla başvuruda bulunan önlisans sahibi tüzel kişiler ile depolamalı elektrik üretim tesisi kapsamında başvuruda bulunan önlisans sahibi tüzel kişiler, birinci ve ikinci fıkralardaki yükümlülüklerini yerine getirir. Bu yükümlülükler, kaynak bazında ayrı ayrı veya birlikte yerine getirilebilir.”</w:t>
      </w:r>
    </w:p>
    <w:p w:rsidR="007E0ADA" w:rsidRDefault="007E0ADA" w:rsidP="007E0ADA">
      <w:pPr>
        <w:pStyle w:val="ListeParagraf"/>
        <w:spacing w:after="0"/>
        <w:ind w:left="1440"/>
        <w:rPr>
          <w:rFonts w:ascii="Calibri" w:hAnsi="Calibri"/>
          <w:i/>
        </w:rPr>
      </w:pPr>
    </w:p>
    <w:p w:rsidR="00EE69AF" w:rsidRPr="00EE69AF" w:rsidRDefault="00EE69AF" w:rsidP="000A5A56">
      <w:pPr>
        <w:pStyle w:val="ListeParagraf"/>
        <w:numPr>
          <w:ilvl w:val="0"/>
          <w:numId w:val="25"/>
        </w:numPr>
        <w:spacing w:after="0"/>
        <w:rPr>
          <w:rFonts w:ascii="Calibri" w:hAnsi="Calibri"/>
          <w:iCs/>
        </w:rPr>
      </w:pPr>
      <w:r w:rsidRPr="00EE69AF">
        <w:rPr>
          <w:rFonts w:ascii="Calibri" w:hAnsi="Calibri"/>
          <w:iCs/>
        </w:rPr>
        <w:t>18 inci maddesinin altıncı fıkrasının (c) bendi, on ikinci fıkrasının (ç) bendi aşağıdaki şekilde değiştirilmiştir.</w:t>
      </w:r>
    </w:p>
    <w:p w:rsidR="007E0ADA" w:rsidRDefault="007E0ADA" w:rsidP="007E0ADA">
      <w:pPr>
        <w:pStyle w:val="ListeParagraf"/>
        <w:spacing w:after="0"/>
        <w:ind w:left="1440"/>
        <w:rPr>
          <w:rFonts w:ascii="Calibri" w:hAnsi="Calibri"/>
          <w:i/>
        </w:rPr>
      </w:pPr>
    </w:p>
    <w:p w:rsidR="00EE69AF" w:rsidRPr="00EE69AF" w:rsidRDefault="00EE69AF" w:rsidP="00EE69AF">
      <w:pPr>
        <w:pStyle w:val="ListeParagraf"/>
        <w:spacing w:after="0"/>
        <w:ind w:left="1440"/>
        <w:rPr>
          <w:rFonts w:ascii="Calibri" w:hAnsi="Calibri"/>
          <w:i/>
        </w:rPr>
      </w:pPr>
      <w:r w:rsidRPr="00EE69AF">
        <w:rPr>
          <w:rFonts w:ascii="Calibri" w:hAnsi="Calibri"/>
          <w:i/>
        </w:rPr>
        <w:t>“c) Rüzgâr veya güneş enerjisi ile biyokütle veya jeotermal enerjiye dayalı önlisanslar için Enerji İşleri Genel Müdürlüğü tarafından yapılan teknik değerlendirmenin uygun bulunması, hidroelektrik kaynaklara dayalı önlisanslar için DSİ tarafından uygun görüş verilmesi,”</w:t>
      </w:r>
    </w:p>
    <w:p w:rsidR="00EE69AF" w:rsidRPr="00EE69AF" w:rsidRDefault="00EE69AF" w:rsidP="00EE69AF">
      <w:pPr>
        <w:pStyle w:val="ListeParagraf"/>
        <w:spacing w:after="0"/>
        <w:ind w:left="1440"/>
        <w:rPr>
          <w:rFonts w:ascii="Calibri" w:hAnsi="Calibri"/>
          <w:i/>
        </w:rPr>
      </w:pPr>
      <w:r w:rsidRPr="00EE69AF">
        <w:rPr>
          <w:rFonts w:ascii="Calibri" w:hAnsi="Calibri"/>
          <w:i/>
        </w:rPr>
        <w:t xml:space="preserve">“ç) Yardımcı kaynağı </w:t>
      </w:r>
      <w:r w:rsidR="00151CF9">
        <w:rPr>
          <w:rFonts w:ascii="Calibri" w:hAnsi="Calibri"/>
          <w:i/>
        </w:rPr>
        <w:t>Rüzgâr</w:t>
      </w:r>
      <w:r w:rsidRPr="00EE69AF">
        <w:rPr>
          <w:rFonts w:ascii="Calibri" w:hAnsi="Calibri"/>
          <w:i/>
        </w:rPr>
        <w:t xml:space="preserve"> veya güneş enerjisi ile biyokütle veya jeotermal enerjiye dayalı olan önlisanslar için yardımcı kaynaklara ilişkin Enerji İşleri Genel Müdürlüğü tarafından yapılan teknik değerlendirmenin uygun olması,”</w:t>
      </w:r>
    </w:p>
    <w:p w:rsidR="007E0ADA" w:rsidRDefault="007E0ADA" w:rsidP="007E0ADA">
      <w:pPr>
        <w:pStyle w:val="ListeParagraf"/>
        <w:spacing w:after="0"/>
        <w:ind w:left="1440"/>
        <w:rPr>
          <w:rFonts w:ascii="Calibri" w:hAnsi="Calibri"/>
          <w:i/>
        </w:rPr>
      </w:pPr>
    </w:p>
    <w:p w:rsidR="00EE69AF" w:rsidRDefault="00EE69AF" w:rsidP="000A5A56">
      <w:pPr>
        <w:pStyle w:val="ListeParagraf"/>
        <w:numPr>
          <w:ilvl w:val="0"/>
          <w:numId w:val="25"/>
        </w:numPr>
        <w:spacing w:after="0"/>
        <w:rPr>
          <w:rFonts w:ascii="Calibri" w:hAnsi="Calibri"/>
          <w:iCs/>
        </w:rPr>
      </w:pPr>
      <w:r w:rsidRPr="00EE69AF">
        <w:rPr>
          <w:rFonts w:ascii="Calibri" w:hAnsi="Calibri"/>
          <w:iCs/>
        </w:rPr>
        <w:t>20 nci maddesinin altıncı fıkrasına aşağıdaki cümle eklenmiştir.</w:t>
      </w:r>
    </w:p>
    <w:p w:rsidR="00EE69AF" w:rsidRPr="00EE69AF" w:rsidRDefault="00EE69AF" w:rsidP="00EE69AF">
      <w:pPr>
        <w:pStyle w:val="ListeParagraf"/>
        <w:spacing w:after="0"/>
        <w:ind w:left="1440"/>
        <w:rPr>
          <w:rFonts w:ascii="Calibri" w:hAnsi="Calibri"/>
          <w:iCs/>
        </w:rPr>
      </w:pPr>
    </w:p>
    <w:p w:rsidR="00EE69AF" w:rsidRPr="00EE69AF" w:rsidRDefault="00EE69AF" w:rsidP="00EE69AF">
      <w:pPr>
        <w:pStyle w:val="ListeParagraf"/>
        <w:spacing w:after="0"/>
        <w:ind w:left="1440"/>
        <w:rPr>
          <w:rFonts w:ascii="Calibri" w:hAnsi="Calibri"/>
          <w:i/>
        </w:rPr>
      </w:pPr>
      <w:r w:rsidRPr="00EE69AF">
        <w:rPr>
          <w:rFonts w:ascii="Calibri" w:hAnsi="Calibri"/>
          <w:i/>
        </w:rPr>
        <w:t xml:space="preserve">“Depolamalı elektrik üretim tesisi kapsamındaki lisans başvurularında, bu fıkranın (b) ve (d) bendi kapsamındaki yükümlülüklerin belirlenmesinde, </w:t>
      </w:r>
      <w:r w:rsidR="00151CF9">
        <w:rPr>
          <w:rFonts w:ascii="Calibri" w:hAnsi="Calibri"/>
          <w:i/>
        </w:rPr>
        <w:t>Rüzgâr</w:t>
      </w:r>
      <w:r w:rsidRPr="00EE69AF">
        <w:rPr>
          <w:rFonts w:ascii="Calibri" w:hAnsi="Calibri"/>
          <w:i/>
        </w:rPr>
        <w:t xml:space="preserve"> veya güneş enerjisine dayalı mekanik kurulu gücü ile elektrik depolama ünitesinin kapasitesine denk gelen bedeller toplanarak birlikte değerlendirilir.”</w:t>
      </w:r>
    </w:p>
    <w:p w:rsidR="007E0ADA" w:rsidRDefault="007E0ADA" w:rsidP="007E0ADA">
      <w:pPr>
        <w:pStyle w:val="ListeParagraf"/>
        <w:spacing w:after="0"/>
        <w:ind w:left="1440"/>
        <w:rPr>
          <w:rFonts w:ascii="Calibri" w:hAnsi="Calibri"/>
          <w:i/>
        </w:rPr>
      </w:pPr>
    </w:p>
    <w:p w:rsidR="00EE69AF" w:rsidRDefault="00EE69AF" w:rsidP="000A5A56">
      <w:pPr>
        <w:pStyle w:val="ListeParagraf"/>
        <w:numPr>
          <w:ilvl w:val="0"/>
          <w:numId w:val="25"/>
        </w:numPr>
        <w:spacing w:after="0"/>
        <w:rPr>
          <w:rFonts w:ascii="Calibri" w:hAnsi="Calibri"/>
          <w:iCs/>
        </w:rPr>
      </w:pPr>
      <w:r w:rsidRPr="00EE69AF">
        <w:rPr>
          <w:rFonts w:ascii="Calibri" w:hAnsi="Calibri"/>
          <w:iCs/>
        </w:rPr>
        <w:t>24 üncü maddesinin beşinci fıkrasının (c) bendi, altıncı fıkrası aşağıdaki şekilde değiştirilmiş, on dokuzuncu fıkrasına aşağıdaki cümle eklenmiş ve aynı maddeye aşağıdaki fıkralar eklenmiştir.</w:t>
      </w:r>
    </w:p>
    <w:p w:rsidR="00EE69AF" w:rsidRPr="00EE69AF" w:rsidRDefault="00EE69AF" w:rsidP="00EE69AF">
      <w:pPr>
        <w:pStyle w:val="ListeParagraf"/>
        <w:spacing w:after="0"/>
        <w:ind w:left="1440"/>
        <w:rPr>
          <w:rFonts w:ascii="Calibri" w:hAnsi="Calibri"/>
          <w:iCs/>
        </w:rPr>
      </w:pPr>
    </w:p>
    <w:p w:rsidR="00EE69AF" w:rsidRPr="00EE69AF" w:rsidRDefault="00EE69AF" w:rsidP="00EE69AF">
      <w:pPr>
        <w:pStyle w:val="ListeParagraf"/>
        <w:spacing w:after="0"/>
        <w:ind w:left="1440"/>
        <w:rPr>
          <w:rFonts w:ascii="Calibri" w:hAnsi="Calibri"/>
          <w:i/>
        </w:rPr>
      </w:pPr>
      <w:r w:rsidRPr="00EE69AF">
        <w:rPr>
          <w:rFonts w:ascii="Calibri" w:hAnsi="Calibri"/>
          <w:i/>
        </w:rPr>
        <w:t>“c) Hidrolik kaynaklara dayalı üretim tesisleri için DSİ’den uygun görüş alınması, rüzgâr veya güneş enerjisi ile biyokütle veya jeotermal enerjiye dayalı üretim tesisleri için Enerji İşleri Genel Müdürlüğü tarafından yapılan teknik değerlendirmenin uygun olması,”</w:t>
      </w:r>
    </w:p>
    <w:p w:rsidR="00EE69AF" w:rsidRPr="00EE69AF" w:rsidRDefault="00EE69AF" w:rsidP="00EE69AF">
      <w:pPr>
        <w:pStyle w:val="ListeParagraf"/>
        <w:spacing w:after="0"/>
        <w:ind w:left="1440"/>
        <w:rPr>
          <w:rFonts w:ascii="Calibri" w:hAnsi="Calibri"/>
          <w:i/>
        </w:rPr>
      </w:pPr>
      <w:r w:rsidRPr="00EE69AF">
        <w:rPr>
          <w:rFonts w:ascii="Calibri" w:hAnsi="Calibri"/>
          <w:i/>
        </w:rPr>
        <w:t>“(6) Yenilenebilir enerji kaynaklarına dayalı üretim lisansları kapsamında,</w:t>
      </w:r>
    </w:p>
    <w:p w:rsidR="00EE69AF" w:rsidRPr="00EE69AF" w:rsidRDefault="00EE69AF" w:rsidP="00EE69AF">
      <w:pPr>
        <w:pStyle w:val="ListeParagraf"/>
        <w:spacing w:after="0"/>
        <w:ind w:left="1440"/>
        <w:rPr>
          <w:rFonts w:ascii="Calibri" w:hAnsi="Calibri"/>
          <w:i/>
        </w:rPr>
      </w:pPr>
      <w:r w:rsidRPr="00EE69AF">
        <w:rPr>
          <w:rFonts w:ascii="Calibri" w:hAnsi="Calibri"/>
          <w:i/>
        </w:rPr>
        <w:t>a) Lisansta belirlenen sahanın dışına çıkılmaması,</w:t>
      </w:r>
    </w:p>
    <w:p w:rsidR="00EE69AF" w:rsidRPr="00EE69AF" w:rsidRDefault="00EE69AF" w:rsidP="00EE69AF">
      <w:pPr>
        <w:pStyle w:val="ListeParagraf"/>
        <w:spacing w:after="0"/>
        <w:ind w:left="1440"/>
        <w:rPr>
          <w:rFonts w:ascii="Calibri" w:hAnsi="Calibri"/>
          <w:i/>
        </w:rPr>
      </w:pPr>
      <w:r w:rsidRPr="00EE69AF">
        <w:rPr>
          <w:rFonts w:ascii="Calibri" w:hAnsi="Calibri"/>
          <w:i/>
        </w:rPr>
        <w:t>b) İşletme anında sisteme verilen gücün lisansta belirtilen kurulu gücü aşmaması,</w:t>
      </w:r>
    </w:p>
    <w:p w:rsidR="00EE69AF" w:rsidRPr="00EE69AF" w:rsidRDefault="00EE69AF" w:rsidP="00EE69AF">
      <w:pPr>
        <w:pStyle w:val="ListeParagraf"/>
        <w:spacing w:after="0"/>
        <w:ind w:left="1440"/>
        <w:rPr>
          <w:rFonts w:ascii="Calibri" w:hAnsi="Calibri"/>
          <w:i/>
        </w:rPr>
      </w:pPr>
      <w:r w:rsidRPr="00EE69AF">
        <w:rPr>
          <w:rFonts w:ascii="Calibri" w:hAnsi="Calibri"/>
          <w:i/>
        </w:rPr>
        <w:t>c) Rüzgâr veya güneş enerjisi ile biyokütle veya jeotermal enerjiye dayalı lisanslar için Enerji İşleri Genel Müdürlüğü tarafından yapılan teknik değerlendirmenin uygun bulunması, hidroelektrik kaynaklara dayalı lisanslar için DSİ tarafından uygun görüş verilmesi,</w:t>
      </w:r>
    </w:p>
    <w:p w:rsidR="00EE69AF" w:rsidRPr="00EE69AF" w:rsidRDefault="00EE69AF" w:rsidP="00EE69AF">
      <w:pPr>
        <w:pStyle w:val="ListeParagraf"/>
        <w:spacing w:after="0"/>
        <w:ind w:left="1440"/>
        <w:rPr>
          <w:rFonts w:ascii="Calibri" w:hAnsi="Calibri"/>
          <w:i/>
        </w:rPr>
      </w:pPr>
      <w:r w:rsidRPr="00EE69AF">
        <w:rPr>
          <w:rFonts w:ascii="Calibri" w:hAnsi="Calibri"/>
          <w:i/>
        </w:rPr>
        <w:lastRenderedPageBreak/>
        <w:t>kaydıyla mekanik kapasite tadili uygun bulunabilir. Uygun bulma Kurul kararının veya ana hizmet birimi işleminin tebliğ tarihinden itibaren ilgili işlemde belirlenen süre içerisinde dördüncü fıkranın (a), (b), (c) ve (ç) bentleri kapsamında belirlenen ilgili yükümlülüklerin yerine getirilmesi ile rüzgâr enerjisine dayalı üretim tesisleri için Teknik Etkileşim İzni belgesinin uygun bulma Kurul kararının veya ana hizmet birimi işleminin tebliğ tarihinden itibaren yüz seksen gün içerisinde Kuruma sunulması kaydıyla mekanik kapasite tadili yapılabilir. Söz konusu yükümlülüklerin süresi içerisinde yerine getirilmemesi halinde, tadil başvurusu reddedilmiş sayılır. Bu fıkra kapsamındaki mekanik kapasite artışları, elektriksel kurulu güç artışı olarak değerlendirilmez. Mekanik kapasite artışı kapsamında ilave edilecek toplam mekanik güç miktarı, işletmede olanlar dahil, lisansa dercedilmiş elektriksel kurulu güç miktarından fazla olamaz.”</w:t>
      </w:r>
    </w:p>
    <w:p w:rsidR="00EE69AF" w:rsidRPr="00EE69AF" w:rsidRDefault="00EE69AF" w:rsidP="00EE69AF">
      <w:pPr>
        <w:pStyle w:val="ListeParagraf"/>
        <w:spacing w:after="0"/>
        <w:ind w:left="1440"/>
        <w:rPr>
          <w:rFonts w:ascii="Calibri" w:hAnsi="Calibri"/>
          <w:i/>
        </w:rPr>
      </w:pPr>
      <w:r w:rsidRPr="00EE69AF">
        <w:rPr>
          <w:rFonts w:ascii="Calibri" w:hAnsi="Calibri"/>
          <w:i/>
        </w:rPr>
        <w:t>“Tedarik lisanslarına eklenecek her bir müstakil elektrik depolama tesisi için ayrı lisans tadili başvurusunda bulunulur.”</w:t>
      </w:r>
    </w:p>
    <w:p w:rsidR="00EE69AF" w:rsidRPr="00EE69AF" w:rsidRDefault="00EE69AF" w:rsidP="00EE69AF">
      <w:pPr>
        <w:pStyle w:val="ListeParagraf"/>
        <w:spacing w:after="0"/>
        <w:ind w:left="1440"/>
        <w:rPr>
          <w:rFonts w:ascii="Calibri" w:hAnsi="Calibri"/>
          <w:i/>
        </w:rPr>
      </w:pPr>
      <w:r w:rsidRPr="00EE69AF">
        <w:rPr>
          <w:rFonts w:ascii="Calibri" w:hAnsi="Calibri"/>
          <w:i/>
        </w:rPr>
        <w:t xml:space="preserve">“(21) Kısmen veya tamamen işletmede bulunan üretim tesislerinden, elektrik depolama ünitesi kurmayı taahhüt eden </w:t>
      </w:r>
      <w:r w:rsidR="00151CF9">
        <w:rPr>
          <w:rFonts w:ascii="Calibri" w:hAnsi="Calibri"/>
          <w:i/>
        </w:rPr>
        <w:t>Rüzgâr</w:t>
      </w:r>
      <w:r w:rsidRPr="00EE69AF">
        <w:rPr>
          <w:rFonts w:ascii="Calibri" w:hAnsi="Calibri"/>
          <w:i/>
        </w:rPr>
        <w:t xml:space="preserve"> veya güneş enerjisine dayalı elektrik üretim lisansı sahibi tüzel kişilere, kurmayı taahhüt ettikleri elektrik depolama ünitesi kurulu gücüne kadar kapasite artışına, bu maddenin beşinci fıkrasında belirtilen koşullara uyulması kaydıyla, izin verilir. Bu kapsamdaki tadil başvurusunun, 12 nci maddenin on dördüncü fıkrası hükmüne uygun olarak yapılması zorunludur. Söz konusu tadil talepleri için bağlantı görüşlerinin oluşturulması 15 inci maddenin dokuzuncu fıkrasının (b) bendi kapsamında yürütülür. Bu kapsamda kapasite artış talebinde bulunan tesisler için ilave edilen elektrik depolama ünitesi ile </w:t>
      </w:r>
      <w:r w:rsidR="00151CF9">
        <w:rPr>
          <w:rFonts w:ascii="Calibri" w:hAnsi="Calibri"/>
          <w:i/>
        </w:rPr>
        <w:t>Rüzgâr</w:t>
      </w:r>
      <w:r w:rsidRPr="00EE69AF">
        <w:rPr>
          <w:rFonts w:ascii="Calibri" w:hAnsi="Calibri"/>
          <w:i/>
        </w:rPr>
        <w:t xml:space="preserve"> veya güneş enerjisine dayalı üniteler, depolamalı elektrik üretim tesisi kapsamında değerlendirilir.</w:t>
      </w:r>
    </w:p>
    <w:p w:rsidR="00EE69AF" w:rsidRDefault="00EE69AF" w:rsidP="00EE69AF">
      <w:pPr>
        <w:pStyle w:val="ListeParagraf"/>
        <w:spacing w:after="0"/>
        <w:ind w:left="1440"/>
        <w:rPr>
          <w:rFonts w:ascii="Calibri" w:hAnsi="Calibri"/>
          <w:i/>
        </w:rPr>
      </w:pPr>
      <w:r w:rsidRPr="00EE69AF">
        <w:rPr>
          <w:rFonts w:ascii="Calibri" w:hAnsi="Calibri"/>
          <w:i/>
        </w:rPr>
        <w:t>(22) Tarifesi düzenlemeye tabi faaliyet yürüten lisans sahibi tüzel kişilerin unvan değişikliği, Kurul onayına tabidir.”</w:t>
      </w:r>
    </w:p>
    <w:p w:rsidR="00EE69AF" w:rsidRDefault="00EE69AF" w:rsidP="00EE69AF">
      <w:pPr>
        <w:pStyle w:val="ListeParagraf"/>
        <w:spacing w:after="0"/>
        <w:ind w:left="1440"/>
        <w:rPr>
          <w:rFonts w:ascii="Calibri" w:hAnsi="Calibri"/>
          <w:i/>
        </w:rPr>
      </w:pPr>
    </w:p>
    <w:p w:rsidR="00EE69AF" w:rsidRDefault="00EE69AF" w:rsidP="000A5A56">
      <w:pPr>
        <w:pStyle w:val="ListeParagraf"/>
        <w:numPr>
          <w:ilvl w:val="0"/>
          <w:numId w:val="25"/>
        </w:numPr>
        <w:spacing w:after="0"/>
        <w:rPr>
          <w:rFonts w:ascii="Calibri" w:hAnsi="Calibri"/>
          <w:iCs/>
        </w:rPr>
      </w:pPr>
      <w:r w:rsidRPr="00EE69AF">
        <w:rPr>
          <w:rFonts w:ascii="Calibri" w:hAnsi="Calibri"/>
          <w:iCs/>
        </w:rPr>
        <w:t>27 nci maddesine aşağıdaki fıkralar eklenmiştir.</w:t>
      </w:r>
    </w:p>
    <w:p w:rsidR="00EE69AF" w:rsidRPr="00EE69AF" w:rsidRDefault="00EE69AF" w:rsidP="00EE69AF">
      <w:pPr>
        <w:pStyle w:val="ListeParagraf"/>
        <w:spacing w:after="0"/>
        <w:ind w:left="1440"/>
        <w:rPr>
          <w:rFonts w:ascii="Calibri" w:hAnsi="Calibri"/>
          <w:iCs/>
        </w:rPr>
      </w:pPr>
    </w:p>
    <w:p w:rsidR="00EE69AF" w:rsidRPr="00EE69AF" w:rsidRDefault="00EE69AF" w:rsidP="00EE69AF">
      <w:pPr>
        <w:pStyle w:val="ListeParagraf"/>
        <w:spacing w:after="0"/>
        <w:ind w:left="1440"/>
        <w:rPr>
          <w:rFonts w:ascii="Calibri" w:hAnsi="Calibri"/>
          <w:i/>
        </w:rPr>
      </w:pPr>
      <w:r w:rsidRPr="00EE69AF">
        <w:rPr>
          <w:rFonts w:ascii="Calibri" w:hAnsi="Calibri"/>
          <w:i/>
        </w:rPr>
        <w:t>“(8) Depolamalı elektrik üretim tesisi bünyesindeki elektrik depolama ünitelerinin işletmede olmadığı uzlaştırma dönemlerinde, söz konusu depolamalı elektrik üretim tesislerinin sisteme veriş miktarları, ilgili mevzuat uyarınca uzlaştırma hesaplamalarında dikkate alınmaz.</w:t>
      </w:r>
    </w:p>
    <w:p w:rsidR="00EE69AF" w:rsidRPr="00EE69AF" w:rsidRDefault="00EE69AF" w:rsidP="00EE69AF">
      <w:pPr>
        <w:pStyle w:val="ListeParagraf"/>
        <w:spacing w:after="0"/>
        <w:ind w:left="1440"/>
        <w:rPr>
          <w:rFonts w:ascii="Calibri" w:hAnsi="Calibri"/>
          <w:i/>
        </w:rPr>
      </w:pPr>
      <w:r w:rsidRPr="00EE69AF">
        <w:rPr>
          <w:rFonts w:ascii="Calibri" w:hAnsi="Calibri"/>
          <w:i/>
        </w:rPr>
        <w:t>(9) 12 nci maddenin on dördüncü fıkrası kapsamında kurulması taahhüt edilen elektrik depolama ünitesinin, mücbir sebepler dışında, Kurul kararı ile belirlenen sürede işletmeye alınmaması halinde lisans iptal edilir. 24 üncü maddenin yirmi birinci fıkrası kapsamında kurulması taahhüt edilen elektrik depolama ünitesinin, mücbir sebepler dışında, Kurul kararı ile belirlenen sürede işletmeye alınmaması halinde bu kapsamda tahsis edilen kurulu güç, lisanstan terkin edilerek tadil kapsamında Kuruma sunulmuş olan teminat irat kaydedilir.”</w:t>
      </w:r>
    </w:p>
    <w:p w:rsidR="00EE69AF" w:rsidRPr="007E0ADA" w:rsidRDefault="00EE69AF" w:rsidP="00EE69AF">
      <w:pPr>
        <w:pStyle w:val="ListeParagraf"/>
        <w:spacing w:after="0"/>
        <w:ind w:left="1440"/>
        <w:rPr>
          <w:rFonts w:ascii="Calibri" w:hAnsi="Calibri"/>
          <w:i/>
        </w:rPr>
      </w:pPr>
    </w:p>
    <w:p w:rsidR="00EE69AF" w:rsidRPr="00EE69AF" w:rsidRDefault="00EE69AF" w:rsidP="000A5A56">
      <w:pPr>
        <w:pStyle w:val="ListeParagraf"/>
        <w:numPr>
          <w:ilvl w:val="0"/>
          <w:numId w:val="25"/>
        </w:numPr>
        <w:spacing w:after="0"/>
        <w:rPr>
          <w:rFonts w:ascii="Times New Roman" w:eastAsia="Times New Roman" w:hAnsi="Times New Roman"/>
          <w:sz w:val="19"/>
          <w:szCs w:val="19"/>
          <w:lang w:eastAsia="tr-TR"/>
        </w:rPr>
      </w:pPr>
      <w:r w:rsidRPr="00EE69AF">
        <w:rPr>
          <w:rFonts w:ascii="Calibri" w:hAnsi="Calibri"/>
          <w:iCs/>
        </w:rPr>
        <w:t>29 uncu maddesinin üçüncü fıkrasına aşağıdaki bent eklenmiş ve aynı fıkranın sonuna aşağıdaki cümle eklenmiştir.</w:t>
      </w:r>
    </w:p>
    <w:p w:rsidR="00EE69AF" w:rsidRPr="00081C02" w:rsidRDefault="00EE69AF" w:rsidP="00EE69AF">
      <w:pPr>
        <w:pStyle w:val="ListeParagraf"/>
        <w:spacing w:after="0"/>
        <w:ind w:left="1440"/>
        <w:rPr>
          <w:rFonts w:ascii="Times New Roman" w:eastAsia="Times New Roman" w:hAnsi="Times New Roman"/>
          <w:sz w:val="19"/>
          <w:szCs w:val="19"/>
          <w:lang w:eastAsia="tr-TR"/>
        </w:rPr>
      </w:pPr>
    </w:p>
    <w:p w:rsidR="00EE69AF" w:rsidRPr="00EE69AF" w:rsidRDefault="00EE69AF" w:rsidP="00EE69AF">
      <w:pPr>
        <w:pStyle w:val="ListeParagraf"/>
        <w:spacing w:after="0"/>
        <w:ind w:left="1440"/>
        <w:rPr>
          <w:rFonts w:ascii="Calibri" w:hAnsi="Calibri"/>
          <w:i/>
        </w:rPr>
      </w:pPr>
      <w:r w:rsidRPr="00EE69AF">
        <w:rPr>
          <w:rFonts w:ascii="Calibri" w:hAnsi="Calibri"/>
          <w:i/>
        </w:rPr>
        <w:t xml:space="preserve">“k) Bu Yönetmelik kapsamında tesis edeceği kojenerasyon ve trijenerasyon tesisleri ile kabulü yapılan üniteler için bakım-onarım kapsamında tedarik edilen ekipmanlar hariç; elektrik üretim tesisi ve 9/5/2021 tarihli ve 31479 sayılı Resmî </w:t>
      </w:r>
      <w:r w:rsidR="00274939">
        <w:rPr>
          <w:rFonts w:ascii="Calibri" w:hAnsi="Calibri"/>
          <w:i/>
        </w:rPr>
        <w:t>Gazetede</w:t>
      </w:r>
      <w:r w:rsidRPr="00EE69AF">
        <w:rPr>
          <w:rFonts w:ascii="Calibri" w:hAnsi="Calibri"/>
          <w:i/>
        </w:rPr>
        <w:t xml:space="preserve"> yayımlanan Elektrik Piyasasında Depolama Faaliyetleri Yönetmeliği kapsamında tesis edeceği elektrik depolama tesisi veya ünitesinde, ilgili mevzuat ve standartlara göre imal edilmiş, garanti kapsamında yer alan ve son </w:t>
      </w:r>
      <w:r w:rsidRPr="00EE69AF">
        <w:rPr>
          <w:rFonts w:ascii="Calibri" w:hAnsi="Calibri"/>
          <w:i/>
        </w:rPr>
        <w:lastRenderedPageBreak/>
        <w:t>beş yıl içerisinde üretilmiş türbin, jeneratör, kanat, panel, invertör, buhar kazanı, motor, batarya gibi ana ekipmanları kullanmak,”</w:t>
      </w:r>
    </w:p>
    <w:p w:rsidR="00EE69AF" w:rsidRDefault="00EE69AF" w:rsidP="00EE69AF">
      <w:pPr>
        <w:pStyle w:val="ListeParagraf"/>
        <w:spacing w:after="0"/>
        <w:ind w:left="1440"/>
        <w:rPr>
          <w:rFonts w:ascii="Calibri" w:hAnsi="Calibri"/>
          <w:i/>
        </w:rPr>
      </w:pPr>
      <w:r w:rsidRPr="00EE69AF">
        <w:rPr>
          <w:rFonts w:ascii="Calibri" w:hAnsi="Calibri"/>
          <w:i/>
        </w:rPr>
        <w:t>“Bu fıkranın (k) bendi, yurt içinde imal edilmiş ekipman kullanacak lisans sahipleri için uygulanmaz.”</w:t>
      </w:r>
    </w:p>
    <w:p w:rsidR="00EE69AF" w:rsidRDefault="00EE69AF" w:rsidP="00EE69AF">
      <w:pPr>
        <w:pStyle w:val="ListeParagraf"/>
        <w:spacing w:after="0"/>
        <w:ind w:left="1440"/>
        <w:rPr>
          <w:rFonts w:ascii="Calibri" w:hAnsi="Calibri"/>
          <w:i/>
        </w:rPr>
      </w:pPr>
    </w:p>
    <w:p w:rsidR="00EE69AF" w:rsidRDefault="00EE69AF" w:rsidP="000A5A56">
      <w:pPr>
        <w:pStyle w:val="ListeParagraf"/>
        <w:numPr>
          <w:ilvl w:val="0"/>
          <w:numId w:val="25"/>
        </w:numPr>
        <w:spacing w:after="0"/>
        <w:rPr>
          <w:rFonts w:ascii="Calibri" w:hAnsi="Calibri"/>
          <w:iCs/>
        </w:rPr>
      </w:pPr>
      <w:r w:rsidRPr="00EE69AF">
        <w:rPr>
          <w:rFonts w:ascii="Calibri" w:hAnsi="Calibri"/>
          <w:iCs/>
        </w:rPr>
        <w:t>30 uncu maddesinin ikinci fıkrasının (ı) bendinde yer alan “bir” ibaresi “iki” şeklinde değiştirilmiş, aynı fıkraya aşağıdaki bent eklenmiş, aynı maddenin üçüncü fıkrası aşağıdaki şekilde değiştirilmiş ve aynı maddeye aşağıdaki fıkra eklenmiştir.</w:t>
      </w:r>
    </w:p>
    <w:p w:rsidR="00EE69AF" w:rsidRPr="00EE69AF" w:rsidRDefault="00EE69AF" w:rsidP="00EE69AF">
      <w:pPr>
        <w:pStyle w:val="ListeParagraf"/>
        <w:spacing w:after="0"/>
        <w:ind w:left="1440"/>
        <w:rPr>
          <w:rFonts w:ascii="Calibri" w:hAnsi="Calibri"/>
          <w:iCs/>
        </w:rPr>
      </w:pPr>
    </w:p>
    <w:p w:rsidR="00EE69AF" w:rsidRDefault="00EE69AF" w:rsidP="00EE69AF">
      <w:pPr>
        <w:pStyle w:val="ListeParagraf"/>
        <w:spacing w:after="0"/>
        <w:ind w:left="1440"/>
        <w:rPr>
          <w:rFonts w:ascii="Calibri" w:hAnsi="Calibri"/>
          <w:i/>
        </w:rPr>
      </w:pPr>
      <w:r w:rsidRPr="00EE69AF">
        <w:rPr>
          <w:rFonts w:ascii="Calibri" w:hAnsi="Calibri"/>
          <w:i/>
        </w:rPr>
        <w:t xml:space="preserve">“i) Rüzgâr enerjisine dayalı üretim lisansı sahibi tüzel kişiler; 9/7/2020 tarihli ve 31180 sayılı Resmî </w:t>
      </w:r>
      <w:r w:rsidR="00274939">
        <w:rPr>
          <w:rFonts w:ascii="Calibri" w:hAnsi="Calibri"/>
          <w:i/>
        </w:rPr>
        <w:t>Gazetede</w:t>
      </w:r>
      <w:r w:rsidRPr="00EE69AF">
        <w:rPr>
          <w:rFonts w:ascii="Calibri" w:hAnsi="Calibri"/>
          <w:i/>
        </w:rPr>
        <w:t xml:space="preserve"> yayımlanan Düşey Engel Verilerini Toplama ve Sunma Yönetmeliğine uygun olarak, üretim lisansları kapsamında düşey engel niteliğindeki her türlü tesis ve yapıya ilişkin bilgiyi, yetkili fen adamları vasıtasıyla tespit etmek, söz konusu yönetmelik ekinde bulunan tabloları belirtilen süreler içinde, tarif edilen nitelikte, tam, doğru, zamanında toplamak ve doğruluğunu teyit ederek Harita Genel Müdürlüğü’ne göndermek ve bu bilgiyi güncel tutmak, üretim lisansı sahibi şirket yetkilisinin adı-soyadı imzası ile yetkili/sorumlu mühendis onayı olacak şekilde, hem yazılı olarak hem de elektronik ortamda Harita Genel Müdürlüğü’ne iletmek, bu kapsamdaki işlemlerin yerine getirilmesinde Harita Genel Müdürlüğü tarafından verilen talimatları yerine getirmek,”</w:t>
      </w:r>
    </w:p>
    <w:p w:rsidR="009067D4" w:rsidRPr="00EE69AF" w:rsidRDefault="009067D4" w:rsidP="00EE69AF">
      <w:pPr>
        <w:pStyle w:val="ListeParagraf"/>
        <w:spacing w:after="0"/>
        <w:ind w:left="1440"/>
        <w:rPr>
          <w:rFonts w:ascii="Calibri" w:hAnsi="Calibri"/>
          <w:i/>
        </w:rPr>
      </w:pPr>
    </w:p>
    <w:p w:rsidR="00EE69AF" w:rsidRPr="00EE69AF" w:rsidRDefault="00EE69AF" w:rsidP="00EE69AF">
      <w:pPr>
        <w:pStyle w:val="ListeParagraf"/>
        <w:spacing w:after="0"/>
        <w:ind w:left="1440"/>
        <w:rPr>
          <w:rFonts w:ascii="Calibri" w:hAnsi="Calibri"/>
          <w:i/>
        </w:rPr>
      </w:pPr>
      <w:r w:rsidRPr="00EE69AF">
        <w:rPr>
          <w:rFonts w:ascii="Calibri" w:hAnsi="Calibri"/>
          <w:i/>
        </w:rPr>
        <w:t>“(3) Birleşik elektrik üretim tesisi ile birleşik yenilenebilir elektrik üretim tesislerinde sisteme verilebilecek aktif çıkış gücü, ana kaynağa dayalı geçici kabulü yapılmış olan ünitelerin toplam elektriksel kurulu gücünü aşamaz. Üretim miktarının ana kaynağa dayalı geçici kabulü yapılmış ünitelerin kurulu gücüne karşılık gelen enerji miktarından fazla olması halinde, söz konusu fazla enerji, ilgili mevzuat kapsamında uzlaştırma hesaplamalarında dikkate alınmaz. Ancak bu durum katılımcının ilgili mevzuattaki yükümlülüklerini ortadan kaldırmaz.”</w:t>
      </w:r>
    </w:p>
    <w:p w:rsidR="00EE69AF" w:rsidRPr="00EE69AF" w:rsidRDefault="00EE69AF" w:rsidP="00EE69AF">
      <w:pPr>
        <w:pStyle w:val="ListeParagraf"/>
        <w:spacing w:after="0"/>
        <w:ind w:left="1440"/>
        <w:rPr>
          <w:rFonts w:ascii="Calibri" w:hAnsi="Calibri"/>
          <w:i/>
        </w:rPr>
      </w:pPr>
      <w:r w:rsidRPr="00EE69AF">
        <w:rPr>
          <w:rFonts w:ascii="Calibri" w:hAnsi="Calibri"/>
          <w:i/>
        </w:rPr>
        <w:t xml:space="preserve">“(8) Depolamalı elektrik üretim tesislerinde </w:t>
      </w:r>
      <w:r w:rsidR="00151CF9">
        <w:rPr>
          <w:rFonts w:ascii="Calibri" w:hAnsi="Calibri"/>
          <w:i/>
        </w:rPr>
        <w:t>Rüzgâr</w:t>
      </w:r>
      <w:r w:rsidRPr="00EE69AF">
        <w:rPr>
          <w:rFonts w:ascii="Calibri" w:hAnsi="Calibri"/>
          <w:i/>
        </w:rPr>
        <w:t xml:space="preserve"> veya güneş enerjisine dayalı üniteler bakımından elektrik depolama ünitesinin işletmeye alınan kurulu gücü kadar kapasite işletmeye alınabilir. Söz konusu elektrik depolama ünitesinin tamamı işletmeye geçmeden; elektriksel kapasite artışı veya birden çok kaynaklı elektrik üretim tesisine dönüştürülmesi kapsamında tadil başvurusu yapılamaz.”</w:t>
      </w:r>
    </w:p>
    <w:p w:rsidR="00EE69AF" w:rsidRPr="00EE69AF" w:rsidRDefault="00EE69AF" w:rsidP="00EE69AF">
      <w:pPr>
        <w:pStyle w:val="ListeParagraf"/>
        <w:spacing w:after="0"/>
        <w:ind w:left="1440"/>
        <w:rPr>
          <w:rFonts w:ascii="Calibri" w:hAnsi="Calibri"/>
          <w:i/>
        </w:rPr>
      </w:pPr>
    </w:p>
    <w:p w:rsidR="00EE69AF" w:rsidRDefault="00EE69AF" w:rsidP="000A5A56">
      <w:pPr>
        <w:pStyle w:val="ListeParagraf"/>
        <w:numPr>
          <w:ilvl w:val="0"/>
          <w:numId w:val="25"/>
        </w:numPr>
        <w:spacing w:after="0"/>
        <w:rPr>
          <w:rFonts w:ascii="Calibri" w:hAnsi="Calibri"/>
          <w:iCs/>
        </w:rPr>
      </w:pPr>
      <w:r w:rsidRPr="00EE69AF">
        <w:rPr>
          <w:rFonts w:ascii="Calibri" w:hAnsi="Calibri"/>
          <w:iCs/>
        </w:rPr>
        <w:t>37 nci maddesinin birinci fıkrası aşağıdaki şekilde değiştirilmiştir.</w:t>
      </w:r>
    </w:p>
    <w:p w:rsidR="00EE69AF" w:rsidRPr="00EE69AF" w:rsidRDefault="00EE69AF" w:rsidP="00EE69AF">
      <w:pPr>
        <w:pStyle w:val="ListeParagraf"/>
        <w:spacing w:after="0"/>
        <w:ind w:left="1440"/>
        <w:rPr>
          <w:rFonts w:ascii="Calibri" w:hAnsi="Calibri"/>
          <w:iCs/>
        </w:rPr>
      </w:pPr>
    </w:p>
    <w:p w:rsidR="00EE69AF" w:rsidRPr="00EE69AF" w:rsidRDefault="00EE69AF" w:rsidP="00EE69AF">
      <w:pPr>
        <w:pStyle w:val="ListeParagraf"/>
        <w:spacing w:after="0"/>
        <w:ind w:left="1440"/>
        <w:rPr>
          <w:rFonts w:ascii="Calibri" w:hAnsi="Calibri"/>
          <w:i/>
        </w:rPr>
      </w:pPr>
      <w:r w:rsidRPr="00EE69AF">
        <w:rPr>
          <w:rFonts w:ascii="Calibri" w:hAnsi="Calibri"/>
          <w:i/>
        </w:rPr>
        <w:t>“(1) YEKA için yapılacak başvurular ile depolamalı elektrik üretim tesisi kapsamındaki başvurular hariç olmak üzere rüzgâr enerjisine dayalı üretim tesisi kurmak üzere önlisans başvurularında, tesisin kurulacağı saha üzerinde, bu Bölüm kapsamında düzenlenen şartlara uygun olarak son sekiz yıl içinde elde edilmiş en az bir yıl süreli ölçüm yapılması zorunludur. YEKA için yapılacak başvurular ile depolamalı elektrik üretim tesisi kapsamındaki başvurular hariç olmak üzere güneş enerjisine dayalı üretim tesisi kurmak üzere önlisans başvurularında, tesisin kurulacağı saha üzerinde, bu Bölüm kapsamında düzenlenen şartlara uygun olarak son sekiz yıl içinde elde edilmiş, 6 ayı yerinde olmak üzere, en az bir yıl süreli ölçüm yapılması zorunludur. Rüzgâr ve güneş enerjisine dayalı önlisans başvuruları esnasında; “Önlisans ve Lisans İşlemleri ile İlgili Başvurulara İlişkin Usul ve Esaslar”da yer alan Ölçüm İstasyonu Kurulum Raporu ve Ölçüm Sonuç Raporu MGM veya ilgili akredite kuruluş tarafından elektronik ortamda Kuruma sunulur.”</w:t>
      </w:r>
    </w:p>
    <w:p w:rsidR="007E0ADA" w:rsidRDefault="007E0ADA" w:rsidP="007E0ADA">
      <w:pPr>
        <w:spacing w:after="0"/>
        <w:rPr>
          <w:rFonts w:ascii="Calibri" w:hAnsi="Calibri"/>
          <w:iCs/>
        </w:rPr>
      </w:pPr>
    </w:p>
    <w:p w:rsidR="00EE69AF" w:rsidRDefault="00EE69AF" w:rsidP="000A5A56">
      <w:pPr>
        <w:pStyle w:val="ListeParagraf"/>
        <w:numPr>
          <w:ilvl w:val="0"/>
          <w:numId w:val="25"/>
        </w:numPr>
        <w:spacing w:after="0"/>
        <w:rPr>
          <w:rFonts w:ascii="Calibri" w:hAnsi="Calibri"/>
          <w:iCs/>
        </w:rPr>
      </w:pPr>
      <w:r w:rsidRPr="00EE69AF">
        <w:rPr>
          <w:rFonts w:ascii="Calibri" w:hAnsi="Calibri"/>
          <w:iCs/>
        </w:rPr>
        <w:t>43 üncü maddesine aşağıdaki fıkralar eklenmiştir.</w:t>
      </w:r>
    </w:p>
    <w:p w:rsidR="00EE69AF" w:rsidRPr="00EE69AF" w:rsidRDefault="00EE69AF" w:rsidP="00EE69AF">
      <w:pPr>
        <w:pStyle w:val="ListeParagraf"/>
        <w:spacing w:after="0"/>
        <w:ind w:left="1440"/>
        <w:rPr>
          <w:rFonts w:ascii="Calibri" w:hAnsi="Calibri"/>
          <w:iCs/>
        </w:rPr>
      </w:pPr>
    </w:p>
    <w:p w:rsidR="00EE69AF" w:rsidRPr="00EE69AF" w:rsidRDefault="00EE69AF" w:rsidP="00EE69AF">
      <w:pPr>
        <w:pStyle w:val="ListeParagraf"/>
        <w:spacing w:after="0"/>
        <w:ind w:left="1440"/>
        <w:rPr>
          <w:rFonts w:ascii="Calibri" w:hAnsi="Calibri"/>
          <w:i/>
        </w:rPr>
      </w:pPr>
      <w:r w:rsidRPr="00EE69AF">
        <w:rPr>
          <w:rFonts w:ascii="Calibri" w:hAnsi="Calibri"/>
          <w:i/>
        </w:rPr>
        <w:t>“(18) Depolamalı elektrik üretim tesislerinde; önlisans süresinin uzatılması ile üretim lisanslarında tesis tamamlanma süresinin uzatılması kapsamındaki tadillerde lisans tadil bedellerinin belirlenmesinde, üretim tesisinin toplam mekanik kurulu gücü ile elektrik depolama ünitesi kurulu gücü toplanarak birlikte değerlendirilir. </w:t>
      </w:r>
    </w:p>
    <w:p w:rsidR="00EE69AF" w:rsidRPr="00EE69AF" w:rsidRDefault="00EE69AF" w:rsidP="00EE69AF">
      <w:pPr>
        <w:pStyle w:val="ListeParagraf"/>
        <w:spacing w:after="0"/>
        <w:ind w:left="1440"/>
        <w:rPr>
          <w:rFonts w:ascii="Calibri" w:hAnsi="Calibri"/>
          <w:i/>
        </w:rPr>
      </w:pPr>
      <w:r w:rsidRPr="00EE69AF">
        <w:rPr>
          <w:rFonts w:ascii="Calibri" w:hAnsi="Calibri"/>
          <w:i/>
        </w:rPr>
        <w:t>(19) Tedarik lisansına eklenecek her bir müstakil elektrik depolama tesisi için ayrı tadil bedeli alınır.”</w:t>
      </w:r>
    </w:p>
    <w:p w:rsidR="00EE69AF" w:rsidRDefault="00EE69AF" w:rsidP="007E0ADA">
      <w:pPr>
        <w:spacing w:after="0"/>
        <w:rPr>
          <w:rFonts w:ascii="Calibri" w:hAnsi="Calibri"/>
          <w:iCs/>
        </w:rPr>
      </w:pPr>
    </w:p>
    <w:p w:rsidR="00EE69AF" w:rsidRDefault="00EE69AF" w:rsidP="000A5A56">
      <w:pPr>
        <w:pStyle w:val="ListeParagraf"/>
        <w:numPr>
          <w:ilvl w:val="0"/>
          <w:numId w:val="25"/>
        </w:numPr>
        <w:spacing w:after="0"/>
        <w:rPr>
          <w:rFonts w:ascii="Calibri" w:hAnsi="Calibri"/>
          <w:iCs/>
        </w:rPr>
      </w:pPr>
      <w:r w:rsidRPr="00EE69AF">
        <w:rPr>
          <w:rFonts w:ascii="Calibri" w:hAnsi="Calibri"/>
          <w:iCs/>
        </w:rPr>
        <w:t>45 inci maddesinin üçüncü fıkrasına aşağıdaki bent eklenmiş ve aynı maddeye aşağıdaki fıkra eklenmiştir.</w:t>
      </w:r>
    </w:p>
    <w:p w:rsidR="00EE69AF" w:rsidRPr="00EE69AF" w:rsidRDefault="00EE69AF" w:rsidP="00EE69AF">
      <w:pPr>
        <w:pStyle w:val="ListeParagraf"/>
        <w:spacing w:after="0"/>
        <w:ind w:left="1440"/>
        <w:rPr>
          <w:rFonts w:ascii="Calibri" w:hAnsi="Calibri"/>
          <w:iCs/>
        </w:rPr>
      </w:pPr>
    </w:p>
    <w:p w:rsidR="00EE69AF" w:rsidRPr="00EE69AF" w:rsidRDefault="00EE69AF" w:rsidP="00EE69AF">
      <w:pPr>
        <w:pStyle w:val="ListeParagraf"/>
        <w:spacing w:after="0"/>
        <w:ind w:left="1440"/>
        <w:rPr>
          <w:rFonts w:ascii="Calibri" w:hAnsi="Calibri"/>
          <w:i/>
        </w:rPr>
      </w:pPr>
      <w:r w:rsidRPr="00EE69AF">
        <w:rPr>
          <w:rFonts w:ascii="Calibri" w:hAnsi="Calibri"/>
          <w:i/>
        </w:rPr>
        <w:t>“d) Depolamalı elektrik üretim tesislerinde, kurulması taahhüt edilen elektrik depolama ünitesinin lisansında belirlenen sürede kurulmaması veya kalan süre içerisinde kurulamayacağının tespit edilmesi,”</w:t>
      </w:r>
    </w:p>
    <w:p w:rsidR="00EE69AF" w:rsidRPr="00EE69AF" w:rsidRDefault="00EE69AF" w:rsidP="00EE69AF">
      <w:pPr>
        <w:pStyle w:val="ListeParagraf"/>
        <w:spacing w:after="0"/>
        <w:ind w:left="1440"/>
        <w:rPr>
          <w:rFonts w:ascii="Calibri" w:hAnsi="Calibri"/>
          <w:i/>
        </w:rPr>
      </w:pPr>
      <w:r w:rsidRPr="00EE69AF">
        <w:rPr>
          <w:rFonts w:ascii="Calibri" w:hAnsi="Calibri"/>
          <w:i/>
        </w:rPr>
        <w:t>“(7) Depolamalı elektrik üretim tesisi için önlisans başvuru aşamasında Kuruma sunulan teminat, lisans alınıncaya kadar iade edilmez. Depolamalı elektrik üretim tesisinin elektrik depolama ünitesine ilişkin lisans başvurusunda sunulan teminat, söz konusu elektrik depolama ünitesinin tamamı işletmeye geçinceye kadar iade edilmez.”</w:t>
      </w:r>
    </w:p>
    <w:p w:rsidR="00EE69AF" w:rsidRDefault="00EE69AF" w:rsidP="007E0ADA">
      <w:pPr>
        <w:spacing w:after="0"/>
        <w:rPr>
          <w:rFonts w:ascii="Calibri" w:hAnsi="Calibri"/>
          <w:iCs/>
        </w:rPr>
      </w:pPr>
    </w:p>
    <w:p w:rsidR="00EE69AF" w:rsidRDefault="00EE69AF" w:rsidP="000A5A56">
      <w:pPr>
        <w:pStyle w:val="ListeParagraf"/>
        <w:numPr>
          <w:ilvl w:val="0"/>
          <w:numId w:val="25"/>
        </w:numPr>
        <w:spacing w:after="0"/>
        <w:rPr>
          <w:rFonts w:ascii="Calibri" w:hAnsi="Calibri"/>
          <w:iCs/>
        </w:rPr>
      </w:pPr>
      <w:r w:rsidRPr="00EE69AF">
        <w:rPr>
          <w:rFonts w:ascii="Calibri" w:hAnsi="Calibri"/>
          <w:iCs/>
        </w:rPr>
        <w:t>46 ncı maddesinin ikinci fıkrası aşağıdaki şekilde değiştirilmiştir.</w:t>
      </w:r>
    </w:p>
    <w:p w:rsidR="00EE69AF" w:rsidRPr="00EE69AF" w:rsidRDefault="00EE69AF" w:rsidP="00EE69AF">
      <w:pPr>
        <w:pStyle w:val="ListeParagraf"/>
        <w:spacing w:after="0"/>
        <w:ind w:left="1440"/>
        <w:rPr>
          <w:rFonts w:ascii="Calibri" w:hAnsi="Calibri"/>
          <w:iCs/>
        </w:rPr>
      </w:pPr>
    </w:p>
    <w:p w:rsidR="00EE69AF" w:rsidRPr="00EE69AF" w:rsidRDefault="00EE69AF" w:rsidP="00EE69AF">
      <w:pPr>
        <w:pStyle w:val="ListeParagraf"/>
        <w:spacing w:after="0"/>
        <w:ind w:left="1440"/>
        <w:rPr>
          <w:rFonts w:ascii="Calibri" w:hAnsi="Calibri"/>
          <w:i/>
        </w:rPr>
      </w:pPr>
      <w:r w:rsidRPr="00EE69AF">
        <w:rPr>
          <w:rFonts w:ascii="Calibri" w:hAnsi="Calibri"/>
          <w:i/>
        </w:rPr>
        <w:t>“(2) Depolamalı elektrik üretim tesisi bünyesinde kurulan elektrik depolama ünitesi ile üretim tesisine bütünleşik elektrik depolama üniteleri dahil, elektrik piyasasında üretim faaliyetinde bulunan önlisans veya lisans sahibi özel hukuk tüzel kişilerinin, önlisans ve lisansa konu faaliyetleri için gerekli olan ve kişilerin özel mülkiyetinde bulunan taşınmazlara ilişkin kamulaştırma talepleri Kurum tarafından değerlendirilir ve uygun görülmesi hâlinde Kurul tarafından karar alınır. Söz konusu karar çerçevesinde gerekli kamulaştırma işlemleri Kanunun 19 uncu maddesinin birinci fıkrası çerçevesinde sonuçlandırılır. Müstakil elektrik depolama tesisleri ile bu tesislerin bağlantısına ilişkin tesisler için arazi edinimi veya kullanım hakkı tesisine ilişkin Kanunun 19 uncu maddesi hükümleri uygulanmaz.”</w:t>
      </w:r>
    </w:p>
    <w:p w:rsidR="00EE69AF" w:rsidRDefault="00EE69AF" w:rsidP="007E0ADA">
      <w:pPr>
        <w:spacing w:after="0"/>
        <w:rPr>
          <w:rFonts w:ascii="Calibri" w:hAnsi="Calibri"/>
          <w:iCs/>
        </w:rPr>
      </w:pPr>
    </w:p>
    <w:p w:rsidR="00EE69AF" w:rsidRDefault="00EE69AF" w:rsidP="000A5A56">
      <w:pPr>
        <w:pStyle w:val="ListeParagraf"/>
        <w:numPr>
          <w:ilvl w:val="0"/>
          <w:numId w:val="25"/>
        </w:numPr>
        <w:spacing w:after="0"/>
        <w:rPr>
          <w:rFonts w:ascii="Calibri" w:hAnsi="Calibri"/>
          <w:iCs/>
        </w:rPr>
      </w:pPr>
      <w:r w:rsidRPr="00EE69AF">
        <w:rPr>
          <w:rFonts w:ascii="Calibri" w:hAnsi="Calibri"/>
          <w:iCs/>
        </w:rPr>
        <w:t>57 nci maddesinin birinci fıkrasının (g) bendi aşağıdaki şekilde değiştirilmiş, ikinci fıkrasında yer alan “edilmesi,” ibaresi “edilmesi ile kefalet verilmesi” şeklinde değiştirilmiştir.</w:t>
      </w:r>
    </w:p>
    <w:p w:rsidR="00EE69AF" w:rsidRPr="00EE69AF" w:rsidRDefault="00EE69AF" w:rsidP="00EE69AF">
      <w:pPr>
        <w:pStyle w:val="ListeParagraf"/>
        <w:spacing w:after="0"/>
        <w:ind w:left="1440"/>
        <w:rPr>
          <w:rFonts w:ascii="Calibri" w:hAnsi="Calibri"/>
          <w:iCs/>
        </w:rPr>
      </w:pPr>
    </w:p>
    <w:p w:rsidR="00EE69AF" w:rsidRPr="00EE69AF" w:rsidRDefault="00EE69AF" w:rsidP="00EE69AF">
      <w:pPr>
        <w:pStyle w:val="ListeParagraf"/>
        <w:spacing w:after="0"/>
        <w:ind w:left="1440"/>
        <w:rPr>
          <w:rFonts w:ascii="Calibri" w:hAnsi="Calibri"/>
          <w:i/>
        </w:rPr>
      </w:pPr>
      <w:r w:rsidRPr="00EE69AF">
        <w:rPr>
          <w:rFonts w:ascii="Calibri" w:hAnsi="Calibri"/>
          <w:i/>
        </w:rPr>
        <w:t>“g) Önlisans sahibi tüzel kişinin ortaklık yapısında kontrol değişikliği oluşturmayacak şekilde yapılan doğrudan veya dolaylı pay değişikliklerine,”</w:t>
      </w:r>
    </w:p>
    <w:p w:rsidR="00EE69AF" w:rsidRDefault="00EE69AF" w:rsidP="007E0ADA">
      <w:pPr>
        <w:spacing w:after="0"/>
        <w:rPr>
          <w:rFonts w:ascii="Calibri" w:hAnsi="Calibri"/>
          <w:iCs/>
        </w:rPr>
      </w:pPr>
    </w:p>
    <w:p w:rsidR="00606282" w:rsidRPr="00606282" w:rsidRDefault="00606282" w:rsidP="000A5A56">
      <w:pPr>
        <w:pStyle w:val="ListeParagraf"/>
        <w:numPr>
          <w:ilvl w:val="0"/>
          <w:numId w:val="25"/>
        </w:numPr>
        <w:spacing w:after="0"/>
        <w:rPr>
          <w:rFonts w:ascii="Calibri" w:hAnsi="Calibri"/>
          <w:iCs/>
        </w:rPr>
      </w:pPr>
      <w:r w:rsidRPr="00606282">
        <w:rPr>
          <w:rFonts w:ascii="Calibri" w:hAnsi="Calibri"/>
          <w:iCs/>
        </w:rPr>
        <w:t>Aşağıdaki</w:t>
      </w:r>
      <w:r>
        <w:rPr>
          <w:rFonts w:ascii="Calibri" w:hAnsi="Calibri"/>
          <w:iCs/>
        </w:rPr>
        <w:t xml:space="preserve"> </w:t>
      </w:r>
      <w:r w:rsidRPr="00606282">
        <w:rPr>
          <w:rFonts w:ascii="Calibri" w:hAnsi="Calibri"/>
          <w:iCs/>
        </w:rPr>
        <w:t>geçici maddeler eklenmiştir.</w:t>
      </w:r>
    </w:p>
    <w:p w:rsidR="00606282" w:rsidRPr="00606282" w:rsidRDefault="00606282" w:rsidP="00606282">
      <w:pPr>
        <w:pStyle w:val="ListeParagraf"/>
        <w:spacing w:after="0"/>
        <w:ind w:left="1440"/>
        <w:rPr>
          <w:rFonts w:ascii="Calibri" w:hAnsi="Calibri"/>
          <w:i/>
        </w:rPr>
      </w:pPr>
      <w:r w:rsidRPr="00606282">
        <w:rPr>
          <w:rFonts w:ascii="Calibri" w:hAnsi="Calibri"/>
          <w:i/>
        </w:rPr>
        <w:t>“Düşey engel verileri</w:t>
      </w:r>
    </w:p>
    <w:p w:rsidR="00606282" w:rsidRPr="00606282" w:rsidRDefault="00606282" w:rsidP="00606282">
      <w:pPr>
        <w:pStyle w:val="ListeParagraf"/>
        <w:spacing w:after="0"/>
        <w:ind w:left="1440"/>
        <w:rPr>
          <w:rFonts w:ascii="Calibri" w:hAnsi="Calibri"/>
          <w:i/>
        </w:rPr>
      </w:pPr>
      <w:r w:rsidRPr="00606282">
        <w:rPr>
          <w:rFonts w:ascii="Calibri" w:hAnsi="Calibri"/>
          <w:i/>
        </w:rPr>
        <w:t xml:space="preserve">GEÇİCİ MADDE 35- (1) Bu maddenin yürürlüğe girdiği tarih itibarıyla kabulü yapılarak kısmen veya tamamen işletmeye geçen rüzgâr enerjisine dayalı üretim lisansı sahibi tüzel kişiler, Düşey Engel Verilerini Toplama ve Sunma Yönetmeliğine uygun olarak, üretim lisansları kapsamında </w:t>
      </w:r>
      <w:r w:rsidRPr="00606282">
        <w:rPr>
          <w:rFonts w:ascii="Calibri" w:hAnsi="Calibri"/>
          <w:i/>
        </w:rPr>
        <w:lastRenderedPageBreak/>
        <w:t>düşey engel niteliğindeki her türlü tesis ve yapıya ilişkin bilgiyi, bu maddenin yürürlüğe girdiği tarihten itibaren üç ay içerisinde Harita Genel Müdürlüğüne sunmak zorundadır.</w:t>
      </w:r>
    </w:p>
    <w:p w:rsidR="00606282" w:rsidRPr="00606282" w:rsidRDefault="00606282" w:rsidP="00606282">
      <w:pPr>
        <w:pStyle w:val="ListeParagraf"/>
        <w:spacing w:after="0"/>
        <w:ind w:left="1440"/>
        <w:rPr>
          <w:rFonts w:ascii="Calibri" w:hAnsi="Calibri"/>
          <w:i/>
        </w:rPr>
      </w:pPr>
      <w:r w:rsidRPr="00606282">
        <w:rPr>
          <w:rFonts w:ascii="Calibri" w:hAnsi="Calibri"/>
          <w:i/>
        </w:rPr>
        <w:t>Biyokütle ve jeotermal enerjisine dayalı elektrik üretim tesislerinde teknik değerlendirme yapılması</w:t>
      </w:r>
    </w:p>
    <w:p w:rsidR="00606282" w:rsidRPr="00606282" w:rsidRDefault="00606282" w:rsidP="00606282">
      <w:pPr>
        <w:pStyle w:val="ListeParagraf"/>
        <w:spacing w:after="0"/>
        <w:ind w:left="1440"/>
        <w:rPr>
          <w:rFonts w:ascii="Calibri" w:hAnsi="Calibri"/>
          <w:i/>
        </w:rPr>
      </w:pPr>
      <w:r w:rsidRPr="00606282">
        <w:rPr>
          <w:rFonts w:ascii="Calibri" w:hAnsi="Calibri"/>
          <w:i/>
        </w:rPr>
        <w:t>GEÇİCİ MADDE 36- (1) Biyokütle ve jeotermal enerjisine dayalı elektrik enerjisi üretim tesisleri için yapılan önlisans başvuruları ile önlisans ve lisans tadil başvurularının sonuçlandırılmasında, Kanunun 7 nci maddesinin dokuzuncu fıkrası kapsamında Bakanlık/Enerji İşleri Genel Müdürlüğü tarafından teknik değerlendirme yapılmasına ilişkin usul ve esaslara ilişkin düzenlemenin yürürlük tarihine kadar bu Yönetmeliğin ilgili maddeleri uygulanmaz.</w:t>
      </w:r>
    </w:p>
    <w:p w:rsidR="00606282" w:rsidRPr="00606282" w:rsidRDefault="00606282" w:rsidP="00606282">
      <w:pPr>
        <w:pStyle w:val="ListeParagraf"/>
        <w:spacing w:after="0"/>
        <w:ind w:left="1440"/>
        <w:rPr>
          <w:rFonts w:ascii="Calibri" w:hAnsi="Calibri"/>
          <w:i/>
        </w:rPr>
      </w:pPr>
      <w:r w:rsidRPr="00606282">
        <w:rPr>
          <w:rFonts w:ascii="Calibri" w:hAnsi="Calibri"/>
          <w:i/>
        </w:rPr>
        <w:t>Müstakil elektrik depolama tesisi başvuruları</w:t>
      </w:r>
    </w:p>
    <w:p w:rsidR="00606282" w:rsidRPr="00606282" w:rsidRDefault="00606282" w:rsidP="00606282">
      <w:pPr>
        <w:pStyle w:val="ListeParagraf"/>
        <w:spacing w:after="0"/>
        <w:ind w:left="1440"/>
        <w:rPr>
          <w:rFonts w:ascii="Calibri" w:hAnsi="Calibri"/>
          <w:i/>
        </w:rPr>
      </w:pPr>
      <w:r w:rsidRPr="00606282">
        <w:rPr>
          <w:rFonts w:ascii="Calibri" w:hAnsi="Calibri"/>
          <w:i/>
        </w:rPr>
        <w:t>GEÇİCİ MADDE 37- (1) Bu maddenin yürürlüğe girdiği tarih itibarıyla, lisansına müstakil elektrik depolama tesisi dercedilmesi uygun bulunan tedarik lisansı sahibi tüzel kişilerin, depolamalı elektrik üretim tesisi kurmak için bu maddenin yürürlüğe girdiği tarihten itibaren 3 ay içerisinde önlisans başvurusunda bulunmaları hâlinde, söz konusu müstakil elektrik depolama tesisleri için verilmiş olumlu bağlantı görüşleri, bu tüzel kişiler tarafından yapılacak önlisans başvuruları için de geçerlidir. Ancak, önlisans başvuruları için geçerli olacak güç, her bir tedarik lisansı kapsamında;</w:t>
      </w:r>
    </w:p>
    <w:p w:rsidR="00606282" w:rsidRPr="00606282" w:rsidRDefault="00606282" w:rsidP="00606282">
      <w:pPr>
        <w:pStyle w:val="ListeParagraf"/>
        <w:spacing w:after="0"/>
        <w:ind w:left="1440"/>
        <w:rPr>
          <w:rFonts w:ascii="Calibri" w:hAnsi="Calibri"/>
          <w:i/>
        </w:rPr>
      </w:pPr>
      <w:r w:rsidRPr="00606282">
        <w:rPr>
          <w:rFonts w:ascii="Calibri" w:hAnsi="Calibri"/>
          <w:i/>
        </w:rPr>
        <w:t>a) 250 MW ve altında olan müstakil elektrik depolama tesisleri için, olumlu görüş verilen kurulu gücü, </w:t>
      </w:r>
    </w:p>
    <w:p w:rsidR="00606282" w:rsidRDefault="00606282" w:rsidP="00606282">
      <w:pPr>
        <w:pStyle w:val="ListeParagraf"/>
        <w:spacing w:after="0"/>
        <w:ind w:left="1440"/>
        <w:rPr>
          <w:rFonts w:ascii="Calibri" w:hAnsi="Calibri"/>
          <w:i/>
        </w:rPr>
      </w:pPr>
      <w:r w:rsidRPr="00606282">
        <w:rPr>
          <w:rFonts w:ascii="Calibri" w:hAnsi="Calibri"/>
          <w:i/>
        </w:rPr>
        <w:t>b) 250 MW’ın üstünde olan müstakil elektrik depolama tesislerinde, 250 MW güce, olumlu görüş verilen toplam kurulu gücün 250 MW’ı aşan kısmının yarısına tekabül eden güç ilave edilerek bulunacak toplam gücü,</w:t>
      </w:r>
      <w:r>
        <w:rPr>
          <w:rFonts w:ascii="Calibri" w:hAnsi="Calibri"/>
          <w:i/>
        </w:rPr>
        <w:t xml:space="preserve"> </w:t>
      </w:r>
    </w:p>
    <w:p w:rsidR="00606282" w:rsidRPr="00606282" w:rsidRDefault="00606282" w:rsidP="00606282">
      <w:pPr>
        <w:pStyle w:val="ListeParagraf"/>
        <w:spacing w:after="0"/>
        <w:ind w:left="1440"/>
        <w:rPr>
          <w:rFonts w:ascii="Calibri" w:hAnsi="Calibri"/>
          <w:i/>
        </w:rPr>
      </w:pPr>
      <w:r w:rsidRPr="00606282">
        <w:rPr>
          <w:rFonts w:ascii="Calibri" w:hAnsi="Calibri"/>
          <w:i/>
        </w:rPr>
        <w:t>aşamaz. Bu fıkra kapsamında önlisans başvuruları için geçerli olan güç, her hâlde 500 MW’ı geçemez.</w:t>
      </w:r>
    </w:p>
    <w:p w:rsidR="00606282" w:rsidRPr="00606282" w:rsidRDefault="00606282" w:rsidP="00606282">
      <w:pPr>
        <w:pStyle w:val="ListeParagraf"/>
        <w:spacing w:after="0"/>
        <w:ind w:left="1440"/>
        <w:rPr>
          <w:rFonts w:ascii="Calibri" w:hAnsi="Calibri"/>
          <w:i/>
        </w:rPr>
      </w:pPr>
      <w:r w:rsidRPr="00606282">
        <w:rPr>
          <w:rFonts w:ascii="Calibri" w:hAnsi="Calibri"/>
          <w:i/>
        </w:rPr>
        <w:t>Depolamalı elektrik üretim tesisi önlisans başvurularının değerlendirilmesi</w:t>
      </w:r>
    </w:p>
    <w:p w:rsidR="00606282" w:rsidRDefault="00606282" w:rsidP="00606282">
      <w:pPr>
        <w:pStyle w:val="ListeParagraf"/>
        <w:spacing w:after="0"/>
        <w:ind w:left="1440"/>
        <w:rPr>
          <w:rFonts w:ascii="Calibri" w:hAnsi="Calibri"/>
          <w:i/>
        </w:rPr>
      </w:pPr>
      <w:r w:rsidRPr="00606282">
        <w:rPr>
          <w:rFonts w:ascii="Calibri" w:hAnsi="Calibri"/>
          <w:i/>
        </w:rPr>
        <w:t>GEÇİCİ MADDE 38- (1) Bu maddenin yürürlüğe girdiği tarihten 30/6/2023 tarihine kadar, 12 nci maddenin on dördüncü fıkrası ile geçici 37 nci madde kapsamında yapılacak önlisans başvuruları için; söz konusu başvuruların 13 üncü madde hükümleri kapsamında değerlendirmeye alınması aşamasında, asgari sermaye ve teminat sunulmasına ilişkin yükümlülükler başvuru aşamasında aranmaz. Ancak bu kapsamda yapılan başvurunun değerlendirmeye alındığı tarihten itibaren 90 gün içeresinde teminatın, önlisans verilmesine ilişkin Kurul kararının bildirim tarihinden itibaren 90 gün içeresinde de asgari sermaye yükümlülüklerinin yerine getirilmesi zorunludur. Bu süreler içerisinde söz konusu yükümlülüklerin yerine getirilmemesi halinde; önlisans başvurusu Kurul kararı ile reddedilir, önlisans verilmiş ise Kurul kararı ile sonlandırılır.”</w:t>
      </w:r>
    </w:p>
    <w:p w:rsidR="00606282" w:rsidRDefault="00606282" w:rsidP="00606282">
      <w:pPr>
        <w:pStyle w:val="ListeParagraf"/>
        <w:spacing w:after="0"/>
        <w:ind w:left="1440"/>
        <w:rPr>
          <w:rFonts w:ascii="Calibri" w:hAnsi="Calibri"/>
          <w:i/>
        </w:rPr>
      </w:pPr>
    </w:p>
    <w:p w:rsidR="00606282" w:rsidRPr="004F2451" w:rsidRDefault="00606282" w:rsidP="000A5A56">
      <w:pPr>
        <w:pStyle w:val="ListeParagraf"/>
        <w:numPr>
          <w:ilvl w:val="0"/>
          <w:numId w:val="26"/>
        </w:numPr>
        <w:spacing w:after="0"/>
        <w:rPr>
          <w:rFonts w:ascii="Calibri" w:hAnsi="Calibri"/>
          <w:i/>
        </w:rPr>
      </w:pPr>
      <w:r>
        <w:rPr>
          <w:rFonts w:ascii="Calibri" w:hAnsi="Calibri"/>
          <w:bCs/>
        </w:rPr>
        <w:t>19</w:t>
      </w:r>
      <w:r w:rsidRPr="005B3935">
        <w:rPr>
          <w:rFonts w:ascii="Calibri" w:hAnsi="Calibri"/>
          <w:bCs/>
        </w:rPr>
        <w:t>.</w:t>
      </w:r>
      <w:r>
        <w:rPr>
          <w:rFonts w:ascii="Calibri" w:hAnsi="Calibri"/>
          <w:bCs/>
        </w:rPr>
        <w:t>11</w:t>
      </w:r>
      <w:r w:rsidRPr="005B3935">
        <w:rPr>
          <w:rFonts w:ascii="Calibri" w:hAnsi="Calibri"/>
          <w:bCs/>
        </w:rPr>
        <w:t>.202</w:t>
      </w:r>
      <w:r>
        <w:rPr>
          <w:rFonts w:ascii="Calibri" w:hAnsi="Calibri"/>
          <w:bCs/>
        </w:rPr>
        <w:t>2</w:t>
      </w:r>
      <w:r w:rsidRPr="005B3935">
        <w:rPr>
          <w:rFonts w:ascii="Calibri" w:hAnsi="Calibri"/>
          <w:bCs/>
        </w:rPr>
        <w:t xml:space="preserve"> tarihli ve </w:t>
      </w:r>
      <w:r>
        <w:rPr>
          <w:rFonts w:ascii="Calibri" w:hAnsi="Calibri"/>
          <w:bCs/>
        </w:rPr>
        <w:t>32018</w:t>
      </w:r>
      <w:r w:rsidRPr="005B3935">
        <w:rPr>
          <w:rFonts w:ascii="Calibri" w:hAnsi="Calibri"/>
          <w:bCs/>
        </w:rPr>
        <w:t xml:space="preserve"> sayılı Resmî </w:t>
      </w:r>
      <w:r w:rsidR="00274939">
        <w:rPr>
          <w:rFonts w:ascii="Calibri" w:hAnsi="Calibri"/>
          <w:bCs/>
        </w:rPr>
        <w:t>Gazetede</w:t>
      </w:r>
      <w:r w:rsidRPr="005B3935">
        <w:rPr>
          <w:rFonts w:ascii="Calibri" w:hAnsi="Calibri"/>
          <w:bCs/>
        </w:rPr>
        <w:t xml:space="preserve"> yayımlanan Değişiklik Yönetmeliği İle</w:t>
      </w:r>
      <w:r w:rsidRPr="005B3935">
        <w:rPr>
          <w:rFonts w:ascii="Calibri" w:hAnsi="Calibri"/>
          <w:b/>
          <w:bCs/>
        </w:rPr>
        <w:t xml:space="preserve"> </w:t>
      </w:r>
      <w:r w:rsidRPr="00606282">
        <w:rPr>
          <w:rFonts w:ascii="Calibri" w:hAnsi="Calibri"/>
          <w:b/>
        </w:rPr>
        <w:t>Elektrik Piyasasında Depolama Faaliyetleri</w:t>
      </w:r>
      <w:r w:rsidRPr="005E050D">
        <w:rPr>
          <w:rFonts w:ascii="Calibri" w:hAnsi="Calibri"/>
          <w:b/>
        </w:rPr>
        <w:t xml:space="preserve"> Yönetmeliğinin</w:t>
      </w:r>
    </w:p>
    <w:p w:rsidR="004F2451" w:rsidRPr="005E050D" w:rsidRDefault="004F2451" w:rsidP="004F2451">
      <w:pPr>
        <w:pStyle w:val="ListeParagraf"/>
        <w:spacing w:after="0"/>
        <w:rPr>
          <w:rFonts w:ascii="Calibri" w:hAnsi="Calibri"/>
          <w:i/>
        </w:rPr>
      </w:pPr>
    </w:p>
    <w:p w:rsidR="00606282" w:rsidRPr="00606282" w:rsidRDefault="00606282" w:rsidP="000A5A56">
      <w:pPr>
        <w:pStyle w:val="ListeParagraf"/>
        <w:numPr>
          <w:ilvl w:val="0"/>
          <w:numId w:val="25"/>
        </w:numPr>
        <w:spacing w:after="0"/>
        <w:rPr>
          <w:rFonts w:ascii="Calibri" w:hAnsi="Calibri"/>
          <w:iCs/>
        </w:rPr>
      </w:pPr>
      <w:r w:rsidRPr="00606282">
        <w:rPr>
          <w:rFonts w:ascii="Calibri" w:hAnsi="Calibri"/>
          <w:iCs/>
        </w:rPr>
        <w:t>3 üncü maddesinin birinci fıkrasının (a) bendi aşağıdaki şekilde değiştirilmiş ve aynı fıkraya aşağıdaki bent eklenmiştir.</w:t>
      </w:r>
    </w:p>
    <w:p w:rsidR="00606282" w:rsidRDefault="00606282" w:rsidP="00606282">
      <w:pPr>
        <w:pStyle w:val="ListeParagraf"/>
        <w:spacing w:after="0"/>
        <w:ind w:left="1440"/>
        <w:rPr>
          <w:rFonts w:ascii="Calibri" w:hAnsi="Calibri"/>
          <w:iCs/>
        </w:rPr>
      </w:pPr>
    </w:p>
    <w:p w:rsidR="00606282" w:rsidRPr="00606282" w:rsidRDefault="00606282" w:rsidP="00606282">
      <w:pPr>
        <w:pStyle w:val="ListeParagraf"/>
        <w:spacing w:after="0"/>
        <w:ind w:left="1440"/>
        <w:rPr>
          <w:rFonts w:ascii="Calibri" w:hAnsi="Calibri"/>
          <w:i/>
        </w:rPr>
      </w:pPr>
      <w:r w:rsidRPr="00606282">
        <w:rPr>
          <w:rFonts w:ascii="Calibri" w:hAnsi="Calibri"/>
          <w:i/>
        </w:rPr>
        <w:t>“a) Elektrik depolama tesisi: Elektrik enerjisini başka bir enerji türüne çevirerek depolayabilen ve depolanan enerjiyi kullanılmak üzere tekrar elektrik enerjisine çevirerek sisteme verebilen tesisi,”</w:t>
      </w:r>
    </w:p>
    <w:p w:rsidR="00606282" w:rsidRDefault="00606282" w:rsidP="00606282">
      <w:pPr>
        <w:pStyle w:val="ListeParagraf"/>
        <w:spacing w:after="0"/>
        <w:ind w:left="1440"/>
        <w:rPr>
          <w:rFonts w:ascii="Calibri" w:hAnsi="Calibri"/>
          <w:i/>
        </w:rPr>
      </w:pPr>
      <w:r w:rsidRPr="00606282">
        <w:rPr>
          <w:rFonts w:ascii="Calibri" w:hAnsi="Calibri"/>
          <w:i/>
        </w:rPr>
        <w:t>“l) Depolamalı elektrik üretim tesisi: Kanunun 7 nci maddesinin onuncu ve on birinci fıkraları kapsamında kurulan üretim tesisini”</w:t>
      </w:r>
    </w:p>
    <w:p w:rsidR="00606282" w:rsidRDefault="00606282" w:rsidP="00606282">
      <w:pPr>
        <w:pStyle w:val="ListeParagraf"/>
        <w:spacing w:after="0"/>
        <w:ind w:left="1440"/>
        <w:rPr>
          <w:rFonts w:ascii="Calibri" w:hAnsi="Calibri"/>
          <w:i/>
        </w:rPr>
      </w:pPr>
    </w:p>
    <w:p w:rsidR="00606282" w:rsidRDefault="00606282" w:rsidP="000A5A56">
      <w:pPr>
        <w:pStyle w:val="ListeParagraf"/>
        <w:numPr>
          <w:ilvl w:val="0"/>
          <w:numId w:val="25"/>
        </w:numPr>
        <w:spacing w:after="0"/>
        <w:rPr>
          <w:rFonts w:ascii="Calibri" w:hAnsi="Calibri"/>
          <w:iCs/>
        </w:rPr>
      </w:pPr>
      <w:r w:rsidRPr="00606282">
        <w:rPr>
          <w:rFonts w:ascii="Calibri" w:hAnsi="Calibri"/>
          <w:iCs/>
        </w:rPr>
        <w:t xml:space="preserve">4 üncü maddesinin birinci fıkrasının (ç) bendi aşağıdaki şekilde değiştirilmiş, ikinci fıkrasında yer alan </w:t>
      </w:r>
      <w:r w:rsidRPr="00606282">
        <w:rPr>
          <w:rFonts w:ascii="Calibri" w:hAnsi="Calibri"/>
          <w:i/>
          <w:iCs/>
        </w:rPr>
        <w:t>“bütünleşik elektrik depolama ünitesi”</w:t>
      </w:r>
      <w:r w:rsidRPr="00606282">
        <w:rPr>
          <w:rFonts w:ascii="Calibri" w:hAnsi="Calibri"/>
          <w:iCs/>
        </w:rPr>
        <w:t xml:space="preserve"> ibaresinden sonra gelmek üzere </w:t>
      </w:r>
      <w:r w:rsidRPr="00606282">
        <w:rPr>
          <w:rFonts w:ascii="Calibri" w:hAnsi="Calibri"/>
          <w:i/>
          <w:iCs/>
        </w:rPr>
        <w:t>“, depolamalı elektrik üretim tesisi bünyesindeki elektrik depolama ünitesi”</w:t>
      </w:r>
      <w:r w:rsidRPr="00606282">
        <w:rPr>
          <w:rFonts w:ascii="Calibri" w:hAnsi="Calibri"/>
          <w:iCs/>
        </w:rPr>
        <w:t xml:space="preserve"> ibaresi eklenmiş ve aynı maddeye aşağıdaki fıkra eklenmiştir.</w:t>
      </w:r>
    </w:p>
    <w:p w:rsidR="00606282" w:rsidRPr="00606282" w:rsidRDefault="00606282" w:rsidP="00606282">
      <w:pPr>
        <w:pStyle w:val="ListeParagraf"/>
        <w:spacing w:after="0"/>
        <w:ind w:left="1440"/>
        <w:rPr>
          <w:rFonts w:ascii="Calibri" w:hAnsi="Calibri"/>
          <w:iCs/>
        </w:rPr>
      </w:pPr>
    </w:p>
    <w:p w:rsidR="00606282" w:rsidRPr="00606282" w:rsidRDefault="00606282" w:rsidP="00606282">
      <w:pPr>
        <w:pStyle w:val="ListeParagraf"/>
        <w:spacing w:after="0"/>
        <w:ind w:left="1440"/>
        <w:rPr>
          <w:rFonts w:ascii="Calibri" w:hAnsi="Calibri"/>
          <w:i/>
        </w:rPr>
      </w:pPr>
      <w:r w:rsidRPr="00606282">
        <w:rPr>
          <w:rFonts w:ascii="Calibri" w:hAnsi="Calibri"/>
          <w:i/>
        </w:rPr>
        <w:t>“ç) Şebeke işletmecileri tarafından kurulan elektrik depolama tesisi,”</w:t>
      </w:r>
    </w:p>
    <w:p w:rsidR="00606282" w:rsidRPr="00606282" w:rsidRDefault="00606282" w:rsidP="00606282">
      <w:pPr>
        <w:pStyle w:val="ListeParagraf"/>
        <w:spacing w:after="0"/>
        <w:ind w:left="1440"/>
        <w:rPr>
          <w:rFonts w:ascii="Calibri" w:hAnsi="Calibri"/>
          <w:i/>
        </w:rPr>
      </w:pPr>
      <w:r w:rsidRPr="00606282">
        <w:rPr>
          <w:rFonts w:ascii="Calibri" w:hAnsi="Calibri"/>
          <w:i/>
        </w:rPr>
        <w:t xml:space="preserve">“(3) 12/5/2019 tarihli ve 30772 sayılı Resmî </w:t>
      </w:r>
      <w:r w:rsidR="00274939">
        <w:rPr>
          <w:rFonts w:ascii="Calibri" w:hAnsi="Calibri"/>
          <w:i/>
        </w:rPr>
        <w:t>Gazetede</w:t>
      </w:r>
      <w:r w:rsidRPr="00606282">
        <w:rPr>
          <w:rFonts w:ascii="Calibri" w:hAnsi="Calibri"/>
          <w:i/>
        </w:rPr>
        <w:t xml:space="preserve"> yayımlanan Elektrik Piyasasında Lisanssız Elektrik Üretim Yönetmeliği çerçevesinde çağrı mektubu alan ve ihtiyaç fazlası enerji için aylık mahsuplaşma yapılan lisanssız elektrik üretim tesislerinde elektrik depolama tesisi kurulabilir. Ancak, bu kapsamda kurulacak elektrik depolama tesislerinin Elektrik Piyasasında Lisanssız Elektrik Üretim Yönetmeliğinin 37 nci maddesinin altıncı fıkrasında yer alan şartları sağlaması zorunludur.”</w:t>
      </w:r>
    </w:p>
    <w:p w:rsidR="00606282" w:rsidRPr="00606282" w:rsidRDefault="00606282" w:rsidP="00606282">
      <w:pPr>
        <w:pStyle w:val="ListeParagraf"/>
        <w:spacing w:after="0"/>
        <w:ind w:left="1440"/>
        <w:rPr>
          <w:rFonts w:ascii="Calibri" w:hAnsi="Calibri"/>
          <w:i/>
        </w:rPr>
      </w:pPr>
    </w:p>
    <w:p w:rsidR="00606282" w:rsidRPr="00606282" w:rsidRDefault="00606282" w:rsidP="000A5A56">
      <w:pPr>
        <w:pStyle w:val="ListeParagraf"/>
        <w:numPr>
          <w:ilvl w:val="0"/>
          <w:numId w:val="25"/>
        </w:numPr>
        <w:spacing w:after="0"/>
        <w:rPr>
          <w:rFonts w:ascii="Calibri" w:hAnsi="Calibri"/>
          <w:iCs/>
        </w:rPr>
      </w:pPr>
      <w:r w:rsidRPr="00606282">
        <w:rPr>
          <w:rFonts w:ascii="Calibri" w:hAnsi="Calibri"/>
          <w:iCs/>
        </w:rPr>
        <w:t>5 inci maddesinin birinci, üçüncü, dördüncü, beşinci, yedinci fıkraları aşağıdaki şekilde değiştirilmiş, ikinci ve altıncı fıkraları yürürlükten kaldırılmış ve aynı maddeye aşağıdaki fıkralar eklenmiştir.</w:t>
      </w:r>
    </w:p>
    <w:p w:rsidR="00606282" w:rsidRPr="00606282" w:rsidRDefault="00606282" w:rsidP="00606282">
      <w:pPr>
        <w:pStyle w:val="ListeParagraf"/>
        <w:spacing w:after="0"/>
        <w:ind w:left="1440"/>
        <w:rPr>
          <w:rFonts w:ascii="Calibri" w:hAnsi="Calibri"/>
          <w:i/>
        </w:rPr>
      </w:pPr>
      <w:r w:rsidRPr="00606282">
        <w:rPr>
          <w:rFonts w:ascii="Calibri" w:hAnsi="Calibri"/>
          <w:i/>
        </w:rPr>
        <w:t>“(1) Üretim lisansı sahibi tüzel kişiler, lisanslı bir üretim tesisine bütünleşik elektrik depolama ünitesi kurabilir.”</w:t>
      </w:r>
    </w:p>
    <w:p w:rsidR="00606282" w:rsidRPr="00606282" w:rsidRDefault="00606282" w:rsidP="00606282">
      <w:pPr>
        <w:pStyle w:val="ListeParagraf"/>
        <w:spacing w:after="0"/>
        <w:ind w:left="1440"/>
        <w:rPr>
          <w:rFonts w:ascii="Calibri" w:hAnsi="Calibri"/>
          <w:i/>
        </w:rPr>
      </w:pPr>
      <w:r w:rsidRPr="00606282">
        <w:rPr>
          <w:rFonts w:ascii="Calibri" w:hAnsi="Calibri"/>
          <w:i/>
        </w:rPr>
        <w:t>“(3) Depolamalı elektrik üretim tesisi bünyesinde kurulan elektrik depolama ünitesi ile üretim tesisine bütünleşik elektrik depolama ünitesine şebekeden çekilip tekrar şebekeye verilen enerji, ilgili üretim tesisinin ürettiği enerji için verilen herhangi bir teşvik veya alım garantisi kapsamına girmez.</w:t>
      </w:r>
    </w:p>
    <w:p w:rsidR="00606282" w:rsidRPr="00606282" w:rsidRDefault="00606282" w:rsidP="00606282">
      <w:pPr>
        <w:pStyle w:val="ListeParagraf"/>
        <w:spacing w:after="0"/>
        <w:ind w:left="1440"/>
        <w:rPr>
          <w:rFonts w:ascii="Calibri" w:hAnsi="Calibri"/>
          <w:i/>
        </w:rPr>
      </w:pPr>
      <w:r w:rsidRPr="00606282">
        <w:rPr>
          <w:rFonts w:ascii="Calibri" w:hAnsi="Calibri"/>
          <w:i/>
        </w:rPr>
        <w:t>(4) Depolamalı elektrik üretim tesisi bünyesinde kurulan elektrik depolama ünitesi ile üretim tesisine bütünleşik elektrik depolama ünitesindeki kayıp enerji, ilgili üretim tesisinin ürettiği enerji için verilen herhangi bir teşvik veya alım garantisi kapsamına girmez. Bu kapsamdaki kayıp enerji için herhangi bir bedel ödenmez.</w:t>
      </w:r>
    </w:p>
    <w:p w:rsidR="00606282" w:rsidRPr="00606282" w:rsidRDefault="00606282" w:rsidP="00606282">
      <w:pPr>
        <w:pStyle w:val="ListeParagraf"/>
        <w:spacing w:after="0"/>
        <w:ind w:left="1440"/>
        <w:rPr>
          <w:rFonts w:ascii="Calibri" w:hAnsi="Calibri"/>
          <w:i/>
        </w:rPr>
      </w:pPr>
      <w:r w:rsidRPr="00606282">
        <w:rPr>
          <w:rFonts w:ascii="Calibri" w:hAnsi="Calibri"/>
          <w:i/>
        </w:rPr>
        <w:t>(5) Depolamalı elektrik üretim tesisi bünyesinde kurulan elektrik depolama ünitesi ile üretim tesisine bütünleşik elektrik depolama ünitesi, ayrı bir uzlaştırmaya esas veriş çekiş birimi olarak kaydedilir.”</w:t>
      </w:r>
    </w:p>
    <w:p w:rsidR="00606282" w:rsidRPr="00606282" w:rsidRDefault="00606282" w:rsidP="00606282">
      <w:pPr>
        <w:pStyle w:val="ListeParagraf"/>
        <w:spacing w:after="0"/>
        <w:ind w:left="1440"/>
        <w:rPr>
          <w:rFonts w:ascii="Calibri" w:hAnsi="Calibri"/>
          <w:i/>
        </w:rPr>
      </w:pPr>
      <w:r w:rsidRPr="00606282">
        <w:rPr>
          <w:rFonts w:ascii="Calibri" w:hAnsi="Calibri"/>
          <w:i/>
        </w:rPr>
        <w:t>“(7) Depolamalı elektrik üretim tesisleri ile bütünleşik elektrik depolama ünitesinin yer aldığı üretim tesislerinin uzlaştırma dönemi bazında sisteme vereceği enerji miktarı, üretim tesisinin lisansına dercedilen elektriksel kurulu gücü ile yapabileceği üretim miktarını geçemez.”</w:t>
      </w:r>
    </w:p>
    <w:p w:rsidR="00606282" w:rsidRPr="00606282" w:rsidRDefault="00606282" w:rsidP="00606282">
      <w:pPr>
        <w:pStyle w:val="ListeParagraf"/>
        <w:spacing w:after="0"/>
        <w:ind w:left="1440"/>
        <w:rPr>
          <w:rFonts w:ascii="Calibri" w:hAnsi="Calibri"/>
          <w:i/>
        </w:rPr>
      </w:pPr>
      <w:r w:rsidRPr="00606282">
        <w:rPr>
          <w:rFonts w:ascii="Calibri" w:hAnsi="Calibri"/>
          <w:i/>
        </w:rPr>
        <w:t>“(8) Depolamalı elektrik üretim tesisi bünyesindeki elektrik depolama ünitesi ile üretim tesisine bütünleşik elektrik depolama ünitesinin bağlantısı EK-1’de verilen bağlantı şekline göre yapılır.</w:t>
      </w:r>
    </w:p>
    <w:p w:rsidR="00606282" w:rsidRPr="00606282" w:rsidRDefault="00606282" w:rsidP="00606282">
      <w:pPr>
        <w:pStyle w:val="ListeParagraf"/>
        <w:spacing w:after="0"/>
        <w:ind w:left="1440"/>
        <w:rPr>
          <w:rFonts w:ascii="Calibri" w:hAnsi="Calibri"/>
          <w:i/>
        </w:rPr>
      </w:pPr>
      <w:r w:rsidRPr="00606282">
        <w:rPr>
          <w:rFonts w:ascii="Calibri" w:hAnsi="Calibri"/>
          <w:i/>
        </w:rPr>
        <w:t>(9) Depolamalı elektrik üretim tesislerinde üretilen elektrik enerjisinin, iletim veya dağıtım sistemine elektrik depolama ünitesi üzerinden verilmesi zorunludur. Depolamalı elektrik üretim tesislerinin sekizinci fıkrada tanımlanan bağlantı şekline göre tesis edilmesi halinde sisteme verilen enerji, elektrik depolama ünitesi üzerinden sisteme verilmiş olarak kabul edilir. Bağlantı konfigürasyonlarına, ölçüm ve işletmede olma durumunun izlenmesine ilişkin bu fıkra hükmünün uygulanmasını sağlayacak şekilde ilgili şebeke işletmecisi tarafından gerekli tüm tedbirlerin alınması zorunludur.</w:t>
      </w:r>
    </w:p>
    <w:p w:rsidR="00606282" w:rsidRPr="00606282" w:rsidRDefault="00606282" w:rsidP="00606282">
      <w:pPr>
        <w:pStyle w:val="ListeParagraf"/>
        <w:spacing w:after="0"/>
        <w:ind w:left="1440"/>
        <w:rPr>
          <w:rFonts w:ascii="Calibri" w:hAnsi="Calibri"/>
          <w:i/>
        </w:rPr>
      </w:pPr>
      <w:r w:rsidRPr="00606282">
        <w:rPr>
          <w:rFonts w:ascii="Calibri" w:hAnsi="Calibri"/>
          <w:i/>
        </w:rPr>
        <w:t>(10) Bu madde kapsamında kurulan elektrik depolama ünitelerinden; ilgili mevzuat uyarınca gerekli şartları sağlayanlar yan hizmetlere, dengeleme birimi niteliğini haiz olanlar dengeleme güç piyasasına katılabilir.</w:t>
      </w:r>
    </w:p>
    <w:p w:rsidR="00EE69AF" w:rsidRDefault="00606282" w:rsidP="00606282">
      <w:pPr>
        <w:pStyle w:val="ListeParagraf"/>
        <w:spacing w:after="0"/>
        <w:ind w:left="1440"/>
        <w:rPr>
          <w:rFonts w:ascii="Calibri" w:hAnsi="Calibri"/>
          <w:i/>
        </w:rPr>
      </w:pPr>
      <w:r w:rsidRPr="00606282">
        <w:rPr>
          <w:rFonts w:ascii="Calibri" w:hAnsi="Calibri"/>
          <w:i/>
        </w:rPr>
        <w:lastRenderedPageBreak/>
        <w:t>(11) Depolamalı elektrik üretim tesisi bünyesinde kurulan elektrik depolama ünitesi için özel düzenlemeler saklı kalmak koşuluyla, bu madde kapsamındaki hükümler uygulanır.”</w:t>
      </w:r>
    </w:p>
    <w:p w:rsidR="00606282" w:rsidRDefault="00606282" w:rsidP="00606282">
      <w:pPr>
        <w:spacing w:after="0"/>
        <w:rPr>
          <w:rFonts w:ascii="Calibri" w:hAnsi="Calibri"/>
          <w:i/>
        </w:rPr>
      </w:pPr>
    </w:p>
    <w:p w:rsidR="00606282" w:rsidRDefault="00606282" w:rsidP="000A5A56">
      <w:pPr>
        <w:pStyle w:val="ListeParagraf"/>
        <w:numPr>
          <w:ilvl w:val="0"/>
          <w:numId w:val="25"/>
        </w:numPr>
        <w:spacing w:after="0"/>
        <w:rPr>
          <w:rFonts w:ascii="Calibri" w:hAnsi="Calibri"/>
          <w:iCs/>
        </w:rPr>
      </w:pPr>
      <w:r w:rsidRPr="00606282">
        <w:rPr>
          <w:rFonts w:ascii="Calibri" w:hAnsi="Calibri"/>
          <w:iCs/>
        </w:rPr>
        <w:t>6 ncı maddesinin ikinci fıkrası yürürlükten kaldırılmıştır.</w:t>
      </w:r>
    </w:p>
    <w:p w:rsidR="00606282" w:rsidRDefault="00606282" w:rsidP="000A5A56">
      <w:pPr>
        <w:pStyle w:val="ListeParagraf"/>
        <w:numPr>
          <w:ilvl w:val="0"/>
          <w:numId w:val="25"/>
        </w:numPr>
        <w:spacing w:after="0"/>
        <w:rPr>
          <w:rFonts w:ascii="Calibri" w:hAnsi="Calibri"/>
          <w:iCs/>
        </w:rPr>
      </w:pPr>
      <w:r w:rsidRPr="00606282">
        <w:rPr>
          <w:rFonts w:ascii="Calibri" w:hAnsi="Calibri"/>
          <w:iCs/>
        </w:rPr>
        <w:t>8 inci maddesinin başlığı “Şebeke işletmecileri tarafından kurulan elektrik depolama tesisleri” şeklinde değiştirilmiştir.</w:t>
      </w:r>
    </w:p>
    <w:p w:rsidR="00606282" w:rsidRDefault="00606282" w:rsidP="000A5A56">
      <w:pPr>
        <w:pStyle w:val="ListeParagraf"/>
        <w:numPr>
          <w:ilvl w:val="0"/>
          <w:numId w:val="25"/>
        </w:numPr>
        <w:spacing w:after="0"/>
        <w:rPr>
          <w:rFonts w:ascii="Calibri" w:hAnsi="Calibri"/>
          <w:iCs/>
        </w:rPr>
      </w:pPr>
      <w:r w:rsidRPr="00606282">
        <w:rPr>
          <w:rFonts w:ascii="Calibri" w:hAnsi="Calibri"/>
          <w:iCs/>
        </w:rPr>
        <w:t>10 uncu maddesi yürürlükten kaldırılmıştır.</w:t>
      </w:r>
    </w:p>
    <w:p w:rsidR="00606282" w:rsidRDefault="00606282" w:rsidP="000A5A56">
      <w:pPr>
        <w:pStyle w:val="ListeParagraf"/>
        <w:numPr>
          <w:ilvl w:val="0"/>
          <w:numId w:val="25"/>
        </w:numPr>
        <w:spacing w:after="0"/>
        <w:rPr>
          <w:rFonts w:ascii="Calibri" w:hAnsi="Calibri"/>
          <w:iCs/>
        </w:rPr>
      </w:pPr>
      <w:r w:rsidRPr="00606282">
        <w:rPr>
          <w:rFonts w:ascii="Calibri" w:hAnsi="Calibri"/>
          <w:iCs/>
        </w:rPr>
        <w:t>Ekte</w:t>
      </w:r>
      <w:r>
        <w:rPr>
          <w:rFonts w:ascii="Calibri" w:hAnsi="Calibri"/>
          <w:iCs/>
        </w:rPr>
        <w:t xml:space="preserve"> </w:t>
      </w:r>
      <w:r w:rsidRPr="00606282">
        <w:rPr>
          <w:rFonts w:ascii="Calibri" w:hAnsi="Calibri"/>
          <w:iCs/>
        </w:rPr>
        <w:t>yer alan EK-1 eklenmiştir.</w:t>
      </w:r>
    </w:p>
    <w:p w:rsidR="00606282" w:rsidRDefault="00606282" w:rsidP="00606282">
      <w:pPr>
        <w:pStyle w:val="ListeParagraf"/>
        <w:spacing w:after="0"/>
        <w:ind w:left="1440"/>
        <w:rPr>
          <w:rFonts w:ascii="Calibri" w:hAnsi="Calibri"/>
          <w:iCs/>
        </w:rPr>
      </w:pPr>
    </w:p>
    <w:p w:rsidR="004F717C" w:rsidRPr="004F2451" w:rsidRDefault="004F717C" w:rsidP="000A5A56">
      <w:pPr>
        <w:pStyle w:val="ListeParagraf"/>
        <w:numPr>
          <w:ilvl w:val="0"/>
          <w:numId w:val="26"/>
        </w:numPr>
        <w:spacing w:after="0"/>
        <w:rPr>
          <w:rFonts w:ascii="Calibri" w:hAnsi="Calibri"/>
          <w:i/>
        </w:rPr>
      </w:pPr>
      <w:r>
        <w:rPr>
          <w:rFonts w:ascii="Calibri" w:hAnsi="Calibri"/>
          <w:bCs/>
        </w:rPr>
        <w:t>19</w:t>
      </w:r>
      <w:r w:rsidRPr="005B3935">
        <w:rPr>
          <w:rFonts w:ascii="Calibri" w:hAnsi="Calibri"/>
          <w:bCs/>
        </w:rPr>
        <w:t>.</w:t>
      </w:r>
      <w:r>
        <w:rPr>
          <w:rFonts w:ascii="Calibri" w:hAnsi="Calibri"/>
          <w:bCs/>
        </w:rPr>
        <w:t>11</w:t>
      </w:r>
      <w:r w:rsidRPr="005B3935">
        <w:rPr>
          <w:rFonts w:ascii="Calibri" w:hAnsi="Calibri"/>
          <w:bCs/>
        </w:rPr>
        <w:t>.202</w:t>
      </w:r>
      <w:r>
        <w:rPr>
          <w:rFonts w:ascii="Calibri" w:hAnsi="Calibri"/>
          <w:bCs/>
        </w:rPr>
        <w:t>2</w:t>
      </w:r>
      <w:r w:rsidRPr="005B3935">
        <w:rPr>
          <w:rFonts w:ascii="Calibri" w:hAnsi="Calibri"/>
          <w:bCs/>
        </w:rPr>
        <w:t xml:space="preserve"> tarihli ve </w:t>
      </w:r>
      <w:r>
        <w:rPr>
          <w:rFonts w:ascii="Calibri" w:hAnsi="Calibri"/>
          <w:bCs/>
        </w:rPr>
        <w:t>32018</w:t>
      </w:r>
      <w:r w:rsidRPr="005B3935">
        <w:rPr>
          <w:rFonts w:ascii="Calibri" w:hAnsi="Calibri"/>
          <w:bCs/>
        </w:rPr>
        <w:t xml:space="preserve"> sayılı Resmî </w:t>
      </w:r>
      <w:r w:rsidR="00274939">
        <w:rPr>
          <w:rFonts w:ascii="Calibri" w:hAnsi="Calibri"/>
          <w:bCs/>
        </w:rPr>
        <w:t>Gazetede</w:t>
      </w:r>
      <w:r w:rsidRPr="005B3935">
        <w:rPr>
          <w:rFonts w:ascii="Calibri" w:hAnsi="Calibri"/>
          <w:bCs/>
        </w:rPr>
        <w:t xml:space="preserve"> yayımlanan Değişiklik Yönetmeliği İle</w:t>
      </w:r>
      <w:r w:rsidRPr="005B3935">
        <w:rPr>
          <w:rFonts w:ascii="Calibri" w:hAnsi="Calibri"/>
          <w:b/>
          <w:bCs/>
        </w:rPr>
        <w:t xml:space="preserve"> </w:t>
      </w:r>
      <w:r w:rsidRPr="004F717C">
        <w:rPr>
          <w:rFonts w:ascii="Calibri" w:hAnsi="Calibri"/>
          <w:b/>
        </w:rPr>
        <w:t>Elektrik Şebeke</w:t>
      </w:r>
      <w:r w:rsidRPr="005E050D">
        <w:rPr>
          <w:rFonts w:ascii="Calibri" w:hAnsi="Calibri"/>
          <w:b/>
        </w:rPr>
        <w:t xml:space="preserve"> Yönetmeliğinin</w:t>
      </w:r>
    </w:p>
    <w:p w:rsidR="004F2451" w:rsidRPr="005E050D" w:rsidRDefault="004F2451" w:rsidP="004F2451">
      <w:pPr>
        <w:pStyle w:val="ListeParagraf"/>
        <w:spacing w:after="0"/>
        <w:rPr>
          <w:rFonts w:ascii="Calibri" w:hAnsi="Calibri"/>
          <w:i/>
        </w:rPr>
      </w:pPr>
    </w:p>
    <w:p w:rsidR="004F717C" w:rsidRPr="00606282" w:rsidRDefault="004F717C" w:rsidP="000A5A56">
      <w:pPr>
        <w:pStyle w:val="ListeParagraf"/>
        <w:numPr>
          <w:ilvl w:val="0"/>
          <w:numId w:val="25"/>
        </w:numPr>
        <w:spacing w:after="0"/>
        <w:rPr>
          <w:rFonts w:ascii="Calibri" w:hAnsi="Calibri"/>
          <w:iCs/>
        </w:rPr>
      </w:pPr>
      <w:r w:rsidRPr="004F717C">
        <w:rPr>
          <w:rFonts w:ascii="Calibri" w:hAnsi="Calibri"/>
          <w:iCs/>
        </w:rPr>
        <w:t>29 uncu maddesine aşağıdaki fıkra eklenmiştir.</w:t>
      </w:r>
    </w:p>
    <w:p w:rsidR="004F717C" w:rsidRDefault="004F717C" w:rsidP="004F717C">
      <w:pPr>
        <w:pStyle w:val="ListeParagraf"/>
        <w:spacing w:after="0"/>
        <w:ind w:left="1440"/>
        <w:rPr>
          <w:rFonts w:ascii="Calibri" w:hAnsi="Calibri"/>
          <w:iCs/>
        </w:rPr>
      </w:pPr>
    </w:p>
    <w:p w:rsidR="004F717C" w:rsidRPr="00606282" w:rsidRDefault="004F717C" w:rsidP="004F717C">
      <w:pPr>
        <w:pStyle w:val="ListeParagraf"/>
        <w:spacing w:after="0"/>
        <w:ind w:left="1440"/>
        <w:rPr>
          <w:rFonts w:ascii="Calibri" w:hAnsi="Calibri"/>
          <w:i/>
        </w:rPr>
      </w:pPr>
      <w:r w:rsidRPr="004F717C">
        <w:rPr>
          <w:rFonts w:ascii="Calibri" w:hAnsi="Calibri"/>
          <w:i/>
        </w:rPr>
        <w:t>“(11) Dağıtım lisansı sahibi tüzel kişiler, sorumlu oldukları dağıtım sistemine OG gerilim seviyesinden bağlı olan üretim tesisine bütünleşik elektrik depolama ünitesi, müstakil elektrik depolama tesisleri ve depolamalı elektrik üretim tesisleri tarafından şebekeye verilen ve şebekeden çekilen MW ve MVAr bilgilerini, bağlantı noktalarına ilişkin bilgileri ve TEİAŞ tarafından talep edilecek diğer bilgileri, üretim kaynağını da içerecek şekilde, ilgili dağıtım lisansı sahibi tüzel kişiye ait SCADA kontrol merkezi üzerinden TEİAŞ SCADA sistemine aktarır. Söz konusu tesis sahibi tüzel kişiler, bu amaçla gerekli sistemleri kurmak ve gerekli iletişim linkini sağlayarak ilgili dağıtım lisansı sahibi tüzel kişiye ait SCADA kontrol merkezine bağlanmakla yükümlüdür. SCADA kontrol merkezi tarafında bu amaçla iletişim linki dışında ihtiyaç duyulacak diğer teçhizata dair</w:t>
      </w:r>
      <w:r w:rsidR="004F2451">
        <w:rPr>
          <w:rFonts w:ascii="Calibri" w:hAnsi="Calibri"/>
          <w:i/>
        </w:rPr>
        <w:t xml:space="preserve"> </w:t>
      </w:r>
      <w:r w:rsidRPr="004F717C">
        <w:rPr>
          <w:rFonts w:ascii="Calibri" w:hAnsi="Calibri"/>
          <w:i/>
        </w:rPr>
        <w:t>yapılacak çalışmalar, ilgili dağıtım lisansı sahibi tüzel kişinin sorumluluğundadır.”</w:t>
      </w:r>
    </w:p>
    <w:p w:rsidR="004F717C" w:rsidRDefault="004F717C" w:rsidP="00606282">
      <w:pPr>
        <w:pStyle w:val="ListeParagraf"/>
        <w:spacing w:after="0"/>
        <w:ind w:left="1440"/>
        <w:rPr>
          <w:rFonts w:ascii="Calibri" w:hAnsi="Calibri"/>
          <w:iCs/>
        </w:rPr>
      </w:pPr>
    </w:p>
    <w:p w:rsidR="004F717C" w:rsidRPr="004F2451" w:rsidRDefault="004F717C" w:rsidP="000A5A56">
      <w:pPr>
        <w:pStyle w:val="ListeParagraf"/>
        <w:numPr>
          <w:ilvl w:val="0"/>
          <w:numId w:val="26"/>
        </w:numPr>
        <w:spacing w:after="0"/>
        <w:rPr>
          <w:rFonts w:ascii="Calibri" w:hAnsi="Calibri"/>
          <w:i/>
        </w:rPr>
      </w:pPr>
      <w:r>
        <w:rPr>
          <w:rFonts w:ascii="Calibri" w:hAnsi="Calibri"/>
          <w:bCs/>
        </w:rPr>
        <w:t>19</w:t>
      </w:r>
      <w:r w:rsidRPr="005B3935">
        <w:rPr>
          <w:rFonts w:ascii="Calibri" w:hAnsi="Calibri"/>
          <w:bCs/>
        </w:rPr>
        <w:t>.</w:t>
      </w:r>
      <w:r>
        <w:rPr>
          <w:rFonts w:ascii="Calibri" w:hAnsi="Calibri"/>
          <w:bCs/>
        </w:rPr>
        <w:t>11</w:t>
      </w:r>
      <w:r w:rsidRPr="005B3935">
        <w:rPr>
          <w:rFonts w:ascii="Calibri" w:hAnsi="Calibri"/>
          <w:bCs/>
        </w:rPr>
        <w:t>.202</w:t>
      </w:r>
      <w:r>
        <w:rPr>
          <w:rFonts w:ascii="Calibri" w:hAnsi="Calibri"/>
          <w:bCs/>
        </w:rPr>
        <w:t>2</w:t>
      </w:r>
      <w:r w:rsidRPr="005B3935">
        <w:rPr>
          <w:rFonts w:ascii="Calibri" w:hAnsi="Calibri"/>
          <w:bCs/>
        </w:rPr>
        <w:t xml:space="preserve"> tarihli ve </w:t>
      </w:r>
      <w:r>
        <w:rPr>
          <w:rFonts w:ascii="Calibri" w:hAnsi="Calibri"/>
          <w:bCs/>
        </w:rPr>
        <w:t>32018</w:t>
      </w:r>
      <w:r w:rsidRPr="005B3935">
        <w:rPr>
          <w:rFonts w:ascii="Calibri" w:hAnsi="Calibri"/>
          <w:bCs/>
        </w:rPr>
        <w:t xml:space="preserve"> sayılı Resmî </w:t>
      </w:r>
      <w:r w:rsidR="00274939">
        <w:rPr>
          <w:rFonts w:ascii="Calibri" w:hAnsi="Calibri"/>
          <w:bCs/>
        </w:rPr>
        <w:t>Gazetede</w:t>
      </w:r>
      <w:r w:rsidRPr="005B3935">
        <w:rPr>
          <w:rFonts w:ascii="Calibri" w:hAnsi="Calibri"/>
          <w:bCs/>
        </w:rPr>
        <w:t xml:space="preserve"> yayımlanan Değişiklik Yönetmeliği İle</w:t>
      </w:r>
      <w:r w:rsidRPr="005B3935">
        <w:rPr>
          <w:rFonts w:ascii="Calibri" w:hAnsi="Calibri"/>
          <w:b/>
          <w:bCs/>
        </w:rPr>
        <w:t xml:space="preserve"> </w:t>
      </w:r>
      <w:r w:rsidRPr="004F717C">
        <w:rPr>
          <w:rFonts w:ascii="Calibri" w:hAnsi="Calibri"/>
          <w:b/>
        </w:rPr>
        <w:t>Yenilenebilir Enerji Kaynaklarının Belgelendirilmesi ve Desteklenmesine İlişkin</w:t>
      </w:r>
      <w:r w:rsidRPr="005E050D">
        <w:rPr>
          <w:rFonts w:ascii="Calibri" w:hAnsi="Calibri"/>
          <w:b/>
        </w:rPr>
        <w:t xml:space="preserve"> Yönetmeliğinin</w:t>
      </w:r>
    </w:p>
    <w:p w:rsidR="004F2451" w:rsidRPr="005E050D" w:rsidRDefault="004F2451" w:rsidP="004F2451">
      <w:pPr>
        <w:pStyle w:val="ListeParagraf"/>
        <w:spacing w:after="0"/>
        <w:rPr>
          <w:rFonts w:ascii="Calibri" w:hAnsi="Calibri"/>
          <w:i/>
        </w:rPr>
      </w:pPr>
    </w:p>
    <w:p w:rsidR="004F717C" w:rsidRPr="00606282" w:rsidRDefault="004F717C" w:rsidP="000A5A56">
      <w:pPr>
        <w:pStyle w:val="ListeParagraf"/>
        <w:numPr>
          <w:ilvl w:val="0"/>
          <w:numId w:val="25"/>
        </w:numPr>
        <w:spacing w:after="0"/>
        <w:rPr>
          <w:rFonts w:ascii="Calibri" w:hAnsi="Calibri"/>
          <w:iCs/>
        </w:rPr>
      </w:pPr>
      <w:r w:rsidRPr="004F717C">
        <w:rPr>
          <w:rFonts w:ascii="Calibri" w:hAnsi="Calibri"/>
          <w:iCs/>
        </w:rPr>
        <w:t>2 nci maddesinde yer alan “6446 sayılı Elektrik Piyasası Kanununun” ibaresinden sonra gelmek üzere “7 nci ve” ibaresi eklenmiştir.</w:t>
      </w:r>
    </w:p>
    <w:p w:rsidR="004F717C" w:rsidRDefault="004F717C" w:rsidP="004F717C">
      <w:pPr>
        <w:pStyle w:val="ListeParagraf"/>
        <w:spacing w:after="0"/>
        <w:ind w:left="1440"/>
        <w:rPr>
          <w:rFonts w:ascii="Calibri" w:hAnsi="Calibri"/>
          <w:iCs/>
        </w:rPr>
      </w:pPr>
    </w:p>
    <w:p w:rsidR="004F717C" w:rsidRPr="004F717C" w:rsidRDefault="004F717C" w:rsidP="000A5A56">
      <w:pPr>
        <w:pStyle w:val="ListeParagraf"/>
        <w:numPr>
          <w:ilvl w:val="0"/>
          <w:numId w:val="25"/>
        </w:numPr>
        <w:spacing w:after="0"/>
        <w:rPr>
          <w:rFonts w:ascii="Calibri" w:hAnsi="Calibri"/>
          <w:iCs/>
        </w:rPr>
      </w:pPr>
      <w:r w:rsidRPr="004F717C">
        <w:rPr>
          <w:rFonts w:ascii="Calibri" w:hAnsi="Calibri"/>
          <w:iCs/>
        </w:rPr>
        <w:t>3 üncü maddesinin birinci fıkrasına aşağıdaki bent eklenmiştir.</w:t>
      </w:r>
    </w:p>
    <w:p w:rsidR="004F717C" w:rsidRPr="004F717C" w:rsidRDefault="004F717C" w:rsidP="004F717C">
      <w:pPr>
        <w:pStyle w:val="ListeParagraf"/>
        <w:spacing w:after="0"/>
        <w:ind w:left="1440"/>
        <w:rPr>
          <w:rFonts w:ascii="Calibri" w:hAnsi="Calibri"/>
          <w:i/>
        </w:rPr>
      </w:pPr>
      <w:r w:rsidRPr="004F717C">
        <w:rPr>
          <w:rFonts w:ascii="Calibri" w:hAnsi="Calibri"/>
          <w:i/>
        </w:rPr>
        <w:t>“ee) Depolamalı elektrik üretim tesisi: Kanunun 7 nci maddesinin onuncu ve on birinci fıkraları kapsamında kurulan üretim tesisini,”</w:t>
      </w:r>
    </w:p>
    <w:p w:rsidR="004F717C" w:rsidRDefault="004F717C" w:rsidP="004F717C">
      <w:pPr>
        <w:pStyle w:val="ListeParagraf"/>
        <w:spacing w:after="0"/>
        <w:ind w:left="1440"/>
        <w:rPr>
          <w:rFonts w:ascii="Calibri" w:hAnsi="Calibri"/>
          <w:iCs/>
        </w:rPr>
      </w:pPr>
    </w:p>
    <w:p w:rsidR="004F717C" w:rsidRPr="004F717C" w:rsidRDefault="004F717C" w:rsidP="000A5A56">
      <w:pPr>
        <w:pStyle w:val="ListeParagraf"/>
        <w:numPr>
          <w:ilvl w:val="0"/>
          <w:numId w:val="25"/>
        </w:numPr>
        <w:spacing w:after="0"/>
        <w:rPr>
          <w:rFonts w:ascii="Calibri" w:hAnsi="Calibri"/>
          <w:iCs/>
        </w:rPr>
      </w:pPr>
      <w:r w:rsidRPr="004F717C">
        <w:rPr>
          <w:rFonts w:ascii="Calibri" w:hAnsi="Calibri"/>
          <w:iCs/>
        </w:rPr>
        <w:t>8 inci maddesinin birinci fıkrası aşağıdaki şekilde değiştirilmiş, beşinci fıkrası yürürlükten kaldırılmış ve aynı maddeye aşağıdaki fıkralar eklenmiştir.</w:t>
      </w:r>
    </w:p>
    <w:p w:rsidR="004F717C" w:rsidRPr="004F717C" w:rsidRDefault="004F717C" w:rsidP="004F717C">
      <w:pPr>
        <w:pStyle w:val="ListeParagraf"/>
        <w:spacing w:after="0"/>
        <w:ind w:left="1440"/>
        <w:rPr>
          <w:rFonts w:ascii="Calibri" w:hAnsi="Calibri"/>
          <w:i/>
        </w:rPr>
      </w:pPr>
      <w:r w:rsidRPr="004F717C">
        <w:rPr>
          <w:rFonts w:ascii="Calibri" w:hAnsi="Calibri"/>
          <w:i/>
        </w:rPr>
        <w:t>“(1) Bu Yönetmelik kapsamındaki yenilenebilir enerji kaynaklarına dayalı olup 18/11/2013 tarihli ve 2013/5625 sayılı Bakanlar Kurulu Kararı ile belirlenmiş tarihe kadar kısmen veya tamamen işletmeye girmiş veya girecek olan üretim tesisleri ile Kanunun 7 nci maddesinin onuncu fıkrası kapsamında kurulan üretim tesislerine ilişkin üretim lisansı sahibi tüzel kişiler, lisansına dercedilen ilk kurulu gücün;</w:t>
      </w:r>
    </w:p>
    <w:p w:rsidR="004F717C" w:rsidRPr="004F717C" w:rsidRDefault="004F717C" w:rsidP="004F717C">
      <w:pPr>
        <w:pStyle w:val="ListeParagraf"/>
        <w:spacing w:after="0"/>
        <w:ind w:left="1440"/>
        <w:rPr>
          <w:rFonts w:ascii="Calibri" w:hAnsi="Calibri"/>
          <w:i/>
        </w:rPr>
      </w:pPr>
      <w:r w:rsidRPr="004F717C">
        <w:rPr>
          <w:rFonts w:ascii="Calibri" w:hAnsi="Calibri"/>
          <w:i/>
        </w:rPr>
        <w:t>a) Tamamının işletmeye giriş tarihinden,</w:t>
      </w:r>
    </w:p>
    <w:p w:rsidR="004F717C" w:rsidRPr="004F717C" w:rsidRDefault="004F717C" w:rsidP="004F717C">
      <w:pPr>
        <w:pStyle w:val="ListeParagraf"/>
        <w:spacing w:after="0"/>
        <w:ind w:left="1440"/>
        <w:rPr>
          <w:rFonts w:ascii="Calibri" w:hAnsi="Calibri"/>
          <w:i/>
        </w:rPr>
      </w:pPr>
      <w:r w:rsidRPr="004F717C">
        <w:rPr>
          <w:rFonts w:ascii="Calibri" w:hAnsi="Calibri"/>
          <w:i/>
        </w:rPr>
        <w:lastRenderedPageBreak/>
        <w:t>b) Tamamı işletmeye girmeden YEKDEM’e katılması halinde, YEKDEM’e ilk katıldığı tarihten itibaren on yıl süreyle YEKDEM’den yararlanabilir. 17/9/2020 tarihli ve 2949 sayılı Cumhurbaşkanı Kararı kapsamında 1/1/2021 tarihinden 30/6/2021 tarihine kadar kısmen veya tamamen işletmeye girecek olan üretim tesisleri 31/12/2030 tarihine kadar YEKDEM’den faydalanabilir. Kanunun 7 nci maddesinin on birinci fıkrası kapsamında yapılan kapasite artışları hariç olmak üzere, 28/2/2019 tarihi itibarıyla kurulu güç artış talepleri Kurum tarafından uygun bulunan ve bu kapsamda lisans tadilleri gerçekleştirilen tüzel kişiler, söz konusu kurulu güç artışı için YEKDEM’den yararlanamaz. Ancak Kanunun 7 nci maddesinin on birinci fıkrası kapsamındaki kapasite artışları, söz konusu üretim tesisinin kalan YEKDEM süresi boyunca YEKDEM’den yararlanır.”</w:t>
      </w:r>
    </w:p>
    <w:p w:rsidR="004F717C" w:rsidRPr="004F717C" w:rsidRDefault="004F717C" w:rsidP="004F717C">
      <w:pPr>
        <w:pStyle w:val="ListeParagraf"/>
        <w:spacing w:after="0"/>
        <w:ind w:left="1440"/>
        <w:rPr>
          <w:rFonts w:ascii="Calibri" w:hAnsi="Calibri"/>
          <w:i/>
        </w:rPr>
      </w:pPr>
      <w:r w:rsidRPr="004F717C">
        <w:rPr>
          <w:rFonts w:ascii="Calibri" w:hAnsi="Calibri"/>
          <w:i/>
        </w:rPr>
        <w:t>“(7) Depolamalı elektrik üretim tesisi bünyesinde kurulan elektrik depolama ünitesi ile YEKDEM kapsamındaki üretim tesisine bütünleşik elektrik depolama ünitesinin uzlaştırmaya esas veriş miktarına ilişkin olarak;</w:t>
      </w:r>
    </w:p>
    <w:p w:rsidR="004F717C" w:rsidRPr="004F717C" w:rsidRDefault="004F717C" w:rsidP="004F717C">
      <w:pPr>
        <w:pStyle w:val="ListeParagraf"/>
        <w:spacing w:after="0"/>
        <w:ind w:left="1440"/>
        <w:rPr>
          <w:rFonts w:ascii="Calibri" w:hAnsi="Calibri"/>
          <w:i/>
        </w:rPr>
      </w:pPr>
      <w:r w:rsidRPr="004F717C">
        <w:rPr>
          <w:rFonts w:ascii="Calibri" w:hAnsi="Calibri"/>
          <w:i/>
        </w:rPr>
        <w:t>a) Üretim tesisinde üretilerek depolandıktan sonra şebekeye verilen enerjinin YEKDEM kapsamında olduğu,</w:t>
      </w:r>
    </w:p>
    <w:p w:rsidR="004F717C" w:rsidRPr="004F717C" w:rsidRDefault="004F717C" w:rsidP="004F717C">
      <w:pPr>
        <w:pStyle w:val="ListeParagraf"/>
        <w:spacing w:after="0"/>
        <w:ind w:left="1440"/>
        <w:rPr>
          <w:rFonts w:ascii="Calibri" w:hAnsi="Calibri"/>
          <w:i/>
        </w:rPr>
      </w:pPr>
      <w:r w:rsidRPr="004F717C">
        <w:rPr>
          <w:rFonts w:ascii="Calibri" w:hAnsi="Calibri"/>
          <w:i/>
        </w:rPr>
        <w:t>b) Depolamalı elektrik üretim tesisi bünyesinde kurulan elektrik depolama ünitesi ile YEKDEM kapsamındaki üretim tesisine bütünleşik elektrik depolama ünitesine herhangi bir uzlaştırma döneminde enerji çekilmesi halinde, söz konusu enerjinin öncelikle şebekeden çekildiği ve şebekeden çekilen miktar kadar enerjinin YEKDEM’e tabi olmaksızın elektrik depolama ünitesinden verildiği,</w:t>
      </w:r>
    </w:p>
    <w:p w:rsidR="004F717C" w:rsidRPr="004F717C" w:rsidRDefault="004F717C" w:rsidP="004F717C">
      <w:pPr>
        <w:pStyle w:val="ListeParagraf"/>
        <w:spacing w:after="0"/>
        <w:ind w:left="1440"/>
        <w:rPr>
          <w:rFonts w:ascii="Calibri" w:hAnsi="Calibri"/>
          <w:i/>
        </w:rPr>
      </w:pPr>
      <w:r w:rsidRPr="004F717C">
        <w:rPr>
          <w:rFonts w:ascii="Calibri" w:hAnsi="Calibri"/>
          <w:i/>
        </w:rPr>
        <w:t>c) (b) bendi kapsamında şebekeden çekilen miktarın üzerinde elektrik depolama ünitesinden şebekeye verilen enerjinin YEKDEM kapsamında olduğu,</w:t>
      </w:r>
    </w:p>
    <w:p w:rsidR="004F717C" w:rsidRPr="004F717C" w:rsidRDefault="004F717C" w:rsidP="004F717C">
      <w:pPr>
        <w:pStyle w:val="ListeParagraf"/>
        <w:spacing w:after="0"/>
        <w:ind w:left="1440"/>
        <w:rPr>
          <w:rFonts w:ascii="Calibri" w:hAnsi="Calibri"/>
          <w:i/>
        </w:rPr>
      </w:pPr>
      <w:r w:rsidRPr="004F717C">
        <w:rPr>
          <w:rFonts w:ascii="Calibri" w:hAnsi="Calibri"/>
          <w:i/>
        </w:rPr>
        <w:t>kabul edilir.</w:t>
      </w:r>
    </w:p>
    <w:p w:rsidR="004F717C" w:rsidRPr="004F717C" w:rsidRDefault="004F717C" w:rsidP="004F717C">
      <w:pPr>
        <w:pStyle w:val="ListeParagraf"/>
        <w:spacing w:after="0"/>
        <w:ind w:left="1440"/>
        <w:rPr>
          <w:rFonts w:ascii="Calibri" w:hAnsi="Calibri"/>
          <w:i/>
        </w:rPr>
      </w:pPr>
      <w:r w:rsidRPr="004F717C">
        <w:rPr>
          <w:rFonts w:ascii="Calibri" w:hAnsi="Calibri"/>
          <w:i/>
        </w:rPr>
        <w:t>(8) Depolamalı elektrik üretim tesisi ile YEKDEM kapsamındaki üretim tesisine bütünleşik elektrik depolama ünitesinin bulunduğu üretim tesislerinde; şebekeye üretim tesisinin elektriksel kurulu gücü ile üretebileceği enerjiden fazla enerji verilmesi halinde, söz konusu enerji öncelikle ilgili üretim tesisinin uzlaştırmaya esas veriş miktarından düşülür.</w:t>
      </w:r>
    </w:p>
    <w:p w:rsidR="004F717C" w:rsidRDefault="004F717C" w:rsidP="004F717C">
      <w:pPr>
        <w:pStyle w:val="ListeParagraf"/>
        <w:spacing w:after="0"/>
        <w:ind w:left="1440"/>
        <w:rPr>
          <w:rFonts w:ascii="Calibri" w:hAnsi="Calibri"/>
          <w:i/>
        </w:rPr>
      </w:pPr>
      <w:r w:rsidRPr="004F717C">
        <w:rPr>
          <w:rFonts w:ascii="Calibri" w:hAnsi="Calibri"/>
          <w:i/>
        </w:rPr>
        <w:t xml:space="preserve">(9) 2/11/2013 tarihli ve 28809 sayılı Resmî </w:t>
      </w:r>
      <w:r w:rsidR="00274939">
        <w:rPr>
          <w:rFonts w:ascii="Calibri" w:hAnsi="Calibri"/>
          <w:i/>
        </w:rPr>
        <w:t>Gazetede</w:t>
      </w:r>
      <w:r w:rsidRPr="004F717C">
        <w:rPr>
          <w:rFonts w:ascii="Calibri" w:hAnsi="Calibri"/>
          <w:i/>
        </w:rPr>
        <w:t xml:space="preserve"> yayımlanan Elektrik Piyasası Lisans Yönetmeliğinin 27 nci maddesinin sekizinci fıkrası kapsamındaki depolamalı elektrik üretim tesislerinden sisteme verilen enerji uzlaştırma hesaplamalarında dikkate alınmaz.”</w:t>
      </w:r>
    </w:p>
    <w:p w:rsidR="004F717C" w:rsidRDefault="004F717C" w:rsidP="004F717C">
      <w:pPr>
        <w:pStyle w:val="ListeParagraf"/>
        <w:spacing w:after="0"/>
        <w:ind w:left="1440"/>
        <w:rPr>
          <w:rFonts w:ascii="Calibri" w:hAnsi="Calibri"/>
          <w:i/>
        </w:rPr>
      </w:pPr>
    </w:p>
    <w:p w:rsidR="004F717C" w:rsidRDefault="004F717C" w:rsidP="000A5A56">
      <w:pPr>
        <w:pStyle w:val="ListeParagraf"/>
        <w:numPr>
          <w:ilvl w:val="0"/>
          <w:numId w:val="25"/>
        </w:numPr>
        <w:spacing w:after="0"/>
        <w:rPr>
          <w:rFonts w:ascii="Calibri" w:hAnsi="Calibri"/>
          <w:iCs/>
        </w:rPr>
      </w:pPr>
      <w:r w:rsidRPr="004F717C">
        <w:rPr>
          <w:rFonts w:ascii="Calibri" w:hAnsi="Calibri"/>
          <w:iCs/>
        </w:rPr>
        <w:t xml:space="preserve">12 nci maddesinin birinci fıkrasında yer alan </w:t>
      </w:r>
      <w:r w:rsidRPr="004F717C">
        <w:rPr>
          <w:rFonts w:ascii="Calibri" w:hAnsi="Calibri"/>
          <w:i/>
          <w:iCs/>
        </w:rPr>
        <w:t>“UEVMi,b,t,u”</w:t>
      </w:r>
      <w:r w:rsidRPr="004F717C">
        <w:rPr>
          <w:rFonts w:ascii="Calibri" w:hAnsi="Calibri"/>
          <w:iCs/>
        </w:rPr>
        <w:t xml:space="preserve"> tanımındaki </w:t>
      </w:r>
      <w:r w:rsidRPr="000B1873">
        <w:rPr>
          <w:rFonts w:ascii="Calibri" w:hAnsi="Calibri"/>
          <w:i/>
          <w:iCs/>
        </w:rPr>
        <w:t>“u uzlaştırma dönemine ait”</w:t>
      </w:r>
      <w:r w:rsidRPr="004F717C">
        <w:rPr>
          <w:rFonts w:ascii="Calibri" w:hAnsi="Calibri"/>
          <w:iCs/>
        </w:rPr>
        <w:t xml:space="preserve"> ibaresinden sonra gelmek üzere </w:t>
      </w:r>
      <w:r w:rsidRPr="000B1873">
        <w:rPr>
          <w:rFonts w:ascii="Calibri" w:hAnsi="Calibri"/>
          <w:i/>
          <w:iCs/>
        </w:rPr>
        <w:t>“YEKDEM kapsamındaki”</w:t>
      </w:r>
      <w:r w:rsidRPr="004F717C">
        <w:rPr>
          <w:rFonts w:ascii="Calibri" w:hAnsi="Calibri"/>
          <w:iCs/>
        </w:rPr>
        <w:t xml:space="preserve"> ibaresi eklenmiştir.</w:t>
      </w:r>
    </w:p>
    <w:p w:rsidR="004F717C" w:rsidRDefault="004F717C" w:rsidP="004F717C">
      <w:pPr>
        <w:pStyle w:val="ListeParagraf"/>
        <w:spacing w:after="0"/>
        <w:ind w:left="1440"/>
        <w:rPr>
          <w:rFonts w:ascii="Calibri" w:hAnsi="Calibri"/>
          <w:iCs/>
        </w:rPr>
      </w:pPr>
    </w:p>
    <w:p w:rsidR="004F717C" w:rsidRDefault="004F717C" w:rsidP="000A5A56">
      <w:pPr>
        <w:pStyle w:val="ListeParagraf"/>
        <w:numPr>
          <w:ilvl w:val="0"/>
          <w:numId w:val="25"/>
        </w:numPr>
        <w:spacing w:after="0"/>
        <w:rPr>
          <w:rFonts w:ascii="Calibri" w:hAnsi="Calibri"/>
          <w:iCs/>
        </w:rPr>
      </w:pPr>
      <w:r w:rsidRPr="004F717C">
        <w:rPr>
          <w:rFonts w:ascii="Calibri" w:hAnsi="Calibri"/>
          <w:iCs/>
        </w:rPr>
        <w:t xml:space="preserve">15 inci maddesinin ikinci fıkrasında yer alan </w:t>
      </w:r>
      <w:r w:rsidRPr="000B1873">
        <w:rPr>
          <w:rFonts w:ascii="Calibri" w:hAnsi="Calibri"/>
          <w:i/>
          <w:iCs/>
        </w:rPr>
        <w:t>“UEVMi,b,t,u”</w:t>
      </w:r>
      <w:r w:rsidRPr="004F717C">
        <w:rPr>
          <w:rFonts w:ascii="Calibri" w:hAnsi="Calibri"/>
          <w:iCs/>
        </w:rPr>
        <w:t xml:space="preserve"> ve dördüncü fıkrasında yer alan </w:t>
      </w:r>
      <w:r w:rsidRPr="000B1873">
        <w:rPr>
          <w:rFonts w:ascii="Calibri" w:hAnsi="Calibri"/>
          <w:i/>
          <w:iCs/>
        </w:rPr>
        <w:t>“UEVMc,b,t,u”</w:t>
      </w:r>
      <w:r w:rsidRPr="004F717C">
        <w:rPr>
          <w:rFonts w:ascii="Calibri" w:hAnsi="Calibri"/>
          <w:iCs/>
        </w:rPr>
        <w:t xml:space="preserve"> tanımlarındaki </w:t>
      </w:r>
      <w:r w:rsidRPr="000B1873">
        <w:rPr>
          <w:rFonts w:ascii="Calibri" w:hAnsi="Calibri"/>
          <w:i/>
          <w:iCs/>
        </w:rPr>
        <w:t>“u uzlaştırma dönemine ait”</w:t>
      </w:r>
      <w:r w:rsidRPr="004F717C">
        <w:rPr>
          <w:rFonts w:ascii="Calibri" w:hAnsi="Calibri"/>
          <w:iCs/>
        </w:rPr>
        <w:t xml:space="preserve"> ibaresinden sonra gelmek üzere </w:t>
      </w:r>
      <w:r w:rsidRPr="000B1873">
        <w:rPr>
          <w:rFonts w:ascii="Calibri" w:hAnsi="Calibri"/>
          <w:i/>
          <w:iCs/>
        </w:rPr>
        <w:t>“YEKDEM kapsamındaki”</w:t>
      </w:r>
      <w:r w:rsidRPr="004F717C">
        <w:rPr>
          <w:rFonts w:ascii="Calibri" w:hAnsi="Calibri"/>
          <w:iCs/>
        </w:rPr>
        <w:t xml:space="preserve"> ibaresi eklenmiştir.</w:t>
      </w:r>
    </w:p>
    <w:p w:rsidR="004F717C" w:rsidRDefault="004F717C" w:rsidP="004F717C">
      <w:pPr>
        <w:pStyle w:val="ListeParagraf"/>
        <w:spacing w:after="0"/>
        <w:ind w:left="1440"/>
        <w:rPr>
          <w:rFonts w:ascii="Calibri" w:hAnsi="Calibri"/>
          <w:iCs/>
        </w:rPr>
      </w:pPr>
    </w:p>
    <w:p w:rsidR="004F717C" w:rsidRDefault="004F717C" w:rsidP="000A5A56">
      <w:pPr>
        <w:pStyle w:val="ListeParagraf"/>
        <w:numPr>
          <w:ilvl w:val="0"/>
          <w:numId w:val="25"/>
        </w:numPr>
        <w:spacing w:after="0"/>
        <w:rPr>
          <w:rFonts w:ascii="Calibri" w:hAnsi="Calibri"/>
          <w:iCs/>
        </w:rPr>
      </w:pPr>
      <w:r w:rsidRPr="004F717C">
        <w:rPr>
          <w:rFonts w:ascii="Calibri" w:hAnsi="Calibri"/>
          <w:iCs/>
        </w:rPr>
        <w:t xml:space="preserve">18 inci maddesinin birinci fıkrasında yer alan </w:t>
      </w:r>
      <w:r w:rsidRPr="000B1873">
        <w:rPr>
          <w:rFonts w:ascii="Calibri" w:hAnsi="Calibri"/>
          <w:i/>
          <w:iCs/>
        </w:rPr>
        <w:t>“UEVMi,b,t,u”</w:t>
      </w:r>
      <w:r w:rsidRPr="004F717C">
        <w:rPr>
          <w:rFonts w:ascii="Calibri" w:hAnsi="Calibri"/>
          <w:iCs/>
        </w:rPr>
        <w:t xml:space="preserve"> tanımındaki </w:t>
      </w:r>
      <w:r w:rsidRPr="000B1873">
        <w:rPr>
          <w:rFonts w:ascii="Calibri" w:hAnsi="Calibri"/>
          <w:i/>
          <w:iCs/>
        </w:rPr>
        <w:t>“u uzlaştırma dönemine ait”</w:t>
      </w:r>
      <w:r w:rsidRPr="004F717C">
        <w:rPr>
          <w:rFonts w:ascii="Calibri" w:hAnsi="Calibri"/>
          <w:iCs/>
        </w:rPr>
        <w:t xml:space="preserve"> ibaresinden sonra gelmek üzere “</w:t>
      </w:r>
      <w:r w:rsidRPr="000B1873">
        <w:rPr>
          <w:rFonts w:ascii="Calibri" w:hAnsi="Calibri"/>
          <w:i/>
          <w:iCs/>
        </w:rPr>
        <w:t>YEKDEM kapsamındaki”</w:t>
      </w:r>
      <w:r w:rsidRPr="004F717C">
        <w:rPr>
          <w:rFonts w:ascii="Calibri" w:hAnsi="Calibri"/>
          <w:iCs/>
        </w:rPr>
        <w:t xml:space="preserve"> ibaresi eklenmiştir.</w:t>
      </w:r>
    </w:p>
    <w:p w:rsidR="00AE43A5" w:rsidRPr="00AE43A5" w:rsidRDefault="00AE43A5" w:rsidP="00AE43A5">
      <w:pPr>
        <w:pStyle w:val="ListeParagraf"/>
        <w:rPr>
          <w:rFonts w:ascii="Calibri" w:hAnsi="Calibri"/>
          <w:iCs/>
        </w:rPr>
      </w:pPr>
    </w:p>
    <w:p w:rsidR="00AE43A5" w:rsidRPr="005E050D" w:rsidRDefault="00AE43A5" w:rsidP="00AE43A5">
      <w:pPr>
        <w:pStyle w:val="ListeParagraf"/>
        <w:numPr>
          <w:ilvl w:val="0"/>
          <w:numId w:val="26"/>
        </w:numPr>
        <w:spacing w:after="0"/>
        <w:rPr>
          <w:rFonts w:ascii="Calibri" w:hAnsi="Calibri"/>
          <w:i/>
        </w:rPr>
      </w:pPr>
      <w:r>
        <w:rPr>
          <w:rFonts w:ascii="Calibri" w:hAnsi="Calibri"/>
          <w:bCs/>
        </w:rPr>
        <w:t>31</w:t>
      </w:r>
      <w:r w:rsidRPr="005B3935">
        <w:rPr>
          <w:rFonts w:ascii="Calibri" w:hAnsi="Calibri"/>
          <w:bCs/>
        </w:rPr>
        <w:t>.</w:t>
      </w:r>
      <w:r>
        <w:rPr>
          <w:rFonts w:ascii="Calibri" w:hAnsi="Calibri"/>
          <w:bCs/>
        </w:rPr>
        <w:t>12</w:t>
      </w:r>
      <w:r w:rsidRPr="005B3935">
        <w:rPr>
          <w:rFonts w:ascii="Calibri" w:hAnsi="Calibri"/>
          <w:bCs/>
        </w:rPr>
        <w:t>.202</w:t>
      </w:r>
      <w:r>
        <w:rPr>
          <w:rFonts w:ascii="Calibri" w:hAnsi="Calibri"/>
          <w:bCs/>
        </w:rPr>
        <w:t>2</w:t>
      </w:r>
      <w:r w:rsidRPr="005B3935">
        <w:rPr>
          <w:rFonts w:ascii="Calibri" w:hAnsi="Calibri"/>
          <w:bCs/>
        </w:rPr>
        <w:t xml:space="preserve"> tarihli ve </w:t>
      </w:r>
      <w:r>
        <w:rPr>
          <w:rFonts w:ascii="Calibri" w:hAnsi="Calibri"/>
          <w:bCs/>
        </w:rPr>
        <w:t>32060</w:t>
      </w:r>
      <w:r w:rsidRPr="005B3935">
        <w:rPr>
          <w:rFonts w:ascii="Calibri" w:hAnsi="Calibri"/>
          <w:bCs/>
        </w:rPr>
        <w:t xml:space="preserve"> </w:t>
      </w:r>
      <w:r w:rsidR="00F105BC">
        <w:rPr>
          <w:rFonts w:ascii="Calibri" w:hAnsi="Calibri"/>
          <w:bCs/>
        </w:rPr>
        <w:t xml:space="preserve">(5. Mükerrer) </w:t>
      </w:r>
      <w:r w:rsidRPr="005B3935">
        <w:rPr>
          <w:rFonts w:ascii="Calibri" w:hAnsi="Calibri"/>
          <w:bCs/>
        </w:rPr>
        <w:t xml:space="preserve">sayılı Resmî </w:t>
      </w:r>
      <w:r w:rsidR="00274939">
        <w:rPr>
          <w:rFonts w:ascii="Calibri" w:hAnsi="Calibri"/>
          <w:bCs/>
        </w:rPr>
        <w:t>Gazetede</w:t>
      </w:r>
      <w:r w:rsidRPr="005B3935">
        <w:rPr>
          <w:rFonts w:ascii="Calibri" w:hAnsi="Calibri"/>
          <w:bCs/>
        </w:rPr>
        <w:t xml:space="preserve"> yayımlanan Değişiklik Yönetmeliği İle</w:t>
      </w:r>
      <w:r w:rsidRPr="005B3935">
        <w:rPr>
          <w:rFonts w:ascii="Calibri" w:hAnsi="Calibri"/>
          <w:b/>
          <w:bCs/>
        </w:rPr>
        <w:t xml:space="preserve"> </w:t>
      </w:r>
      <w:r w:rsidRPr="00AE43A5">
        <w:rPr>
          <w:rFonts w:ascii="Calibri" w:hAnsi="Calibri"/>
          <w:b/>
        </w:rPr>
        <w:t xml:space="preserve">Elektrik Piyasasında Lisanssız Elektrik Üretim </w:t>
      </w:r>
      <w:r w:rsidRPr="005E050D">
        <w:rPr>
          <w:rFonts w:ascii="Calibri" w:hAnsi="Calibri"/>
          <w:b/>
        </w:rPr>
        <w:t>Yönetmeliğinin</w:t>
      </w:r>
    </w:p>
    <w:p w:rsidR="00AE43A5" w:rsidRDefault="00AE43A5" w:rsidP="00AE43A5">
      <w:pPr>
        <w:pStyle w:val="ListeParagraf"/>
        <w:numPr>
          <w:ilvl w:val="0"/>
          <w:numId w:val="25"/>
        </w:numPr>
        <w:spacing w:after="0"/>
        <w:rPr>
          <w:rFonts w:ascii="Calibri" w:hAnsi="Calibri"/>
          <w:iCs/>
        </w:rPr>
      </w:pPr>
      <w:r w:rsidRPr="00AE43A5">
        <w:rPr>
          <w:rFonts w:ascii="Calibri" w:hAnsi="Calibri"/>
          <w:iCs/>
        </w:rPr>
        <w:lastRenderedPageBreak/>
        <w:t>Geçici</w:t>
      </w:r>
      <w:r>
        <w:rPr>
          <w:rFonts w:ascii="Calibri" w:hAnsi="Calibri"/>
          <w:iCs/>
        </w:rPr>
        <w:t xml:space="preserve"> </w:t>
      </w:r>
      <w:r w:rsidRPr="00AE43A5">
        <w:rPr>
          <w:rFonts w:ascii="Calibri" w:hAnsi="Calibri"/>
          <w:iCs/>
        </w:rPr>
        <w:t xml:space="preserve">7 nci maddesinin birinci fıkrasında yer alan </w:t>
      </w:r>
      <w:r w:rsidRPr="00AE43A5">
        <w:rPr>
          <w:rFonts w:ascii="Calibri" w:hAnsi="Calibri"/>
          <w:i/>
          <w:iCs/>
        </w:rPr>
        <w:t>“3 (üç) ay”</w:t>
      </w:r>
      <w:r w:rsidRPr="00AE43A5">
        <w:rPr>
          <w:rFonts w:ascii="Calibri" w:hAnsi="Calibri"/>
          <w:iCs/>
        </w:rPr>
        <w:t xml:space="preserve"> ibaresi </w:t>
      </w:r>
      <w:r w:rsidRPr="00AE43A5">
        <w:rPr>
          <w:rFonts w:ascii="Calibri" w:hAnsi="Calibri"/>
          <w:i/>
          <w:iCs/>
        </w:rPr>
        <w:t>“9 (dokuz) ay”</w:t>
      </w:r>
      <w:r w:rsidRPr="00AE43A5">
        <w:rPr>
          <w:rFonts w:ascii="Calibri" w:hAnsi="Calibri"/>
          <w:iCs/>
        </w:rPr>
        <w:t xml:space="preserve"> şeklinde ve aynı maddenin ikinci ve üçüncü fıkralarında yer alan </w:t>
      </w:r>
      <w:r w:rsidRPr="00AE43A5">
        <w:rPr>
          <w:rFonts w:ascii="Calibri" w:hAnsi="Calibri"/>
          <w:i/>
          <w:iCs/>
        </w:rPr>
        <w:t xml:space="preserve">“1/1/2023” </w:t>
      </w:r>
      <w:r w:rsidRPr="00AE43A5">
        <w:rPr>
          <w:rFonts w:ascii="Calibri" w:hAnsi="Calibri"/>
          <w:iCs/>
        </w:rPr>
        <w:t xml:space="preserve">ibareleri </w:t>
      </w:r>
      <w:r w:rsidRPr="00AE43A5">
        <w:rPr>
          <w:rFonts w:ascii="Calibri" w:hAnsi="Calibri"/>
          <w:i/>
          <w:iCs/>
        </w:rPr>
        <w:t>“1/7/2023”</w:t>
      </w:r>
      <w:r w:rsidRPr="00AE43A5">
        <w:rPr>
          <w:rFonts w:ascii="Calibri" w:hAnsi="Calibri"/>
          <w:iCs/>
        </w:rPr>
        <w:t xml:space="preserve"> şeklinde değiştirilmiştir.</w:t>
      </w:r>
    </w:p>
    <w:p w:rsidR="0055561D" w:rsidRPr="0082756B" w:rsidRDefault="003F1E81" w:rsidP="000A5A56">
      <w:pPr>
        <w:pStyle w:val="Balk3"/>
        <w:numPr>
          <w:ilvl w:val="2"/>
          <w:numId w:val="11"/>
        </w:numPr>
        <w:spacing w:after="240"/>
        <w:rPr>
          <w:rFonts w:asciiTheme="minorHAnsi" w:hAnsiTheme="minorHAnsi" w:cstheme="minorHAnsi"/>
          <w:color w:val="auto"/>
        </w:rPr>
      </w:pPr>
      <w:bookmarkStart w:id="47" w:name="_Toc66267335"/>
      <w:bookmarkStart w:id="48" w:name="_Toc132713759"/>
      <w:r w:rsidRPr="0082756B">
        <w:rPr>
          <w:rFonts w:asciiTheme="minorHAnsi" w:hAnsiTheme="minorHAnsi" w:cstheme="minorHAnsi"/>
          <w:color w:val="auto"/>
        </w:rPr>
        <w:t>Tebliğler</w:t>
      </w:r>
      <w:bookmarkEnd w:id="47"/>
      <w:bookmarkEnd w:id="48"/>
    </w:p>
    <w:p w:rsidR="003F1E81" w:rsidRDefault="003F1E81" w:rsidP="003F1E81">
      <w:pPr>
        <w:spacing w:after="0"/>
        <w:rPr>
          <w:rFonts w:cstheme="minorHAnsi"/>
          <w:color w:val="000000" w:themeColor="text1"/>
        </w:rPr>
      </w:pPr>
      <w:r w:rsidRPr="005356D4">
        <w:rPr>
          <w:rFonts w:cstheme="minorHAnsi"/>
          <w:color w:val="000000" w:themeColor="text1"/>
        </w:rPr>
        <w:t>202</w:t>
      </w:r>
      <w:r w:rsidR="00E90A7A">
        <w:rPr>
          <w:rFonts w:cstheme="minorHAnsi"/>
          <w:color w:val="000000" w:themeColor="text1"/>
        </w:rPr>
        <w:t>2</w:t>
      </w:r>
      <w:r w:rsidR="0055561D">
        <w:rPr>
          <w:rFonts w:cstheme="minorHAnsi"/>
          <w:color w:val="000000" w:themeColor="text1"/>
        </w:rPr>
        <w:t xml:space="preserve"> </w:t>
      </w:r>
      <w:r w:rsidRPr="005356D4">
        <w:rPr>
          <w:rFonts w:cstheme="minorHAnsi"/>
          <w:color w:val="000000" w:themeColor="text1"/>
        </w:rPr>
        <w:t>yılında elektrik piyasasında aşağıda belirtilen Tebliğ çalışmaları yapılmıştır:</w:t>
      </w:r>
    </w:p>
    <w:p w:rsidR="00D234A7" w:rsidRDefault="00D234A7" w:rsidP="003F1E81">
      <w:pPr>
        <w:spacing w:after="0"/>
        <w:rPr>
          <w:rFonts w:cstheme="minorHAnsi"/>
          <w:color w:val="000000" w:themeColor="text1"/>
        </w:rPr>
      </w:pPr>
    </w:p>
    <w:p w:rsidR="006D30BE" w:rsidRPr="0082756B" w:rsidRDefault="00E90A7A" w:rsidP="000A5A56">
      <w:pPr>
        <w:pStyle w:val="ListeParagraf"/>
        <w:numPr>
          <w:ilvl w:val="0"/>
          <w:numId w:val="26"/>
        </w:numPr>
        <w:spacing w:after="0"/>
        <w:rPr>
          <w:rFonts w:ascii="Calibri" w:hAnsi="Calibri"/>
          <w:bCs/>
        </w:rPr>
      </w:pPr>
      <w:r>
        <w:rPr>
          <w:rFonts w:ascii="Calibri" w:hAnsi="Calibri"/>
          <w:bCs/>
        </w:rPr>
        <w:t>28</w:t>
      </w:r>
      <w:r w:rsidR="0055561D" w:rsidRPr="0082756B">
        <w:rPr>
          <w:rFonts w:ascii="Calibri" w:hAnsi="Calibri"/>
          <w:bCs/>
        </w:rPr>
        <w:t>.12.202</w:t>
      </w:r>
      <w:r>
        <w:rPr>
          <w:rFonts w:ascii="Calibri" w:hAnsi="Calibri"/>
          <w:bCs/>
        </w:rPr>
        <w:t>2</w:t>
      </w:r>
      <w:r w:rsidR="0055561D" w:rsidRPr="0082756B">
        <w:rPr>
          <w:rFonts w:ascii="Calibri" w:hAnsi="Calibri"/>
          <w:bCs/>
        </w:rPr>
        <w:t xml:space="preserve"> tarihli ve </w:t>
      </w:r>
      <w:r>
        <w:rPr>
          <w:rFonts w:ascii="Calibri" w:hAnsi="Calibri"/>
          <w:bCs/>
        </w:rPr>
        <w:t>32057</w:t>
      </w:r>
      <w:r w:rsidR="0055561D" w:rsidRPr="0082756B">
        <w:rPr>
          <w:rFonts w:ascii="Calibri" w:hAnsi="Calibri"/>
          <w:bCs/>
        </w:rPr>
        <w:t xml:space="preserve"> sayılı Resmî </w:t>
      </w:r>
      <w:r w:rsidR="00274939">
        <w:rPr>
          <w:rFonts w:ascii="Calibri" w:hAnsi="Calibri"/>
          <w:bCs/>
        </w:rPr>
        <w:t>Gazetede</w:t>
      </w:r>
      <w:r w:rsidR="0055561D" w:rsidRPr="0082756B">
        <w:rPr>
          <w:rFonts w:ascii="Calibri" w:hAnsi="Calibri"/>
          <w:bCs/>
        </w:rPr>
        <w:t xml:space="preserve"> yayımlanan, amacı </w:t>
      </w:r>
      <w:r w:rsidR="0082756B" w:rsidRPr="0082756B">
        <w:rPr>
          <w:rFonts w:ascii="Calibri" w:hAnsi="Calibri"/>
          <w:bCs/>
        </w:rPr>
        <w:t xml:space="preserve">, </w:t>
      </w:r>
      <w:r w:rsidRPr="00E90A7A">
        <w:rPr>
          <w:rFonts w:ascii="Calibri" w:hAnsi="Calibri"/>
          <w:bCs/>
        </w:rPr>
        <w:t xml:space="preserve">14/3/2013 tarihli ve 6446 sayılı Elektrik Piyasası Kanununun 16 ncı maddesinde düzenlenmiş olan idari para cezalarının, 24/11/2022 tarihli ve 32023 sayılı Resmî </w:t>
      </w:r>
      <w:r w:rsidR="00274939">
        <w:rPr>
          <w:rFonts w:ascii="Calibri" w:hAnsi="Calibri"/>
          <w:bCs/>
        </w:rPr>
        <w:t>Gazetede</w:t>
      </w:r>
      <w:r w:rsidRPr="00E90A7A">
        <w:rPr>
          <w:rFonts w:ascii="Calibri" w:hAnsi="Calibri"/>
          <w:bCs/>
        </w:rPr>
        <w:t xml:space="preserve"> yayımlanan Vergi Usul Kanunu Genel Tebliği (Sıra No: 542)’nde 2022 yılı için yeniden değerleme oranı olarak tespit edilen % 122,93 (yüz yirmi iki virgül doksan üç) oranında artırılarak </w:t>
      </w:r>
      <w:r w:rsidR="00F23EE3" w:rsidRPr="00873EA8">
        <w:t>belirlenmesi üzerine 28.12.2022 tarihli ve 32057 sayılı Tebliğ ile 2023 yılında  uygulanacak idari para cezaları belirlenmiştir.</w:t>
      </w:r>
    </w:p>
    <w:p w:rsidR="0055561D" w:rsidRDefault="0055561D" w:rsidP="0055561D">
      <w:pPr>
        <w:pStyle w:val="ListeParagraf"/>
        <w:spacing w:after="160" w:line="259" w:lineRule="auto"/>
      </w:pPr>
    </w:p>
    <w:p w:rsidR="000F2A02" w:rsidRPr="0082756B" w:rsidRDefault="000F2A02" w:rsidP="000A5A56">
      <w:pPr>
        <w:pStyle w:val="ListeParagraf"/>
        <w:numPr>
          <w:ilvl w:val="0"/>
          <w:numId w:val="26"/>
        </w:numPr>
        <w:spacing w:after="0"/>
        <w:rPr>
          <w:rFonts w:ascii="Calibri" w:hAnsi="Calibri"/>
          <w:bCs/>
        </w:rPr>
      </w:pPr>
      <w:r>
        <w:rPr>
          <w:rFonts w:ascii="Calibri" w:hAnsi="Calibri"/>
          <w:bCs/>
        </w:rPr>
        <w:t>31</w:t>
      </w:r>
      <w:r w:rsidRPr="0082756B">
        <w:rPr>
          <w:rFonts w:ascii="Calibri" w:hAnsi="Calibri"/>
          <w:bCs/>
        </w:rPr>
        <w:t>.12.202</w:t>
      </w:r>
      <w:r>
        <w:rPr>
          <w:rFonts w:ascii="Calibri" w:hAnsi="Calibri"/>
          <w:bCs/>
        </w:rPr>
        <w:t>2</w:t>
      </w:r>
      <w:r w:rsidRPr="0082756B">
        <w:rPr>
          <w:rFonts w:ascii="Calibri" w:hAnsi="Calibri"/>
          <w:bCs/>
        </w:rPr>
        <w:t xml:space="preserve"> tarihli ve </w:t>
      </w:r>
      <w:r>
        <w:rPr>
          <w:rFonts w:ascii="Calibri" w:hAnsi="Calibri"/>
          <w:bCs/>
        </w:rPr>
        <w:t>32060</w:t>
      </w:r>
      <w:r w:rsidRPr="0082756B">
        <w:rPr>
          <w:rFonts w:ascii="Calibri" w:hAnsi="Calibri"/>
          <w:bCs/>
        </w:rPr>
        <w:t xml:space="preserve"> </w:t>
      </w:r>
      <w:r w:rsidR="00F105BC">
        <w:rPr>
          <w:rFonts w:ascii="Calibri" w:hAnsi="Calibri"/>
          <w:bCs/>
        </w:rPr>
        <w:t>(</w:t>
      </w:r>
      <w:r w:rsidR="00F105BC" w:rsidRPr="00005066">
        <w:rPr>
          <w:rFonts w:ascii="Calibri" w:hAnsi="Calibri"/>
          <w:bCs/>
        </w:rPr>
        <w:t>5. Mükerrer</w:t>
      </w:r>
      <w:r w:rsidR="00F105BC">
        <w:rPr>
          <w:rFonts w:ascii="Calibri" w:hAnsi="Calibri"/>
          <w:bCs/>
        </w:rPr>
        <w:t xml:space="preserve">) </w:t>
      </w:r>
      <w:r w:rsidRPr="0082756B">
        <w:rPr>
          <w:rFonts w:ascii="Calibri" w:hAnsi="Calibri"/>
          <w:bCs/>
        </w:rPr>
        <w:t xml:space="preserve">sayılı Resmî </w:t>
      </w:r>
      <w:r w:rsidRPr="00005066">
        <w:rPr>
          <w:rFonts w:ascii="Calibri" w:hAnsi="Calibri"/>
          <w:bCs/>
        </w:rPr>
        <w:t xml:space="preserve">Gazete </w:t>
      </w:r>
      <w:r w:rsidRPr="0082756B">
        <w:rPr>
          <w:rFonts w:ascii="Calibri" w:hAnsi="Calibri"/>
          <w:bCs/>
        </w:rPr>
        <w:t>yayımlanan</w:t>
      </w:r>
      <w:r>
        <w:rPr>
          <w:rFonts w:ascii="Calibri" w:hAnsi="Calibri"/>
          <w:bCs/>
        </w:rPr>
        <w:t xml:space="preserve"> </w:t>
      </w:r>
      <w:r w:rsidRPr="005B3935">
        <w:rPr>
          <w:rFonts w:ascii="Calibri" w:hAnsi="Calibri"/>
          <w:bCs/>
        </w:rPr>
        <w:t xml:space="preserve">Değişiklik </w:t>
      </w:r>
      <w:r>
        <w:rPr>
          <w:rFonts w:ascii="Calibri" w:hAnsi="Calibri"/>
          <w:bCs/>
        </w:rPr>
        <w:t>Tebliği</w:t>
      </w:r>
      <w:r w:rsidRPr="005B3935">
        <w:rPr>
          <w:rFonts w:ascii="Calibri" w:hAnsi="Calibri"/>
          <w:bCs/>
        </w:rPr>
        <w:t xml:space="preserve"> İle</w:t>
      </w:r>
      <w:r w:rsidRPr="0082756B">
        <w:rPr>
          <w:rFonts w:ascii="Calibri" w:hAnsi="Calibri"/>
          <w:bCs/>
        </w:rPr>
        <w:t xml:space="preserve">, </w:t>
      </w:r>
      <w:r w:rsidRPr="000F2A02">
        <w:rPr>
          <w:rFonts w:ascii="Calibri" w:hAnsi="Calibri"/>
          <w:bCs/>
        </w:rPr>
        <w:t xml:space="preserve">30/12/2015 tarihli ve 29578 sayılı Resmî </w:t>
      </w:r>
      <w:r w:rsidR="00274939">
        <w:rPr>
          <w:rFonts w:ascii="Calibri" w:hAnsi="Calibri"/>
          <w:bCs/>
        </w:rPr>
        <w:t>Gazetede</w:t>
      </w:r>
      <w:r w:rsidRPr="000F2A02">
        <w:rPr>
          <w:rFonts w:ascii="Calibri" w:hAnsi="Calibri"/>
          <w:bCs/>
        </w:rPr>
        <w:t xml:space="preserve"> yayımlanan İletim Gelirinin Düzenlenmesi Hakkında Tebliğin</w:t>
      </w:r>
    </w:p>
    <w:p w:rsidR="000F2A02" w:rsidRDefault="000F2A02" w:rsidP="000A5A56">
      <w:pPr>
        <w:pStyle w:val="ListeParagraf"/>
        <w:numPr>
          <w:ilvl w:val="0"/>
          <w:numId w:val="25"/>
        </w:numPr>
        <w:spacing w:after="0"/>
        <w:rPr>
          <w:rFonts w:ascii="Calibri" w:hAnsi="Calibri"/>
          <w:iCs/>
        </w:rPr>
      </w:pPr>
      <w:r w:rsidRPr="000F2A02">
        <w:rPr>
          <w:rFonts w:ascii="Calibri" w:hAnsi="Calibri"/>
          <w:iCs/>
        </w:rPr>
        <w:t>9 uncu maddesi aşağıdaki şekilde değiştirilmiştir.</w:t>
      </w:r>
    </w:p>
    <w:p w:rsidR="000F2A02" w:rsidRDefault="000F2A02" w:rsidP="0055561D">
      <w:pPr>
        <w:pStyle w:val="ListeParagraf"/>
        <w:spacing w:after="160" w:line="259" w:lineRule="auto"/>
      </w:pPr>
    </w:p>
    <w:p w:rsidR="00C34B49" w:rsidRPr="000F2A02" w:rsidRDefault="00C34B49" w:rsidP="00C34B49">
      <w:pPr>
        <w:pStyle w:val="ListeParagraf"/>
        <w:spacing w:after="0"/>
        <w:ind w:left="1440"/>
        <w:rPr>
          <w:rFonts w:ascii="Calibri" w:hAnsi="Calibri"/>
          <w:i/>
        </w:rPr>
      </w:pPr>
      <w:r w:rsidRPr="000F2A02">
        <w:rPr>
          <w:rFonts w:ascii="Calibri" w:hAnsi="Calibri"/>
          <w:i/>
        </w:rPr>
        <w:t>“MADDE 9 -  (1) TEİAŞ’ın t tarife yılı için gelir tavanı (GTt) aşağıdaki eşitlik (2)’ye göre hesaplanır:</w:t>
      </w:r>
    </w:p>
    <w:p w:rsidR="00C34B49" w:rsidRPr="000F2A02" w:rsidRDefault="00C34B49" w:rsidP="00C34B49">
      <w:pPr>
        <w:pStyle w:val="ListeParagraf"/>
        <w:spacing w:after="0"/>
        <w:ind w:left="1440"/>
        <w:rPr>
          <w:rFonts w:ascii="Calibri" w:hAnsi="Calibri"/>
          <w:i/>
        </w:rPr>
      </w:pPr>
      <w:r w:rsidRPr="000F2A02">
        <w:rPr>
          <w:rFonts w:ascii="Calibri" w:hAnsi="Calibri"/>
          <w:i/>
        </w:rPr>
        <w:t xml:space="preserve"> </w:t>
      </w:r>
    </w:p>
    <w:p w:rsidR="00C34B49" w:rsidRPr="000F2A02" w:rsidRDefault="00C34B49" w:rsidP="00C34B49">
      <w:pPr>
        <w:pStyle w:val="ListeParagraf"/>
        <w:spacing w:after="0"/>
        <w:ind w:left="1440"/>
        <w:rPr>
          <w:rFonts w:ascii="Calibri" w:hAnsi="Calibri"/>
          <w:i/>
        </w:rPr>
      </w:pPr>
      <w:r w:rsidRPr="000F2A02">
        <w:rPr>
          <w:rFonts w:ascii="Calibri" w:hAnsi="Calibri"/>
          <w:i/>
        </w:rPr>
        <w:t xml:space="preserve">GTt = GGt x (TÜFEt / TÜFEbaz) + DGt + GFDBt – YFDBu,t </w:t>
      </w:r>
      <w:r w:rsidRPr="000F2A02">
        <w:rPr>
          <w:rFonts w:ascii="Calibri" w:hAnsi="Calibri"/>
          <w:i/>
        </w:rPr>
        <w:tab/>
        <w:t xml:space="preserve">                     (2)</w:t>
      </w:r>
    </w:p>
    <w:p w:rsidR="00C34B49" w:rsidRPr="000F2A02" w:rsidRDefault="00C34B49" w:rsidP="00C34B49">
      <w:pPr>
        <w:pStyle w:val="ListeParagraf"/>
        <w:spacing w:after="0"/>
        <w:ind w:left="1440"/>
        <w:rPr>
          <w:rFonts w:ascii="Calibri" w:hAnsi="Calibri"/>
          <w:i/>
        </w:rPr>
      </w:pPr>
      <w:r w:rsidRPr="000F2A02">
        <w:rPr>
          <w:rFonts w:ascii="Calibri" w:hAnsi="Calibri"/>
          <w:i/>
        </w:rPr>
        <w:t xml:space="preserve"> </w:t>
      </w:r>
    </w:p>
    <w:p w:rsidR="00C34B49" w:rsidRPr="000F2A02" w:rsidRDefault="00C34B49" w:rsidP="00C34B49">
      <w:pPr>
        <w:pStyle w:val="ListeParagraf"/>
        <w:spacing w:after="0"/>
        <w:ind w:left="1440"/>
        <w:rPr>
          <w:rFonts w:ascii="Calibri" w:hAnsi="Calibri"/>
          <w:i/>
        </w:rPr>
      </w:pPr>
      <w:r w:rsidRPr="000F2A02">
        <w:rPr>
          <w:rFonts w:ascii="Calibri" w:hAnsi="Calibri"/>
          <w:i/>
        </w:rPr>
        <w:t>GTt</w:t>
      </w:r>
      <w:r w:rsidRPr="000F2A02">
        <w:rPr>
          <w:rFonts w:ascii="Calibri" w:hAnsi="Calibri"/>
          <w:i/>
        </w:rPr>
        <w:tab/>
      </w:r>
      <w:r w:rsidRPr="000F2A02">
        <w:rPr>
          <w:rFonts w:ascii="Calibri" w:hAnsi="Calibri"/>
          <w:i/>
        </w:rPr>
        <w:tab/>
        <w:t>: TEİAŞ’ın t tarife yılında elde edebileceği ve ilgili faaliyet için hesaplanmış gelir tavanını,</w:t>
      </w:r>
    </w:p>
    <w:p w:rsidR="00C34B49" w:rsidRPr="000F2A02" w:rsidRDefault="00C34B49" w:rsidP="00C34B49">
      <w:pPr>
        <w:pStyle w:val="ListeParagraf"/>
        <w:spacing w:after="0"/>
        <w:ind w:left="1440"/>
        <w:rPr>
          <w:rFonts w:ascii="Calibri" w:hAnsi="Calibri"/>
          <w:i/>
        </w:rPr>
      </w:pPr>
      <w:r w:rsidRPr="000F2A02">
        <w:rPr>
          <w:rFonts w:ascii="Calibri" w:hAnsi="Calibri"/>
          <w:i/>
        </w:rPr>
        <w:t>GGt</w:t>
      </w:r>
      <w:r w:rsidRPr="000F2A02">
        <w:rPr>
          <w:rFonts w:ascii="Calibri" w:hAnsi="Calibri"/>
          <w:i/>
        </w:rPr>
        <w:tab/>
      </w:r>
      <w:r w:rsidRPr="000F2A02">
        <w:rPr>
          <w:rFonts w:ascii="Calibri" w:hAnsi="Calibri"/>
          <w:i/>
        </w:rPr>
        <w:tab/>
        <w:t>: t tarife yılına ilişkin gelir gereksinimini,</w:t>
      </w:r>
    </w:p>
    <w:p w:rsidR="00C34B49" w:rsidRPr="000F2A02" w:rsidRDefault="00C34B49" w:rsidP="00C34B49">
      <w:pPr>
        <w:pStyle w:val="ListeParagraf"/>
        <w:spacing w:after="0"/>
        <w:ind w:left="1440"/>
        <w:rPr>
          <w:rFonts w:ascii="Calibri" w:hAnsi="Calibri"/>
          <w:i/>
        </w:rPr>
      </w:pPr>
      <w:r w:rsidRPr="000F2A02">
        <w:rPr>
          <w:rFonts w:ascii="Calibri" w:hAnsi="Calibri"/>
          <w:i/>
        </w:rPr>
        <w:t>GFDBt</w:t>
      </w:r>
      <w:r w:rsidRPr="000F2A02">
        <w:rPr>
          <w:rFonts w:ascii="Calibri" w:hAnsi="Calibri"/>
          <w:i/>
        </w:rPr>
        <w:tab/>
      </w:r>
      <w:r w:rsidRPr="000F2A02">
        <w:rPr>
          <w:rFonts w:ascii="Calibri" w:hAnsi="Calibri"/>
          <w:i/>
        </w:rPr>
        <w:tab/>
        <w:t>: Gelir farkı düzeltme bileşenini,</w:t>
      </w:r>
    </w:p>
    <w:p w:rsidR="00C34B49" w:rsidRPr="000F2A02" w:rsidRDefault="00C34B49" w:rsidP="00C34B49">
      <w:pPr>
        <w:pStyle w:val="ListeParagraf"/>
        <w:spacing w:after="0"/>
        <w:ind w:left="1440"/>
        <w:rPr>
          <w:rFonts w:ascii="Calibri" w:hAnsi="Calibri"/>
          <w:i/>
        </w:rPr>
      </w:pPr>
      <w:r w:rsidRPr="000F2A02">
        <w:rPr>
          <w:rFonts w:ascii="Calibri" w:hAnsi="Calibri"/>
          <w:i/>
        </w:rPr>
        <w:t>YFDBu,t</w:t>
      </w:r>
      <w:r w:rsidRPr="000F2A02">
        <w:rPr>
          <w:rFonts w:ascii="Calibri" w:hAnsi="Calibri"/>
          <w:i/>
        </w:rPr>
        <w:tab/>
        <w:t>: u uygulama döneminin gelir tavanı hesaplamalarında dikkate alınan yatırım farkı düzeltme bileşenini,</w:t>
      </w:r>
    </w:p>
    <w:p w:rsidR="00C34B49" w:rsidRPr="000F2A02" w:rsidRDefault="00C34B49" w:rsidP="00C34B49">
      <w:pPr>
        <w:pStyle w:val="ListeParagraf"/>
        <w:spacing w:after="0"/>
        <w:ind w:left="1440"/>
        <w:rPr>
          <w:rFonts w:ascii="Calibri" w:hAnsi="Calibri"/>
          <w:i/>
        </w:rPr>
      </w:pPr>
      <w:r w:rsidRPr="000F2A02">
        <w:rPr>
          <w:rFonts w:ascii="Calibri" w:hAnsi="Calibri"/>
          <w:i/>
        </w:rPr>
        <w:t>TÜFEt</w:t>
      </w:r>
      <w:r w:rsidRPr="000F2A02">
        <w:rPr>
          <w:rFonts w:ascii="Calibri" w:hAnsi="Calibri"/>
          <w:i/>
        </w:rPr>
        <w:tab/>
      </w:r>
      <w:r w:rsidRPr="000F2A02">
        <w:rPr>
          <w:rFonts w:ascii="Calibri" w:hAnsi="Calibri"/>
          <w:i/>
        </w:rPr>
        <w:tab/>
        <w:t>: t tarife yılının Haziran ayı için tahmin edilen TÜFE değerini,</w:t>
      </w:r>
    </w:p>
    <w:p w:rsidR="00C34B49" w:rsidRPr="000F2A02" w:rsidRDefault="00C34B49" w:rsidP="00C34B49">
      <w:pPr>
        <w:pStyle w:val="ListeParagraf"/>
        <w:spacing w:after="0"/>
        <w:ind w:left="1440"/>
        <w:rPr>
          <w:rFonts w:ascii="Calibri" w:hAnsi="Calibri"/>
          <w:i/>
        </w:rPr>
      </w:pPr>
      <w:r w:rsidRPr="000F2A02">
        <w:rPr>
          <w:rFonts w:ascii="Calibri" w:hAnsi="Calibri"/>
          <w:i/>
        </w:rPr>
        <w:t>TÜFEbaz</w:t>
      </w:r>
      <w:r w:rsidRPr="000F2A02">
        <w:rPr>
          <w:rFonts w:ascii="Calibri" w:hAnsi="Calibri"/>
          <w:i/>
        </w:rPr>
        <w:tab/>
        <w:t>: Baz TÜFE değerini,</w:t>
      </w:r>
    </w:p>
    <w:p w:rsidR="00C34B49" w:rsidRPr="000F2A02" w:rsidRDefault="00C34B49" w:rsidP="00C34B49">
      <w:pPr>
        <w:pStyle w:val="ListeParagraf"/>
        <w:spacing w:after="0"/>
        <w:ind w:left="1440"/>
        <w:rPr>
          <w:rFonts w:ascii="Calibri" w:hAnsi="Calibri"/>
          <w:i/>
        </w:rPr>
      </w:pPr>
      <w:r w:rsidRPr="000F2A02">
        <w:rPr>
          <w:rFonts w:ascii="Calibri" w:hAnsi="Calibri"/>
          <w:i/>
        </w:rPr>
        <w:t>DGt</w:t>
      </w:r>
      <w:r w:rsidRPr="000F2A02">
        <w:rPr>
          <w:rFonts w:ascii="Calibri" w:hAnsi="Calibri"/>
          <w:i/>
        </w:rPr>
        <w:tab/>
      </w:r>
      <w:r w:rsidRPr="000F2A02">
        <w:rPr>
          <w:rFonts w:ascii="Calibri" w:hAnsi="Calibri"/>
          <w:i/>
        </w:rPr>
        <w:tab/>
        <w:t>: 12 nci madde kapsamındaki giderlerden gelir tavanında dikkate alınacak olanların t tarife yılı için öngörülen tutarını,</w:t>
      </w:r>
    </w:p>
    <w:p w:rsidR="00C34B49" w:rsidRPr="004F717C" w:rsidRDefault="00C34B49" w:rsidP="00C34B49">
      <w:pPr>
        <w:pStyle w:val="ListeParagraf"/>
        <w:spacing w:after="0"/>
        <w:ind w:left="1440"/>
        <w:rPr>
          <w:rFonts w:ascii="Calibri" w:hAnsi="Calibri"/>
          <w:i/>
        </w:rPr>
      </w:pPr>
      <w:r w:rsidRPr="000F2A02">
        <w:rPr>
          <w:rFonts w:ascii="Calibri" w:hAnsi="Calibri"/>
          <w:i/>
        </w:rPr>
        <w:t>gösterir.”</w:t>
      </w:r>
    </w:p>
    <w:p w:rsidR="0055561D" w:rsidRPr="007F076F" w:rsidRDefault="003F1E81" w:rsidP="000A5A56">
      <w:pPr>
        <w:pStyle w:val="Balk3"/>
        <w:numPr>
          <w:ilvl w:val="2"/>
          <w:numId w:val="11"/>
        </w:numPr>
        <w:spacing w:after="240"/>
        <w:rPr>
          <w:rFonts w:asciiTheme="minorHAnsi" w:hAnsiTheme="minorHAnsi" w:cstheme="minorHAnsi"/>
          <w:color w:val="auto"/>
        </w:rPr>
      </w:pPr>
      <w:bookmarkStart w:id="49" w:name="_Toc66267336"/>
      <w:bookmarkStart w:id="50" w:name="_Toc132713760"/>
      <w:r w:rsidRPr="005356D4">
        <w:rPr>
          <w:rFonts w:asciiTheme="minorHAnsi" w:hAnsiTheme="minorHAnsi" w:cstheme="minorHAnsi"/>
          <w:color w:val="auto"/>
        </w:rPr>
        <w:t>Kurul Kararları</w:t>
      </w:r>
      <w:bookmarkEnd w:id="49"/>
      <w:bookmarkEnd w:id="50"/>
    </w:p>
    <w:p w:rsidR="00DD27E2" w:rsidRDefault="003F1E81" w:rsidP="003F1E81">
      <w:pPr>
        <w:spacing w:after="0"/>
        <w:rPr>
          <w:rFonts w:cstheme="minorHAnsi"/>
          <w:color w:val="000000" w:themeColor="text1"/>
        </w:rPr>
      </w:pPr>
      <w:r w:rsidRPr="005356D4">
        <w:rPr>
          <w:rFonts w:cstheme="minorHAnsi"/>
          <w:color w:val="000000" w:themeColor="text1"/>
        </w:rPr>
        <w:t>202</w:t>
      </w:r>
      <w:r w:rsidR="00F14D94">
        <w:rPr>
          <w:rFonts w:cstheme="minorHAnsi"/>
          <w:color w:val="000000" w:themeColor="text1"/>
        </w:rPr>
        <w:t>2</w:t>
      </w:r>
      <w:r w:rsidRPr="005356D4">
        <w:rPr>
          <w:rFonts w:cstheme="minorHAnsi"/>
          <w:color w:val="000000" w:themeColor="text1"/>
        </w:rPr>
        <w:t xml:space="preserve"> yılında elektrik piyasasında düzenleyici işlem niteliğinde aşağıdaki Kurul Kararları ihdas edilmiştir:</w:t>
      </w:r>
    </w:p>
    <w:p w:rsidR="003F1E81" w:rsidRDefault="003F1E81" w:rsidP="003F1E81">
      <w:pPr>
        <w:spacing w:after="0"/>
        <w:rPr>
          <w:rFonts w:cstheme="minorHAnsi"/>
          <w:color w:val="000000" w:themeColor="text1"/>
        </w:rPr>
      </w:pPr>
      <w:r w:rsidRPr="005356D4">
        <w:rPr>
          <w:rFonts w:cstheme="minorHAnsi"/>
          <w:color w:val="000000" w:themeColor="text1"/>
        </w:rPr>
        <w:t xml:space="preserve"> </w:t>
      </w:r>
    </w:p>
    <w:p w:rsidR="00DD27E2" w:rsidRPr="00D44F80" w:rsidRDefault="00D44F80" w:rsidP="000A5A56">
      <w:pPr>
        <w:pStyle w:val="ListeParagraf"/>
        <w:numPr>
          <w:ilvl w:val="0"/>
          <w:numId w:val="8"/>
        </w:numPr>
        <w:spacing w:after="120"/>
        <w:ind w:left="714" w:hanging="357"/>
        <w:rPr>
          <w:rFonts w:cstheme="minorHAnsi"/>
          <w:color w:val="000000" w:themeColor="text1"/>
        </w:rPr>
      </w:pPr>
      <w:r w:rsidRPr="00D44F80">
        <w:rPr>
          <w:rFonts w:cstheme="minorHAnsi"/>
          <w:color w:val="000000" w:themeColor="text1"/>
        </w:rPr>
        <w:t xml:space="preserve">30.12.2022 tarihli ve 32059 sayılı Resmî </w:t>
      </w:r>
      <w:r w:rsidR="00274939">
        <w:rPr>
          <w:rFonts w:cstheme="minorHAnsi"/>
          <w:color w:val="000000" w:themeColor="text1"/>
        </w:rPr>
        <w:t>Gazetede</w:t>
      </w:r>
      <w:r w:rsidRPr="00D44F80">
        <w:rPr>
          <w:rFonts w:cstheme="minorHAnsi"/>
          <w:color w:val="000000" w:themeColor="text1"/>
        </w:rPr>
        <w:t xml:space="preserve"> yayımlanan 29.12.2022 tarihli ve 11496 sayılı Kurul Kararı ile 4628 sayılı Enerji Piyasası Düzenleme Kurumunun Teşkilat ve Görevleri Hakkında Kanunun 5 inci maddesinin altıncı fıkrasının (b) bendi ve Elektrik Piyasası Tüketici Hizmetleri Yönetmeliğinin 41 inci maddesi hükümleri uyarınca 2023 yılı için serbest tüketici limitinin 1.000 kWh olarak uygulanmasına karar verilmiştir. Bu limite karşılık gelen teorik piyasa açıklık oranı ise %98,4 olarak hesaplanmıştır.</w:t>
      </w:r>
      <w:r w:rsidR="00DD27E2" w:rsidRPr="00D44F80">
        <w:rPr>
          <w:rFonts w:cstheme="minorHAnsi"/>
          <w:color w:val="000000" w:themeColor="text1"/>
        </w:rPr>
        <w:t xml:space="preserve"> </w:t>
      </w:r>
    </w:p>
    <w:p w:rsidR="00D429E3" w:rsidRDefault="00DD27E2" w:rsidP="00DD27E2">
      <w:pPr>
        <w:spacing w:after="0"/>
        <w:rPr>
          <w:rFonts w:cstheme="minorHAnsi"/>
          <w:color w:val="000000" w:themeColor="text1"/>
        </w:rPr>
      </w:pPr>
      <w:r w:rsidRPr="00D44F80">
        <w:rPr>
          <w:rFonts w:cstheme="minorHAnsi"/>
          <w:color w:val="000000" w:themeColor="text1"/>
        </w:rPr>
        <w:tab/>
        <w:t>Yıllar itibar</w:t>
      </w:r>
      <w:r w:rsidR="00241675" w:rsidRPr="00D44F80">
        <w:rPr>
          <w:rFonts w:cstheme="minorHAnsi"/>
          <w:color w:val="000000" w:themeColor="text1"/>
        </w:rPr>
        <w:t>ı</w:t>
      </w:r>
      <w:r w:rsidRPr="00D44F80">
        <w:rPr>
          <w:rFonts w:cstheme="minorHAnsi"/>
          <w:color w:val="000000" w:themeColor="text1"/>
        </w:rPr>
        <w:t>yl</w:t>
      </w:r>
      <w:r w:rsidR="00FD1434" w:rsidRPr="00D44F80">
        <w:rPr>
          <w:rFonts w:cstheme="minorHAnsi"/>
          <w:color w:val="000000" w:themeColor="text1"/>
        </w:rPr>
        <w:t>a</w:t>
      </w:r>
      <w:r w:rsidRPr="00D44F80">
        <w:rPr>
          <w:rFonts w:cstheme="minorHAnsi"/>
          <w:color w:val="000000" w:themeColor="text1"/>
        </w:rPr>
        <w:t xml:space="preserve"> elektrik piyasasında serbest tüketici limitinin değişimi Tablo 2.1’de yer almaktadır.</w:t>
      </w:r>
    </w:p>
    <w:p w:rsidR="000F480C" w:rsidRDefault="000F480C" w:rsidP="00DD27E2">
      <w:pPr>
        <w:spacing w:after="0"/>
        <w:rPr>
          <w:rFonts w:cstheme="minorHAnsi"/>
          <w:color w:val="000000" w:themeColor="text1"/>
        </w:rPr>
      </w:pPr>
    </w:p>
    <w:p w:rsidR="00DD27E2" w:rsidRPr="005356D4" w:rsidRDefault="00DD27E2" w:rsidP="00DD27E2">
      <w:pPr>
        <w:pStyle w:val="Balk5"/>
        <w:spacing w:before="0"/>
        <w:jc w:val="center"/>
        <w:rPr>
          <w:rStyle w:val="Gl"/>
          <w:rFonts w:cstheme="minorHAnsi"/>
          <w:color w:val="000000" w:themeColor="text1"/>
        </w:rPr>
      </w:pPr>
      <w:bookmarkStart w:id="51" w:name="_Toc66267453"/>
      <w:bookmarkStart w:id="52" w:name="_Toc132713888"/>
      <w:r w:rsidRPr="005356D4">
        <w:rPr>
          <w:rStyle w:val="Gl"/>
          <w:rFonts w:cstheme="minorHAnsi"/>
          <w:color w:val="000000" w:themeColor="text1"/>
        </w:rPr>
        <w:t>Tablo 2.1: Yıllar İtibarıyla Elektrik Piyasasında Serbest Tüketici Limitinin Değişimi</w:t>
      </w:r>
      <w:r>
        <w:rPr>
          <w:rStyle w:val="Gl"/>
          <w:rFonts w:cstheme="minorHAnsi"/>
          <w:color w:val="000000" w:themeColor="text1"/>
        </w:rPr>
        <w:t xml:space="preserve"> </w:t>
      </w:r>
      <w:r w:rsidRPr="005356D4">
        <w:rPr>
          <w:rStyle w:val="Gl"/>
          <w:rFonts w:cstheme="minorHAnsi"/>
          <w:color w:val="000000" w:themeColor="text1"/>
        </w:rPr>
        <w:t>(2003-202</w:t>
      </w:r>
      <w:r>
        <w:rPr>
          <w:rStyle w:val="Gl"/>
          <w:rFonts w:cstheme="minorHAnsi"/>
          <w:color w:val="000000" w:themeColor="text1"/>
        </w:rPr>
        <w:t>2</w:t>
      </w:r>
      <w:r w:rsidRPr="005356D4">
        <w:rPr>
          <w:rStyle w:val="Gl"/>
          <w:rFonts w:cstheme="minorHAnsi"/>
          <w:color w:val="000000" w:themeColor="text1"/>
        </w:rPr>
        <w:t>)</w:t>
      </w:r>
      <w:bookmarkEnd w:id="51"/>
      <w:bookmarkEnd w:id="52"/>
    </w:p>
    <w:tbl>
      <w:tblPr>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1409"/>
        <w:gridCol w:w="2722"/>
        <w:gridCol w:w="1986"/>
      </w:tblGrid>
      <w:tr w:rsidR="00DD27E2" w:rsidRPr="005356D4" w:rsidTr="00041598">
        <w:trPr>
          <w:trHeight w:val="788"/>
          <w:jc w:val="center"/>
        </w:trPr>
        <w:tc>
          <w:tcPr>
            <w:tcW w:w="0" w:type="auto"/>
            <w:shd w:val="clear" w:color="auto" w:fill="6E9ECA"/>
            <w:vAlign w:val="center"/>
          </w:tcPr>
          <w:p w:rsidR="00DD27E2" w:rsidRPr="005356D4" w:rsidRDefault="00DD27E2" w:rsidP="00DD27E2">
            <w:pPr>
              <w:pStyle w:val="ListeParagraf"/>
              <w:tabs>
                <w:tab w:val="left" w:pos="284"/>
                <w:tab w:val="left" w:pos="567"/>
                <w:tab w:val="left" w:pos="709"/>
                <w:tab w:val="left" w:pos="851"/>
              </w:tabs>
              <w:ind w:left="0"/>
              <w:jc w:val="center"/>
              <w:rPr>
                <w:rFonts w:cstheme="minorHAnsi"/>
                <w:b/>
                <w:color w:val="FFFFFF" w:themeColor="background1"/>
                <w:sz w:val="21"/>
                <w:szCs w:val="21"/>
              </w:rPr>
            </w:pPr>
            <w:r w:rsidRPr="005356D4">
              <w:rPr>
                <w:rFonts w:eastAsia="Times New Roman" w:cstheme="minorHAnsi"/>
                <w:b/>
                <w:bCs/>
                <w:color w:val="FFFFFF" w:themeColor="background1"/>
                <w:sz w:val="21"/>
                <w:szCs w:val="21"/>
                <w:lang w:eastAsia="tr-TR"/>
              </w:rPr>
              <w:t>Uygulanan Yıl</w:t>
            </w:r>
          </w:p>
        </w:tc>
        <w:tc>
          <w:tcPr>
            <w:tcW w:w="0" w:type="auto"/>
            <w:shd w:val="clear" w:color="auto" w:fill="6E9ECA"/>
          </w:tcPr>
          <w:p w:rsidR="00DD27E2" w:rsidRPr="00601061" w:rsidRDefault="00DD27E2" w:rsidP="00DD27E2">
            <w:pPr>
              <w:pStyle w:val="ListeParagraf"/>
              <w:tabs>
                <w:tab w:val="left" w:pos="284"/>
                <w:tab w:val="left" w:pos="567"/>
                <w:tab w:val="left" w:pos="709"/>
                <w:tab w:val="left" w:pos="851"/>
              </w:tabs>
              <w:ind w:left="0"/>
              <w:jc w:val="center"/>
              <w:rPr>
                <w:rFonts w:eastAsia="Times New Roman" w:cstheme="minorHAnsi"/>
                <w:b/>
                <w:bCs/>
                <w:color w:val="FFFFFF" w:themeColor="background1"/>
                <w:sz w:val="21"/>
                <w:szCs w:val="21"/>
                <w:lang w:eastAsia="tr-TR"/>
              </w:rPr>
            </w:pPr>
          </w:p>
          <w:p w:rsidR="00DD27E2" w:rsidRPr="00601061" w:rsidRDefault="00DD27E2" w:rsidP="00DD27E2">
            <w:pPr>
              <w:pStyle w:val="ListeParagraf"/>
              <w:tabs>
                <w:tab w:val="left" w:pos="284"/>
                <w:tab w:val="left" w:pos="567"/>
                <w:tab w:val="left" w:pos="709"/>
                <w:tab w:val="left" w:pos="851"/>
              </w:tabs>
              <w:ind w:left="0"/>
              <w:jc w:val="center"/>
              <w:rPr>
                <w:rFonts w:eastAsia="Times New Roman" w:cstheme="minorHAnsi"/>
                <w:b/>
                <w:bCs/>
                <w:color w:val="FFFFFF" w:themeColor="background1"/>
                <w:sz w:val="21"/>
                <w:szCs w:val="21"/>
                <w:lang w:eastAsia="tr-TR"/>
              </w:rPr>
            </w:pPr>
            <w:r w:rsidRPr="00601061">
              <w:rPr>
                <w:rFonts w:eastAsia="Times New Roman" w:cstheme="minorHAnsi"/>
                <w:b/>
                <w:bCs/>
                <w:color w:val="FFFFFF" w:themeColor="background1"/>
                <w:sz w:val="21"/>
                <w:szCs w:val="21"/>
                <w:lang w:eastAsia="tr-TR"/>
              </w:rPr>
              <w:t>Serbest Tüketici Limiti (kWh)</w:t>
            </w:r>
          </w:p>
        </w:tc>
        <w:tc>
          <w:tcPr>
            <w:tcW w:w="0" w:type="auto"/>
            <w:shd w:val="clear" w:color="auto" w:fill="6E9ECA"/>
            <w:vAlign w:val="center"/>
          </w:tcPr>
          <w:p w:rsidR="00DD27E2" w:rsidRDefault="00DD27E2" w:rsidP="00DD27E2">
            <w:pPr>
              <w:pStyle w:val="ListeParagraf"/>
              <w:tabs>
                <w:tab w:val="left" w:pos="284"/>
                <w:tab w:val="left" w:pos="567"/>
                <w:tab w:val="left" w:pos="709"/>
                <w:tab w:val="left" w:pos="851"/>
              </w:tabs>
              <w:ind w:left="0"/>
              <w:jc w:val="center"/>
              <w:rPr>
                <w:rFonts w:cstheme="minorHAnsi"/>
                <w:b/>
                <w:color w:val="FFFFFF" w:themeColor="background1"/>
                <w:sz w:val="21"/>
                <w:szCs w:val="21"/>
              </w:rPr>
            </w:pPr>
          </w:p>
          <w:p w:rsidR="00DD27E2" w:rsidRPr="005356D4" w:rsidRDefault="00DD27E2" w:rsidP="00DD27E2">
            <w:pPr>
              <w:pStyle w:val="ListeParagraf"/>
              <w:tabs>
                <w:tab w:val="left" w:pos="284"/>
                <w:tab w:val="left" w:pos="567"/>
                <w:tab w:val="left" w:pos="709"/>
                <w:tab w:val="left" w:pos="851"/>
              </w:tabs>
              <w:ind w:left="0"/>
              <w:jc w:val="center"/>
              <w:rPr>
                <w:rFonts w:cstheme="minorHAnsi"/>
                <w:b/>
                <w:color w:val="FFFFFF" w:themeColor="background1"/>
                <w:sz w:val="21"/>
                <w:szCs w:val="21"/>
              </w:rPr>
            </w:pPr>
            <w:r w:rsidRPr="005356D4">
              <w:rPr>
                <w:rFonts w:cstheme="minorHAnsi"/>
                <w:b/>
                <w:color w:val="FFFFFF" w:themeColor="background1"/>
                <w:sz w:val="21"/>
                <w:szCs w:val="21"/>
              </w:rPr>
              <w:t>Teorik Piyasa Açıklık</w:t>
            </w:r>
          </w:p>
          <w:p w:rsidR="00DD27E2" w:rsidRPr="005356D4" w:rsidRDefault="00DD27E2" w:rsidP="00DD27E2">
            <w:pPr>
              <w:pStyle w:val="ListeParagraf"/>
              <w:tabs>
                <w:tab w:val="left" w:pos="284"/>
                <w:tab w:val="left" w:pos="567"/>
                <w:tab w:val="left" w:pos="709"/>
                <w:tab w:val="left" w:pos="851"/>
              </w:tabs>
              <w:ind w:left="0"/>
              <w:jc w:val="center"/>
              <w:rPr>
                <w:rFonts w:cstheme="minorHAnsi"/>
                <w:b/>
                <w:color w:val="FFFFFF" w:themeColor="background1"/>
                <w:sz w:val="21"/>
                <w:szCs w:val="21"/>
              </w:rPr>
            </w:pPr>
            <w:r w:rsidRPr="005356D4">
              <w:rPr>
                <w:rFonts w:cstheme="minorHAnsi"/>
                <w:b/>
                <w:color w:val="FFFFFF" w:themeColor="background1"/>
                <w:sz w:val="21"/>
                <w:szCs w:val="21"/>
              </w:rPr>
              <w:t>Oranı (%)</w:t>
            </w:r>
          </w:p>
        </w:tc>
      </w:tr>
      <w:tr w:rsidR="00DD27E2" w:rsidRPr="005356D4" w:rsidTr="00041598">
        <w:trPr>
          <w:trHeight w:hRule="exact" w:val="369"/>
          <w:jc w:val="center"/>
        </w:trPr>
        <w:tc>
          <w:tcPr>
            <w:tcW w:w="0" w:type="auto"/>
            <w:vAlign w:val="center"/>
          </w:tcPr>
          <w:p w:rsidR="00DD27E2" w:rsidRPr="005356D4" w:rsidRDefault="00DD27E2" w:rsidP="00DD27E2">
            <w:pPr>
              <w:pStyle w:val="ListeParagraf"/>
              <w:tabs>
                <w:tab w:val="left" w:pos="284"/>
                <w:tab w:val="left" w:pos="567"/>
                <w:tab w:val="left" w:pos="709"/>
                <w:tab w:val="left" w:pos="851"/>
              </w:tabs>
              <w:ind w:left="0"/>
              <w:jc w:val="center"/>
              <w:rPr>
                <w:rFonts w:cstheme="minorHAnsi"/>
                <w:color w:val="000000" w:themeColor="text1"/>
              </w:rPr>
            </w:pPr>
            <w:r w:rsidRPr="005356D4">
              <w:rPr>
                <w:rFonts w:cstheme="minorHAnsi"/>
                <w:color w:val="000000" w:themeColor="text1"/>
              </w:rPr>
              <w:t>2003</w:t>
            </w:r>
          </w:p>
        </w:tc>
        <w:tc>
          <w:tcPr>
            <w:tcW w:w="0" w:type="auto"/>
            <w:vAlign w:val="center"/>
          </w:tcPr>
          <w:p w:rsidR="00DD27E2" w:rsidRPr="005356D4" w:rsidRDefault="00DD27E2" w:rsidP="00DD27E2">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9.000.000</w:t>
            </w:r>
          </w:p>
        </w:tc>
        <w:tc>
          <w:tcPr>
            <w:tcW w:w="0" w:type="auto"/>
            <w:vAlign w:val="center"/>
          </w:tcPr>
          <w:p w:rsidR="00DD27E2" w:rsidRPr="005356D4" w:rsidRDefault="00DD27E2" w:rsidP="00DD27E2">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w:t>
            </w:r>
          </w:p>
        </w:tc>
      </w:tr>
      <w:tr w:rsidR="00DD27E2" w:rsidRPr="005356D4" w:rsidTr="00041598">
        <w:trPr>
          <w:trHeight w:hRule="exact" w:val="369"/>
          <w:jc w:val="center"/>
        </w:trPr>
        <w:tc>
          <w:tcPr>
            <w:tcW w:w="0" w:type="auto"/>
            <w:vAlign w:val="center"/>
          </w:tcPr>
          <w:p w:rsidR="00DD27E2" w:rsidRPr="005356D4" w:rsidRDefault="00DD27E2" w:rsidP="00DD27E2">
            <w:pPr>
              <w:pStyle w:val="ListeParagraf"/>
              <w:tabs>
                <w:tab w:val="left" w:pos="284"/>
                <w:tab w:val="left" w:pos="567"/>
                <w:tab w:val="left" w:pos="709"/>
                <w:tab w:val="left" w:pos="851"/>
              </w:tabs>
              <w:ind w:left="0"/>
              <w:jc w:val="center"/>
              <w:rPr>
                <w:rFonts w:cstheme="minorHAnsi"/>
                <w:color w:val="000000" w:themeColor="text1"/>
              </w:rPr>
            </w:pPr>
            <w:r w:rsidRPr="005356D4">
              <w:rPr>
                <w:rFonts w:cstheme="minorHAnsi"/>
                <w:color w:val="000000" w:themeColor="text1"/>
              </w:rPr>
              <w:t>2004</w:t>
            </w:r>
          </w:p>
        </w:tc>
        <w:tc>
          <w:tcPr>
            <w:tcW w:w="0" w:type="auto"/>
            <w:vAlign w:val="center"/>
          </w:tcPr>
          <w:p w:rsidR="00DD27E2" w:rsidRPr="005356D4" w:rsidRDefault="00DD27E2" w:rsidP="00DD27E2">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7.800.000</w:t>
            </w:r>
          </w:p>
        </w:tc>
        <w:tc>
          <w:tcPr>
            <w:tcW w:w="0" w:type="auto"/>
            <w:vAlign w:val="bottom"/>
          </w:tcPr>
          <w:p w:rsidR="00DD27E2" w:rsidRPr="005356D4" w:rsidRDefault="00DD27E2" w:rsidP="00DD27E2">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27,8</w:t>
            </w:r>
          </w:p>
        </w:tc>
      </w:tr>
      <w:tr w:rsidR="00DD27E2" w:rsidRPr="005356D4" w:rsidTr="00041598">
        <w:trPr>
          <w:trHeight w:hRule="exact" w:val="369"/>
          <w:jc w:val="center"/>
        </w:trPr>
        <w:tc>
          <w:tcPr>
            <w:tcW w:w="0" w:type="auto"/>
            <w:vAlign w:val="center"/>
          </w:tcPr>
          <w:p w:rsidR="00DD27E2" w:rsidRPr="005356D4" w:rsidRDefault="00DD27E2" w:rsidP="00DD27E2">
            <w:pPr>
              <w:pStyle w:val="ListeParagraf"/>
              <w:tabs>
                <w:tab w:val="left" w:pos="284"/>
                <w:tab w:val="left" w:pos="567"/>
                <w:tab w:val="left" w:pos="709"/>
                <w:tab w:val="left" w:pos="851"/>
              </w:tabs>
              <w:ind w:left="0"/>
              <w:jc w:val="center"/>
              <w:rPr>
                <w:rFonts w:cstheme="minorHAnsi"/>
                <w:color w:val="000000" w:themeColor="text1"/>
              </w:rPr>
            </w:pPr>
            <w:r w:rsidRPr="005356D4">
              <w:rPr>
                <w:rFonts w:cstheme="minorHAnsi"/>
                <w:color w:val="000000" w:themeColor="text1"/>
              </w:rPr>
              <w:t>2005</w:t>
            </w:r>
          </w:p>
        </w:tc>
        <w:tc>
          <w:tcPr>
            <w:tcW w:w="0" w:type="auto"/>
            <w:vAlign w:val="center"/>
          </w:tcPr>
          <w:p w:rsidR="00DD27E2" w:rsidRPr="005356D4" w:rsidRDefault="00DD27E2" w:rsidP="00DD27E2">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7.700.000</w:t>
            </w:r>
          </w:p>
        </w:tc>
        <w:tc>
          <w:tcPr>
            <w:tcW w:w="0" w:type="auto"/>
            <w:vAlign w:val="center"/>
          </w:tcPr>
          <w:p w:rsidR="00DD27E2" w:rsidRPr="005356D4" w:rsidRDefault="00DD27E2" w:rsidP="00DD27E2">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30</w:t>
            </w:r>
          </w:p>
        </w:tc>
      </w:tr>
      <w:tr w:rsidR="00DD27E2" w:rsidRPr="005356D4" w:rsidTr="00041598">
        <w:trPr>
          <w:trHeight w:hRule="exact" w:val="369"/>
          <w:jc w:val="center"/>
        </w:trPr>
        <w:tc>
          <w:tcPr>
            <w:tcW w:w="0" w:type="auto"/>
            <w:vAlign w:val="center"/>
          </w:tcPr>
          <w:p w:rsidR="00DD27E2" w:rsidRPr="005356D4" w:rsidRDefault="00DD27E2" w:rsidP="00DD27E2">
            <w:pPr>
              <w:pStyle w:val="ListeParagraf"/>
              <w:tabs>
                <w:tab w:val="left" w:pos="284"/>
                <w:tab w:val="left" w:pos="567"/>
                <w:tab w:val="left" w:pos="709"/>
                <w:tab w:val="left" w:pos="851"/>
              </w:tabs>
              <w:ind w:left="0"/>
              <w:jc w:val="center"/>
              <w:rPr>
                <w:rFonts w:cstheme="minorHAnsi"/>
                <w:color w:val="000000" w:themeColor="text1"/>
              </w:rPr>
            </w:pPr>
            <w:r w:rsidRPr="005356D4">
              <w:rPr>
                <w:rFonts w:cstheme="minorHAnsi"/>
                <w:color w:val="000000" w:themeColor="text1"/>
              </w:rPr>
              <w:t>2006</w:t>
            </w:r>
          </w:p>
        </w:tc>
        <w:tc>
          <w:tcPr>
            <w:tcW w:w="0" w:type="auto"/>
            <w:vAlign w:val="center"/>
          </w:tcPr>
          <w:p w:rsidR="00DD27E2" w:rsidRPr="005356D4" w:rsidRDefault="00DD27E2" w:rsidP="00DD27E2">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6.000.000</w:t>
            </w:r>
          </w:p>
        </w:tc>
        <w:tc>
          <w:tcPr>
            <w:tcW w:w="0" w:type="auto"/>
            <w:vAlign w:val="center"/>
          </w:tcPr>
          <w:p w:rsidR="00DD27E2" w:rsidRPr="005356D4" w:rsidRDefault="00DD27E2" w:rsidP="00DD27E2">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32</w:t>
            </w:r>
          </w:p>
        </w:tc>
      </w:tr>
      <w:tr w:rsidR="00DD27E2" w:rsidRPr="005356D4" w:rsidTr="00041598">
        <w:trPr>
          <w:trHeight w:hRule="exact" w:val="369"/>
          <w:jc w:val="center"/>
        </w:trPr>
        <w:tc>
          <w:tcPr>
            <w:tcW w:w="0" w:type="auto"/>
            <w:vAlign w:val="center"/>
          </w:tcPr>
          <w:p w:rsidR="00DD27E2" w:rsidRPr="005356D4" w:rsidRDefault="00DD27E2" w:rsidP="00DD27E2">
            <w:pPr>
              <w:pStyle w:val="ListeParagraf"/>
              <w:tabs>
                <w:tab w:val="left" w:pos="284"/>
                <w:tab w:val="left" w:pos="567"/>
                <w:tab w:val="left" w:pos="709"/>
                <w:tab w:val="left" w:pos="851"/>
              </w:tabs>
              <w:ind w:left="0"/>
              <w:jc w:val="center"/>
              <w:rPr>
                <w:rFonts w:cstheme="minorHAnsi"/>
                <w:color w:val="000000" w:themeColor="text1"/>
              </w:rPr>
            </w:pPr>
            <w:r w:rsidRPr="005356D4">
              <w:rPr>
                <w:rFonts w:cstheme="minorHAnsi"/>
                <w:color w:val="000000" w:themeColor="text1"/>
              </w:rPr>
              <w:t>2007</w:t>
            </w:r>
          </w:p>
        </w:tc>
        <w:tc>
          <w:tcPr>
            <w:tcW w:w="0" w:type="auto"/>
            <w:vAlign w:val="center"/>
          </w:tcPr>
          <w:p w:rsidR="00DD27E2" w:rsidRPr="005356D4" w:rsidRDefault="00DD27E2" w:rsidP="00DD27E2">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3.000.000</w:t>
            </w:r>
          </w:p>
        </w:tc>
        <w:tc>
          <w:tcPr>
            <w:tcW w:w="0" w:type="auto"/>
            <w:vAlign w:val="center"/>
          </w:tcPr>
          <w:p w:rsidR="00DD27E2" w:rsidRPr="005356D4" w:rsidRDefault="00DD27E2" w:rsidP="00DD27E2">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38,6</w:t>
            </w:r>
          </w:p>
        </w:tc>
      </w:tr>
      <w:tr w:rsidR="00DD27E2" w:rsidRPr="005356D4" w:rsidTr="00041598">
        <w:trPr>
          <w:trHeight w:hRule="exact" w:val="369"/>
          <w:jc w:val="center"/>
        </w:trPr>
        <w:tc>
          <w:tcPr>
            <w:tcW w:w="0" w:type="auto"/>
            <w:vAlign w:val="center"/>
          </w:tcPr>
          <w:p w:rsidR="00DD27E2" w:rsidRPr="005356D4" w:rsidRDefault="00DD27E2" w:rsidP="00DD27E2">
            <w:pPr>
              <w:pStyle w:val="ListeParagraf"/>
              <w:tabs>
                <w:tab w:val="left" w:pos="284"/>
                <w:tab w:val="left" w:pos="567"/>
                <w:tab w:val="left" w:pos="709"/>
                <w:tab w:val="left" w:pos="851"/>
              </w:tabs>
              <w:ind w:left="0"/>
              <w:jc w:val="center"/>
              <w:rPr>
                <w:rFonts w:cstheme="minorHAnsi"/>
                <w:color w:val="000000" w:themeColor="text1"/>
              </w:rPr>
            </w:pPr>
            <w:r w:rsidRPr="005356D4">
              <w:rPr>
                <w:rFonts w:cstheme="minorHAnsi"/>
                <w:color w:val="000000" w:themeColor="text1"/>
              </w:rPr>
              <w:t>2008</w:t>
            </w:r>
          </w:p>
        </w:tc>
        <w:tc>
          <w:tcPr>
            <w:tcW w:w="0" w:type="auto"/>
            <w:vAlign w:val="center"/>
          </w:tcPr>
          <w:p w:rsidR="00DD27E2" w:rsidRPr="005356D4" w:rsidRDefault="00DD27E2" w:rsidP="00DD27E2">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1.200.000</w:t>
            </w:r>
          </w:p>
        </w:tc>
        <w:tc>
          <w:tcPr>
            <w:tcW w:w="0" w:type="auto"/>
            <w:vAlign w:val="center"/>
          </w:tcPr>
          <w:p w:rsidR="00DD27E2" w:rsidRPr="005356D4" w:rsidRDefault="00DD27E2" w:rsidP="00DD27E2">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41</w:t>
            </w:r>
          </w:p>
        </w:tc>
      </w:tr>
      <w:tr w:rsidR="00DD27E2" w:rsidRPr="005356D4" w:rsidTr="00041598">
        <w:trPr>
          <w:trHeight w:hRule="exact" w:val="369"/>
          <w:jc w:val="center"/>
        </w:trPr>
        <w:tc>
          <w:tcPr>
            <w:tcW w:w="0" w:type="auto"/>
            <w:vAlign w:val="center"/>
          </w:tcPr>
          <w:p w:rsidR="00DD27E2" w:rsidRPr="005356D4" w:rsidRDefault="00DD27E2" w:rsidP="00DD27E2">
            <w:pPr>
              <w:pStyle w:val="ListeParagraf"/>
              <w:tabs>
                <w:tab w:val="left" w:pos="284"/>
                <w:tab w:val="left" w:pos="567"/>
                <w:tab w:val="left" w:pos="709"/>
                <w:tab w:val="left" w:pos="851"/>
              </w:tabs>
              <w:ind w:left="0"/>
              <w:jc w:val="center"/>
              <w:rPr>
                <w:rFonts w:cstheme="minorHAnsi"/>
                <w:color w:val="000000" w:themeColor="text1"/>
              </w:rPr>
            </w:pPr>
            <w:r w:rsidRPr="005356D4">
              <w:rPr>
                <w:rFonts w:cstheme="minorHAnsi"/>
                <w:color w:val="000000" w:themeColor="text1"/>
              </w:rPr>
              <w:t>2009</w:t>
            </w:r>
          </w:p>
        </w:tc>
        <w:tc>
          <w:tcPr>
            <w:tcW w:w="0" w:type="auto"/>
            <w:vAlign w:val="center"/>
          </w:tcPr>
          <w:p w:rsidR="00DD27E2" w:rsidRPr="005356D4" w:rsidRDefault="00DD27E2" w:rsidP="00DD27E2">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480.000</w:t>
            </w:r>
          </w:p>
        </w:tc>
        <w:tc>
          <w:tcPr>
            <w:tcW w:w="0" w:type="auto"/>
            <w:vAlign w:val="center"/>
          </w:tcPr>
          <w:p w:rsidR="00DD27E2" w:rsidRPr="005356D4" w:rsidRDefault="00DD27E2" w:rsidP="00DD27E2">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49,2</w:t>
            </w:r>
          </w:p>
        </w:tc>
      </w:tr>
      <w:tr w:rsidR="00DD27E2" w:rsidRPr="005356D4" w:rsidTr="00041598">
        <w:trPr>
          <w:trHeight w:hRule="exact" w:val="369"/>
          <w:jc w:val="center"/>
        </w:trPr>
        <w:tc>
          <w:tcPr>
            <w:tcW w:w="0" w:type="auto"/>
            <w:vAlign w:val="center"/>
          </w:tcPr>
          <w:p w:rsidR="00DD27E2" w:rsidRPr="005356D4" w:rsidRDefault="00DD27E2" w:rsidP="00DD27E2">
            <w:pPr>
              <w:pStyle w:val="ListeParagraf"/>
              <w:tabs>
                <w:tab w:val="left" w:pos="284"/>
                <w:tab w:val="left" w:pos="567"/>
                <w:tab w:val="left" w:pos="709"/>
                <w:tab w:val="left" w:pos="851"/>
              </w:tabs>
              <w:ind w:left="0"/>
              <w:jc w:val="center"/>
              <w:rPr>
                <w:rFonts w:cstheme="minorHAnsi"/>
                <w:color w:val="000000" w:themeColor="text1"/>
              </w:rPr>
            </w:pPr>
            <w:r w:rsidRPr="005356D4">
              <w:rPr>
                <w:rFonts w:cstheme="minorHAnsi"/>
                <w:color w:val="000000" w:themeColor="text1"/>
              </w:rPr>
              <w:t>2010</w:t>
            </w:r>
          </w:p>
        </w:tc>
        <w:tc>
          <w:tcPr>
            <w:tcW w:w="0" w:type="auto"/>
            <w:vAlign w:val="center"/>
          </w:tcPr>
          <w:p w:rsidR="00DD27E2" w:rsidRPr="005356D4" w:rsidRDefault="00DD27E2" w:rsidP="00DD27E2">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100.000</w:t>
            </w:r>
          </w:p>
        </w:tc>
        <w:tc>
          <w:tcPr>
            <w:tcW w:w="0" w:type="auto"/>
            <w:vAlign w:val="center"/>
          </w:tcPr>
          <w:p w:rsidR="00DD27E2" w:rsidRPr="005356D4" w:rsidRDefault="00DD27E2" w:rsidP="00DD27E2">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63,3</w:t>
            </w:r>
          </w:p>
        </w:tc>
      </w:tr>
      <w:tr w:rsidR="00DD27E2" w:rsidRPr="005356D4" w:rsidTr="00041598">
        <w:trPr>
          <w:trHeight w:hRule="exact" w:val="369"/>
          <w:jc w:val="center"/>
        </w:trPr>
        <w:tc>
          <w:tcPr>
            <w:tcW w:w="0" w:type="auto"/>
            <w:vAlign w:val="center"/>
          </w:tcPr>
          <w:p w:rsidR="00DD27E2" w:rsidRPr="005356D4" w:rsidRDefault="00DD27E2" w:rsidP="00DD27E2">
            <w:pPr>
              <w:pStyle w:val="ListeParagraf"/>
              <w:tabs>
                <w:tab w:val="left" w:pos="284"/>
                <w:tab w:val="left" w:pos="567"/>
                <w:tab w:val="left" w:pos="709"/>
                <w:tab w:val="left" w:pos="851"/>
              </w:tabs>
              <w:ind w:left="0"/>
              <w:jc w:val="center"/>
              <w:rPr>
                <w:rFonts w:cstheme="minorHAnsi"/>
                <w:color w:val="000000" w:themeColor="text1"/>
              </w:rPr>
            </w:pPr>
            <w:r w:rsidRPr="005356D4">
              <w:rPr>
                <w:rFonts w:cstheme="minorHAnsi"/>
                <w:color w:val="000000" w:themeColor="text1"/>
              </w:rPr>
              <w:t>2011</w:t>
            </w:r>
          </w:p>
        </w:tc>
        <w:tc>
          <w:tcPr>
            <w:tcW w:w="0" w:type="auto"/>
            <w:vAlign w:val="center"/>
          </w:tcPr>
          <w:p w:rsidR="00DD27E2" w:rsidRPr="005356D4" w:rsidRDefault="00DD27E2" w:rsidP="00DD27E2">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30.000</w:t>
            </w:r>
          </w:p>
        </w:tc>
        <w:tc>
          <w:tcPr>
            <w:tcW w:w="0" w:type="auto"/>
            <w:vAlign w:val="center"/>
          </w:tcPr>
          <w:p w:rsidR="00DD27E2" w:rsidRPr="005356D4" w:rsidRDefault="00DD27E2" w:rsidP="00DD27E2">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78</w:t>
            </w:r>
          </w:p>
        </w:tc>
      </w:tr>
      <w:tr w:rsidR="00DD27E2" w:rsidRPr="005356D4" w:rsidTr="00041598">
        <w:trPr>
          <w:trHeight w:hRule="exact" w:val="369"/>
          <w:jc w:val="center"/>
        </w:trPr>
        <w:tc>
          <w:tcPr>
            <w:tcW w:w="0" w:type="auto"/>
            <w:vAlign w:val="center"/>
          </w:tcPr>
          <w:p w:rsidR="00DD27E2" w:rsidRPr="005356D4" w:rsidRDefault="00DD27E2" w:rsidP="00DD27E2">
            <w:pPr>
              <w:pStyle w:val="ListeParagraf"/>
              <w:tabs>
                <w:tab w:val="left" w:pos="284"/>
                <w:tab w:val="left" w:pos="567"/>
                <w:tab w:val="left" w:pos="709"/>
                <w:tab w:val="left" w:pos="851"/>
              </w:tabs>
              <w:ind w:left="0"/>
              <w:jc w:val="center"/>
              <w:rPr>
                <w:rFonts w:cstheme="minorHAnsi"/>
                <w:color w:val="000000" w:themeColor="text1"/>
              </w:rPr>
            </w:pPr>
            <w:r w:rsidRPr="005356D4">
              <w:rPr>
                <w:rFonts w:cstheme="minorHAnsi"/>
                <w:color w:val="000000" w:themeColor="text1"/>
              </w:rPr>
              <w:t>2012</w:t>
            </w:r>
          </w:p>
        </w:tc>
        <w:tc>
          <w:tcPr>
            <w:tcW w:w="0" w:type="auto"/>
            <w:vAlign w:val="center"/>
          </w:tcPr>
          <w:p w:rsidR="00DD27E2" w:rsidRPr="005356D4" w:rsidRDefault="00DD27E2" w:rsidP="00DD27E2">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25.000</w:t>
            </w:r>
          </w:p>
        </w:tc>
        <w:tc>
          <w:tcPr>
            <w:tcW w:w="0" w:type="auto"/>
            <w:vAlign w:val="center"/>
          </w:tcPr>
          <w:p w:rsidR="00DD27E2" w:rsidRPr="005356D4" w:rsidRDefault="00DD27E2" w:rsidP="00DD27E2">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83</w:t>
            </w:r>
          </w:p>
        </w:tc>
      </w:tr>
      <w:tr w:rsidR="00DD27E2" w:rsidRPr="005356D4" w:rsidTr="00041598">
        <w:trPr>
          <w:trHeight w:hRule="exact" w:val="369"/>
          <w:jc w:val="center"/>
        </w:trPr>
        <w:tc>
          <w:tcPr>
            <w:tcW w:w="0" w:type="auto"/>
            <w:vAlign w:val="center"/>
          </w:tcPr>
          <w:p w:rsidR="00DD27E2" w:rsidRPr="005356D4" w:rsidRDefault="00DD27E2" w:rsidP="00DD27E2">
            <w:pPr>
              <w:pStyle w:val="ListeParagraf"/>
              <w:tabs>
                <w:tab w:val="left" w:pos="284"/>
                <w:tab w:val="left" w:pos="567"/>
                <w:tab w:val="left" w:pos="709"/>
                <w:tab w:val="left" w:pos="851"/>
              </w:tabs>
              <w:ind w:left="0"/>
              <w:jc w:val="center"/>
              <w:rPr>
                <w:rFonts w:cstheme="minorHAnsi"/>
                <w:color w:val="000000" w:themeColor="text1"/>
              </w:rPr>
            </w:pPr>
            <w:r w:rsidRPr="005356D4">
              <w:rPr>
                <w:rFonts w:cstheme="minorHAnsi"/>
                <w:color w:val="000000" w:themeColor="text1"/>
              </w:rPr>
              <w:t>2013</w:t>
            </w:r>
          </w:p>
        </w:tc>
        <w:tc>
          <w:tcPr>
            <w:tcW w:w="0" w:type="auto"/>
            <w:vAlign w:val="center"/>
          </w:tcPr>
          <w:p w:rsidR="00DD27E2" w:rsidRPr="005356D4" w:rsidRDefault="00DD27E2" w:rsidP="00DD27E2">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5.000</w:t>
            </w:r>
          </w:p>
        </w:tc>
        <w:tc>
          <w:tcPr>
            <w:tcW w:w="0" w:type="auto"/>
            <w:vAlign w:val="center"/>
          </w:tcPr>
          <w:p w:rsidR="00DD27E2" w:rsidRPr="005356D4" w:rsidRDefault="00DD27E2" w:rsidP="00DD27E2">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84</w:t>
            </w:r>
          </w:p>
        </w:tc>
      </w:tr>
      <w:tr w:rsidR="00DD27E2" w:rsidRPr="005356D4" w:rsidTr="00041598">
        <w:trPr>
          <w:trHeight w:hRule="exact" w:val="369"/>
          <w:jc w:val="center"/>
        </w:trPr>
        <w:tc>
          <w:tcPr>
            <w:tcW w:w="0" w:type="auto"/>
            <w:vAlign w:val="center"/>
          </w:tcPr>
          <w:p w:rsidR="00DD27E2" w:rsidRPr="005356D4" w:rsidRDefault="00DD27E2" w:rsidP="00DD27E2">
            <w:pPr>
              <w:pStyle w:val="ListeParagraf"/>
              <w:tabs>
                <w:tab w:val="left" w:pos="284"/>
                <w:tab w:val="left" w:pos="567"/>
                <w:tab w:val="left" w:pos="709"/>
                <w:tab w:val="left" w:pos="851"/>
              </w:tabs>
              <w:ind w:left="0"/>
              <w:jc w:val="center"/>
              <w:rPr>
                <w:rFonts w:cstheme="minorHAnsi"/>
                <w:color w:val="000000" w:themeColor="text1"/>
              </w:rPr>
            </w:pPr>
            <w:r w:rsidRPr="005356D4">
              <w:rPr>
                <w:rFonts w:cstheme="minorHAnsi"/>
                <w:color w:val="000000" w:themeColor="text1"/>
              </w:rPr>
              <w:t>2014</w:t>
            </w:r>
          </w:p>
        </w:tc>
        <w:tc>
          <w:tcPr>
            <w:tcW w:w="0" w:type="auto"/>
            <w:vAlign w:val="center"/>
          </w:tcPr>
          <w:p w:rsidR="00DD27E2" w:rsidRPr="005356D4" w:rsidRDefault="00DD27E2" w:rsidP="00DD27E2">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4.500</w:t>
            </w:r>
          </w:p>
        </w:tc>
        <w:tc>
          <w:tcPr>
            <w:tcW w:w="0" w:type="auto"/>
            <w:vAlign w:val="center"/>
          </w:tcPr>
          <w:p w:rsidR="00DD27E2" w:rsidRPr="005356D4" w:rsidRDefault="00DD27E2" w:rsidP="00DD27E2">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85</w:t>
            </w:r>
          </w:p>
        </w:tc>
      </w:tr>
      <w:tr w:rsidR="00DD27E2" w:rsidRPr="005356D4" w:rsidTr="00041598">
        <w:trPr>
          <w:trHeight w:hRule="exact" w:val="369"/>
          <w:jc w:val="center"/>
        </w:trPr>
        <w:tc>
          <w:tcPr>
            <w:tcW w:w="0" w:type="auto"/>
            <w:vAlign w:val="center"/>
          </w:tcPr>
          <w:p w:rsidR="00DD27E2" w:rsidRPr="005356D4" w:rsidRDefault="00DD27E2" w:rsidP="00DD27E2">
            <w:pPr>
              <w:pStyle w:val="ListeParagraf"/>
              <w:tabs>
                <w:tab w:val="left" w:pos="284"/>
                <w:tab w:val="left" w:pos="567"/>
                <w:tab w:val="left" w:pos="709"/>
                <w:tab w:val="left" w:pos="851"/>
              </w:tabs>
              <w:ind w:left="0"/>
              <w:jc w:val="center"/>
              <w:rPr>
                <w:rFonts w:cstheme="minorHAnsi"/>
                <w:color w:val="000000" w:themeColor="text1"/>
              </w:rPr>
            </w:pPr>
            <w:r w:rsidRPr="005356D4">
              <w:rPr>
                <w:rFonts w:cstheme="minorHAnsi"/>
                <w:color w:val="000000" w:themeColor="text1"/>
              </w:rPr>
              <w:t>2015</w:t>
            </w:r>
          </w:p>
        </w:tc>
        <w:tc>
          <w:tcPr>
            <w:tcW w:w="0" w:type="auto"/>
            <w:vAlign w:val="center"/>
          </w:tcPr>
          <w:p w:rsidR="00DD27E2" w:rsidRPr="005356D4" w:rsidRDefault="00DD27E2" w:rsidP="00DD27E2">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4.000</w:t>
            </w:r>
          </w:p>
        </w:tc>
        <w:tc>
          <w:tcPr>
            <w:tcW w:w="0" w:type="auto"/>
            <w:vAlign w:val="center"/>
          </w:tcPr>
          <w:p w:rsidR="00DD27E2" w:rsidRPr="005356D4" w:rsidRDefault="00DD27E2" w:rsidP="00DD27E2">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85,04</w:t>
            </w:r>
          </w:p>
        </w:tc>
      </w:tr>
      <w:tr w:rsidR="00DD27E2" w:rsidRPr="005356D4" w:rsidTr="00041598">
        <w:trPr>
          <w:trHeight w:hRule="exact" w:val="369"/>
          <w:jc w:val="center"/>
        </w:trPr>
        <w:tc>
          <w:tcPr>
            <w:tcW w:w="0" w:type="auto"/>
            <w:vAlign w:val="center"/>
          </w:tcPr>
          <w:p w:rsidR="00DD27E2" w:rsidRPr="005356D4" w:rsidRDefault="00DD27E2" w:rsidP="00DD27E2">
            <w:pPr>
              <w:pStyle w:val="ListeParagraf"/>
              <w:tabs>
                <w:tab w:val="left" w:pos="284"/>
                <w:tab w:val="left" w:pos="567"/>
                <w:tab w:val="left" w:pos="709"/>
                <w:tab w:val="left" w:pos="851"/>
              </w:tabs>
              <w:ind w:left="0"/>
              <w:jc w:val="center"/>
              <w:rPr>
                <w:rFonts w:cstheme="minorHAnsi"/>
                <w:color w:val="000000" w:themeColor="text1"/>
              </w:rPr>
            </w:pPr>
            <w:r w:rsidRPr="005356D4">
              <w:rPr>
                <w:rFonts w:cstheme="minorHAnsi"/>
                <w:color w:val="000000" w:themeColor="text1"/>
              </w:rPr>
              <w:t>2016</w:t>
            </w:r>
          </w:p>
        </w:tc>
        <w:tc>
          <w:tcPr>
            <w:tcW w:w="0" w:type="auto"/>
            <w:vAlign w:val="center"/>
          </w:tcPr>
          <w:p w:rsidR="00DD27E2" w:rsidRPr="005356D4" w:rsidRDefault="00DD27E2" w:rsidP="00DD27E2">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3.600</w:t>
            </w:r>
          </w:p>
        </w:tc>
        <w:tc>
          <w:tcPr>
            <w:tcW w:w="0" w:type="auto"/>
            <w:vAlign w:val="center"/>
          </w:tcPr>
          <w:p w:rsidR="00DD27E2" w:rsidRPr="005356D4" w:rsidRDefault="00DD27E2" w:rsidP="00DD27E2">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85,8</w:t>
            </w:r>
          </w:p>
        </w:tc>
      </w:tr>
      <w:tr w:rsidR="00DD27E2" w:rsidRPr="005356D4" w:rsidTr="00041598">
        <w:trPr>
          <w:trHeight w:hRule="exact" w:val="369"/>
          <w:jc w:val="center"/>
        </w:trPr>
        <w:tc>
          <w:tcPr>
            <w:tcW w:w="0" w:type="auto"/>
            <w:vAlign w:val="center"/>
          </w:tcPr>
          <w:p w:rsidR="00DD27E2" w:rsidRPr="005356D4" w:rsidRDefault="00DD27E2" w:rsidP="00DD27E2">
            <w:pPr>
              <w:pStyle w:val="ListeParagraf"/>
              <w:tabs>
                <w:tab w:val="left" w:pos="284"/>
                <w:tab w:val="left" w:pos="567"/>
                <w:tab w:val="left" w:pos="709"/>
                <w:tab w:val="left" w:pos="851"/>
              </w:tabs>
              <w:ind w:left="0"/>
              <w:jc w:val="center"/>
              <w:rPr>
                <w:rFonts w:cstheme="minorHAnsi"/>
                <w:color w:val="000000" w:themeColor="text1"/>
              </w:rPr>
            </w:pPr>
            <w:r w:rsidRPr="005356D4">
              <w:rPr>
                <w:rFonts w:cstheme="minorHAnsi"/>
                <w:color w:val="000000" w:themeColor="text1"/>
              </w:rPr>
              <w:t>2017</w:t>
            </w:r>
          </w:p>
        </w:tc>
        <w:tc>
          <w:tcPr>
            <w:tcW w:w="0" w:type="auto"/>
            <w:vAlign w:val="center"/>
          </w:tcPr>
          <w:p w:rsidR="00DD27E2" w:rsidRPr="005356D4" w:rsidRDefault="00DD27E2" w:rsidP="00DD27E2">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2.400</w:t>
            </w:r>
          </w:p>
        </w:tc>
        <w:tc>
          <w:tcPr>
            <w:tcW w:w="0" w:type="auto"/>
            <w:vAlign w:val="center"/>
          </w:tcPr>
          <w:p w:rsidR="00DD27E2" w:rsidRPr="005356D4" w:rsidRDefault="00DD27E2" w:rsidP="00DD27E2">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90</w:t>
            </w:r>
          </w:p>
        </w:tc>
      </w:tr>
      <w:tr w:rsidR="00DD27E2" w:rsidRPr="005356D4" w:rsidTr="00041598">
        <w:trPr>
          <w:trHeight w:hRule="exact" w:val="369"/>
          <w:jc w:val="center"/>
        </w:trPr>
        <w:tc>
          <w:tcPr>
            <w:tcW w:w="0" w:type="auto"/>
            <w:vAlign w:val="center"/>
          </w:tcPr>
          <w:p w:rsidR="00DD27E2" w:rsidRPr="005356D4" w:rsidRDefault="00DD27E2" w:rsidP="00DD27E2">
            <w:pPr>
              <w:pStyle w:val="ListeParagraf"/>
              <w:tabs>
                <w:tab w:val="left" w:pos="284"/>
                <w:tab w:val="left" w:pos="567"/>
                <w:tab w:val="left" w:pos="709"/>
                <w:tab w:val="left" w:pos="851"/>
              </w:tabs>
              <w:ind w:left="0"/>
              <w:jc w:val="center"/>
              <w:rPr>
                <w:rFonts w:cstheme="minorHAnsi"/>
                <w:color w:val="000000" w:themeColor="text1"/>
              </w:rPr>
            </w:pPr>
            <w:r w:rsidRPr="005356D4">
              <w:rPr>
                <w:rFonts w:cstheme="minorHAnsi"/>
                <w:color w:val="000000" w:themeColor="text1"/>
              </w:rPr>
              <w:t>2018</w:t>
            </w:r>
          </w:p>
        </w:tc>
        <w:tc>
          <w:tcPr>
            <w:tcW w:w="0" w:type="auto"/>
            <w:vAlign w:val="center"/>
          </w:tcPr>
          <w:p w:rsidR="00DD27E2" w:rsidRPr="005356D4" w:rsidRDefault="00DD27E2" w:rsidP="00DD27E2">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2.000</w:t>
            </w:r>
          </w:p>
        </w:tc>
        <w:tc>
          <w:tcPr>
            <w:tcW w:w="0" w:type="auto"/>
            <w:vAlign w:val="center"/>
          </w:tcPr>
          <w:p w:rsidR="00DD27E2" w:rsidRPr="005356D4" w:rsidRDefault="00DD27E2" w:rsidP="00DD27E2">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92,6</w:t>
            </w:r>
          </w:p>
        </w:tc>
      </w:tr>
      <w:tr w:rsidR="00DD27E2" w:rsidRPr="005356D4" w:rsidTr="00041598">
        <w:trPr>
          <w:trHeight w:hRule="exact" w:val="369"/>
          <w:jc w:val="center"/>
        </w:trPr>
        <w:tc>
          <w:tcPr>
            <w:tcW w:w="0" w:type="auto"/>
            <w:vAlign w:val="center"/>
          </w:tcPr>
          <w:p w:rsidR="00DD27E2" w:rsidRPr="005356D4" w:rsidRDefault="00DD27E2" w:rsidP="00DD27E2">
            <w:pPr>
              <w:pStyle w:val="ListeParagraf"/>
              <w:tabs>
                <w:tab w:val="left" w:pos="284"/>
                <w:tab w:val="left" w:pos="567"/>
                <w:tab w:val="left" w:pos="709"/>
                <w:tab w:val="left" w:pos="851"/>
              </w:tabs>
              <w:ind w:left="0"/>
              <w:jc w:val="center"/>
              <w:rPr>
                <w:rFonts w:cstheme="minorHAnsi"/>
                <w:color w:val="000000" w:themeColor="text1"/>
              </w:rPr>
            </w:pPr>
            <w:r w:rsidRPr="005356D4">
              <w:rPr>
                <w:rFonts w:cstheme="minorHAnsi"/>
                <w:color w:val="000000" w:themeColor="text1"/>
              </w:rPr>
              <w:t>2019</w:t>
            </w:r>
          </w:p>
        </w:tc>
        <w:tc>
          <w:tcPr>
            <w:tcW w:w="0" w:type="auto"/>
            <w:vAlign w:val="center"/>
          </w:tcPr>
          <w:p w:rsidR="00DD27E2" w:rsidRPr="005356D4" w:rsidRDefault="00DD27E2" w:rsidP="00DD27E2">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1.600</w:t>
            </w:r>
          </w:p>
        </w:tc>
        <w:tc>
          <w:tcPr>
            <w:tcW w:w="0" w:type="auto"/>
            <w:vAlign w:val="center"/>
          </w:tcPr>
          <w:p w:rsidR="00DD27E2" w:rsidRPr="005356D4" w:rsidRDefault="00DD27E2" w:rsidP="00DD27E2">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95,4</w:t>
            </w:r>
          </w:p>
        </w:tc>
      </w:tr>
      <w:tr w:rsidR="00DD27E2" w:rsidRPr="005356D4" w:rsidTr="00041598">
        <w:trPr>
          <w:trHeight w:hRule="exact" w:val="369"/>
          <w:jc w:val="center"/>
        </w:trPr>
        <w:tc>
          <w:tcPr>
            <w:tcW w:w="0" w:type="auto"/>
            <w:vAlign w:val="center"/>
          </w:tcPr>
          <w:p w:rsidR="00DD27E2" w:rsidRPr="005356D4" w:rsidRDefault="00DD27E2" w:rsidP="00DD27E2">
            <w:pPr>
              <w:pStyle w:val="ListeParagraf"/>
              <w:tabs>
                <w:tab w:val="left" w:pos="284"/>
                <w:tab w:val="left" w:pos="567"/>
                <w:tab w:val="left" w:pos="709"/>
                <w:tab w:val="left" w:pos="851"/>
              </w:tabs>
              <w:ind w:left="0"/>
              <w:jc w:val="center"/>
              <w:rPr>
                <w:rFonts w:cstheme="minorHAnsi"/>
              </w:rPr>
            </w:pPr>
            <w:r w:rsidRPr="005356D4">
              <w:rPr>
                <w:rFonts w:cstheme="minorHAnsi"/>
              </w:rPr>
              <w:t>2020</w:t>
            </w:r>
          </w:p>
        </w:tc>
        <w:tc>
          <w:tcPr>
            <w:tcW w:w="0" w:type="auto"/>
            <w:vAlign w:val="center"/>
          </w:tcPr>
          <w:p w:rsidR="00DD27E2" w:rsidRPr="005356D4" w:rsidRDefault="00DD27E2" w:rsidP="00DD27E2">
            <w:pPr>
              <w:pStyle w:val="ListeParagraf"/>
              <w:tabs>
                <w:tab w:val="left" w:pos="284"/>
                <w:tab w:val="left" w:pos="567"/>
                <w:tab w:val="left" w:pos="709"/>
                <w:tab w:val="left" w:pos="851"/>
              </w:tabs>
              <w:ind w:left="0"/>
              <w:jc w:val="right"/>
              <w:rPr>
                <w:rFonts w:cstheme="minorHAnsi"/>
              </w:rPr>
            </w:pPr>
            <w:r w:rsidRPr="005356D4">
              <w:rPr>
                <w:rFonts w:cstheme="minorHAnsi"/>
              </w:rPr>
              <w:t>1.400</w:t>
            </w:r>
          </w:p>
        </w:tc>
        <w:tc>
          <w:tcPr>
            <w:tcW w:w="0" w:type="auto"/>
            <w:vAlign w:val="center"/>
          </w:tcPr>
          <w:p w:rsidR="00DD27E2" w:rsidRPr="005356D4" w:rsidRDefault="00DD27E2" w:rsidP="00DD27E2">
            <w:pPr>
              <w:pStyle w:val="ListeParagraf"/>
              <w:tabs>
                <w:tab w:val="left" w:pos="284"/>
                <w:tab w:val="left" w:pos="567"/>
                <w:tab w:val="left" w:pos="709"/>
                <w:tab w:val="left" w:pos="851"/>
              </w:tabs>
              <w:ind w:left="0"/>
              <w:jc w:val="right"/>
              <w:rPr>
                <w:rFonts w:cstheme="minorHAnsi"/>
                <w:color w:val="FF0000"/>
              </w:rPr>
            </w:pPr>
            <w:r w:rsidRPr="005356D4">
              <w:rPr>
                <w:rFonts w:cstheme="minorHAnsi"/>
              </w:rPr>
              <w:t>96,8</w:t>
            </w:r>
          </w:p>
        </w:tc>
      </w:tr>
      <w:tr w:rsidR="00DD27E2" w:rsidRPr="005356D4" w:rsidTr="00041598">
        <w:trPr>
          <w:trHeight w:hRule="exact" w:val="369"/>
          <w:jc w:val="center"/>
        </w:trPr>
        <w:tc>
          <w:tcPr>
            <w:tcW w:w="0" w:type="auto"/>
            <w:vAlign w:val="center"/>
          </w:tcPr>
          <w:p w:rsidR="00DD27E2" w:rsidRPr="005356D4" w:rsidRDefault="00DD27E2" w:rsidP="00DD27E2">
            <w:pPr>
              <w:pStyle w:val="ListeParagraf"/>
              <w:tabs>
                <w:tab w:val="left" w:pos="284"/>
                <w:tab w:val="left" w:pos="567"/>
                <w:tab w:val="left" w:pos="709"/>
                <w:tab w:val="left" w:pos="851"/>
              </w:tabs>
              <w:ind w:left="0"/>
              <w:jc w:val="center"/>
              <w:rPr>
                <w:rFonts w:cstheme="minorHAnsi"/>
              </w:rPr>
            </w:pPr>
            <w:r w:rsidRPr="005356D4">
              <w:rPr>
                <w:rFonts w:cstheme="minorHAnsi"/>
              </w:rPr>
              <w:t>2021</w:t>
            </w:r>
          </w:p>
        </w:tc>
        <w:tc>
          <w:tcPr>
            <w:tcW w:w="0" w:type="auto"/>
            <w:vAlign w:val="center"/>
          </w:tcPr>
          <w:p w:rsidR="00DD27E2" w:rsidRPr="005356D4" w:rsidRDefault="00DD27E2" w:rsidP="00DD27E2">
            <w:pPr>
              <w:pStyle w:val="ListeParagraf"/>
              <w:tabs>
                <w:tab w:val="left" w:pos="284"/>
                <w:tab w:val="left" w:pos="567"/>
                <w:tab w:val="left" w:pos="709"/>
                <w:tab w:val="left" w:pos="851"/>
              </w:tabs>
              <w:ind w:left="0"/>
              <w:jc w:val="right"/>
              <w:rPr>
                <w:rFonts w:cstheme="minorHAnsi"/>
              </w:rPr>
            </w:pPr>
            <w:r w:rsidRPr="005356D4">
              <w:rPr>
                <w:rFonts w:cstheme="minorHAnsi"/>
              </w:rPr>
              <w:t>1.200</w:t>
            </w:r>
          </w:p>
        </w:tc>
        <w:tc>
          <w:tcPr>
            <w:tcW w:w="0" w:type="auto"/>
            <w:vAlign w:val="center"/>
          </w:tcPr>
          <w:p w:rsidR="00DD27E2" w:rsidRPr="005356D4" w:rsidRDefault="00DD27E2" w:rsidP="00DD27E2">
            <w:pPr>
              <w:pStyle w:val="ListeParagraf"/>
              <w:tabs>
                <w:tab w:val="left" w:pos="284"/>
                <w:tab w:val="left" w:pos="567"/>
                <w:tab w:val="left" w:pos="709"/>
                <w:tab w:val="left" w:pos="851"/>
              </w:tabs>
              <w:ind w:left="0"/>
              <w:jc w:val="right"/>
              <w:rPr>
                <w:rFonts w:cstheme="minorHAnsi"/>
                <w:color w:val="FF0000"/>
              </w:rPr>
            </w:pPr>
            <w:r w:rsidRPr="00724612">
              <w:rPr>
                <w:rFonts w:cstheme="minorHAnsi"/>
              </w:rPr>
              <w:t>97,2</w:t>
            </w:r>
          </w:p>
        </w:tc>
      </w:tr>
      <w:tr w:rsidR="00DD27E2" w:rsidRPr="005356D4" w:rsidTr="00041598">
        <w:trPr>
          <w:trHeight w:hRule="exact" w:val="369"/>
          <w:jc w:val="center"/>
        </w:trPr>
        <w:tc>
          <w:tcPr>
            <w:tcW w:w="0" w:type="auto"/>
            <w:vAlign w:val="center"/>
          </w:tcPr>
          <w:p w:rsidR="00DD27E2" w:rsidRPr="005356D4" w:rsidRDefault="00DD27E2" w:rsidP="00DD27E2">
            <w:pPr>
              <w:pStyle w:val="ListeParagraf"/>
              <w:tabs>
                <w:tab w:val="left" w:pos="284"/>
                <w:tab w:val="left" w:pos="567"/>
                <w:tab w:val="left" w:pos="709"/>
                <w:tab w:val="left" w:pos="851"/>
              </w:tabs>
              <w:ind w:left="0"/>
              <w:jc w:val="center"/>
              <w:rPr>
                <w:rFonts w:cstheme="minorHAnsi"/>
              </w:rPr>
            </w:pPr>
            <w:r>
              <w:rPr>
                <w:rFonts w:cstheme="minorHAnsi"/>
              </w:rPr>
              <w:t>2</w:t>
            </w:r>
            <w:r>
              <w:t>022</w:t>
            </w:r>
          </w:p>
        </w:tc>
        <w:tc>
          <w:tcPr>
            <w:tcW w:w="0" w:type="auto"/>
            <w:vAlign w:val="center"/>
          </w:tcPr>
          <w:p w:rsidR="00DD27E2" w:rsidRPr="005356D4" w:rsidRDefault="00DD27E2" w:rsidP="00DD27E2">
            <w:pPr>
              <w:pStyle w:val="ListeParagraf"/>
              <w:tabs>
                <w:tab w:val="left" w:pos="284"/>
                <w:tab w:val="left" w:pos="567"/>
                <w:tab w:val="left" w:pos="709"/>
                <w:tab w:val="left" w:pos="851"/>
              </w:tabs>
              <w:ind w:left="0"/>
              <w:jc w:val="right"/>
              <w:rPr>
                <w:rFonts w:cstheme="minorHAnsi"/>
              </w:rPr>
            </w:pPr>
            <w:r>
              <w:rPr>
                <w:rFonts w:cstheme="minorHAnsi"/>
              </w:rPr>
              <w:t>1</w:t>
            </w:r>
            <w:r>
              <w:t>.100</w:t>
            </w:r>
          </w:p>
        </w:tc>
        <w:tc>
          <w:tcPr>
            <w:tcW w:w="0" w:type="auto"/>
            <w:vAlign w:val="center"/>
          </w:tcPr>
          <w:p w:rsidR="00DD27E2" w:rsidRPr="00724612" w:rsidRDefault="0016003D" w:rsidP="00DD27E2">
            <w:pPr>
              <w:pStyle w:val="ListeParagraf"/>
              <w:tabs>
                <w:tab w:val="left" w:pos="284"/>
                <w:tab w:val="left" w:pos="567"/>
                <w:tab w:val="left" w:pos="709"/>
                <w:tab w:val="left" w:pos="851"/>
              </w:tabs>
              <w:ind w:left="0"/>
              <w:jc w:val="right"/>
              <w:rPr>
                <w:rFonts w:cstheme="minorHAnsi"/>
              </w:rPr>
            </w:pPr>
            <w:r>
              <w:rPr>
                <w:rFonts w:cstheme="minorHAnsi"/>
              </w:rPr>
              <w:t>98,1</w:t>
            </w:r>
          </w:p>
        </w:tc>
      </w:tr>
      <w:tr w:rsidR="00D44F80" w:rsidRPr="005356D4" w:rsidTr="00041598">
        <w:trPr>
          <w:trHeight w:hRule="exact" w:val="369"/>
          <w:jc w:val="center"/>
        </w:trPr>
        <w:tc>
          <w:tcPr>
            <w:tcW w:w="0" w:type="auto"/>
            <w:vAlign w:val="center"/>
          </w:tcPr>
          <w:p w:rsidR="00D44F80" w:rsidRDefault="00D44F80" w:rsidP="00D44F80">
            <w:pPr>
              <w:pStyle w:val="ListeParagraf"/>
              <w:tabs>
                <w:tab w:val="left" w:pos="284"/>
                <w:tab w:val="left" w:pos="567"/>
                <w:tab w:val="left" w:pos="709"/>
                <w:tab w:val="left" w:pos="851"/>
              </w:tabs>
              <w:ind w:left="0"/>
              <w:jc w:val="center"/>
              <w:rPr>
                <w:rFonts w:cstheme="minorHAnsi"/>
              </w:rPr>
            </w:pPr>
            <w:r>
              <w:rPr>
                <w:rFonts w:cstheme="minorHAnsi"/>
              </w:rPr>
              <w:t>2023</w:t>
            </w:r>
          </w:p>
        </w:tc>
        <w:tc>
          <w:tcPr>
            <w:tcW w:w="0" w:type="auto"/>
            <w:vAlign w:val="center"/>
          </w:tcPr>
          <w:p w:rsidR="00D44F80" w:rsidRDefault="00D44F80" w:rsidP="00D44F80">
            <w:pPr>
              <w:pStyle w:val="ListeParagraf"/>
              <w:tabs>
                <w:tab w:val="left" w:pos="284"/>
                <w:tab w:val="left" w:pos="567"/>
                <w:tab w:val="left" w:pos="709"/>
                <w:tab w:val="left" w:pos="851"/>
              </w:tabs>
              <w:ind w:left="0"/>
              <w:jc w:val="right"/>
              <w:rPr>
                <w:rFonts w:cstheme="minorHAnsi"/>
              </w:rPr>
            </w:pPr>
            <w:r>
              <w:rPr>
                <w:rFonts w:cstheme="minorHAnsi"/>
              </w:rPr>
              <w:t>1.000</w:t>
            </w:r>
          </w:p>
        </w:tc>
        <w:tc>
          <w:tcPr>
            <w:tcW w:w="0" w:type="auto"/>
            <w:vAlign w:val="center"/>
          </w:tcPr>
          <w:p w:rsidR="00D44F80" w:rsidRDefault="00D44F80" w:rsidP="00D44F80">
            <w:pPr>
              <w:pStyle w:val="ListeParagraf"/>
              <w:tabs>
                <w:tab w:val="left" w:pos="284"/>
                <w:tab w:val="left" w:pos="567"/>
                <w:tab w:val="left" w:pos="709"/>
                <w:tab w:val="left" w:pos="851"/>
              </w:tabs>
              <w:ind w:left="0"/>
              <w:jc w:val="right"/>
              <w:rPr>
                <w:rFonts w:cstheme="minorHAnsi"/>
              </w:rPr>
            </w:pPr>
            <w:r>
              <w:rPr>
                <w:rFonts w:cstheme="minorHAnsi"/>
              </w:rPr>
              <w:t>98,4</w:t>
            </w:r>
          </w:p>
        </w:tc>
      </w:tr>
    </w:tbl>
    <w:p w:rsidR="003F5D54" w:rsidRDefault="003F5D54" w:rsidP="003F1E81">
      <w:pPr>
        <w:spacing w:after="0"/>
        <w:rPr>
          <w:rFonts w:cstheme="minorHAnsi"/>
          <w:color w:val="000000" w:themeColor="text1"/>
        </w:rPr>
      </w:pPr>
    </w:p>
    <w:p w:rsidR="001B7C1D" w:rsidRDefault="001B7C1D" w:rsidP="000A5A56">
      <w:pPr>
        <w:pStyle w:val="ListeParagraf"/>
        <w:numPr>
          <w:ilvl w:val="0"/>
          <w:numId w:val="8"/>
        </w:numPr>
        <w:spacing w:after="120"/>
        <w:rPr>
          <w:rFonts w:ascii="Calibri" w:hAnsi="Calibri" w:cs="Calibri"/>
          <w:color w:val="000000"/>
        </w:rPr>
      </w:pPr>
      <w:bookmarkStart w:id="53" w:name="_Hlk113629055"/>
      <w:bookmarkStart w:id="54" w:name="_Hlk92370505"/>
      <w:r>
        <w:rPr>
          <w:rFonts w:ascii="Calibri" w:hAnsi="Calibri" w:cs="Calibri"/>
          <w:color w:val="000000"/>
        </w:rPr>
        <w:t>08</w:t>
      </w:r>
      <w:r w:rsidRPr="005B3935">
        <w:rPr>
          <w:rFonts w:ascii="Calibri" w:hAnsi="Calibri" w:cs="Calibri"/>
          <w:color w:val="000000"/>
        </w:rPr>
        <w:t>.</w:t>
      </w:r>
      <w:r>
        <w:rPr>
          <w:rFonts w:ascii="Calibri" w:hAnsi="Calibri" w:cs="Calibri"/>
          <w:color w:val="000000"/>
        </w:rPr>
        <w:t>01</w:t>
      </w:r>
      <w:r w:rsidRPr="005B3935">
        <w:rPr>
          <w:rFonts w:ascii="Calibri" w:hAnsi="Calibri" w:cs="Calibri"/>
          <w:color w:val="000000"/>
        </w:rPr>
        <w:t>.202</w:t>
      </w:r>
      <w:r>
        <w:rPr>
          <w:rFonts w:ascii="Calibri" w:hAnsi="Calibri" w:cs="Calibri"/>
          <w:color w:val="000000"/>
        </w:rPr>
        <w:t>2</w:t>
      </w:r>
      <w:r w:rsidRPr="005B3935">
        <w:rPr>
          <w:rFonts w:ascii="Calibri" w:hAnsi="Calibri" w:cs="Calibri"/>
          <w:color w:val="000000"/>
        </w:rPr>
        <w:t xml:space="preserve"> tarihli ve 31</w:t>
      </w:r>
      <w:r>
        <w:rPr>
          <w:rFonts w:ascii="Calibri" w:hAnsi="Calibri" w:cs="Calibri"/>
          <w:color w:val="000000"/>
        </w:rPr>
        <w:t>713</w:t>
      </w:r>
      <w:r w:rsidRPr="005B3935">
        <w:rPr>
          <w:rFonts w:ascii="Calibri" w:hAnsi="Calibri" w:cs="Calibri"/>
          <w:color w:val="000000"/>
        </w:rPr>
        <w:t xml:space="preserve"> sayılı Resmî </w:t>
      </w:r>
      <w:r w:rsidR="00274939">
        <w:rPr>
          <w:rFonts w:ascii="Calibri" w:hAnsi="Calibri" w:cs="Calibri"/>
          <w:color w:val="000000"/>
        </w:rPr>
        <w:t>Gazetede</w:t>
      </w:r>
      <w:r w:rsidRPr="005B3935">
        <w:rPr>
          <w:rFonts w:ascii="Calibri" w:hAnsi="Calibri" w:cs="Calibri"/>
          <w:color w:val="000000"/>
        </w:rPr>
        <w:t xml:space="preserve"> yayımlanan </w:t>
      </w:r>
      <w:r>
        <w:rPr>
          <w:rFonts w:ascii="Calibri" w:hAnsi="Calibri" w:cs="Calibri"/>
          <w:color w:val="000000"/>
        </w:rPr>
        <w:t>06</w:t>
      </w:r>
      <w:r w:rsidRPr="005B3935">
        <w:rPr>
          <w:rFonts w:ascii="Calibri" w:hAnsi="Calibri" w:cs="Calibri"/>
          <w:color w:val="000000"/>
        </w:rPr>
        <w:t>.</w:t>
      </w:r>
      <w:r>
        <w:rPr>
          <w:rFonts w:ascii="Calibri" w:hAnsi="Calibri" w:cs="Calibri"/>
          <w:color w:val="000000"/>
        </w:rPr>
        <w:t>01</w:t>
      </w:r>
      <w:r w:rsidRPr="005B3935">
        <w:rPr>
          <w:rFonts w:ascii="Calibri" w:hAnsi="Calibri" w:cs="Calibri"/>
          <w:color w:val="000000"/>
        </w:rPr>
        <w:t>.202</w:t>
      </w:r>
      <w:r>
        <w:rPr>
          <w:rFonts w:ascii="Calibri" w:hAnsi="Calibri" w:cs="Calibri"/>
          <w:color w:val="000000"/>
        </w:rPr>
        <w:t>2</w:t>
      </w:r>
      <w:r w:rsidRPr="005B3935">
        <w:rPr>
          <w:rFonts w:ascii="Calibri" w:hAnsi="Calibri" w:cs="Calibri"/>
          <w:color w:val="000000"/>
        </w:rPr>
        <w:t xml:space="preserve"> tarihli ve 10</w:t>
      </w:r>
      <w:r>
        <w:rPr>
          <w:rFonts w:ascii="Calibri" w:hAnsi="Calibri" w:cs="Calibri"/>
          <w:color w:val="000000"/>
        </w:rPr>
        <w:t>712</w:t>
      </w:r>
      <w:r w:rsidRPr="005B3935">
        <w:rPr>
          <w:rFonts w:ascii="Calibri" w:hAnsi="Calibri" w:cs="Calibri"/>
          <w:color w:val="000000"/>
        </w:rPr>
        <w:t xml:space="preserve"> sayılı Kurul Kararı ile</w:t>
      </w:r>
      <w:r>
        <w:rPr>
          <w:rFonts w:ascii="Calibri" w:hAnsi="Calibri" w:cs="Calibri"/>
          <w:color w:val="000000"/>
        </w:rPr>
        <w:t xml:space="preserve"> </w:t>
      </w:r>
      <w:r w:rsidRPr="001839D2">
        <w:rPr>
          <w:rFonts w:ascii="Calibri" w:hAnsi="Calibri" w:cs="Calibri"/>
          <w:color w:val="000000"/>
        </w:rPr>
        <w:t>28</w:t>
      </w:r>
      <w:r>
        <w:rPr>
          <w:rFonts w:ascii="Calibri" w:hAnsi="Calibri" w:cs="Calibri"/>
          <w:color w:val="000000"/>
        </w:rPr>
        <w:t>.</w:t>
      </w:r>
      <w:r w:rsidRPr="001839D2">
        <w:rPr>
          <w:rFonts w:ascii="Calibri" w:hAnsi="Calibri" w:cs="Calibri"/>
          <w:color w:val="000000"/>
        </w:rPr>
        <w:t>05</w:t>
      </w:r>
      <w:r>
        <w:rPr>
          <w:rFonts w:ascii="Calibri" w:hAnsi="Calibri" w:cs="Calibri"/>
          <w:color w:val="000000"/>
        </w:rPr>
        <w:t>.</w:t>
      </w:r>
      <w:r w:rsidRPr="001839D2">
        <w:rPr>
          <w:rFonts w:ascii="Calibri" w:hAnsi="Calibri" w:cs="Calibri"/>
          <w:color w:val="000000"/>
        </w:rPr>
        <w:t xml:space="preserve">2016 tarihli ve 29725 sayılı Resmî </w:t>
      </w:r>
      <w:r w:rsidR="00274939">
        <w:rPr>
          <w:rFonts w:ascii="Calibri" w:hAnsi="Calibri" w:cs="Calibri"/>
          <w:color w:val="000000"/>
        </w:rPr>
        <w:t>Gazetede</w:t>
      </w:r>
      <w:r w:rsidRPr="001839D2">
        <w:rPr>
          <w:rFonts w:ascii="Calibri" w:hAnsi="Calibri" w:cs="Calibri"/>
          <w:color w:val="000000"/>
        </w:rPr>
        <w:t xml:space="preserve"> yayımlanan Organize Toptan Elektrik Piyasalarında Şeffaflığın Teminine İlişkin Usul ve Esasların</w:t>
      </w:r>
    </w:p>
    <w:bookmarkEnd w:id="53"/>
    <w:p w:rsidR="001B7C1D" w:rsidRPr="001839D2" w:rsidRDefault="001B7C1D" w:rsidP="001B7C1D">
      <w:pPr>
        <w:pStyle w:val="ListeParagraf"/>
        <w:rPr>
          <w:rFonts w:ascii="Calibri" w:hAnsi="Calibri" w:cs="Calibri"/>
          <w:color w:val="000000"/>
        </w:rPr>
      </w:pPr>
    </w:p>
    <w:p w:rsidR="001B7C1D" w:rsidRDefault="001B7C1D" w:rsidP="000A5A56">
      <w:pPr>
        <w:pStyle w:val="ListeParagraf"/>
        <w:numPr>
          <w:ilvl w:val="0"/>
          <w:numId w:val="54"/>
        </w:numPr>
        <w:spacing w:after="120"/>
        <w:rPr>
          <w:rFonts w:ascii="Calibri" w:hAnsi="Calibri" w:cs="Calibri"/>
          <w:color w:val="000000"/>
        </w:rPr>
      </w:pPr>
      <w:r w:rsidRPr="002A74DF">
        <w:rPr>
          <w:rFonts w:ascii="Calibri" w:hAnsi="Calibri" w:cs="Calibri"/>
          <w:color w:val="000000"/>
        </w:rPr>
        <w:t>1 inci maddesi aşağıdaki şekilde değiştirilmiştir.</w:t>
      </w:r>
    </w:p>
    <w:p w:rsidR="001B7C1D" w:rsidRDefault="001B7C1D" w:rsidP="001B7C1D">
      <w:pPr>
        <w:pStyle w:val="ListeParagraf"/>
        <w:spacing w:after="120"/>
        <w:ind w:left="1440"/>
        <w:rPr>
          <w:rFonts w:ascii="Calibri" w:hAnsi="Calibri" w:cs="Calibri"/>
          <w:color w:val="000000"/>
        </w:rPr>
      </w:pPr>
    </w:p>
    <w:p w:rsidR="001B7C1D" w:rsidRDefault="001B7C1D" w:rsidP="001B7C1D">
      <w:pPr>
        <w:pStyle w:val="ListeParagraf"/>
        <w:spacing w:after="120"/>
        <w:ind w:left="1440"/>
        <w:rPr>
          <w:rFonts w:ascii="Calibri" w:hAnsi="Calibri" w:cs="Calibri"/>
          <w:i/>
          <w:iCs/>
          <w:color w:val="000000"/>
        </w:rPr>
      </w:pPr>
      <w:r w:rsidRPr="002A74DF">
        <w:rPr>
          <w:rFonts w:ascii="Calibri" w:hAnsi="Calibri" w:cs="Calibri"/>
          <w:i/>
          <w:iCs/>
          <w:color w:val="000000"/>
        </w:rPr>
        <w:t>“Madde 1- (1) Bu Usul ve Esasların amacı organize toptan elektrik piyasalarında ve EPİAŞ tarafından piyasa işletim lisansı kapsamı dışında işletilen diğer piyasalarda şeffaflığın teminine ilişkin veri paylaşımı usulleri, raporlama prosedürleri ve piyasa katılımcılarının yükümlülüklerinin belirlenmesidir."</w:t>
      </w:r>
    </w:p>
    <w:p w:rsidR="001B7C1D" w:rsidRPr="002A74DF" w:rsidRDefault="001B7C1D" w:rsidP="001B7C1D">
      <w:pPr>
        <w:pStyle w:val="ListeParagraf"/>
        <w:spacing w:after="120"/>
        <w:ind w:left="1440"/>
        <w:rPr>
          <w:rFonts w:ascii="Calibri" w:hAnsi="Calibri" w:cs="Calibri"/>
          <w:i/>
          <w:iCs/>
          <w:color w:val="000000"/>
        </w:rPr>
      </w:pPr>
    </w:p>
    <w:p w:rsidR="001B7C1D" w:rsidRDefault="001B7C1D" w:rsidP="000A5A56">
      <w:pPr>
        <w:pStyle w:val="ListeParagraf"/>
        <w:numPr>
          <w:ilvl w:val="0"/>
          <w:numId w:val="54"/>
        </w:numPr>
        <w:spacing w:after="160" w:line="259" w:lineRule="auto"/>
        <w:jc w:val="left"/>
      </w:pPr>
      <w:r w:rsidRPr="002A74DF">
        <w:t>2 nci maddesi aşağıdaki şekilde değiştirilmiştir.</w:t>
      </w:r>
    </w:p>
    <w:p w:rsidR="001B7C1D" w:rsidRDefault="001B7C1D" w:rsidP="001B7C1D">
      <w:pPr>
        <w:pStyle w:val="ListeParagraf"/>
        <w:ind w:left="1440"/>
      </w:pPr>
    </w:p>
    <w:p w:rsidR="001B7C1D" w:rsidRDefault="001B7C1D" w:rsidP="001B7C1D">
      <w:pPr>
        <w:pStyle w:val="ListeParagraf"/>
        <w:ind w:left="1440"/>
        <w:rPr>
          <w:i/>
          <w:iCs/>
        </w:rPr>
      </w:pPr>
      <w:r w:rsidRPr="002A74DF">
        <w:rPr>
          <w:i/>
          <w:iCs/>
        </w:rPr>
        <w:lastRenderedPageBreak/>
        <w:t>“Madde 2 - (1) Bu Usul ve Esaslar Elektrik Piyasası Dengeleme ve Uzlaştırma Yönetmeliğinin 136 ncı maddesine ve Organize Toptan Doğalgaz Satış Piyasası Yönetmeliğinin 9 uncu maddesine dayanarak hazırlanmıştır."</w:t>
      </w:r>
    </w:p>
    <w:p w:rsidR="001B7C1D" w:rsidRDefault="001B7C1D" w:rsidP="001B7C1D">
      <w:pPr>
        <w:pStyle w:val="ListeParagraf"/>
        <w:ind w:left="1440"/>
        <w:rPr>
          <w:i/>
          <w:iCs/>
        </w:rPr>
      </w:pPr>
    </w:p>
    <w:p w:rsidR="001B7C1D" w:rsidRDefault="001B7C1D" w:rsidP="000A5A56">
      <w:pPr>
        <w:pStyle w:val="ListeParagraf"/>
        <w:numPr>
          <w:ilvl w:val="0"/>
          <w:numId w:val="54"/>
        </w:numPr>
        <w:spacing w:after="160" w:line="259" w:lineRule="auto"/>
      </w:pPr>
      <w:r w:rsidRPr="002A74DF">
        <w:t> 3 üncü maddesinin birinci ve ikinci fıkrası aşağıdaki şekilde değiştirilmiştir.</w:t>
      </w:r>
    </w:p>
    <w:p w:rsidR="001B7C1D" w:rsidRDefault="001B7C1D" w:rsidP="001B7C1D">
      <w:pPr>
        <w:pStyle w:val="ListeParagraf"/>
        <w:ind w:left="1440"/>
      </w:pPr>
    </w:p>
    <w:p w:rsidR="001B7C1D" w:rsidRPr="00C15F35" w:rsidRDefault="001B7C1D" w:rsidP="001B7C1D">
      <w:pPr>
        <w:pStyle w:val="ListeParagraf"/>
        <w:ind w:left="1440"/>
        <w:rPr>
          <w:i/>
          <w:iCs/>
        </w:rPr>
      </w:pPr>
      <w:r w:rsidRPr="00C15F35">
        <w:rPr>
          <w:i/>
          <w:iCs/>
        </w:rPr>
        <w:t>“(1) EPİAŞ; işlettiği veya mali uzlaştırmasını gerçekleştirdiği piyasalarda piyasa katılımcılarının piyasa faaliyetlerini fırsat eşitliği çerçevesinde yürütebilmesi, piyasa katılımcıları arasındaki bilgi asimetrisinin önlenmesi, yürüttükleri faaliyetlerde ve ilgili piyasalarda yaptıkları alış</w:t>
      </w:r>
      <w:r>
        <w:rPr>
          <w:i/>
          <w:iCs/>
        </w:rPr>
        <w:t xml:space="preserve"> </w:t>
      </w:r>
      <w:r w:rsidRPr="00C15F35">
        <w:rPr>
          <w:i/>
          <w:iCs/>
        </w:rPr>
        <w:t>verişlerde doğru kararlar verebilmek için ihtiyaç duydukları bilgilere erişebilmesini temin etmek üzere şeffaflık platformu adı altında bir merkezi veri ve analiz platformu işletmekle yükümlüdür.</w:t>
      </w:r>
    </w:p>
    <w:p w:rsidR="001B7C1D" w:rsidRDefault="001B7C1D" w:rsidP="001B7C1D">
      <w:pPr>
        <w:pStyle w:val="ListeParagraf"/>
        <w:ind w:left="1440"/>
        <w:rPr>
          <w:i/>
          <w:iCs/>
        </w:rPr>
      </w:pPr>
      <w:r w:rsidRPr="00C15F35">
        <w:rPr>
          <w:i/>
          <w:iCs/>
        </w:rPr>
        <w:t>(2) EPİAŞ söz konusu şeffaflık platformunda yayımlanacak verilerin belirlenmesi, güncellenmesi ve platformun piyasaya katkısının geliştirilmesine yönelik istişarelerde bulunmak üzere her yıl, yılın son çeyreğinde bir çalıştay düzenler. Çalıştaya sektör dernekleri, ilgili kurum ve kuruluş temsilcileri ile Kurum temsilcilerinin vanı sıra piyasa katılımcılarının görüşlerinin çalıştaya yansımasını sağlamak üzere istekli sektör temsilcileri ile gözlemcilerin katılması temin edilir. EPİAŞ çalıştayda görüşülen konulara ve ulaşılan sonuçlara ilişkin rapora Kuruma sunar."</w:t>
      </w:r>
    </w:p>
    <w:p w:rsidR="001B7C1D" w:rsidRDefault="001B7C1D" w:rsidP="001B7C1D">
      <w:pPr>
        <w:pStyle w:val="ListeParagraf"/>
        <w:ind w:left="1440"/>
        <w:rPr>
          <w:i/>
          <w:iCs/>
        </w:rPr>
      </w:pPr>
    </w:p>
    <w:p w:rsidR="001B7C1D" w:rsidRDefault="001B7C1D" w:rsidP="000A5A56">
      <w:pPr>
        <w:pStyle w:val="ListeParagraf"/>
        <w:numPr>
          <w:ilvl w:val="0"/>
          <w:numId w:val="54"/>
        </w:numPr>
        <w:spacing w:after="160" w:line="259" w:lineRule="auto"/>
      </w:pPr>
      <w:r w:rsidRPr="00C15F35">
        <w:t>4 üncü maddesinin birinci fıkrası aşağıdaki şekilde değiştirilmiş ve maddenin sonuna aşağıdaki fıkra eklenmiştir.</w:t>
      </w:r>
    </w:p>
    <w:p w:rsidR="001B7C1D" w:rsidRDefault="001B7C1D" w:rsidP="001B7C1D">
      <w:pPr>
        <w:pStyle w:val="ListeParagraf"/>
        <w:ind w:left="1440"/>
      </w:pPr>
    </w:p>
    <w:p w:rsidR="001B7C1D" w:rsidRPr="00C15F35" w:rsidRDefault="001B7C1D" w:rsidP="001B7C1D">
      <w:pPr>
        <w:pStyle w:val="ListeParagraf"/>
        <w:ind w:left="1440"/>
        <w:rPr>
          <w:i/>
          <w:iCs/>
        </w:rPr>
      </w:pPr>
      <w:r w:rsidRPr="00C15F35">
        <w:rPr>
          <w:i/>
          <w:iCs/>
        </w:rPr>
        <w:t>“(1) Şeffaflık platformunda yayımlanacak veriler EPİAŞ tarafından ilgili verilere sahip kuruluşlardan bu mevzuat dayanak gösterilerek İstenir.</w:t>
      </w:r>
    </w:p>
    <w:p w:rsidR="001B7C1D" w:rsidRDefault="001B7C1D" w:rsidP="001B7C1D">
      <w:pPr>
        <w:pStyle w:val="ListeParagraf"/>
        <w:ind w:left="1440"/>
        <w:rPr>
          <w:i/>
          <w:iCs/>
        </w:rPr>
      </w:pPr>
      <w:r w:rsidRPr="00C15F35">
        <w:rPr>
          <w:i/>
          <w:iCs/>
        </w:rPr>
        <w:t>(3) EPİAŞ, şeffaflık platformunda yayımlanan verilere ilişkin ilave hizmetler için ücret talep edebilir.”</w:t>
      </w:r>
    </w:p>
    <w:p w:rsidR="001B7C1D" w:rsidRDefault="001B7C1D" w:rsidP="001B7C1D">
      <w:pPr>
        <w:pStyle w:val="ListeParagraf"/>
        <w:ind w:left="1440"/>
        <w:rPr>
          <w:i/>
          <w:iCs/>
        </w:rPr>
      </w:pPr>
    </w:p>
    <w:p w:rsidR="001B7C1D" w:rsidRDefault="001B7C1D" w:rsidP="000A5A56">
      <w:pPr>
        <w:pStyle w:val="ListeParagraf"/>
        <w:numPr>
          <w:ilvl w:val="0"/>
          <w:numId w:val="54"/>
        </w:numPr>
        <w:spacing w:after="160" w:line="259" w:lineRule="auto"/>
        <w:jc w:val="left"/>
      </w:pPr>
      <w:r w:rsidRPr="00C15F35">
        <w:t>5 inci maddesinin birinci fıkrası aşağıdaki şekilde değiştirilmiştir.</w:t>
      </w:r>
    </w:p>
    <w:p w:rsidR="001B7C1D" w:rsidRDefault="001B7C1D" w:rsidP="001B7C1D">
      <w:pPr>
        <w:pStyle w:val="ListeParagraf"/>
        <w:ind w:left="1440"/>
      </w:pPr>
    </w:p>
    <w:p w:rsidR="001B7C1D" w:rsidRDefault="001B7C1D" w:rsidP="001B7C1D">
      <w:pPr>
        <w:pStyle w:val="ListeParagraf"/>
        <w:ind w:left="1440"/>
        <w:rPr>
          <w:i/>
          <w:iCs/>
        </w:rPr>
      </w:pPr>
      <w:r w:rsidRPr="00C15F35">
        <w:rPr>
          <w:i/>
          <w:iCs/>
        </w:rPr>
        <w:t>“(1) İlgili lisans sahibi tüzel kişiler Kurul Kararıyla onaylanan şeffaflık platformunda yayımlanacak veriler listesindeki verileri, zamanında, belirlenen formada ve doğru bir içerikle şeffaflık platformunda paylaşılmak üzere EPİAŞ’a sunmakla yükümlüdür. EPİAŞ, Kurul Kararında yer almayan ancak yayımlanmasında fayda gördüğü verileri Kurumun olumlu görüşünü almak kaydıyla yayımlayabilir.”</w:t>
      </w:r>
    </w:p>
    <w:p w:rsidR="001B7C1D" w:rsidRDefault="001B7C1D" w:rsidP="001B7C1D">
      <w:pPr>
        <w:pStyle w:val="ListeParagraf"/>
        <w:ind w:left="1440"/>
        <w:rPr>
          <w:i/>
          <w:iCs/>
        </w:rPr>
      </w:pPr>
    </w:p>
    <w:p w:rsidR="00C66064" w:rsidRPr="00C66064" w:rsidRDefault="00C66064" w:rsidP="000A5A56">
      <w:pPr>
        <w:pStyle w:val="ListeParagraf"/>
        <w:numPr>
          <w:ilvl w:val="0"/>
          <w:numId w:val="26"/>
        </w:numPr>
        <w:spacing w:after="160" w:line="259" w:lineRule="auto"/>
      </w:pPr>
      <w:r>
        <w:t xml:space="preserve">04.02.2022 tarihli ve 31740 sayılı Resmî </w:t>
      </w:r>
      <w:r w:rsidR="00274939">
        <w:t>Gazetede</w:t>
      </w:r>
      <w:r>
        <w:t xml:space="preserve"> yayımlanan 03</w:t>
      </w:r>
      <w:r w:rsidRPr="00AB0B60">
        <w:t>.0</w:t>
      </w:r>
      <w:r>
        <w:t>2</w:t>
      </w:r>
      <w:r w:rsidRPr="00AB0B60">
        <w:t>.202</w:t>
      </w:r>
      <w:r>
        <w:t>2</w:t>
      </w:r>
      <w:r w:rsidRPr="00AB0B60">
        <w:t xml:space="preserve"> tarihli ve </w:t>
      </w:r>
      <w:r>
        <w:t>10759</w:t>
      </w:r>
      <w:r w:rsidRPr="00AB0B60">
        <w:t xml:space="preserve"> sayılı</w:t>
      </w:r>
      <w:r>
        <w:t xml:space="preserve"> </w:t>
      </w:r>
      <w:r w:rsidRPr="00E467D4">
        <w:t>Kurul</w:t>
      </w:r>
      <w:r w:rsidRPr="004560FF">
        <w:t xml:space="preserve"> Kararı</w:t>
      </w:r>
      <w:r>
        <w:t xml:space="preserve"> ile</w:t>
      </w:r>
      <w:r w:rsidRPr="00C66064">
        <w:t xml:space="preserve"> 6446 sayılı Elektrik Piyasası Kanununun 17 nci maddesinin dördüncü fıkrasına eklenen </w:t>
      </w:r>
      <w:r w:rsidRPr="00C66064">
        <w:rPr>
          <w:i/>
        </w:rPr>
        <w:t>‘bu abone grupları için elektrik enerjisi tüketim miktarına göre farklı’</w:t>
      </w:r>
      <w:r w:rsidRPr="00C66064">
        <w:t xml:space="preserve"> hükmünün mesken aboneliği ile ilişkilendirilen lisanssız elektrik üretim tesislerine uygulanmasına ilişkin olarak;</w:t>
      </w:r>
    </w:p>
    <w:p w:rsidR="00C66064" w:rsidRPr="0066495B" w:rsidRDefault="00C66064" w:rsidP="00C66064">
      <w:pPr>
        <w:spacing w:after="0" w:line="240" w:lineRule="auto"/>
        <w:rPr>
          <w:rFonts w:ascii="Times New Roman" w:hAnsi="Times New Roman"/>
          <w:sz w:val="24"/>
          <w:szCs w:val="24"/>
        </w:rPr>
      </w:pPr>
    </w:p>
    <w:p w:rsidR="00C66064" w:rsidRPr="001B7C1D" w:rsidRDefault="00C66064" w:rsidP="000A5A56">
      <w:pPr>
        <w:pStyle w:val="ListeParagraf"/>
        <w:numPr>
          <w:ilvl w:val="0"/>
          <w:numId w:val="48"/>
        </w:numPr>
        <w:spacing w:after="160" w:line="259" w:lineRule="auto"/>
        <w:ind w:left="1843" w:hanging="425"/>
        <w:rPr>
          <w:rFonts w:ascii="Calibri" w:hAnsi="Calibri" w:cs="Calibri"/>
          <w:i/>
          <w:iCs/>
          <w:color w:val="000000"/>
        </w:rPr>
      </w:pPr>
      <w:r w:rsidRPr="001B7C1D">
        <w:rPr>
          <w:rFonts w:ascii="Calibri" w:hAnsi="Calibri" w:cs="Calibri"/>
          <w:i/>
          <w:iCs/>
          <w:color w:val="000000"/>
        </w:rPr>
        <w:t xml:space="preserve">Üreticinin serbest tüketici olup olmaması ve mahsuplaşmanın saatlik veya aylık olarak yapılması arasında herhangi bir ayrım yapılmaksızın üreticilere ödenecek ihtiyaç fazlası elektrik enerjisi bedeli için kademeli tarife esas alınarak uygulama yapılmasına, </w:t>
      </w:r>
    </w:p>
    <w:p w:rsidR="00C66064" w:rsidRPr="001B7C1D" w:rsidRDefault="00C66064" w:rsidP="000A5A56">
      <w:pPr>
        <w:pStyle w:val="ListeParagraf"/>
        <w:numPr>
          <w:ilvl w:val="0"/>
          <w:numId w:val="48"/>
        </w:numPr>
        <w:spacing w:after="160" w:line="259" w:lineRule="auto"/>
        <w:ind w:left="1843" w:hanging="425"/>
        <w:rPr>
          <w:rFonts w:ascii="Calibri" w:hAnsi="Calibri" w:cs="Calibri"/>
          <w:i/>
          <w:iCs/>
          <w:color w:val="000000"/>
        </w:rPr>
      </w:pPr>
      <w:r w:rsidRPr="001B7C1D">
        <w:rPr>
          <w:rFonts w:ascii="Calibri" w:hAnsi="Calibri" w:cs="Calibri"/>
          <w:i/>
          <w:iCs/>
          <w:color w:val="000000"/>
        </w:rPr>
        <w:t xml:space="preserve">Saatlik mahsuplaşma işlemi sonucunda tüketimin, üretimi geçmesi halinde; saatlik mahsuplaşma neticesinde elde edilen net tüketim değeri üzerinden kademeli tarife uygulamasının yapılmasına, </w:t>
      </w:r>
    </w:p>
    <w:p w:rsidR="00C66064" w:rsidRPr="001B7C1D" w:rsidRDefault="00C66064" w:rsidP="000A5A56">
      <w:pPr>
        <w:pStyle w:val="ListeParagraf"/>
        <w:numPr>
          <w:ilvl w:val="0"/>
          <w:numId w:val="48"/>
        </w:numPr>
        <w:spacing w:after="160" w:line="259" w:lineRule="auto"/>
        <w:ind w:left="1843" w:hanging="425"/>
        <w:rPr>
          <w:rFonts w:ascii="Calibri" w:hAnsi="Calibri" w:cs="Calibri"/>
          <w:i/>
          <w:iCs/>
          <w:color w:val="000000"/>
        </w:rPr>
      </w:pPr>
      <w:r w:rsidRPr="001B7C1D">
        <w:rPr>
          <w:rFonts w:ascii="Calibri" w:hAnsi="Calibri" w:cs="Calibri"/>
          <w:i/>
          <w:iCs/>
          <w:color w:val="000000"/>
        </w:rPr>
        <w:lastRenderedPageBreak/>
        <w:t xml:space="preserve">Aylık mahsuplaşma kapsamındaki tesislerde mahsuplaşılmamış ham tüketim değerleri esas alınarak tüketiciler ve tedarikçiler için kademeli tarife kapsamında uygulama yapılmasına, </w:t>
      </w:r>
    </w:p>
    <w:p w:rsidR="00C66064" w:rsidRDefault="00C66064" w:rsidP="00C66064">
      <w:pPr>
        <w:tabs>
          <w:tab w:val="right" w:pos="9072"/>
        </w:tabs>
        <w:spacing w:after="0" w:line="240" w:lineRule="auto"/>
        <w:ind w:left="851"/>
        <w:rPr>
          <w:rFonts w:eastAsia="Times New Roman" w:cstheme="minorHAnsi"/>
          <w:spacing w:val="-2"/>
          <w:lang w:eastAsia="tr-TR"/>
        </w:rPr>
      </w:pPr>
      <w:r w:rsidRPr="00C66064">
        <w:rPr>
          <w:rFonts w:eastAsia="Times New Roman" w:cstheme="minorHAnsi"/>
          <w:spacing w:val="-2"/>
          <w:lang w:eastAsia="tr-TR"/>
        </w:rPr>
        <w:t>karar verilmiştir.</w:t>
      </w:r>
    </w:p>
    <w:p w:rsidR="00262454" w:rsidRDefault="00262454" w:rsidP="00C66064">
      <w:pPr>
        <w:tabs>
          <w:tab w:val="right" w:pos="9072"/>
        </w:tabs>
        <w:spacing w:after="0" w:line="240" w:lineRule="auto"/>
        <w:ind w:left="851"/>
        <w:rPr>
          <w:rFonts w:eastAsia="Times New Roman" w:cstheme="minorHAnsi"/>
          <w:spacing w:val="-2"/>
          <w:lang w:eastAsia="tr-TR"/>
        </w:rPr>
      </w:pPr>
    </w:p>
    <w:p w:rsidR="00262454" w:rsidRDefault="00262454" w:rsidP="00262454">
      <w:pPr>
        <w:pStyle w:val="ListeParagraf"/>
        <w:numPr>
          <w:ilvl w:val="0"/>
          <w:numId w:val="29"/>
        </w:numPr>
        <w:spacing w:after="160" w:line="259" w:lineRule="auto"/>
        <w:rPr>
          <w:rFonts w:ascii="Calibri" w:hAnsi="Calibri" w:cs="Calibri"/>
          <w:color w:val="000000"/>
        </w:rPr>
      </w:pPr>
      <w:r>
        <w:rPr>
          <w:rFonts w:ascii="Calibri" w:hAnsi="Calibri" w:cs="Calibri"/>
          <w:color w:val="000000"/>
        </w:rPr>
        <w:t>26</w:t>
      </w:r>
      <w:r w:rsidRPr="005B3935">
        <w:rPr>
          <w:rFonts w:ascii="Calibri" w:hAnsi="Calibri" w:cs="Calibri"/>
          <w:color w:val="000000"/>
        </w:rPr>
        <w:t>.</w:t>
      </w:r>
      <w:r>
        <w:rPr>
          <w:rFonts w:ascii="Calibri" w:hAnsi="Calibri" w:cs="Calibri"/>
          <w:color w:val="000000"/>
        </w:rPr>
        <w:t>02</w:t>
      </w:r>
      <w:r w:rsidRPr="005B3935">
        <w:rPr>
          <w:rFonts w:ascii="Calibri" w:hAnsi="Calibri" w:cs="Calibri"/>
          <w:color w:val="000000"/>
        </w:rPr>
        <w:t>.202</w:t>
      </w:r>
      <w:r>
        <w:rPr>
          <w:rFonts w:ascii="Calibri" w:hAnsi="Calibri" w:cs="Calibri"/>
          <w:color w:val="000000"/>
        </w:rPr>
        <w:t>2</w:t>
      </w:r>
      <w:r w:rsidRPr="005B3935">
        <w:rPr>
          <w:rFonts w:ascii="Calibri" w:hAnsi="Calibri" w:cs="Calibri"/>
          <w:color w:val="000000"/>
        </w:rPr>
        <w:t xml:space="preserve"> tarihli ve 31</w:t>
      </w:r>
      <w:r>
        <w:rPr>
          <w:rFonts w:ascii="Calibri" w:hAnsi="Calibri" w:cs="Calibri"/>
          <w:color w:val="000000"/>
        </w:rPr>
        <w:t>762</w:t>
      </w:r>
      <w:r w:rsidRPr="005B3935">
        <w:rPr>
          <w:rFonts w:ascii="Calibri" w:hAnsi="Calibri" w:cs="Calibri"/>
          <w:color w:val="000000"/>
        </w:rPr>
        <w:t xml:space="preserve"> sayılı Resmî </w:t>
      </w:r>
      <w:r w:rsidR="00274939">
        <w:rPr>
          <w:rFonts w:ascii="Calibri" w:hAnsi="Calibri" w:cs="Calibri"/>
          <w:color w:val="000000"/>
        </w:rPr>
        <w:t>Gazetede</w:t>
      </w:r>
      <w:r w:rsidRPr="005B3935">
        <w:rPr>
          <w:rFonts w:ascii="Calibri" w:hAnsi="Calibri" w:cs="Calibri"/>
          <w:color w:val="000000"/>
        </w:rPr>
        <w:t xml:space="preserve"> yayımlanan </w:t>
      </w:r>
      <w:r>
        <w:rPr>
          <w:rFonts w:ascii="Calibri" w:hAnsi="Calibri" w:cs="Calibri"/>
          <w:color w:val="000000"/>
        </w:rPr>
        <w:t>24</w:t>
      </w:r>
      <w:r w:rsidRPr="005B3935">
        <w:rPr>
          <w:rFonts w:ascii="Calibri" w:hAnsi="Calibri" w:cs="Calibri"/>
          <w:color w:val="000000"/>
        </w:rPr>
        <w:t>.</w:t>
      </w:r>
      <w:r>
        <w:rPr>
          <w:rFonts w:ascii="Calibri" w:hAnsi="Calibri" w:cs="Calibri"/>
          <w:color w:val="000000"/>
        </w:rPr>
        <w:t>02</w:t>
      </w:r>
      <w:r w:rsidRPr="005B3935">
        <w:rPr>
          <w:rFonts w:ascii="Calibri" w:hAnsi="Calibri" w:cs="Calibri"/>
          <w:color w:val="000000"/>
        </w:rPr>
        <w:t>.202</w:t>
      </w:r>
      <w:r>
        <w:rPr>
          <w:rFonts w:ascii="Calibri" w:hAnsi="Calibri" w:cs="Calibri"/>
          <w:color w:val="000000"/>
        </w:rPr>
        <w:t>2</w:t>
      </w:r>
      <w:r w:rsidRPr="005B3935">
        <w:rPr>
          <w:rFonts w:ascii="Calibri" w:hAnsi="Calibri" w:cs="Calibri"/>
          <w:color w:val="000000"/>
        </w:rPr>
        <w:t xml:space="preserve"> tarihli ve 10</w:t>
      </w:r>
      <w:r>
        <w:rPr>
          <w:rFonts w:ascii="Calibri" w:hAnsi="Calibri" w:cs="Calibri"/>
          <w:color w:val="000000"/>
        </w:rPr>
        <w:t>814</w:t>
      </w:r>
      <w:r w:rsidRPr="005B3935">
        <w:rPr>
          <w:rFonts w:ascii="Calibri" w:hAnsi="Calibri" w:cs="Calibri"/>
          <w:color w:val="000000"/>
        </w:rPr>
        <w:t xml:space="preserve"> sayılı Kurul Kararı ile</w:t>
      </w:r>
      <w:r>
        <w:rPr>
          <w:rFonts w:ascii="Calibri" w:hAnsi="Calibri" w:cs="Calibri"/>
          <w:color w:val="000000"/>
        </w:rPr>
        <w:t xml:space="preserve"> </w:t>
      </w:r>
      <w:r w:rsidRPr="00ED44E4">
        <w:rPr>
          <w:rFonts w:ascii="Calibri" w:hAnsi="Calibri" w:cs="Calibri"/>
          <w:color w:val="000000"/>
        </w:rPr>
        <w:t>6446 sayılı Elektrik Piyasası Kanunu’nun 26 ncı maddesinin on birinci fıkrası uyarınca görevli tedarik şirketlerinin, son kaynak tedariki kapsamındaki tüketiciler için 4. tarife uygulama döneminin kalan süresi boyunca temin edeceği elektrik enerjisinin, takvim yılı bazında % 50’sinden az olmamak kaydıyla % 90’ına kadar olan miktarını Elektrik Üretim Anonim Şirketi’nden temin etmelerine</w:t>
      </w:r>
      <w:r>
        <w:rPr>
          <w:rFonts w:ascii="Calibri" w:hAnsi="Calibri" w:cs="Calibri"/>
          <w:color w:val="000000"/>
        </w:rPr>
        <w:t xml:space="preserve"> </w:t>
      </w:r>
      <w:r w:rsidRPr="00CF662F">
        <w:rPr>
          <w:rFonts w:ascii="Calibri" w:hAnsi="Calibri" w:cs="Calibri"/>
          <w:color w:val="000000"/>
        </w:rPr>
        <w:t>karar verilmiştir.</w:t>
      </w:r>
    </w:p>
    <w:p w:rsidR="00F91931" w:rsidRDefault="00F91931" w:rsidP="00F91931">
      <w:pPr>
        <w:pStyle w:val="ListeParagraf"/>
        <w:spacing w:after="160" w:line="259" w:lineRule="auto"/>
        <w:rPr>
          <w:rFonts w:ascii="Calibri" w:hAnsi="Calibri" w:cs="Calibri"/>
          <w:color w:val="000000"/>
        </w:rPr>
      </w:pPr>
    </w:p>
    <w:p w:rsidR="003971F6" w:rsidRDefault="003971F6" w:rsidP="000A5A56">
      <w:pPr>
        <w:pStyle w:val="ListeParagraf"/>
        <w:numPr>
          <w:ilvl w:val="0"/>
          <w:numId w:val="26"/>
        </w:numPr>
        <w:spacing w:after="160" w:line="259" w:lineRule="auto"/>
      </w:pPr>
      <w:bookmarkStart w:id="55" w:name="_Hlk115901101"/>
      <w:bookmarkEnd w:id="54"/>
      <w:r>
        <w:t>12</w:t>
      </w:r>
      <w:r w:rsidRPr="00485431">
        <w:t>.03.2022 tarihli ve 317</w:t>
      </w:r>
      <w:r>
        <w:t>76</w:t>
      </w:r>
      <w:r w:rsidRPr="00485431">
        <w:t xml:space="preserve"> sayılı Resmî </w:t>
      </w:r>
      <w:r w:rsidR="00274939">
        <w:t>Gazetede</w:t>
      </w:r>
      <w:r w:rsidRPr="00485431">
        <w:t xml:space="preserve"> yayımlanan </w:t>
      </w:r>
      <w:r>
        <w:t>10</w:t>
      </w:r>
      <w:r w:rsidRPr="00485431">
        <w:t>.0</w:t>
      </w:r>
      <w:r>
        <w:t>3</w:t>
      </w:r>
      <w:r w:rsidRPr="00485431">
        <w:t>.2022 tarihli ve 108</w:t>
      </w:r>
      <w:r>
        <w:t>32</w:t>
      </w:r>
      <w:r w:rsidRPr="00485431">
        <w:t xml:space="preserve"> sayılı Kurul Kararı ile</w:t>
      </w:r>
      <w:r>
        <w:t xml:space="preserve"> </w:t>
      </w:r>
      <w:r w:rsidRPr="00485431">
        <w:t xml:space="preserve"> </w:t>
      </w:r>
      <w:r>
        <w:t xml:space="preserve"> </w:t>
      </w:r>
      <w:bookmarkEnd w:id="55"/>
      <w:r w:rsidRPr="00D34E94">
        <w:rPr>
          <w:b/>
        </w:rPr>
        <w:t xml:space="preserve">"10 kW'a Kadar Güneş Enerjisine Dayalı Elektrik Üretim Tesisleri İçin Usul Ve Esaslarda Değişiklik Yapılmasına Dair Usul </w:t>
      </w:r>
      <w:r w:rsidR="0024339C">
        <w:rPr>
          <w:b/>
        </w:rPr>
        <w:t>v</w:t>
      </w:r>
      <w:r w:rsidRPr="00D34E94">
        <w:rPr>
          <w:b/>
        </w:rPr>
        <w:t>e Esaslar”</w:t>
      </w:r>
      <w:r>
        <w:t xml:space="preserve"> kabul edilmiştir.</w:t>
      </w:r>
    </w:p>
    <w:p w:rsidR="003971F6" w:rsidRDefault="003971F6" w:rsidP="003971F6">
      <w:pPr>
        <w:pStyle w:val="ListeParagraf"/>
      </w:pPr>
    </w:p>
    <w:p w:rsidR="002978D3" w:rsidRDefault="002978D3" w:rsidP="000A5A56">
      <w:pPr>
        <w:pStyle w:val="ListeParagraf"/>
        <w:numPr>
          <w:ilvl w:val="0"/>
          <w:numId w:val="28"/>
        </w:numPr>
        <w:spacing w:after="160" w:line="259" w:lineRule="auto"/>
      </w:pPr>
      <w:r>
        <w:t xml:space="preserve">18.03.2022 tarih ve 31782 sayılı </w:t>
      </w:r>
      <w:r w:rsidRPr="00FB5D3F">
        <w:t>Resmî</w:t>
      </w:r>
      <w:r>
        <w:t xml:space="preserve"> </w:t>
      </w:r>
      <w:r w:rsidR="00274939">
        <w:t>Gazetede</w:t>
      </w:r>
      <w:r>
        <w:t xml:space="preserve"> yayımlanan 17</w:t>
      </w:r>
      <w:r w:rsidRPr="00AB0B60">
        <w:t>.0</w:t>
      </w:r>
      <w:r>
        <w:t>3</w:t>
      </w:r>
      <w:r w:rsidRPr="00AB0B60">
        <w:t>.202</w:t>
      </w:r>
      <w:r>
        <w:t>2</w:t>
      </w:r>
      <w:r w:rsidRPr="00AB0B60">
        <w:t xml:space="preserve"> tarihli ve </w:t>
      </w:r>
      <w:r>
        <w:t>10847-1</w:t>
      </w:r>
      <w:r w:rsidRPr="00AB0B60">
        <w:t xml:space="preserve"> </w:t>
      </w:r>
      <w:r>
        <w:t>s</w:t>
      </w:r>
      <w:r w:rsidRPr="00B27810">
        <w:t>ayılı</w:t>
      </w:r>
      <w:r>
        <w:t xml:space="preserve"> Kurul</w:t>
      </w:r>
      <w:r w:rsidRPr="00B27810">
        <w:t xml:space="preserve"> Kararı</w:t>
      </w:r>
      <w:r>
        <w:t xml:space="preserve"> ile Elektrik Piyasası Dairesi Başkanlığının 15.03.2022 tarihli ve E-13316568-110.99-394996 sayılı Başkanlık Makamına müzekkeresi çerçevesinde; 30/09/2021 tarihli ve 10442-2 sayılı Kurul Kararı’nın yürürlükten kaldırılmasına karar verilmiştir.</w:t>
      </w:r>
    </w:p>
    <w:p w:rsidR="002978D3" w:rsidRDefault="002978D3" w:rsidP="002978D3">
      <w:pPr>
        <w:pStyle w:val="ListeParagraf"/>
      </w:pPr>
    </w:p>
    <w:p w:rsidR="002978D3" w:rsidRDefault="002978D3" w:rsidP="000A5A56">
      <w:pPr>
        <w:pStyle w:val="ListeParagraf"/>
        <w:numPr>
          <w:ilvl w:val="0"/>
          <w:numId w:val="28"/>
        </w:numPr>
        <w:spacing w:after="160" w:line="259" w:lineRule="auto"/>
      </w:pPr>
      <w:r>
        <w:t xml:space="preserve">18.03.2022 tarih ve 31782 sayılı </w:t>
      </w:r>
      <w:r w:rsidRPr="00FB5D3F">
        <w:t>Resmî</w:t>
      </w:r>
      <w:r>
        <w:t xml:space="preserve"> </w:t>
      </w:r>
      <w:r w:rsidR="00274939">
        <w:t>Gazetede</w:t>
      </w:r>
      <w:r>
        <w:t xml:space="preserve"> yayımlanan 17</w:t>
      </w:r>
      <w:r w:rsidRPr="00AB0B60">
        <w:t>.0</w:t>
      </w:r>
      <w:r>
        <w:t>3</w:t>
      </w:r>
      <w:r w:rsidRPr="00AB0B60">
        <w:t>.202</w:t>
      </w:r>
      <w:r>
        <w:t>2</w:t>
      </w:r>
      <w:r w:rsidRPr="00AB0B60">
        <w:t xml:space="preserve"> tarihli ve </w:t>
      </w:r>
      <w:r>
        <w:t>10847-2</w:t>
      </w:r>
      <w:r w:rsidRPr="00AB0B60">
        <w:t xml:space="preserve"> </w:t>
      </w:r>
      <w:r>
        <w:t>s</w:t>
      </w:r>
      <w:r w:rsidRPr="00B27810">
        <w:t>ayılı</w:t>
      </w:r>
      <w:r>
        <w:t xml:space="preserve"> Kurul</w:t>
      </w:r>
      <w:r w:rsidRPr="00B27810">
        <w:t xml:space="preserve"> Kararı</w:t>
      </w:r>
      <w:r>
        <w:t xml:space="preserve"> ile </w:t>
      </w:r>
      <w:r w:rsidR="00315C8C" w:rsidRPr="00315C8C">
        <w:t xml:space="preserve">Elektrik Piyasası Lisans Yönetmeliğinin 9 uncu maddesinin birinci fıkrası ile 23 üncü maddesinin üçüncü fıkrasının (a) bendi çerçevesinde aşağıdaki </w:t>
      </w:r>
      <w:r w:rsidR="00315C8C" w:rsidRPr="003971F6">
        <w:rPr>
          <w:b/>
        </w:rPr>
        <w:t>“Önlisans Süreleri ile Tesis Tamamlanma Tarihinin Belirlenmesinde Referans Alınacak İnşaat Süreleri”</w:t>
      </w:r>
      <w:r w:rsidR="00315C8C" w:rsidRPr="00315C8C">
        <w:t xml:space="preserve"> kabul edil</w:t>
      </w:r>
      <w:r w:rsidR="003971F6">
        <w:t>miştir.</w:t>
      </w:r>
    </w:p>
    <w:p w:rsidR="003971F6" w:rsidRDefault="003971F6" w:rsidP="003971F6">
      <w:pPr>
        <w:pStyle w:val="ListeParagraf"/>
      </w:pPr>
    </w:p>
    <w:p w:rsidR="003971F6" w:rsidRDefault="003971F6" w:rsidP="000A5A56">
      <w:pPr>
        <w:pStyle w:val="ListeParagraf"/>
        <w:numPr>
          <w:ilvl w:val="0"/>
          <w:numId w:val="8"/>
        </w:numPr>
        <w:spacing w:after="160" w:line="259" w:lineRule="auto"/>
      </w:pPr>
      <w:bookmarkStart w:id="56" w:name="_Hlk115904043"/>
      <w:r w:rsidRPr="007B2869">
        <w:t xml:space="preserve">18.03.2022 tarihli ve 31782 sayılı Resmî </w:t>
      </w:r>
      <w:r w:rsidR="00274939">
        <w:t>Gazetede</w:t>
      </w:r>
      <w:r w:rsidRPr="007B2869">
        <w:t xml:space="preserve"> yayımlanan 17.03.2022 tarihli ve 108</w:t>
      </w:r>
      <w:r>
        <w:t xml:space="preserve">66 </w:t>
      </w:r>
      <w:r w:rsidRPr="007B2869">
        <w:t xml:space="preserve">sayılı Kurul Kararı </w:t>
      </w:r>
      <w:bookmarkEnd w:id="56"/>
      <w:r w:rsidRPr="007B2869">
        <w:t>ile</w:t>
      </w:r>
      <w:r>
        <w:t xml:space="preserve"> </w:t>
      </w:r>
      <w:r w:rsidRPr="005E050D">
        <w:t xml:space="preserve">yürürlük tarihi 01.04.2022 </w:t>
      </w:r>
      <w:r>
        <w:t xml:space="preserve">olmak üzere </w:t>
      </w:r>
      <w:r w:rsidRPr="00D34E94">
        <w:rPr>
          <w:b/>
        </w:rPr>
        <w:t>"Kaynak Bazında Destekleme Bedelinin Belirlenmesine Ve Uygulanmasına İlişkin Usul Ve Esaslar”</w:t>
      </w:r>
      <w:r>
        <w:t xml:space="preserve"> kabul edilmiştir.</w:t>
      </w:r>
    </w:p>
    <w:p w:rsidR="003971F6" w:rsidRDefault="003971F6" w:rsidP="003971F6">
      <w:pPr>
        <w:pStyle w:val="ListeParagraf"/>
      </w:pPr>
    </w:p>
    <w:p w:rsidR="003971F6" w:rsidRDefault="003971F6" w:rsidP="000A5A56">
      <w:pPr>
        <w:pStyle w:val="ListeParagraf"/>
        <w:numPr>
          <w:ilvl w:val="0"/>
          <w:numId w:val="8"/>
        </w:numPr>
        <w:spacing w:after="160" w:line="259" w:lineRule="auto"/>
      </w:pPr>
      <w:bookmarkStart w:id="57" w:name="_Hlk115904697"/>
      <w:r>
        <w:t>30</w:t>
      </w:r>
      <w:r w:rsidRPr="007B2869">
        <w:t>.03.2022 tarihli ve 317</w:t>
      </w:r>
      <w:r>
        <w:t>94</w:t>
      </w:r>
      <w:r w:rsidRPr="007B2869">
        <w:t xml:space="preserve"> sayılı Resmî </w:t>
      </w:r>
      <w:r w:rsidR="00274939">
        <w:t>Gazetede</w:t>
      </w:r>
      <w:r w:rsidRPr="007B2869">
        <w:t xml:space="preserve"> yayımlanan </w:t>
      </w:r>
      <w:r>
        <w:t>29</w:t>
      </w:r>
      <w:r w:rsidRPr="007B2869">
        <w:t>.03.2022 tarihli ve 108</w:t>
      </w:r>
      <w:r>
        <w:t xml:space="preserve">87 </w:t>
      </w:r>
      <w:r w:rsidRPr="007B2869">
        <w:t>sayılı Kurul Kararı</w:t>
      </w:r>
      <w:r>
        <w:t xml:space="preserve"> </w:t>
      </w:r>
      <w:bookmarkEnd w:id="57"/>
      <w:r>
        <w:t xml:space="preserve">ile 18.03.2022 tarihli ve 31782 sayılı Resmî </w:t>
      </w:r>
      <w:r w:rsidR="00274939">
        <w:t>Gazetede</w:t>
      </w:r>
      <w:r>
        <w:t xml:space="preserve"> yayımlanarak yürürlüğe giren aşağıdaki </w:t>
      </w:r>
      <w:r w:rsidRPr="00D34E94">
        <w:rPr>
          <w:b/>
        </w:rPr>
        <w:t>“Kaynak Bazında Destekleme Bedelinin Belirlenmesine ve Uygulanmasına İlişkin Usul ve Esaslarda Değişiklik Yapılmasına Dair Usul ve Esaslar’’</w:t>
      </w:r>
      <w:r>
        <w:t xml:space="preserve"> kabul edilmiştir.</w:t>
      </w:r>
    </w:p>
    <w:p w:rsidR="003971F6" w:rsidRDefault="003971F6" w:rsidP="003971F6">
      <w:pPr>
        <w:pStyle w:val="ListeParagraf"/>
      </w:pPr>
    </w:p>
    <w:p w:rsidR="003971F6" w:rsidRDefault="003971F6" w:rsidP="000A5A56">
      <w:pPr>
        <w:pStyle w:val="ListeParagraf"/>
        <w:numPr>
          <w:ilvl w:val="0"/>
          <w:numId w:val="8"/>
        </w:numPr>
        <w:spacing w:after="160" w:line="259" w:lineRule="auto"/>
      </w:pPr>
      <w:r>
        <w:t>30</w:t>
      </w:r>
      <w:r w:rsidRPr="007B2869">
        <w:t>.03.2022 tarihli ve 317</w:t>
      </w:r>
      <w:r>
        <w:t>94</w:t>
      </w:r>
      <w:r w:rsidRPr="007B2869">
        <w:t xml:space="preserve"> sayılı Resmî </w:t>
      </w:r>
      <w:r w:rsidR="00274939">
        <w:t>Gazetede</w:t>
      </w:r>
      <w:r w:rsidRPr="007B2869">
        <w:t xml:space="preserve"> yayımlanan </w:t>
      </w:r>
      <w:r>
        <w:t>29</w:t>
      </w:r>
      <w:r w:rsidRPr="007B2869">
        <w:t>.03.2022 tarihli ve 108</w:t>
      </w:r>
      <w:r>
        <w:t xml:space="preserve">88 </w:t>
      </w:r>
      <w:r w:rsidRPr="007B2869">
        <w:t>sayılı Kurul Kararı</w:t>
      </w:r>
      <w:r>
        <w:t xml:space="preserve"> ile </w:t>
      </w:r>
      <w:r w:rsidRPr="00BF3323">
        <w:t xml:space="preserve">6446 sayılı Elektrik Piyasası Kanununun 17 nci maddesinin onbirinci fıkrası ve 18/3/2022 tarihli 31782 sayılı Resmî </w:t>
      </w:r>
      <w:r w:rsidR="00274939">
        <w:t>Gazetede</w:t>
      </w:r>
      <w:r w:rsidRPr="00BF3323">
        <w:t xml:space="preserve"> yayımlanarak yürürlüğe giren Kaynak Bazında Destekleme Bedelinin Belirlenmesine ve Uygulanmasına İlişkin Usul ve </w:t>
      </w:r>
      <w:r w:rsidR="00DC783D">
        <w:t>Esasların</w:t>
      </w:r>
      <w:r w:rsidRPr="00BF3323">
        <w:t xml:space="preserve"> 4 üncü maddesinin birinci ve ikinci fıkraları kapsamında;</w:t>
      </w:r>
    </w:p>
    <w:p w:rsidR="003971F6" w:rsidRDefault="003971F6" w:rsidP="003971F6">
      <w:pPr>
        <w:pStyle w:val="ListeParagraf"/>
      </w:pPr>
    </w:p>
    <w:p w:rsidR="003971F6" w:rsidRDefault="003971F6" w:rsidP="003971F6">
      <w:pPr>
        <w:pStyle w:val="ListeParagraf"/>
        <w:ind w:left="1416"/>
      </w:pPr>
      <w:r>
        <w:t>1) 01/04/2022 tarihinden itibaren 6 ay süreyle tüketiciyi ve/veya maliyeti yüksek üretimi destekleme amacıyla destekleme bedeli uygulanmasına,</w:t>
      </w:r>
    </w:p>
    <w:p w:rsidR="003971F6" w:rsidRDefault="003971F6" w:rsidP="003971F6">
      <w:pPr>
        <w:pStyle w:val="ListeParagraf"/>
      </w:pPr>
    </w:p>
    <w:p w:rsidR="003971F6" w:rsidRDefault="003971F6" w:rsidP="003971F6">
      <w:pPr>
        <w:pStyle w:val="ListeParagraf"/>
        <w:ind w:left="1416"/>
      </w:pPr>
      <w:r>
        <w:t>2) Destekleme bedelinin belirlenmesinde kullanılacak olan “azami uzlaştırma fıyatları”nın aşağıdaki tabloda yer aldığı şekilde uygulanmasına;</w:t>
      </w:r>
    </w:p>
    <w:p w:rsidR="003971F6" w:rsidRDefault="003971F6" w:rsidP="003971F6">
      <w:pPr>
        <w:pStyle w:val="ListeParagraf"/>
        <w:ind w:left="1416"/>
      </w:pPr>
    </w:p>
    <w:p w:rsidR="003971F6" w:rsidRDefault="003971F6" w:rsidP="003971F6">
      <w:pPr>
        <w:pStyle w:val="ListeParagraf"/>
        <w:jc w:val="center"/>
      </w:pPr>
      <w:r>
        <w:rPr>
          <w:noProof/>
          <w:lang w:eastAsia="tr-TR"/>
        </w:rPr>
        <w:lastRenderedPageBreak/>
        <w:drawing>
          <wp:inline distT="0" distB="0" distL="0" distR="0" wp14:anchorId="62833CA3" wp14:editId="5FBA33F2">
            <wp:extent cx="3330575" cy="1243851"/>
            <wp:effectExtent l="0" t="0" r="3175" b="0"/>
            <wp:docPr id="1" name="Resim 1" descr="tablo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sim 1" descr="tablo içeren bir resim&#10;&#10;Açıklama otomatik olarak oluşturuldu"/>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44561" cy="1249074"/>
                    </a:xfrm>
                    <a:prstGeom prst="rect">
                      <a:avLst/>
                    </a:prstGeom>
                    <a:noFill/>
                  </pic:spPr>
                </pic:pic>
              </a:graphicData>
            </a:graphic>
          </wp:inline>
        </w:drawing>
      </w:r>
    </w:p>
    <w:p w:rsidR="003971F6" w:rsidRDefault="003971F6" w:rsidP="003971F6">
      <w:pPr>
        <w:ind w:firstLine="708"/>
      </w:pPr>
      <w:r w:rsidRPr="00BF3323">
        <w:t>karar verilmiştir</w:t>
      </w:r>
      <w:r>
        <w:t>.</w:t>
      </w:r>
    </w:p>
    <w:p w:rsidR="003971F6" w:rsidRPr="00F105BC" w:rsidRDefault="003971F6" w:rsidP="000A5A56">
      <w:pPr>
        <w:pStyle w:val="ListeParagraf"/>
        <w:numPr>
          <w:ilvl w:val="0"/>
          <w:numId w:val="55"/>
        </w:numPr>
        <w:spacing w:after="160" w:line="259" w:lineRule="auto"/>
      </w:pPr>
      <w:bookmarkStart w:id="58" w:name="_Hlk115905586"/>
      <w:r w:rsidRPr="00F105BC">
        <w:t xml:space="preserve">30.03.2022 tarihli ve 31794 sayılı Resmî </w:t>
      </w:r>
      <w:r w:rsidR="00274939">
        <w:t>Gazetede</w:t>
      </w:r>
      <w:r w:rsidRPr="00F105BC">
        <w:t xml:space="preserve"> yayımlanan 29.03.2022 tarihli ve 10889 sayılı Kurul Kararı ile </w:t>
      </w:r>
      <w:bookmarkEnd w:id="58"/>
      <w:r w:rsidRPr="00F105BC">
        <w:t xml:space="preserve">6446 sayılı Elektrik Piyasası Kanununun 17 nci maddesinin on birinci fıkrası ve Kaynak Bazında Destekleme Bedelinin Belirlenmesine ve Uygulanmasına İlişkin Usul ve </w:t>
      </w:r>
      <w:r w:rsidR="00DC783D">
        <w:t>Esasların</w:t>
      </w:r>
      <w:r w:rsidRPr="00F105BC">
        <w:t xml:space="preserve"> 4 üncü maddesinin dördüncü fıkrası kapsamında hesaplanan azami uzlaştırma fiyatının güncellenmesine ilişkin formüllerin </w:t>
      </w:r>
      <w:r w:rsidR="00F105BC">
        <w:t xml:space="preserve">kararda belirtilen şekliyle uygulanmasına </w:t>
      </w:r>
      <w:r w:rsidRPr="00F105BC">
        <w:t>karar verilmiştir.</w:t>
      </w:r>
    </w:p>
    <w:p w:rsidR="003971F6" w:rsidRDefault="003971F6" w:rsidP="003971F6">
      <w:pPr>
        <w:pStyle w:val="ListeParagraf"/>
      </w:pPr>
    </w:p>
    <w:p w:rsidR="003971F6" w:rsidRDefault="003971F6" w:rsidP="000A5A56">
      <w:pPr>
        <w:pStyle w:val="ListeParagraf"/>
        <w:numPr>
          <w:ilvl w:val="0"/>
          <w:numId w:val="55"/>
        </w:numPr>
        <w:spacing w:after="160" w:line="259" w:lineRule="auto"/>
      </w:pPr>
      <w:bookmarkStart w:id="59" w:name="_Hlk115942331"/>
      <w:r>
        <w:t>30</w:t>
      </w:r>
      <w:r w:rsidRPr="007B2869">
        <w:t>.03.2022 tarihli ve 317</w:t>
      </w:r>
      <w:r>
        <w:t>94</w:t>
      </w:r>
      <w:r w:rsidRPr="007B2869">
        <w:t xml:space="preserve"> sayılı Resmî </w:t>
      </w:r>
      <w:r w:rsidR="00274939">
        <w:t>Gazetede</w:t>
      </w:r>
      <w:r w:rsidRPr="007B2869">
        <w:t xml:space="preserve"> yayımlanan </w:t>
      </w:r>
      <w:r>
        <w:t>29</w:t>
      </w:r>
      <w:r w:rsidRPr="007B2869">
        <w:t>.03.2022 tarihli ve 108</w:t>
      </w:r>
      <w:r>
        <w:t xml:space="preserve">90 </w:t>
      </w:r>
      <w:r w:rsidRPr="007B2869">
        <w:t>sayılı Kurul Kararı</w:t>
      </w:r>
      <w:r>
        <w:t xml:space="preserve"> ile </w:t>
      </w:r>
      <w:bookmarkEnd w:id="59"/>
      <w:r w:rsidRPr="00D34E94">
        <w:rPr>
          <w:b/>
        </w:rPr>
        <w:t>“Gün Öncesi Piyasasında ve Dengeleme Güç Piyasasında Asgari ve Azami Fiyat Limitlerinin Belirlenmesine İlişkin Usul ve Esaslarda Değişiklik Yapılmasına Dair Usul ve Esaslar”</w:t>
      </w:r>
      <w:r>
        <w:t xml:space="preserve"> kabul edilmiştir.</w:t>
      </w:r>
    </w:p>
    <w:p w:rsidR="003971F6" w:rsidRDefault="003971F6" w:rsidP="003971F6">
      <w:pPr>
        <w:pStyle w:val="ListeParagraf"/>
        <w:rPr>
          <w:rFonts w:ascii="Calibri" w:hAnsi="Calibri" w:cs="Calibri"/>
          <w:color w:val="000000"/>
        </w:rPr>
      </w:pPr>
    </w:p>
    <w:p w:rsidR="00065BBD" w:rsidRPr="00A94A40" w:rsidRDefault="00065BBD" w:rsidP="000A5A56">
      <w:pPr>
        <w:pStyle w:val="ListeParagraf"/>
        <w:numPr>
          <w:ilvl w:val="0"/>
          <w:numId w:val="57"/>
        </w:numPr>
        <w:spacing w:after="160" w:line="259" w:lineRule="auto"/>
        <w:rPr>
          <w:rFonts w:ascii="Calibri" w:hAnsi="Calibri" w:cs="Calibri"/>
          <w:color w:val="000000"/>
        </w:rPr>
      </w:pPr>
      <w:r w:rsidRPr="0096477E">
        <w:rPr>
          <w:rFonts w:ascii="Calibri" w:hAnsi="Calibri" w:cs="Calibri"/>
          <w:color w:val="000000"/>
        </w:rPr>
        <w:t>0</w:t>
      </w:r>
      <w:r>
        <w:rPr>
          <w:rFonts w:ascii="Calibri" w:hAnsi="Calibri" w:cs="Calibri"/>
          <w:color w:val="000000"/>
        </w:rPr>
        <w:t>3</w:t>
      </w:r>
      <w:r w:rsidRPr="005B3935">
        <w:rPr>
          <w:rFonts w:ascii="Calibri" w:hAnsi="Calibri" w:cs="Calibri"/>
          <w:color w:val="000000"/>
        </w:rPr>
        <w:t>.</w:t>
      </w:r>
      <w:r w:rsidRPr="0096477E">
        <w:rPr>
          <w:rFonts w:ascii="Calibri" w:hAnsi="Calibri" w:cs="Calibri"/>
          <w:color w:val="000000"/>
        </w:rPr>
        <w:t>0</w:t>
      </w:r>
      <w:r>
        <w:rPr>
          <w:rFonts w:ascii="Calibri" w:hAnsi="Calibri" w:cs="Calibri"/>
          <w:color w:val="000000"/>
        </w:rPr>
        <w:t>4</w:t>
      </w:r>
      <w:r w:rsidRPr="005B3935">
        <w:rPr>
          <w:rFonts w:ascii="Calibri" w:hAnsi="Calibri" w:cs="Calibri"/>
          <w:color w:val="000000"/>
        </w:rPr>
        <w:t>.202</w:t>
      </w:r>
      <w:r w:rsidRPr="0096477E">
        <w:rPr>
          <w:rFonts w:ascii="Calibri" w:hAnsi="Calibri" w:cs="Calibri"/>
          <w:color w:val="000000"/>
        </w:rPr>
        <w:t>2</w:t>
      </w:r>
      <w:r w:rsidRPr="005B3935">
        <w:rPr>
          <w:rFonts w:ascii="Calibri" w:hAnsi="Calibri" w:cs="Calibri"/>
          <w:color w:val="000000"/>
        </w:rPr>
        <w:t xml:space="preserve"> tarihli ve 31</w:t>
      </w:r>
      <w:r w:rsidRPr="0096477E">
        <w:rPr>
          <w:rFonts w:ascii="Calibri" w:hAnsi="Calibri" w:cs="Calibri"/>
          <w:color w:val="000000"/>
        </w:rPr>
        <w:t>7</w:t>
      </w:r>
      <w:r>
        <w:rPr>
          <w:rFonts w:ascii="Calibri" w:hAnsi="Calibri" w:cs="Calibri"/>
          <w:color w:val="000000"/>
        </w:rPr>
        <w:t>98</w:t>
      </w:r>
      <w:r w:rsidRPr="005B3935">
        <w:rPr>
          <w:rFonts w:ascii="Calibri" w:hAnsi="Calibri" w:cs="Calibri"/>
          <w:color w:val="000000"/>
        </w:rPr>
        <w:t xml:space="preserve"> sayılı Resmî </w:t>
      </w:r>
      <w:r w:rsidR="00274939">
        <w:rPr>
          <w:rFonts w:ascii="Calibri" w:hAnsi="Calibri" w:cs="Calibri"/>
          <w:color w:val="000000"/>
        </w:rPr>
        <w:t>Gazetede</w:t>
      </w:r>
      <w:r w:rsidRPr="005B3935">
        <w:rPr>
          <w:rFonts w:ascii="Calibri" w:hAnsi="Calibri" w:cs="Calibri"/>
          <w:color w:val="000000"/>
        </w:rPr>
        <w:t xml:space="preserve"> yayımlanan </w:t>
      </w:r>
      <w:r>
        <w:rPr>
          <w:rFonts w:ascii="Calibri" w:hAnsi="Calibri" w:cs="Calibri"/>
          <w:color w:val="000000"/>
        </w:rPr>
        <w:t>31</w:t>
      </w:r>
      <w:r w:rsidRPr="005B3935">
        <w:rPr>
          <w:rFonts w:ascii="Calibri" w:hAnsi="Calibri" w:cs="Calibri"/>
          <w:color w:val="000000"/>
        </w:rPr>
        <w:t>.</w:t>
      </w:r>
      <w:r w:rsidRPr="0096477E">
        <w:rPr>
          <w:rFonts w:ascii="Calibri" w:hAnsi="Calibri" w:cs="Calibri"/>
          <w:color w:val="000000"/>
        </w:rPr>
        <w:t>0</w:t>
      </w:r>
      <w:r>
        <w:rPr>
          <w:rFonts w:ascii="Calibri" w:hAnsi="Calibri" w:cs="Calibri"/>
          <w:color w:val="000000"/>
        </w:rPr>
        <w:t>3</w:t>
      </w:r>
      <w:r w:rsidRPr="005B3935">
        <w:rPr>
          <w:rFonts w:ascii="Calibri" w:hAnsi="Calibri" w:cs="Calibri"/>
          <w:color w:val="000000"/>
        </w:rPr>
        <w:t>.202</w:t>
      </w:r>
      <w:r w:rsidRPr="0096477E">
        <w:rPr>
          <w:rFonts w:ascii="Calibri" w:hAnsi="Calibri" w:cs="Calibri"/>
          <w:color w:val="000000"/>
        </w:rPr>
        <w:t>2</w:t>
      </w:r>
      <w:r w:rsidRPr="005B3935">
        <w:rPr>
          <w:rFonts w:ascii="Calibri" w:hAnsi="Calibri" w:cs="Calibri"/>
          <w:color w:val="000000"/>
        </w:rPr>
        <w:t xml:space="preserve"> tarihli ve </w:t>
      </w:r>
      <w:r w:rsidR="00F51638">
        <w:rPr>
          <w:rFonts w:ascii="Calibri" w:hAnsi="Calibri" w:cs="Calibri"/>
          <w:color w:val="000000"/>
        </w:rPr>
        <w:t>10892</w:t>
      </w:r>
      <w:r>
        <w:rPr>
          <w:rFonts w:ascii="Calibri" w:hAnsi="Calibri" w:cs="Calibri"/>
          <w:color w:val="000000"/>
        </w:rPr>
        <w:t xml:space="preserve"> </w:t>
      </w:r>
      <w:r w:rsidRPr="005B3935">
        <w:rPr>
          <w:rFonts w:ascii="Calibri" w:hAnsi="Calibri" w:cs="Calibri"/>
          <w:color w:val="000000"/>
        </w:rPr>
        <w:t>sayılı Kurul Kararı ile</w:t>
      </w:r>
      <w:r>
        <w:rPr>
          <w:rFonts w:ascii="Calibri" w:hAnsi="Calibri" w:cs="Calibri"/>
          <w:color w:val="000000"/>
        </w:rPr>
        <w:t xml:space="preserve"> </w:t>
      </w:r>
      <w:r w:rsidRPr="00A94A40">
        <w:rPr>
          <w:rFonts w:ascii="Calibri" w:hAnsi="Calibri" w:cs="Calibri"/>
          <w:color w:val="000000"/>
        </w:rPr>
        <w:t xml:space="preserve">6446 sayılı Elektrik Piyasası Kanununun 17 nci maddesinin dördüncü fıkrasına eklenen </w:t>
      </w:r>
      <w:r w:rsidRPr="00A94A40">
        <w:rPr>
          <w:rFonts w:ascii="Calibri" w:hAnsi="Calibri" w:cs="Calibri"/>
          <w:i/>
          <w:color w:val="000000"/>
        </w:rPr>
        <w:t>“bu abone grupları için elektrik enerjisi tüketim m</w:t>
      </w:r>
      <w:r w:rsidR="004F2451">
        <w:rPr>
          <w:rFonts w:ascii="Calibri" w:hAnsi="Calibri" w:cs="Calibri"/>
          <w:i/>
          <w:color w:val="000000"/>
        </w:rPr>
        <w:t>i</w:t>
      </w:r>
      <w:r w:rsidRPr="00A94A40">
        <w:rPr>
          <w:rFonts w:ascii="Calibri" w:hAnsi="Calibri" w:cs="Calibri"/>
          <w:i/>
          <w:color w:val="000000"/>
        </w:rPr>
        <w:t>ktarına göre farklı”</w:t>
      </w:r>
      <w:r w:rsidRPr="00A94A40">
        <w:rPr>
          <w:rFonts w:ascii="Calibri" w:hAnsi="Calibri" w:cs="Calibri"/>
          <w:color w:val="000000"/>
        </w:rPr>
        <w:t xml:space="preserve"> hükmünün ticarethane aboneliği ile ilişkilendirilen lisanssız elektrik üretim tesislerine uygulanmasına ilişkin olarak:</w:t>
      </w:r>
    </w:p>
    <w:p w:rsidR="00065BBD" w:rsidRDefault="00065BBD" w:rsidP="00065BBD">
      <w:pPr>
        <w:pStyle w:val="ListeParagraf"/>
        <w:rPr>
          <w:rFonts w:ascii="Calibri" w:hAnsi="Calibri" w:cs="Calibri"/>
          <w:color w:val="000000"/>
        </w:rPr>
      </w:pPr>
    </w:p>
    <w:p w:rsidR="00065BBD" w:rsidRPr="00A94A40" w:rsidRDefault="00065BBD" w:rsidP="00065BBD">
      <w:pPr>
        <w:pStyle w:val="ListeParagraf"/>
        <w:ind w:left="1418"/>
        <w:rPr>
          <w:rFonts w:ascii="Calibri" w:hAnsi="Calibri" w:cs="Calibri"/>
          <w:color w:val="000000"/>
        </w:rPr>
      </w:pPr>
      <w:r w:rsidRPr="00A94A40">
        <w:rPr>
          <w:rFonts w:ascii="Calibri" w:hAnsi="Calibri" w:cs="Calibri"/>
          <w:color w:val="000000"/>
        </w:rPr>
        <w:t>1) Üreticinin serbest tüketici olup olmaması ve mahsuplaşmanın saatlik veya aylık olarak yapılması arasında herhangi bir ayrım yapılmaksızın üreticilere ödenecek ihtiyaç fazlası elektrik enerjisi bedeli için kademeli tarife esas alınarak uygulama yapılmasına.</w:t>
      </w:r>
    </w:p>
    <w:p w:rsidR="00065BBD" w:rsidRDefault="00065BBD" w:rsidP="00065BBD">
      <w:pPr>
        <w:pStyle w:val="ListeParagraf"/>
        <w:rPr>
          <w:rFonts w:ascii="Calibri" w:hAnsi="Calibri" w:cs="Calibri"/>
          <w:color w:val="000000"/>
        </w:rPr>
      </w:pPr>
    </w:p>
    <w:p w:rsidR="00065BBD" w:rsidRPr="00A94A40" w:rsidRDefault="00065BBD" w:rsidP="00065BBD">
      <w:pPr>
        <w:pStyle w:val="ListeParagraf"/>
        <w:ind w:left="1418"/>
        <w:rPr>
          <w:rFonts w:ascii="Calibri" w:hAnsi="Calibri" w:cs="Calibri"/>
          <w:color w:val="000000"/>
        </w:rPr>
      </w:pPr>
      <w:r w:rsidRPr="00A94A40">
        <w:rPr>
          <w:rFonts w:ascii="Calibri" w:hAnsi="Calibri" w:cs="Calibri"/>
          <w:color w:val="000000"/>
        </w:rPr>
        <w:t>2) Saatlik mahsuplaşma işlemi sonucunda tüketimin, üretimi geçmesi halinde; saatlik mahsuplaşma neticesinde elde edilen net tüketim değeri üzerinden kademeli tarife uygulamasının yapılmasına.</w:t>
      </w:r>
    </w:p>
    <w:p w:rsidR="00065BBD" w:rsidRDefault="00065BBD" w:rsidP="00065BBD">
      <w:pPr>
        <w:pStyle w:val="ListeParagraf"/>
        <w:ind w:left="1418"/>
        <w:rPr>
          <w:rFonts w:ascii="Calibri" w:hAnsi="Calibri" w:cs="Calibri"/>
          <w:color w:val="000000"/>
        </w:rPr>
      </w:pPr>
    </w:p>
    <w:p w:rsidR="00065BBD" w:rsidRPr="00A94A40" w:rsidRDefault="00065BBD" w:rsidP="00065BBD">
      <w:pPr>
        <w:pStyle w:val="ListeParagraf"/>
        <w:ind w:left="1418"/>
        <w:rPr>
          <w:rFonts w:ascii="Calibri" w:hAnsi="Calibri" w:cs="Calibri"/>
          <w:color w:val="000000"/>
        </w:rPr>
      </w:pPr>
      <w:r w:rsidRPr="00A94A40">
        <w:rPr>
          <w:rFonts w:ascii="Calibri" w:hAnsi="Calibri" w:cs="Calibri"/>
          <w:color w:val="000000"/>
        </w:rPr>
        <w:t>3</w:t>
      </w:r>
      <w:r>
        <w:rPr>
          <w:rFonts w:ascii="Calibri" w:hAnsi="Calibri" w:cs="Calibri"/>
          <w:color w:val="000000"/>
        </w:rPr>
        <w:t>)</w:t>
      </w:r>
      <w:r w:rsidRPr="00A94A40">
        <w:rPr>
          <w:rFonts w:ascii="Calibri" w:hAnsi="Calibri" w:cs="Calibri"/>
          <w:color w:val="000000"/>
        </w:rPr>
        <w:t xml:space="preserve"> Aylık mahsuplaşma kapsamındaki tesislerde ma</w:t>
      </w:r>
      <w:r w:rsidR="00F51638">
        <w:rPr>
          <w:rFonts w:ascii="Calibri" w:hAnsi="Calibri" w:cs="Calibri"/>
          <w:color w:val="000000"/>
        </w:rPr>
        <w:t>h</w:t>
      </w:r>
      <w:r w:rsidRPr="00A94A40">
        <w:rPr>
          <w:rFonts w:ascii="Calibri" w:hAnsi="Calibri" w:cs="Calibri"/>
          <w:color w:val="000000"/>
        </w:rPr>
        <w:t>suplaşılmış ham tüketim değerleri esas alınarak tüketiciler ve tedarikçiler için kademeli tarife kapsamında uygulama yapılmasına</w:t>
      </w:r>
    </w:p>
    <w:p w:rsidR="00315C8C" w:rsidRDefault="00065BBD" w:rsidP="00065BBD">
      <w:pPr>
        <w:tabs>
          <w:tab w:val="right" w:pos="9072"/>
        </w:tabs>
        <w:spacing w:after="0" w:line="240" w:lineRule="auto"/>
        <w:ind w:firstLine="567"/>
        <w:rPr>
          <w:rFonts w:ascii="Calibri" w:hAnsi="Calibri" w:cs="Calibri"/>
          <w:color w:val="000000"/>
        </w:rPr>
      </w:pPr>
      <w:r w:rsidRPr="00A94A40">
        <w:rPr>
          <w:rFonts w:ascii="Calibri" w:hAnsi="Calibri" w:cs="Calibri"/>
          <w:color w:val="000000"/>
        </w:rPr>
        <w:t>karar verilmiştir.</w:t>
      </w:r>
    </w:p>
    <w:p w:rsidR="00065BBD" w:rsidRDefault="00065BBD" w:rsidP="00065BBD">
      <w:pPr>
        <w:tabs>
          <w:tab w:val="right" w:pos="9072"/>
        </w:tabs>
        <w:spacing w:after="0" w:line="240" w:lineRule="auto"/>
        <w:ind w:firstLine="567"/>
        <w:rPr>
          <w:rFonts w:eastAsia="Times New Roman" w:cstheme="minorHAnsi"/>
          <w:spacing w:val="-2"/>
          <w:lang w:eastAsia="tr-TR"/>
        </w:rPr>
      </w:pPr>
    </w:p>
    <w:p w:rsidR="00065BBD" w:rsidRDefault="00065BBD" w:rsidP="000A5A56">
      <w:pPr>
        <w:pStyle w:val="ListeParagraf"/>
        <w:numPr>
          <w:ilvl w:val="0"/>
          <w:numId w:val="57"/>
        </w:numPr>
        <w:spacing w:after="160" w:line="259" w:lineRule="auto"/>
        <w:rPr>
          <w:rFonts w:ascii="Calibri" w:hAnsi="Calibri" w:cs="Calibri"/>
          <w:color w:val="000000"/>
        </w:rPr>
      </w:pPr>
      <w:bookmarkStart w:id="60" w:name="_Hlk115948240"/>
      <w:r w:rsidRPr="008D0A58">
        <w:rPr>
          <w:rFonts w:ascii="Calibri" w:hAnsi="Calibri" w:cs="Calibri"/>
          <w:color w:val="000000"/>
        </w:rPr>
        <w:t xml:space="preserve">08.04.2022 tarihli ve 31803 sayılı Resmî </w:t>
      </w:r>
      <w:r w:rsidR="00274939">
        <w:rPr>
          <w:rFonts w:ascii="Calibri" w:hAnsi="Calibri" w:cs="Calibri"/>
          <w:color w:val="000000"/>
        </w:rPr>
        <w:t>Gazetede</w:t>
      </w:r>
      <w:r w:rsidRPr="008D0A58">
        <w:rPr>
          <w:rFonts w:ascii="Calibri" w:hAnsi="Calibri" w:cs="Calibri"/>
          <w:color w:val="000000"/>
        </w:rPr>
        <w:t xml:space="preserve"> yayımlanan 07.04.2022 tarihli ve 1091</w:t>
      </w:r>
      <w:r>
        <w:rPr>
          <w:rFonts w:ascii="Calibri" w:hAnsi="Calibri" w:cs="Calibri"/>
          <w:color w:val="000000"/>
        </w:rPr>
        <w:t xml:space="preserve">4 </w:t>
      </w:r>
      <w:r w:rsidRPr="008D0A58">
        <w:rPr>
          <w:rFonts w:ascii="Calibri" w:hAnsi="Calibri" w:cs="Calibri"/>
          <w:color w:val="000000"/>
        </w:rPr>
        <w:t>sayılı Kurul Kararı ile</w:t>
      </w:r>
      <w:r>
        <w:rPr>
          <w:rFonts w:ascii="Calibri" w:hAnsi="Calibri" w:cs="Calibri"/>
          <w:color w:val="000000"/>
        </w:rPr>
        <w:t xml:space="preserve"> </w:t>
      </w:r>
      <w:bookmarkEnd w:id="60"/>
      <w:r w:rsidRPr="008D0A58">
        <w:rPr>
          <w:rFonts w:ascii="Calibri" w:hAnsi="Calibri" w:cs="Calibri"/>
          <w:color w:val="000000"/>
        </w:rPr>
        <w:t>6446 sayılı Elektrik Piyasası Kanunu’nun 17 nci maddesinin on birinci fıkrası ve Kaynak Bazında Destekleme Bedelinin Belirlenmesine ve Uygulanmasına ilişkin Usul ve Esasların 4 üncü maddesinin dördüncü fıkrası kapsamında hesaplanan azami uzlaştırma fiyatının güncellenmesine ilişkin formüllerin uygulanması hakkında alınmış olan 29</w:t>
      </w:r>
      <w:r>
        <w:rPr>
          <w:rFonts w:ascii="Calibri" w:hAnsi="Calibri" w:cs="Calibri"/>
          <w:color w:val="000000"/>
        </w:rPr>
        <w:t>.</w:t>
      </w:r>
      <w:r w:rsidRPr="008D0A58">
        <w:rPr>
          <w:rFonts w:ascii="Calibri" w:hAnsi="Calibri" w:cs="Calibri"/>
          <w:color w:val="000000"/>
        </w:rPr>
        <w:t>03</w:t>
      </w:r>
      <w:r>
        <w:rPr>
          <w:rFonts w:ascii="Calibri" w:hAnsi="Calibri" w:cs="Calibri"/>
          <w:color w:val="000000"/>
        </w:rPr>
        <w:t>.</w:t>
      </w:r>
      <w:r w:rsidRPr="008D0A58">
        <w:rPr>
          <w:rFonts w:ascii="Calibri" w:hAnsi="Calibri" w:cs="Calibri"/>
          <w:color w:val="000000"/>
        </w:rPr>
        <w:t>2022 tarihli ve 10889 sayılı Kurul Kararında</w:t>
      </w:r>
      <w:r>
        <w:rPr>
          <w:rFonts w:ascii="Calibri" w:hAnsi="Calibri" w:cs="Calibri"/>
          <w:color w:val="000000"/>
        </w:rPr>
        <w:t xml:space="preserve"> belirtilen bir takım tanımlar düzeltilmiştir.</w:t>
      </w:r>
    </w:p>
    <w:p w:rsidR="00065BBD" w:rsidRPr="008D0A58" w:rsidRDefault="00065BBD" w:rsidP="00065BBD">
      <w:pPr>
        <w:pStyle w:val="ListeParagraf"/>
        <w:rPr>
          <w:rFonts w:ascii="Calibri" w:hAnsi="Calibri" w:cs="Calibri"/>
          <w:color w:val="000000"/>
        </w:rPr>
      </w:pPr>
    </w:p>
    <w:p w:rsidR="00065BBD" w:rsidRPr="008D0A58" w:rsidRDefault="00065BBD" w:rsidP="000A5A56">
      <w:pPr>
        <w:pStyle w:val="ListeParagraf"/>
        <w:numPr>
          <w:ilvl w:val="0"/>
          <w:numId w:val="57"/>
        </w:numPr>
        <w:spacing w:after="160" w:line="259" w:lineRule="auto"/>
        <w:rPr>
          <w:rFonts w:ascii="Calibri" w:hAnsi="Calibri" w:cs="Calibri"/>
          <w:color w:val="000000"/>
        </w:rPr>
      </w:pPr>
      <w:r w:rsidRPr="008D0A58">
        <w:rPr>
          <w:rFonts w:ascii="Calibri" w:hAnsi="Calibri" w:cs="Calibri"/>
          <w:color w:val="000000"/>
        </w:rPr>
        <w:t xml:space="preserve">08.04.2022 tarihli ve 31803 sayılı Resmî </w:t>
      </w:r>
      <w:r w:rsidR="00274939">
        <w:rPr>
          <w:rFonts w:ascii="Calibri" w:hAnsi="Calibri" w:cs="Calibri"/>
          <w:color w:val="000000"/>
        </w:rPr>
        <w:t>Gazetede</w:t>
      </w:r>
      <w:r w:rsidRPr="008D0A58">
        <w:rPr>
          <w:rFonts w:ascii="Calibri" w:hAnsi="Calibri" w:cs="Calibri"/>
          <w:color w:val="000000"/>
        </w:rPr>
        <w:t xml:space="preserve"> yayımlanan 07.04.2022 tarihli ve 1091</w:t>
      </w:r>
      <w:r>
        <w:rPr>
          <w:rFonts w:ascii="Calibri" w:hAnsi="Calibri" w:cs="Calibri"/>
          <w:color w:val="000000"/>
        </w:rPr>
        <w:t xml:space="preserve">5 </w:t>
      </w:r>
      <w:r w:rsidRPr="008D0A58">
        <w:rPr>
          <w:rFonts w:ascii="Calibri" w:hAnsi="Calibri" w:cs="Calibri"/>
          <w:color w:val="000000"/>
        </w:rPr>
        <w:t>sayılı Kurul Kararı ile</w:t>
      </w:r>
      <w:r>
        <w:rPr>
          <w:rFonts w:ascii="Calibri" w:hAnsi="Calibri" w:cs="Calibri"/>
          <w:color w:val="000000"/>
        </w:rPr>
        <w:t xml:space="preserve"> “</w:t>
      </w:r>
      <w:r w:rsidRPr="008D0A58">
        <w:rPr>
          <w:rFonts w:ascii="Calibri" w:hAnsi="Calibri" w:cs="Calibri"/>
          <w:color w:val="000000"/>
        </w:rPr>
        <w:t>Gün Öncesi Piyasası Tekliflerinin Yapısı ve Tekliflerin Değerlendirilmesine İlişkin Usul ve Esaslar</w:t>
      </w:r>
      <w:r>
        <w:rPr>
          <w:rFonts w:ascii="Calibri" w:hAnsi="Calibri" w:cs="Calibri"/>
          <w:color w:val="000000"/>
        </w:rPr>
        <w:t>”</w:t>
      </w:r>
      <w:r w:rsidRPr="008D0A58">
        <w:rPr>
          <w:rFonts w:ascii="Calibri" w:hAnsi="Calibri" w:cs="Calibri"/>
          <w:color w:val="000000"/>
        </w:rPr>
        <w:t>ın 10 uncu maddesinin üçüncü fıkrası aşağıdaki şekilde değiştirilmiştir.</w:t>
      </w:r>
    </w:p>
    <w:p w:rsidR="00065BBD" w:rsidRDefault="00065BBD" w:rsidP="00065BBD">
      <w:pPr>
        <w:pStyle w:val="ListeParagraf"/>
        <w:rPr>
          <w:rFonts w:ascii="Calibri" w:hAnsi="Calibri" w:cs="Calibri"/>
          <w:color w:val="000000"/>
        </w:rPr>
      </w:pPr>
    </w:p>
    <w:p w:rsidR="00065BBD" w:rsidRPr="00F70BE2" w:rsidRDefault="00065BBD" w:rsidP="00065BBD">
      <w:pPr>
        <w:pStyle w:val="ListeParagraf"/>
        <w:ind w:left="1418"/>
        <w:rPr>
          <w:rFonts w:ascii="Calibri" w:hAnsi="Calibri" w:cs="Calibri"/>
          <w:color w:val="000000"/>
        </w:rPr>
      </w:pPr>
      <w:r w:rsidRPr="00F70BE2">
        <w:rPr>
          <w:rFonts w:ascii="Calibri" w:hAnsi="Calibri" w:cs="Calibri"/>
          <w:color w:val="000000"/>
        </w:rPr>
        <w:t>(3) Herhangi bir saatte arz talep miktar eşitliğinin sağlanamadığı durumda söz konusu eşitsizliğin;</w:t>
      </w:r>
    </w:p>
    <w:p w:rsidR="00065BBD" w:rsidRPr="00F70BE2" w:rsidRDefault="00065BBD" w:rsidP="00065BBD">
      <w:pPr>
        <w:pStyle w:val="ListeParagraf"/>
        <w:ind w:left="1418"/>
        <w:rPr>
          <w:rFonts w:ascii="Calibri" w:hAnsi="Calibri" w:cs="Calibri"/>
          <w:color w:val="000000"/>
        </w:rPr>
      </w:pPr>
      <w:r w:rsidRPr="00F70BE2">
        <w:rPr>
          <w:rFonts w:ascii="Calibri" w:hAnsi="Calibri" w:cs="Calibri"/>
          <w:color w:val="000000"/>
        </w:rPr>
        <w:t>a) Arzın talebi karşılamaması sebebiyle gerçekleşmesi durumunda blok alış tekliflerinde,</w:t>
      </w:r>
    </w:p>
    <w:p w:rsidR="00065BBD" w:rsidRDefault="00065BBD" w:rsidP="00065BBD">
      <w:pPr>
        <w:pStyle w:val="ListeParagraf"/>
        <w:ind w:left="1418"/>
        <w:rPr>
          <w:rFonts w:ascii="Calibri" w:hAnsi="Calibri" w:cs="Calibri"/>
          <w:color w:val="000000"/>
        </w:rPr>
      </w:pPr>
      <w:r w:rsidRPr="00F70BE2">
        <w:rPr>
          <w:rFonts w:ascii="Calibri" w:hAnsi="Calibri" w:cs="Calibri"/>
          <w:color w:val="000000"/>
        </w:rPr>
        <w:t>b) Talebin arzı karşılamaması sebebiyle gerçekleşmesi durumunda blok satış tekliflerinde</w:t>
      </w:r>
    </w:p>
    <w:p w:rsidR="00065BBD" w:rsidRDefault="00065BBD" w:rsidP="00065BBD">
      <w:pPr>
        <w:pStyle w:val="ListeParagraf"/>
        <w:ind w:left="1418"/>
        <w:rPr>
          <w:rFonts w:ascii="Calibri" w:hAnsi="Calibri" w:cs="Calibri"/>
          <w:color w:val="000000"/>
        </w:rPr>
      </w:pPr>
      <w:r w:rsidRPr="00F70BE2">
        <w:rPr>
          <w:rFonts w:ascii="Calibri" w:hAnsi="Calibri" w:cs="Calibri"/>
          <w:color w:val="000000"/>
        </w:rPr>
        <w:t>bu maddenin ikinci fıkrası dikkate alınmaz.”</w:t>
      </w:r>
    </w:p>
    <w:p w:rsidR="00316032" w:rsidRDefault="00316032" w:rsidP="00316032">
      <w:pPr>
        <w:pStyle w:val="ListeParagraf"/>
        <w:spacing w:after="160" w:line="259" w:lineRule="auto"/>
        <w:rPr>
          <w:rFonts w:ascii="Calibri" w:hAnsi="Calibri" w:cs="Calibri"/>
          <w:color w:val="000000"/>
        </w:rPr>
      </w:pPr>
    </w:p>
    <w:p w:rsidR="0024339C" w:rsidRPr="00E6446B" w:rsidRDefault="0024339C" w:rsidP="0024339C">
      <w:pPr>
        <w:pStyle w:val="ListeParagraf"/>
        <w:numPr>
          <w:ilvl w:val="0"/>
          <w:numId w:val="75"/>
        </w:numPr>
        <w:spacing w:after="160" w:line="259" w:lineRule="auto"/>
        <w:rPr>
          <w:rFonts w:ascii="Calibri" w:hAnsi="Calibri" w:cs="Calibri"/>
          <w:color w:val="000000"/>
        </w:rPr>
      </w:pPr>
      <w:r>
        <w:rPr>
          <w:rFonts w:ascii="Calibri" w:hAnsi="Calibri" w:cs="Calibri"/>
          <w:color w:val="000000"/>
        </w:rPr>
        <w:t xml:space="preserve">13.05.2022 tarihli ve 31834 sayılı Resmî </w:t>
      </w:r>
      <w:r w:rsidR="00274939">
        <w:rPr>
          <w:rFonts w:ascii="Calibri" w:hAnsi="Calibri" w:cs="Calibri"/>
          <w:color w:val="000000"/>
        </w:rPr>
        <w:t>Gazetede</w:t>
      </w:r>
      <w:r>
        <w:rPr>
          <w:rFonts w:ascii="Calibri" w:hAnsi="Calibri" w:cs="Calibri"/>
          <w:color w:val="000000"/>
        </w:rPr>
        <w:t xml:space="preserve"> yayımlanan 12.05.2022 tarihli ve 10971/1 sayılı Kurul Kararıyla; </w:t>
      </w:r>
      <w:r w:rsidRPr="00E6446B">
        <w:rPr>
          <w:rFonts w:ascii="Calibri" w:hAnsi="Calibri" w:cs="Calibri"/>
          <w:color w:val="000000"/>
        </w:rPr>
        <w:t>Elektrik Piyasası Bağlantı ve Sistem Kullanım Yönetmeliğinin 7 inci maddesinin birinci fıkrası ile 14 üncü maddesinin birinci fıkrası ve Enerji ve Tabii Kaynaklar Bakanlığı’nın 28/04/2022 tarihli ve 437459 sayılı yazısı kapsamında;</w:t>
      </w:r>
    </w:p>
    <w:p w:rsidR="0024339C" w:rsidRPr="00D531FA" w:rsidRDefault="0024339C" w:rsidP="0024339C">
      <w:pPr>
        <w:pStyle w:val="ListeParagraf"/>
        <w:spacing w:after="160" w:line="259" w:lineRule="auto"/>
        <w:rPr>
          <w:rFonts w:ascii="Calibri" w:hAnsi="Calibri" w:cs="Calibri"/>
          <w:color w:val="000000"/>
        </w:rPr>
      </w:pPr>
    </w:p>
    <w:p w:rsidR="0024339C" w:rsidRPr="00D531FA" w:rsidRDefault="0024339C" w:rsidP="0024339C">
      <w:pPr>
        <w:pStyle w:val="ListeParagraf"/>
        <w:spacing w:after="160" w:line="259" w:lineRule="auto"/>
        <w:rPr>
          <w:rFonts w:ascii="Calibri" w:hAnsi="Calibri" w:cs="Calibri"/>
          <w:color w:val="000000"/>
        </w:rPr>
      </w:pPr>
      <w:r w:rsidRPr="00E6446B">
        <w:rPr>
          <w:rFonts w:ascii="Calibri" w:hAnsi="Calibri" w:cs="Calibri"/>
          <w:b/>
          <w:color w:val="000000"/>
        </w:rPr>
        <w:t>1)</w:t>
      </w:r>
      <w:r w:rsidRPr="00D531FA">
        <w:rPr>
          <w:rFonts w:ascii="Calibri" w:hAnsi="Calibri" w:cs="Calibri"/>
          <w:color w:val="000000"/>
        </w:rPr>
        <w:t xml:space="preserve"> Elektrik üretim lisansı sahibi tüzel kişiler tarafından, güç artışı miktarını içerecek şekilde, TEİAŞ veya ilgili dağıtım şirketine başvuru yapılması ve; </w:t>
      </w:r>
    </w:p>
    <w:p w:rsidR="0024339C" w:rsidRPr="00D531FA" w:rsidRDefault="0024339C" w:rsidP="0024339C">
      <w:pPr>
        <w:pStyle w:val="ListeParagraf"/>
        <w:spacing w:after="160" w:line="259" w:lineRule="auto"/>
        <w:rPr>
          <w:rFonts w:ascii="Calibri" w:hAnsi="Calibri" w:cs="Calibri"/>
          <w:color w:val="000000"/>
        </w:rPr>
      </w:pPr>
    </w:p>
    <w:p w:rsidR="0024339C" w:rsidRPr="00D531FA" w:rsidRDefault="0024339C" w:rsidP="0024339C">
      <w:pPr>
        <w:pStyle w:val="ListeParagraf"/>
        <w:spacing w:after="160" w:line="259" w:lineRule="auto"/>
        <w:rPr>
          <w:rFonts w:ascii="Calibri" w:hAnsi="Calibri" w:cs="Calibri"/>
          <w:color w:val="000000"/>
        </w:rPr>
      </w:pPr>
      <w:r w:rsidRPr="00D531FA">
        <w:rPr>
          <w:rFonts w:ascii="Calibri" w:hAnsi="Calibri" w:cs="Calibri"/>
          <w:color w:val="000000"/>
        </w:rPr>
        <w:t xml:space="preserve">a) İletim sistemine bağlı üretim tesisleri için başvuru tarihinden sonraki beşinci iş gününden, </w:t>
      </w:r>
    </w:p>
    <w:p w:rsidR="0024339C" w:rsidRPr="00D531FA" w:rsidRDefault="0024339C" w:rsidP="0024339C">
      <w:pPr>
        <w:pStyle w:val="ListeParagraf"/>
        <w:spacing w:after="160" w:line="259" w:lineRule="auto"/>
        <w:rPr>
          <w:rFonts w:ascii="Calibri" w:hAnsi="Calibri" w:cs="Calibri"/>
          <w:color w:val="000000"/>
        </w:rPr>
      </w:pPr>
    </w:p>
    <w:p w:rsidR="0024339C" w:rsidRPr="00D531FA" w:rsidRDefault="0024339C" w:rsidP="0024339C">
      <w:pPr>
        <w:pStyle w:val="ListeParagraf"/>
        <w:spacing w:after="160" w:line="259" w:lineRule="auto"/>
        <w:rPr>
          <w:rFonts w:ascii="Calibri" w:hAnsi="Calibri" w:cs="Calibri"/>
          <w:color w:val="000000"/>
        </w:rPr>
      </w:pPr>
      <w:r w:rsidRPr="00D531FA">
        <w:rPr>
          <w:rFonts w:ascii="Calibri" w:hAnsi="Calibri" w:cs="Calibri"/>
          <w:color w:val="000000"/>
        </w:rPr>
        <w:t>b) Dağıtım sistemine bağlı üretim tesisleri için onuncu iş gününden,</w:t>
      </w:r>
    </w:p>
    <w:p w:rsidR="0024339C" w:rsidRPr="00D531FA" w:rsidRDefault="0024339C" w:rsidP="0024339C">
      <w:pPr>
        <w:pStyle w:val="ListeParagraf"/>
        <w:spacing w:after="160" w:line="259" w:lineRule="auto"/>
        <w:rPr>
          <w:rFonts w:ascii="Calibri" w:hAnsi="Calibri" w:cs="Calibri"/>
          <w:color w:val="000000"/>
        </w:rPr>
      </w:pPr>
    </w:p>
    <w:p w:rsidR="0024339C" w:rsidRPr="00D531FA" w:rsidRDefault="0024339C" w:rsidP="0024339C">
      <w:pPr>
        <w:pStyle w:val="ListeParagraf"/>
        <w:spacing w:after="160" w:line="259" w:lineRule="auto"/>
        <w:rPr>
          <w:rFonts w:ascii="Calibri" w:hAnsi="Calibri" w:cs="Calibri"/>
          <w:color w:val="000000"/>
        </w:rPr>
      </w:pPr>
      <w:r w:rsidRPr="00D531FA">
        <w:rPr>
          <w:rFonts w:ascii="Calibri" w:hAnsi="Calibri" w:cs="Calibri"/>
          <w:color w:val="000000"/>
        </w:rPr>
        <w:t xml:space="preserve">sonra geçerli olmak kaydıyla, söz konusu üretim tesislerinin veriş yönündeki anlaşma güçlerinin üzerinde sisteme verecekleri elektrik enerjisinin, güç aşımı olarak değerlendirilmemesine, </w:t>
      </w:r>
    </w:p>
    <w:p w:rsidR="0024339C" w:rsidRPr="00D531FA" w:rsidRDefault="0024339C" w:rsidP="0024339C">
      <w:pPr>
        <w:pStyle w:val="ListeParagraf"/>
        <w:spacing w:after="160" w:line="259" w:lineRule="auto"/>
        <w:rPr>
          <w:rFonts w:ascii="Calibri" w:hAnsi="Calibri" w:cs="Calibri"/>
          <w:color w:val="000000"/>
        </w:rPr>
      </w:pPr>
    </w:p>
    <w:p w:rsidR="0024339C" w:rsidRPr="00D531FA" w:rsidRDefault="0024339C" w:rsidP="0024339C">
      <w:pPr>
        <w:pStyle w:val="ListeParagraf"/>
        <w:spacing w:after="160" w:line="259" w:lineRule="auto"/>
        <w:rPr>
          <w:rFonts w:ascii="Calibri" w:hAnsi="Calibri" w:cs="Calibri"/>
          <w:color w:val="000000"/>
        </w:rPr>
      </w:pPr>
      <w:r w:rsidRPr="00D531FA">
        <w:rPr>
          <w:rFonts w:ascii="Calibri" w:hAnsi="Calibri" w:cs="Calibri"/>
          <w:color w:val="000000"/>
        </w:rPr>
        <w:t>c) Teknik koşulların veya sistem işletme güvenliğinin zorunlu kıldığı hallerde, bir üretim tesisine ilişkin başvuruda yer alan güç artış miktarı veya süresinin kısmen veya tamamen TEİAŞ veya ilgili dağıtım şirketi tarafından kısıtlanabilmesine, bu durumda TEİAŞ veya ilgili dağıtım şirketi tarafından ilgili tüzel kişiye bilgi verilmesine, bu kapsamda bilgi verme tarihinden itibaren en geç beş iş günü içerisinde TEİAŞ veya ilgili dağıtım şirketi tarafından kısıtlamaya ilişkin gerekçelerin ilgili tüzel kişiye yazılı olarak bildirilmesine, bildirim tarihinden itibaren otuz gün içerisinde ilgili tüzel kişinin bu karara karşı Kuruma itirazda bulunabilmesine,</w:t>
      </w:r>
    </w:p>
    <w:p w:rsidR="0024339C" w:rsidRPr="00D531FA" w:rsidRDefault="0024339C" w:rsidP="0024339C">
      <w:pPr>
        <w:pStyle w:val="ListeParagraf"/>
        <w:spacing w:after="160" w:line="259" w:lineRule="auto"/>
        <w:rPr>
          <w:rFonts w:ascii="Calibri" w:hAnsi="Calibri" w:cs="Calibri"/>
          <w:color w:val="000000"/>
        </w:rPr>
      </w:pPr>
    </w:p>
    <w:p w:rsidR="0024339C" w:rsidRPr="00D531FA" w:rsidRDefault="0024339C" w:rsidP="0024339C">
      <w:pPr>
        <w:pStyle w:val="ListeParagraf"/>
        <w:spacing w:after="160" w:line="259" w:lineRule="auto"/>
        <w:rPr>
          <w:rFonts w:ascii="Calibri" w:hAnsi="Calibri" w:cs="Calibri"/>
          <w:color w:val="000000"/>
        </w:rPr>
      </w:pPr>
      <w:r w:rsidRPr="00D531FA">
        <w:rPr>
          <w:rFonts w:ascii="Calibri" w:hAnsi="Calibri" w:cs="Calibri"/>
          <w:color w:val="000000"/>
        </w:rPr>
        <w:t xml:space="preserve">ç) Başvurularında yer alan güç artış miktarını değiştirmek isteyen tüzel kişilerin, bu madde kapsamında TEİAŞ veya ilgili dağıtım şirketine başvurmalarına, </w:t>
      </w:r>
    </w:p>
    <w:p w:rsidR="0024339C" w:rsidRPr="00D531FA" w:rsidRDefault="0024339C" w:rsidP="0024339C">
      <w:pPr>
        <w:pStyle w:val="ListeParagraf"/>
        <w:spacing w:after="160" w:line="259" w:lineRule="auto"/>
        <w:rPr>
          <w:rFonts w:ascii="Calibri" w:hAnsi="Calibri" w:cs="Calibri"/>
          <w:color w:val="000000"/>
        </w:rPr>
      </w:pPr>
    </w:p>
    <w:p w:rsidR="0024339C" w:rsidRPr="00D531FA" w:rsidRDefault="0024339C" w:rsidP="0024339C">
      <w:pPr>
        <w:pStyle w:val="ListeParagraf"/>
        <w:spacing w:after="160" w:line="259" w:lineRule="auto"/>
        <w:rPr>
          <w:rFonts w:ascii="Calibri" w:hAnsi="Calibri" w:cs="Calibri"/>
          <w:color w:val="000000"/>
        </w:rPr>
      </w:pPr>
      <w:r w:rsidRPr="00D531FA">
        <w:rPr>
          <w:rFonts w:ascii="Calibri" w:hAnsi="Calibri" w:cs="Calibri"/>
          <w:color w:val="000000"/>
        </w:rPr>
        <w:t>d) Dağıtım şirketlerinin, bu Kurul kararı kapsamında yapılan başvuruları, başvuru tarihinden itibaren en geç beş iş günü içerisinde TEİAŞ’a bildirmelerine,</w:t>
      </w:r>
    </w:p>
    <w:p w:rsidR="0024339C" w:rsidRPr="00D531FA" w:rsidRDefault="0024339C" w:rsidP="0024339C">
      <w:pPr>
        <w:pStyle w:val="ListeParagraf"/>
        <w:spacing w:after="160" w:line="259" w:lineRule="auto"/>
        <w:rPr>
          <w:rFonts w:ascii="Calibri" w:hAnsi="Calibri" w:cs="Calibri"/>
          <w:color w:val="000000"/>
        </w:rPr>
      </w:pPr>
    </w:p>
    <w:p w:rsidR="0024339C" w:rsidRPr="00D531FA" w:rsidRDefault="0024339C" w:rsidP="0024339C">
      <w:pPr>
        <w:pStyle w:val="ListeParagraf"/>
        <w:spacing w:after="160" w:line="259" w:lineRule="auto"/>
        <w:rPr>
          <w:rFonts w:ascii="Calibri" w:hAnsi="Calibri" w:cs="Calibri"/>
          <w:color w:val="000000"/>
        </w:rPr>
      </w:pPr>
      <w:r w:rsidRPr="00E6446B">
        <w:rPr>
          <w:rFonts w:ascii="Calibri" w:hAnsi="Calibri" w:cs="Calibri"/>
          <w:b/>
          <w:color w:val="000000"/>
        </w:rPr>
        <w:t>2)</w:t>
      </w:r>
      <w:r w:rsidRPr="00D531FA">
        <w:rPr>
          <w:rFonts w:ascii="Calibri" w:hAnsi="Calibri" w:cs="Calibri"/>
          <w:color w:val="000000"/>
        </w:rPr>
        <w:t xml:space="preserve"> Birinci madde kapsamında uygulamaya başlamış olan üretim tesislerine ilişkin olarak; teknik koşulların veya sistem işletme güvenliğinin zorunlu kıldığı hallerde, bir üretim tesisine ilişkin başvuruda yer alan güç artış miktarı veya süresinin kısmen veya tamamen TEİAŞ veya ilgili dağıtım şirketi tarafından kısıtlanabilmesine, bu durumda TEİAŞ veya ilgili dağıtım şirketi tarafından kısıtlamanın yapılacağı tarihten en az bir iş günü öncesinde ilgili tüzel kişiye bilgi verilmesine, bu kapsamda bilgi verme tarihinden itibaren en geç beş iş günü içerisinde TEİAŞ veya ilgili dağıtım şirketi tarafından kısıtlamaya ilişkin gerekçelerin ilgili tüzel kişiye yazılı olarak bildirilmesine, bildirim tarihinden itibaren otuz gün içerisinde ilgili tüzel kişinin bu karara karşı Kuruma itirazda bulunabilmesine,</w:t>
      </w:r>
    </w:p>
    <w:p w:rsidR="0024339C" w:rsidRPr="00D531FA" w:rsidRDefault="0024339C" w:rsidP="0024339C">
      <w:pPr>
        <w:pStyle w:val="ListeParagraf"/>
        <w:spacing w:after="160" w:line="259" w:lineRule="auto"/>
        <w:rPr>
          <w:rFonts w:ascii="Calibri" w:hAnsi="Calibri" w:cs="Calibri"/>
          <w:color w:val="000000"/>
        </w:rPr>
      </w:pPr>
    </w:p>
    <w:p w:rsidR="0024339C" w:rsidRPr="00D531FA" w:rsidRDefault="0024339C" w:rsidP="0024339C">
      <w:pPr>
        <w:pStyle w:val="ListeParagraf"/>
        <w:spacing w:after="160" w:line="259" w:lineRule="auto"/>
        <w:rPr>
          <w:rFonts w:ascii="Calibri" w:hAnsi="Calibri" w:cs="Calibri"/>
          <w:color w:val="000000"/>
        </w:rPr>
      </w:pPr>
      <w:r w:rsidRPr="00E6446B">
        <w:rPr>
          <w:rFonts w:ascii="Calibri" w:hAnsi="Calibri" w:cs="Calibri"/>
          <w:b/>
          <w:color w:val="000000"/>
        </w:rPr>
        <w:t>3)</w:t>
      </w:r>
      <w:r w:rsidRPr="00D531FA">
        <w:rPr>
          <w:rFonts w:ascii="Calibri" w:hAnsi="Calibri" w:cs="Calibri"/>
          <w:color w:val="000000"/>
        </w:rPr>
        <w:t xml:space="preserve"> Başvuruya konu üretim tesislerinin sabit iletim bedellerinin veya sabit dağıtım sistem kullanım bedellerinin anlaşma gücü değerleri üzerinden hesaplanmasına, </w:t>
      </w:r>
    </w:p>
    <w:p w:rsidR="0024339C" w:rsidRPr="00D531FA" w:rsidRDefault="0024339C" w:rsidP="0024339C">
      <w:pPr>
        <w:pStyle w:val="ListeParagraf"/>
        <w:spacing w:after="160" w:line="259" w:lineRule="auto"/>
        <w:rPr>
          <w:rFonts w:ascii="Calibri" w:hAnsi="Calibri" w:cs="Calibri"/>
          <w:color w:val="000000"/>
        </w:rPr>
      </w:pPr>
    </w:p>
    <w:p w:rsidR="0024339C" w:rsidRPr="00D531FA" w:rsidRDefault="0024339C" w:rsidP="0024339C">
      <w:pPr>
        <w:pStyle w:val="ListeParagraf"/>
        <w:spacing w:after="160" w:line="259" w:lineRule="auto"/>
        <w:rPr>
          <w:rFonts w:ascii="Calibri" w:hAnsi="Calibri" w:cs="Calibri"/>
          <w:color w:val="000000"/>
        </w:rPr>
      </w:pPr>
      <w:r w:rsidRPr="00E6446B">
        <w:rPr>
          <w:rFonts w:ascii="Calibri" w:hAnsi="Calibri" w:cs="Calibri"/>
          <w:b/>
          <w:color w:val="000000"/>
        </w:rPr>
        <w:lastRenderedPageBreak/>
        <w:t>4)</w:t>
      </w:r>
      <w:r w:rsidRPr="00D531FA">
        <w:rPr>
          <w:rFonts w:ascii="Calibri" w:hAnsi="Calibri" w:cs="Calibri"/>
          <w:color w:val="000000"/>
        </w:rPr>
        <w:t xml:space="preserve"> Veriş yönündeki anlaşma güçlerinin üzerinde sisteme elektrik enerjisi veren üretim tesislerinin bu Kurul kararı kapsamındaki güç artışlarının ilgili üretim tesislerinin emre amade kapasitesinde dikkate alınmasına, </w:t>
      </w:r>
    </w:p>
    <w:p w:rsidR="0024339C" w:rsidRPr="00D531FA" w:rsidRDefault="0024339C" w:rsidP="0024339C">
      <w:pPr>
        <w:pStyle w:val="ListeParagraf"/>
        <w:spacing w:after="160" w:line="259" w:lineRule="auto"/>
        <w:rPr>
          <w:rFonts w:ascii="Calibri" w:hAnsi="Calibri" w:cs="Calibri"/>
          <w:color w:val="000000"/>
        </w:rPr>
      </w:pPr>
    </w:p>
    <w:p w:rsidR="0024339C" w:rsidRPr="00D531FA" w:rsidRDefault="0024339C" w:rsidP="0024339C">
      <w:pPr>
        <w:pStyle w:val="ListeParagraf"/>
        <w:spacing w:after="160" w:line="259" w:lineRule="auto"/>
        <w:rPr>
          <w:rFonts w:ascii="Calibri" w:hAnsi="Calibri" w:cs="Calibri"/>
          <w:color w:val="000000"/>
        </w:rPr>
      </w:pPr>
      <w:r w:rsidRPr="00E6446B">
        <w:rPr>
          <w:rFonts w:ascii="Calibri" w:hAnsi="Calibri" w:cs="Calibri"/>
          <w:b/>
          <w:color w:val="000000"/>
        </w:rPr>
        <w:t>5)</w:t>
      </w:r>
      <w:r w:rsidRPr="00D531FA">
        <w:rPr>
          <w:rFonts w:ascii="Calibri" w:hAnsi="Calibri" w:cs="Calibri"/>
          <w:color w:val="000000"/>
        </w:rPr>
        <w:t xml:space="preserve"> Üretim tesislerinin, bu Kurul kararı kapsamında belirlenen güç değerini aşmaları durumunda, aşım miktarının güç aşımı olarak değerlendirilmesine,</w:t>
      </w:r>
    </w:p>
    <w:p w:rsidR="0024339C" w:rsidRPr="00D531FA" w:rsidRDefault="0024339C" w:rsidP="0024339C">
      <w:pPr>
        <w:pStyle w:val="ListeParagraf"/>
        <w:spacing w:after="160" w:line="259" w:lineRule="auto"/>
        <w:rPr>
          <w:rFonts w:ascii="Calibri" w:hAnsi="Calibri" w:cs="Calibri"/>
          <w:color w:val="000000"/>
        </w:rPr>
      </w:pPr>
    </w:p>
    <w:p w:rsidR="0024339C" w:rsidRPr="00D531FA" w:rsidRDefault="0024339C" w:rsidP="0024339C">
      <w:pPr>
        <w:pStyle w:val="ListeParagraf"/>
        <w:spacing w:after="160" w:line="259" w:lineRule="auto"/>
        <w:rPr>
          <w:rFonts w:ascii="Calibri" w:hAnsi="Calibri" w:cs="Calibri"/>
          <w:color w:val="000000"/>
        </w:rPr>
      </w:pPr>
      <w:r w:rsidRPr="00E6446B">
        <w:rPr>
          <w:rFonts w:ascii="Calibri" w:hAnsi="Calibri" w:cs="Calibri"/>
          <w:b/>
          <w:color w:val="000000"/>
        </w:rPr>
        <w:t>6)</w:t>
      </w:r>
      <w:r w:rsidRPr="00D531FA">
        <w:rPr>
          <w:rFonts w:ascii="Calibri" w:hAnsi="Calibri" w:cs="Calibri"/>
          <w:color w:val="000000"/>
        </w:rPr>
        <w:t xml:space="preserve"> Bu Kurul kararının lisanssız elektrik üretim tesisleri için uygulanmamasına,</w:t>
      </w:r>
    </w:p>
    <w:p w:rsidR="0024339C" w:rsidRPr="00D531FA" w:rsidRDefault="0024339C" w:rsidP="0024339C">
      <w:pPr>
        <w:pStyle w:val="ListeParagraf"/>
        <w:spacing w:after="160" w:line="259" w:lineRule="auto"/>
        <w:rPr>
          <w:rFonts w:ascii="Calibri" w:hAnsi="Calibri" w:cs="Calibri"/>
          <w:color w:val="000000"/>
        </w:rPr>
      </w:pPr>
    </w:p>
    <w:p w:rsidR="0024339C" w:rsidRPr="00D531FA" w:rsidRDefault="0024339C" w:rsidP="0024339C">
      <w:pPr>
        <w:pStyle w:val="ListeParagraf"/>
        <w:spacing w:after="160" w:line="259" w:lineRule="auto"/>
        <w:rPr>
          <w:rFonts w:ascii="Calibri" w:hAnsi="Calibri" w:cs="Calibri"/>
          <w:color w:val="000000"/>
        </w:rPr>
      </w:pPr>
      <w:r w:rsidRPr="00E6446B">
        <w:rPr>
          <w:rFonts w:ascii="Calibri" w:hAnsi="Calibri" w:cs="Calibri"/>
          <w:b/>
          <w:color w:val="000000"/>
        </w:rPr>
        <w:t>7)</w:t>
      </w:r>
      <w:r w:rsidRPr="00D531FA">
        <w:rPr>
          <w:rFonts w:ascii="Calibri" w:hAnsi="Calibri" w:cs="Calibri"/>
          <w:color w:val="000000"/>
        </w:rPr>
        <w:t xml:space="preserve"> Bu Kurul kararının yayımlandığı tarihte yürürlüğe girmesine ve 30/09/2022 tarihine kadar uygulanmasına,</w:t>
      </w:r>
    </w:p>
    <w:p w:rsidR="0024339C" w:rsidRPr="00D531FA" w:rsidRDefault="0024339C" w:rsidP="0024339C">
      <w:pPr>
        <w:pStyle w:val="ListeParagraf"/>
        <w:spacing w:after="160" w:line="259" w:lineRule="auto"/>
        <w:rPr>
          <w:rFonts w:ascii="Calibri" w:hAnsi="Calibri" w:cs="Calibri"/>
          <w:color w:val="000000"/>
        </w:rPr>
      </w:pPr>
    </w:p>
    <w:p w:rsidR="0024339C" w:rsidRDefault="0024339C" w:rsidP="0024339C">
      <w:pPr>
        <w:pStyle w:val="ListeParagraf"/>
        <w:spacing w:after="160" w:line="259" w:lineRule="auto"/>
        <w:rPr>
          <w:rFonts w:ascii="Calibri" w:hAnsi="Calibri" w:cs="Calibri"/>
          <w:color w:val="000000"/>
        </w:rPr>
      </w:pPr>
      <w:r w:rsidRPr="00D531FA">
        <w:rPr>
          <w:rFonts w:ascii="Calibri" w:hAnsi="Calibri" w:cs="Calibri"/>
          <w:color w:val="000000"/>
        </w:rPr>
        <w:t>karar verilmiştir.</w:t>
      </w:r>
    </w:p>
    <w:p w:rsidR="0024339C" w:rsidRDefault="0024339C" w:rsidP="00316032">
      <w:pPr>
        <w:pStyle w:val="ListeParagraf"/>
        <w:spacing w:after="160" w:line="259" w:lineRule="auto"/>
        <w:rPr>
          <w:rFonts w:ascii="Calibri" w:hAnsi="Calibri" w:cs="Calibri"/>
          <w:color w:val="000000"/>
        </w:rPr>
      </w:pPr>
    </w:p>
    <w:p w:rsidR="00316032" w:rsidRDefault="00316032" w:rsidP="000A5A56">
      <w:pPr>
        <w:pStyle w:val="ListeParagraf"/>
        <w:numPr>
          <w:ilvl w:val="0"/>
          <w:numId w:val="27"/>
        </w:numPr>
      </w:pPr>
      <w:r>
        <w:t>19</w:t>
      </w:r>
      <w:r w:rsidRPr="0016003D">
        <w:t>.</w:t>
      </w:r>
      <w:r>
        <w:t>05</w:t>
      </w:r>
      <w:r w:rsidRPr="0016003D">
        <w:t>.202</w:t>
      </w:r>
      <w:r>
        <w:t>2</w:t>
      </w:r>
      <w:r w:rsidRPr="0016003D">
        <w:t xml:space="preserve"> tarihli ve </w:t>
      </w:r>
      <w:r>
        <w:t>31840</w:t>
      </w:r>
      <w:r w:rsidRPr="0016003D">
        <w:t xml:space="preserve"> sayılı Resmî </w:t>
      </w:r>
      <w:r w:rsidR="00274939">
        <w:t>Gazetede</w:t>
      </w:r>
      <w:r w:rsidRPr="0016003D">
        <w:t xml:space="preserve"> yayımlanan </w:t>
      </w:r>
      <w:r>
        <w:t>18</w:t>
      </w:r>
      <w:r w:rsidRPr="0016003D">
        <w:t>.</w:t>
      </w:r>
      <w:r>
        <w:t>05</w:t>
      </w:r>
      <w:r w:rsidRPr="0016003D">
        <w:t>.202</w:t>
      </w:r>
      <w:r>
        <w:t>2</w:t>
      </w:r>
      <w:r w:rsidRPr="0016003D">
        <w:t xml:space="preserve"> Tarihli ve </w:t>
      </w:r>
      <w:r>
        <w:t>10978</w:t>
      </w:r>
      <w:r w:rsidRPr="0016003D">
        <w:t xml:space="preserve"> Sayılı Kurul Kararı ile </w:t>
      </w:r>
      <w:r w:rsidRPr="00316032">
        <w:rPr>
          <w:b/>
        </w:rPr>
        <w:t>Gün Öncesi Piyasasında ve Dengeleme Güç Piyasasında Asgari ve Azami Fiyat Limitlerinin Belirlenmesine İlişkin Usul ve</w:t>
      </w:r>
      <w:r>
        <w:rPr>
          <w:b/>
        </w:rPr>
        <w:t xml:space="preserve"> Esasların</w:t>
      </w:r>
    </w:p>
    <w:p w:rsidR="00316032" w:rsidRPr="0016003D" w:rsidRDefault="00316032" w:rsidP="00316032">
      <w:pPr>
        <w:pStyle w:val="ListeParagraf"/>
      </w:pPr>
    </w:p>
    <w:p w:rsidR="00316032" w:rsidRDefault="00316032" w:rsidP="000A5A56">
      <w:pPr>
        <w:pStyle w:val="ListeParagraf"/>
        <w:numPr>
          <w:ilvl w:val="0"/>
          <w:numId w:val="46"/>
        </w:numPr>
        <w:spacing w:after="160" w:line="259" w:lineRule="auto"/>
        <w:rPr>
          <w:i/>
        </w:rPr>
      </w:pPr>
      <w:r w:rsidRPr="00316032">
        <w:rPr>
          <w:i/>
        </w:rPr>
        <w:t>Geçici</w:t>
      </w:r>
      <w:r>
        <w:rPr>
          <w:i/>
        </w:rPr>
        <w:t xml:space="preserve"> </w:t>
      </w:r>
      <w:r w:rsidRPr="00316032">
        <w:rPr>
          <w:i/>
        </w:rPr>
        <w:t>1 inci maddesinin beşinci fıkrası aşağıdaki şekilde değiştirilmiştir.</w:t>
      </w:r>
    </w:p>
    <w:p w:rsidR="00316032" w:rsidRDefault="00316032" w:rsidP="00316032">
      <w:pPr>
        <w:pStyle w:val="ListeParagraf"/>
        <w:spacing w:after="160" w:line="259" w:lineRule="auto"/>
        <w:ind w:left="1440"/>
      </w:pPr>
    </w:p>
    <w:p w:rsidR="00316032" w:rsidRPr="00316032" w:rsidRDefault="00316032" w:rsidP="00316032">
      <w:pPr>
        <w:pStyle w:val="ListeParagraf"/>
        <w:ind w:left="1440"/>
        <w:rPr>
          <w:i/>
          <w:iCs/>
        </w:rPr>
      </w:pPr>
      <w:r w:rsidRPr="00316032">
        <w:rPr>
          <w:i/>
          <w:iCs/>
        </w:rPr>
        <w:t>“(5) Bu fıkra hükmünün yürürlüğe girdiği tarihten itibaren Kurul tarafından yeni bir karar alınıncaya kadar; ilgili piyasalarda asgari fiyat limitleri 0 TL/MWh, azami fiyat limitleri ise 2750 TL/MWh olarak uygulanır. Bu uygulama süresince bu Usul ve Esasların 4 üncü maddesinin ikinci fıkrası hükümleri uygulanmaz.”</w:t>
      </w:r>
    </w:p>
    <w:p w:rsidR="00962C78" w:rsidRDefault="00962C78" w:rsidP="00962C78">
      <w:pPr>
        <w:pStyle w:val="ListeParagraf"/>
        <w:spacing w:after="160" w:line="259" w:lineRule="auto"/>
        <w:rPr>
          <w:rFonts w:ascii="Calibri" w:hAnsi="Calibri" w:cs="Calibri"/>
          <w:color w:val="000000"/>
        </w:rPr>
      </w:pPr>
    </w:p>
    <w:p w:rsidR="00825C87" w:rsidRDefault="00825C87" w:rsidP="000A5A56">
      <w:pPr>
        <w:pStyle w:val="ListeParagraf"/>
        <w:numPr>
          <w:ilvl w:val="0"/>
          <w:numId w:val="27"/>
        </w:numPr>
      </w:pPr>
      <w:r>
        <w:t>28</w:t>
      </w:r>
      <w:r w:rsidRPr="0016003D">
        <w:t>.</w:t>
      </w:r>
      <w:r>
        <w:t>05</w:t>
      </w:r>
      <w:r w:rsidRPr="0016003D">
        <w:t>.202</w:t>
      </w:r>
      <w:r>
        <w:t>2</w:t>
      </w:r>
      <w:r w:rsidRPr="0016003D">
        <w:t xml:space="preserve"> tarihli ve </w:t>
      </w:r>
      <w:r>
        <w:t>31849</w:t>
      </w:r>
      <w:r w:rsidRPr="0016003D">
        <w:t xml:space="preserve"> sayılı Resmî </w:t>
      </w:r>
      <w:r w:rsidR="00274939">
        <w:t>Gazetede</w:t>
      </w:r>
      <w:r w:rsidRPr="0016003D">
        <w:t xml:space="preserve"> yayımlanan </w:t>
      </w:r>
      <w:r>
        <w:t>26.05</w:t>
      </w:r>
      <w:r w:rsidRPr="0016003D">
        <w:t>.202</w:t>
      </w:r>
      <w:r>
        <w:t>2</w:t>
      </w:r>
      <w:r w:rsidRPr="0016003D">
        <w:t xml:space="preserve"> Tarihli ve </w:t>
      </w:r>
      <w:r>
        <w:t>10984</w:t>
      </w:r>
      <w:r w:rsidRPr="0016003D">
        <w:t xml:space="preserve"> Sayılı Kurul Kararı ile </w:t>
      </w:r>
      <w:r w:rsidRPr="00316032">
        <w:rPr>
          <w:b/>
        </w:rPr>
        <w:t>Gün Öncesi Piyasasında ve Dengeleme Güç Piyasasında Asgari ve Azami Fiyat Limitlerinin Belirlenmesine İlişkin Usul ve</w:t>
      </w:r>
      <w:r>
        <w:rPr>
          <w:b/>
        </w:rPr>
        <w:t xml:space="preserve"> Esasların</w:t>
      </w:r>
    </w:p>
    <w:p w:rsidR="00825C87" w:rsidRPr="0016003D" w:rsidRDefault="00825C87" w:rsidP="00825C87">
      <w:pPr>
        <w:pStyle w:val="ListeParagraf"/>
      </w:pPr>
    </w:p>
    <w:p w:rsidR="00825C87" w:rsidRDefault="00825C87" w:rsidP="000A5A56">
      <w:pPr>
        <w:pStyle w:val="ListeParagraf"/>
        <w:numPr>
          <w:ilvl w:val="0"/>
          <w:numId w:val="46"/>
        </w:numPr>
        <w:spacing w:after="160" w:line="259" w:lineRule="auto"/>
        <w:rPr>
          <w:i/>
        </w:rPr>
      </w:pPr>
      <w:r w:rsidRPr="00316032">
        <w:rPr>
          <w:i/>
        </w:rPr>
        <w:t>Geçici</w:t>
      </w:r>
      <w:r>
        <w:rPr>
          <w:i/>
        </w:rPr>
        <w:t xml:space="preserve"> </w:t>
      </w:r>
      <w:r w:rsidRPr="00316032">
        <w:rPr>
          <w:i/>
        </w:rPr>
        <w:t>1 inci maddesinin beşinci fıkrası aşağıdaki şekilde değiştirilmiştir.</w:t>
      </w:r>
    </w:p>
    <w:p w:rsidR="00825C87" w:rsidRDefault="00825C87" w:rsidP="00825C87">
      <w:pPr>
        <w:pStyle w:val="ListeParagraf"/>
        <w:spacing w:after="160" w:line="259" w:lineRule="auto"/>
        <w:ind w:left="1440"/>
      </w:pPr>
    </w:p>
    <w:p w:rsidR="00825C87" w:rsidRPr="00316032" w:rsidRDefault="00825C87" w:rsidP="00825C87">
      <w:pPr>
        <w:pStyle w:val="ListeParagraf"/>
        <w:ind w:left="1440"/>
        <w:rPr>
          <w:i/>
          <w:iCs/>
        </w:rPr>
      </w:pPr>
      <w:r w:rsidRPr="00825C87">
        <w:rPr>
          <w:i/>
          <w:iCs/>
        </w:rPr>
        <w:t>“(5) Bu fıkra hükmünün yürürlüğe girdiği tarihten itibaren Kurul tarafından yeni bir karar alınıncaya kadar; ilgili piyasalarda asgari fiyat limitleri 0 TL/MWh, azami fiyat limitleri ise 3200 TL/MWh olarak uygulanır. Bu uygulama süresince bu Usul ve Esasların 4 üncü maddesinin ikinci fıkrası hükümleri uygulanmaz.”</w:t>
      </w:r>
    </w:p>
    <w:p w:rsidR="00825C87" w:rsidRDefault="00825C87" w:rsidP="00962C78">
      <w:pPr>
        <w:pStyle w:val="ListeParagraf"/>
        <w:spacing w:after="160" w:line="259" w:lineRule="auto"/>
        <w:rPr>
          <w:rFonts w:ascii="Calibri" w:hAnsi="Calibri" w:cs="Calibri"/>
          <w:color w:val="000000"/>
        </w:rPr>
      </w:pPr>
    </w:p>
    <w:p w:rsidR="003F5D54" w:rsidRDefault="003F5D54" w:rsidP="000A5A56">
      <w:pPr>
        <w:pStyle w:val="ListeParagraf"/>
        <w:numPr>
          <w:ilvl w:val="0"/>
          <w:numId w:val="26"/>
        </w:numPr>
        <w:spacing w:after="160" w:line="259" w:lineRule="auto"/>
        <w:rPr>
          <w:b/>
        </w:rPr>
      </w:pPr>
      <w:r w:rsidRPr="00AB0B60">
        <w:t>1</w:t>
      </w:r>
      <w:r w:rsidR="00D50389">
        <w:t>5</w:t>
      </w:r>
      <w:r w:rsidRPr="00AB0B60">
        <w:t>.0</w:t>
      </w:r>
      <w:r w:rsidR="00D50389">
        <w:t>6</w:t>
      </w:r>
      <w:r w:rsidRPr="00AB0B60">
        <w:t>.202</w:t>
      </w:r>
      <w:r w:rsidR="00D50389">
        <w:t>2</w:t>
      </w:r>
      <w:r w:rsidRPr="00AB0B60">
        <w:t xml:space="preserve"> tarihli ve</w:t>
      </w:r>
      <w:r>
        <w:t xml:space="preserve"> </w:t>
      </w:r>
      <w:r w:rsidRPr="00AB0B60">
        <w:t>31</w:t>
      </w:r>
      <w:r w:rsidR="00D50389">
        <w:t>867</w:t>
      </w:r>
      <w:r w:rsidRPr="00AB0B60">
        <w:t xml:space="preserve"> sayılı Resmî </w:t>
      </w:r>
      <w:r w:rsidR="00274939">
        <w:t>Gazetede</w:t>
      </w:r>
      <w:r w:rsidRPr="00AB0B60">
        <w:t xml:space="preserve"> yayımlanan </w:t>
      </w:r>
      <w:r w:rsidR="00D50389">
        <w:t>09</w:t>
      </w:r>
      <w:r>
        <w:t>.</w:t>
      </w:r>
      <w:r w:rsidRPr="00AB0B60">
        <w:t>0</w:t>
      </w:r>
      <w:r w:rsidR="00D50389">
        <w:t>6</w:t>
      </w:r>
      <w:r>
        <w:t>.</w:t>
      </w:r>
      <w:r w:rsidRPr="00AB0B60">
        <w:t>202</w:t>
      </w:r>
      <w:r w:rsidR="00D50389">
        <w:t>2</w:t>
      </w:r>
      <w:r w:rsidRPr="00AB0B60">
        <w:t xml:space="preserve"> Tarihli ve 1</w:t>
      </w:r>
      <w:r w:rsidR="00D50389">
        <w:t>1008</w:t>
      </w:r>
      <w:r w:rsidRPr="00AB0B60">
        <w:t xml:space="preserve"> Sayılı </w:t>
      </w:r>
      <w:r>
        <w:t xml:space="preserve">Kurul Kararı ile </w:t>
      </w:r>
      <w:bookmarkStart w:id="61" w:name="_Hlk92377915"/>
      <w:r w:rsidR="00073260">
        <w:t xml:space="preserve">amacı </w:t>
      </w:r>
      <w:r w:rsidR="00073260" w:rsidRPr="00073260">
        <w:t xml:space="preserve">12/5/2019 tarihli ve 30772 sayılı Resmî </w:t>
      </w:r>
      <w:r w:rsidR="00274939">
        <w:t>Gazetede</w:t>
      </w:r>
      <w:r w:rsidR="00073260" w:rsidRPr="00073260">
        <w:t xml:space="preserve"> yayımlanan Elektrik Piyasasında Lisanssız Elektrik Üretim Yönetmeliği kapsamında lisanssız üreticilere yapılması gereken ödemelere ilişkin yükümlülüklerini zamanında ve/veya kısmen ya da tamamen yerine getirmeyen görevli tedarik şirketlerinin tespit edilmesi, söz konusu ödemelerin ilgili mevzuata uygun şekilde yapılabilmesi amacıyla uygulanacak tedbirlerin ve bu tedbirlere ilişkin usul ve esasların belirlenmesi</w:t>
      </w:r>
      <w:r w:rsidR="00073260">
        <w:t xml:space="preserve"> olan </w:t>
      </w:r>
      <w:r w:rsidR="002D3703" w:rsidRPr="002D3703">
        <w:rPr>
          <w:b/>
        </w:rPr>
        <w:t>Lisanssız Üretim Kapsamında Yapılmayan Ödemelere İlişkin Usul ve Esaslar</w:t>
      </w:r>
      <w:r w:rsidRPr="00AB0B60">
        <w:rPr>
          <w:b/>
        </w:rPr>
        <w:t xml:space="preserve"> </w:t>
      </w:r>
      <w:bookmarkEnd w:id="61"/>
      <w:r w:rsidR="00073260">
        <w:rPr>
          <w:b/>
        </w:rPr>
        <w:t>kabul edilmiştir.</w:t>
      </w:r>
    </w:p>
    <w:p w:rsidR="0024339C" w:rsidRDefault="0024339C" w:rsidP="0024339C">
      <w:pPr>
        <w:pStyle w:val="ListeParagraf"/>
        <w:spacing w:after="160" w:line="259" w:lineRule="auto"/>
      </w:pPr>
    </w:p>
    <w:p w:rsidR="0024339C" w:rsidRPr="00C31799" w:rsidRDefault="0024339C" w:rsidP="0024339C">
      <w:pPr>
        <w:pStyle w:val="ListeParagraf"/>
        <w:numPr>
          <w:ilvl w:val="0"/>
          <w:numId w:val="26"/>
        </w:numPr>
        <w:spacing w:after="160" w:line="259" w:lineRule="auto"/>
        <w:rPr>
          <w:rFonts w:cstheme="minorHAnsi"/>
          <w:b/>
        </w:rPr>
      </w:pPr>
      <w:r w:rsidRPr="00E6446B">
        <w:rPr>
          <w:rFonts w:cstheme="minorHAnsi"/>
        </w:rPr>
        <w:t xml:space="preserve">17.06.2022 tarihli ve 31869 sayılı Resmî </w:t>
      </w:r>
      <w:r w:rsidR="00274939">
        <w:rPr>
          <w:rFonts w:cstheme="minorHAnsi"/>
        </w:rPr>
        <w:t>Gazetede</w:t>
      </w:r>
      <w:r w:rsidRPr="00E6446B">
        <w:rPr>
          <w:rFonts w:cstheme="minorHAnsi"/>
        </w:rPr>
        <w:t xml:space="preserve"> yayımlanan 15.06.2022 tarihli ve 11023 sayılı Kurul Kararı ile</w:t>
      </w:r>
      <w:r w:rsidRPr="00C31799">
        <w:rPr>
          <w:rFonts w:cstheme="minorHAnsi"/>
          <w:b/>
        </w:rPr>
        <w:t xml:space="preserve"> Teminat Usul ve Esaslarının</w:t>
      </w:r>
    </w:p>
    <w:p w:rsidR="0024339C" w:rsidRPr="00C31799" w:rsidRDefault="0024339C" w:rsidP="0024339C">
      <w:pPr>
        <w:pStyle w:val="ListeParagraf"/>
        <w:spacing w:after="160" w:line="259" w:lineRule="auto"/>
        <w:rPr>
          <w:rFonts w:cstheme="minorHAnsi"/>
        </w:rPr>
      </w:pPr>
    </w:p>
    <w:p w:rsidR="0024339C" w:rsidRPr="00E6446B" w:rsidRDefault="0024339C" w:rsidP="0024339C">
      <w:pPr>
        <w:pStyle w:val="ListeParagraf"/>
        <w:numPr>
          <w:ilvl w:val="0"/>
          <w:numId w:val="46"/>
        </w:numPr>
        <w:spacing w:after="160" w:line="259" w:lineRule="auto"/>
        <w:rPr>
          <w:rFonts w:cstheme="minorHAnsi"/>
        </w:rPr>
      </w:pPr>
      <w:r w:rsidRPr="00E6446B">
        <w:rPr>
          <w:rFonts w:cstheme="minorHAnsi"/>
        </w:rPr>
        <w:lastRenderedPageBreak/>
        <w:t>11 inci maddesinin sonuna aşağıdaki fıkra eklenmiştir.</w:t>
      </w:r>
    </w:p>
    <w:p w:rsidR="0024339C" w:rsidRDefault="0024339C" w:rsidP="0024339C">
      <w:pPr>
        <w:spacing w:after="0"/>
        <w:ind w:left="1418"/>
        <w:rPr>
          <w:rFonts w:cstheme="minorHAnsi"/>
          <w:i/>
        </w:rPr>
      </w:pPr>
      <w:r w:rsidRPr="00E6446B">
        <w:rPr>
          <w:rFonts w:cstheme="minorHAnsi"/>
          <w:i/>
        </w:rPr>
        <w:t>“(7) Fatura son ödeme günü saat 16:40’tan sonra ilgili fatura dönemine ilişkin ek teminat kaleminde günlük olarak hesaplanan tutarların dikkate alınmaması halinde, ek teminat tutarı azalacak piyasa katılımcıları için ilgili teminat kalemi yeniden hesaplanır. Ek teminatı güncellenen piyasa katılımcılarının sunmaları gereken toplam teminat tutarlarına ilişkin olarak ilgili piyasa katılımcıları ve katılımcı bazında merkezi uzlaştırma kuruluşu saat 17:00’a kadar bilgilendirilir.”</w:t>
      </w:r>
    </w:p>
    <w:p w:rsidR="0024339C" w:rsidRPr="00E6446B" w:rsidRDefault="0024339C" w:rsidP="0024339C">
      <w:pPr>
        <w:spacing w:after="0"/>
        <w:ind w:left="1418"/>
        <w:rPr>
          <w:rFonts w:cstheme="minorHAnsi"/>
          <w:i/>
        </w:rPr>
      </w:pPr>
    </w:p>
    <w:p w:rsidR="0024339C" w:rsidRPr="004F2451" w:rsidRDefault="0024339C" w:rsidP="00270CA3">
      <w:pPr>
        <w:pStyle w:val="ListeParagraf"/>
        <w:numPr>
          <w:ilvl w:val="0"/>
          <w:numId w:val="46"/>
        </w:numPr>
        <w:spacing w:after="160" w:line="259" w:lineRule="auto"/>
      </w:pPr>
      <w:r w:rsidRPr="004F2451">
        <w:t>13 üncü maddesinin ikinci fıkrasında yer alan “17:00” ifadeleri “16:40” olarak değiştirilmiştir.</w:t>
      </w:r>
    </w:p>
    <w:p w:rsidR="00825C87" w:rsidRDefault="00825C87" w:rsidP="00825C87">
      <w:pPr>
        <w:pStyle w:val="ListeParagraf"/>
        <w:spacing w:after="160" w:line="259" w:lineRule="auto"/>
        <w:rPr>
          <w:b/>
        </w:rPr>
      </w:pPr>
    </w:p>
    <w:p w:rsidR="00825C87" w:rsidRDefault="00825C87" w:rsidP="000A5A56">
      <w:pPr>
        <w:pStyle w:val="ListeParagraf"/>
        <w:numPr>
          <w:ilvl w:val="0"/>
          <w:numId w:val="27"/>
        </w:numPr>
      </w:pPr>
      <w:r>
        <w:t>30</w:t>
      </w:r>
      <w:r w:rsidRPr="0016003D">
        <w:t>.</w:t>
      </w:r>
      <w:r>
        <w:t>06</w:t>
      </w:r>
      <w:r w:rsidRPr="0016003D">
        <w:t>.202</w:t>
      </w:r>
      <w:r>
        <w:t>2</w:t>
      </w:r>
      <w:r w:rsidRPr="0016003D">
        <w:t xml:space="preserve"> tarihli ve </w:t>
      </w:r>
      <w:r>
        <w:t>31882</w:t>
      </w:r>
      <w:r w:rsidRPr="0016003D">
        <w:t xml:space="preserve"> sayılı Resmî </w:t>
      </w:r>
      <w:r w:rsidR="00274939">
        <w:t>Gazetede</w:t>
      </w:r>
      <w:r w:rsidRPr="0016003D">
        <w:t xml:space="preserve"> yayımlanan </w:t>
      </w:r>
      <w:r>
        <w:t>29.06</w:t>
      </w:r>
      <w:r w:rsidRPr="0016003D">
        <w:t>.202</w:t>
      </w:r>
      <w:r>
        <w:t>2</w:t>
      </w:r>
      <w:r w:rsidRPr="0016003D">
        <w:t xml:space="preserve"> Tarihli ve </w:t>
      </w:r>
      <w:r>
        <w:t>11043</w:t>
      </w:r>
      <w:r w:rsidRPr="0016003D">
        <w:t xml:space="preserve"> Sayılı Kurul Kararı ile </w:t>
      </w:r>
      <w:r w:rsidRPr="00316032">
        <w:rPr>
          <w:b/>
        </w:rPr>
        <w:t>Gün Öncesi Piyasasında ve Dengeleme Güç Piyasasında Asgari ve Azami Fiyat Limitlerinin Belirlenmesine İlişkin Usul ve</w:t>
      </w:r>
      <w:r>
        <w:rPr>
          <w:b/>
        </w:rPr>
        <w:t xml:space="preserve"> Esasların</w:t>
      </w:r>
    </w:p>
    <w:p w:rsidR="00825C87" w:rsidRPr="0016003D" w:rsidRDefault="00825C87" w:rsidP="00825C87">
      <w:pPr>
        <w:pStyle w:val="ListeParagraf"/>
      </w:pPr>
    </w:p>
    <w:p w:rsidR="00825C87" w:rsidRPr="004F2451" w:rsidRDefault="00825C87" w:rsidP="000A5A56">
      <w:pPr>
        <w:pStyle w:val="ListeParagraf"/>
        <w:numPr>
          <w:ilvl w:val="0"/>
          <w:numId w:val="46"/>
        </w:numPr>
        <w:spacing w:after="160" w:line="259" w:lineRule="auto"/>
      </w:pPr>
      <w:r w:rsidRPr="004F2451">
        <w:t>Geçici 1 inci maddesinin beşinci fıkrası aşağıdaki şekilde değiştirilmiştir.</w:t>
      </w:r>
    </w:p>
    <w:p w:rsidR="00825C87" w:rsidRDefault="00825C87" w:rsidP="00825C87">
      <w:pPr>
        <w:pStyle w:val="ListeParagraf"/>
        <w:spacing w:after="160" w:line="259" w:lineRule="auto"/>
        <w:ind w:left="1440"/>
      </w:pPr>
    </w:p>
    <w:p w:rsidR="00825C87" w:rsidRPr="00316032" w:rsidRDefault="00825C87" w:rsidP="00825C87">
      <w:pPr>
        <w:pStyle w:val="ListeParagraf"/>
        <w:ind w:left="1440"/>
        <w:rPr>
          <w:i/>
          <w:iCs/>
        </w:rPr>
      </w:pPr>
      <w:r w:rsidRPr="00825C87">
        <w:rPr>
          <w:i/>
          <w:iCs/>
        </w:rPr>
        <w:t>“(5) Bu fıkra hükmünün yürürlüğe girdiği tarihten itibaren Kurul tarafından yeni bir karar alınıncaya kadar; ilgili piyasalarda asgari fiyat limitleri 0 TL/MWh, azami fiyat limitleri ise 3750 TL/MWh olarak uygulanır. Bu uygulama süresince bu Usul ve Esasların 4 üncü maddesinin ikinci fıkrası hükümleri uygulanmaz.”</w:t>
      </w:r>
    </w:p>
    <w:p w:rsidR="00073260" w:rsidRDefault="00073260" w:rsidP="00073260">
      <w:pPr>
        <w:pStyle w:val="ListeParagraf"/>
        <w:spacing w:after="160" w:line="259" w:lineRule="auto"/>
      </w:pPr>
    </w:p>
    <w:p w:rsidR="003F5D54" w:rsidRDefault="00D32439" w:rsidP="000A5A56">
      <w:pPr>
        <w:pStyle w:val="ListeParagraf"/>
        <w:numPr>
          <w:ilvl w:val="0"/>
          <w:numId w:val="27"/>
        </w:numPr>
        <w:spacing w:after="160" w:line="259" w:lineRule="auto"/>
      </w:pPr>
      <w:r>
        <w:t>01</w:t>
      </w:r>
      <w:r w:rsidRPr="00AB0B60">
        <w:t>.0</w:t>
      </w:r>
      <w:r>
        <w:t>7</w:t>
      </w:r>
      <w:r w:rsidRPr="00AB0B60">
        <w:t>.202</w:t>
      </w:r>
      <w:r>
        <w:t>2</w:t>
      </w:r>
      <w:r w:rsidRPr="00AB0B60">
        <w:t xml:space="preserve"> tarihli ve</w:t>
      </w:r>
      <w:r>
        <w:t xml:space="preserve"> </w:t>
      </w:r>
      <w:r w:rsidRPr="00AB0B60">
        <w:t>31</w:t>
      </w:r>
      <w:r>
        <w:t>883</w:t>
      </w:r>
      <w:r w:rsidRPr="00AB0B60">
        <w:t xml:space="preserve"> sayılı Resmî </w:t>
      </w:r>
      <w:r w:rsidR="00274939">
        <w:t>Gazetede</w:t>
      </w:r>
      <w:r w:rsidRPr="00AB0B60">
        <w:t xml:space="preserve"> yayımlanan </w:t>
      </w:r>
      <w:r>
        <w:t>30.</w:t>
      </w:r>
      <w:r w:rsidRPr="00AB0B60">
        <w:t>0</w:t>
      </w:r>
      <w:r>
        <w:t>6.</w:t>
      </w:r>
      <w:r w:rsidRPr="00AB0B60">
        <w:t>202</w:t>
      </w:r>
      <w:r>
        <w:t>2</w:t>
      </w:r>
      <w:r w:rsidRPr="00AB0B60">
        <w:t xml:space="preserve"> Tarihli ve 1</w:t>
      </w:r>
      <w:r>
        <w:t>1052</w:t>
      </w:r>
      <w:r w:rsidRPr="00AB0B60">
        <w:t xml:space="preserve"> Sayılı </w:t>
      </w:r>
      <w:r>
        <w:t xml:space="preserve">Kurul Kararı ile </w:t>
      </w:r>
      <w:r w:rsidR="00C3546A" w:rsidRPr="00C3546A">
        <w:t>Elektrik Piyasası Dengeleme ve Uzlaştırma Yönetmeliğinin (Yönetmelik) 132/D maddesinin onbirinci fıkrasının yürürlüğe girdiği tarihten 31</w:t>
      </w:r>
      <w:r w:rsidR="00C3546A">
        <w:t>.</w:t>
      </w:r>
      <w:r w:rsidR="00C3546A" w:rsidRPr="00C3546A">
        <w:t>08</w:t>
      </w:r>
      <w:r w:rsidR="00C3546A">
        <w:t>.</w:t>
      </w:r>
      <w:r w:rsidR="00C3546A" w:rsidRPr="00C3546A">
        <w:t>2022 tarihine kadar uygulanmak üzere; görevli tedarik şirketlerinin avans ödemelerine ilişkin işlemlerin Yönetmeliğin 132/D maddesinin onbirinci fıkrası çerçevesinde yürütülmesine</w:t>
      </w:r>
      <w:r w:rsidR="00C3546A">
        <w:t xml:space="preserve"> </w:t>
      </w:r>
      <w:r w:rsidR="00C3546A" w:rsidRPr="00C3546A">
        <w:t>karar verilmiştir.</w:t>
      </w:r>
    </w:p>
    <w:p w:rsidR="00C3546A" w:rsidRDefault="00C3546A" w:rsidP="00C3546A">
      <w:pPr>
        <w:pStyle w:val="ListeParagraf"/>
        <w:spacing w:after="160" w:line="259" w:lineRule="auto"/>
      </w:pPr>
    </w:p>
    <w:p w:rsidR="00C3546A" w:rsidRDefault="00C3546A" w:rsidP="000A5A56">
      <w:pPr>
        <w:pStyle w:val="ListeParagraf"/>
        <w:numPr>
          <w:ilvl w:val="0"/>
          <w:numId w:val="28"/>
        </w:numPr>
        <w:spacing w:after="160" w:line="259" w:lineRule="auto"/>
      </w:pPr>
      <w:r>
        <w:t xml:space="preserve">29.07.2022 tarih ve 31907 sayılı </w:t>
      </w:r>
      <w:r w:rsidRPr="00FB5D3F">
        <w:t>Resmî</w:t>
      </w:r>
      <w:r>
        <w:t xml:space="preserve"> </w:t>
      </w:r>
      <w:r w:rsidR="00274939">
        <w:t>Gazetede</w:t>
      </w:r>
      <w:r>
        <w:t xml:space="preserve"> yayımlanan 28</w:t>
      </w:r>
      <w:r w:rsidRPr="00AB0B60">
        <w:t>.0</w:t>
      </w:r>
      <w:r>
        <w:t>7</w:t>
      </w:r>
      <w:r w:rsidRPr="00AB0B60">
        <w:t>.202</w:t>
      </w:r>
      <w:r>
        <w:t>2</w:t>
      </w:r>
      <w:r w:rsidRPr="00AB0B60">
        <w:t xml:space="preserve"> tarihli ve </w:t>
      </w:r>
      <w:r>
        <w:t>11082</w:t>
      </w:r>
      <w:r w:rsidRPr="00AB0B60">
        <w:t xml:space="preserve"> </w:t>
      </w:r>
      <w:r>
        <w:t>s</w:t>
      </w:r>
      <w:r w:rsidRPr="00B27810">
        <w:t>ayılı</w:t>
      </w:r>
      <w:r>
        <w:t xml:space="preserve"> Kurul</w:t>
      </w:r>
      <w:r w:rsidRPr="00B27810">
        <w:t xml:space="preserve"> Kararı</w:t>
      </w:r>
      <w:r>
        <w:t xml:space="preserve"> ile </w:t>
      </w:r>
      <w:r w:rsidRPr="00C3546A">
        <w:t>18</w:t>
      </w:r>
      <w:r w:rsidR="00D32439">
        <w:t>.</w:t>
      </w:r>
      <w:r w:rsidRPr="00C3546A">
        <w:t>03</w:t>
      </w:r>
      <w:r w:rsidR="00D32439">
        <w:t>.</w:t>
      </w:r>
      <w:r w:rsidRPr="00C3546A">
        <w:t xml:space="preserve">2022 tarihli ve 31782 sayılı Resmî </w:t>
      </w:r>
      <w:r w:rsidR="00274939">
        <w:t>Gazetede</w:t>
      </w:r>
      <w:r w:rsidRPr="00C3546A">
        <w:t xml:space="preserve"> yayımlanarak yürürlüğe giren “Kaynak Bazında Destekleme Bedelinin Belirlenmesine ve Uygulanmasına İlişkin Usul ve Esaslar” (Usul ve Esaslar) kapsamında;</w:t>
      </w:r>
    </w:p>
    <w:p w:rsidR="00C3546A" w:rsidRDefault="00C3546A" w:rsidP="00C3546A">
      <w:pPr>
        <w:pStyle w:val="ListeParagraf"/>
        <w:spacing w:after="160" w:line="259" w:lineRule="auto"/>
      </w:pPr>
    </w:p>
    <w:p w:rsidR="00C3546A" w:rsidRDefault="00C3546A" w:rsidP="000A5A56">
      <w:pPr>
        <w:pStyle w:val="ListeParagraf"/>
        <w:numPr>
          <w:ilvl w:val="0"/>
          <w:numId w:val="49"/>
        </w:numPr>
        <w:spacing w:after="0" w:line="240" w:lineRule="auto"/>
        <w:ind w:left="1134"/>
        <w:rPr>
          <w:rFonts w:cstheme="minorHAnsi"/>
        </w:rPr>
      </w:pPr>
      <w:r w:rsidRPr="00C3546A">
        <w:rPr>
          <w:rFonts w:cstheme="minorHAnsi"/>
        </w:rPr>
        <w:t xml:space="preserve">Usul ve </w:t>
      </w:r>
      <w:r w:rsidR="00DC783D">
        <w:rPr>
          <w:rFonts w:cstheme="minorHAnsi"/>
        </w:rPr>
        <w:t>Esasların</w:t>
      </w:r>
      <w:r w:rsidRPr="00C3546A">
        <w:rPr>
          <w:rFonts w:cstheme="minorHAnsi"/>
        </w:rPr>
        <w:t xml:space="preserve"> 8 inci maddesi gereğince piyasa katılımcıları tarafından sunulacak teminat hesaplamasında; üreteceği elektrik enerjisini sabit fiyatla ikili anlaşma yaparak satacağına ilişkin belgelerini sunan ve incelemeler neticesinde ikili anlaşmaları kabul edilen piyasa katılımcılarının teminat hesaplamasında, uzlaştırma dönemindeki piyasa takas fiyatı değeri ile azami uzlaştırma fiyatı arasındaki fark yerine, ikili anlaşmalarında yer alan sabit fiyat değeri ile azami uzlaştırma fiyatı arasındaki farkın kullanılmasına,</w:t>
      </w:r>
    </w:p>
    <w:p w:rsidR="00C3546A" w:rsidRPr="00C3546A" w:rsidRDefault="00C3546A" w:rsidP="00C3546A">
      <w:pPr>
        <w:pStyle w:val="ListeParagraf"/>
        <w:spacing w:after="0" w:line="240" w:lineRule="auto"/>
        <w:ind w:left="1134" w:hanging="360"/>
        <w:rPr>
          <w:rFonts w:cstheme="minorHAnsi"/>
        </w:rPr>
      </w:pPr>
    </w:p>
    <w:p w:rsidR="00C3546A" w:rsidRDefault="00C3546A" w:rsidP="000A5A56">
      <w:pPr>
        <w:numPr>
          <w:ilvl w:val="0"/>
          <w:numId w:val="49"/>
        </w:numPr>
        <w:spacing w:after="0" w:line="240" w:lineRule="auto"/>
        <w:ind w:left="1134"/>
        <w:contextualSpacing/>
        <w:rPr>
          <w:rFonts w:cstheme="minorHAnsi"/>
        </w:rPr>
      </w:pPr>
      <w:r w:rsidRPr="00C3546A">
        <w:rPr>
          <w:rFonts w:cstheme="minorHAnsi"/>
        </w:rPr>
        <w:t xml:space="preserve">Elektrik Piyasası Dengeleme ve Uzlaştırma Yönetmeliği’nin (DUY) 132/D maddesinin onbirinci fıkrası kapsamında Kurul kararı ile belirlenen süre boyunca, DUY’un 17 nci maddesinin ikinci fıkrasının (a), (b), (c) ve (ç) bentleri kapsamında oluşturulan kategorinin ilgili avans dönemlerine ait ödenmemiş borçları sebebiyle eksik yapılan avans ödeme tutarlarının, Usul ve </w:t>
      </w:r>
      <w:r w:rsidR="00DC783D">
        <w:rPr>
          <w:rFonts w:cstheme="minorHAnsi"/>
        </w:rPr>
        <w:t>Esasların</w:t>
      </w:r>
      <w:r w:rsidRPr="00C3546A">
        <w:rPr>
          <w:rFonts w:cstheme="minorHAnsi"/>
        </w:rPr>
        <w:t xml:space="preserve"> 8 inci maddesi kapsamındaki piyasa katılımcılarının destekleme bedeli teminat tutarından düşülmesine,</w:t>
      </w:r>
    </w:p>
    <w:p w:rsidR="00C3546A" w:rsidRPr="00C3546A" w:rsidRDefault="00C3546A" w:rsidP="00C3546A">
      <w:pPr>
        <w:spacing w:after="0" w:line="240" w:lineRule="auto"/>
        <w:ind w:left="1134" w:hanging="360"/>
        <w:contextualSpacing/>
        <w:rPr>
          <w:rFonts w:cstheme="minorHAnsi"/>
        </w:rPr>
      </w:pPr>
    </w:p>
    <w:p w:rsidR="00C3546A" w:rsidRPr="00C3546A" w:rsidRDefault="00C3546A" w:rsidP="000A5A56">
      <w:pPr>
        <w:numPr>
          <w:ilvl w:val="0"/>
          <w:numId w:val="49"/>
        </w:numPr>
        <w:spacing w:after="0" w:line="240" w:lineRule="auto"/>
        <w:ind w:left="1134"/>
        <w:contextualSpacing/>
        <w:rPr>
          <w:rFonts w:cstheme="minorHAnsi"/>
        </w:rPr>
      </w:pPr>
      <w:r w:rsidRPr="00C3546A">
        <w:rPr>
          <w:rFonts w:cstheme="minorHAnsi"/>
        </w:rPr>
        <w:t>1 inci ve 2 nci maddelerde yer alan hususların Enerji Piyasaları İşletme Anonim Şirketi tarafından uygulanmasına,</w:t>
      </w:r>
    </w:p>
    <w:p w:rsidR="00C3546A" w:rsidRDefault="00C3546A" w:rsidP="00C3546A">
      <w:pPr>
        <w:tabs>
          <w:tab w:val="right" w:pos="9072"/>
        </w:tabs>
        <w:spacing w:after="0" w:line="240" w:lineRule="auto"/>
        <w:ind w:firstLine="567"/>
        <w:rPr>
          <w:rFonts w:eastAsia="Times New Roman" w:cstheme="minorHAnsi"/>
          <w:spacing w:val="-2"/>
          <w:lang w:eastAsia="tr-TR"/>
        </w:rPr>
      </w:pPr>
      <w:r w:rsidRPr="00315C8C">
        <w:rPr>
          <w:rFonts w:eastAsia="Times New Roman" w:cstheme="minorHAnsi"/>
          <w:spacing w:val="-2"/>
          <w:lang w:eastAsia="tr-TR"/>
        </w:rPr>
        <w:t>karar verilmiştir.</w:t>
      </w:r>
    </w:p>
    <w:p w:rsidR="00C3546A" w:rsidRDefault="00C3546A" w:rsidP="00C3546A">
      <w:pPr>
        <w:pStyle w:val="ListeParagraf"/>
        <w:spacing w:after="160" w:line="259" w:lineRule="auto"/>
      </w:pPr>
    </w:p>
    <w:p w:rsidR="0016003D" w:rsidRDefault="00D32439" w:rsidP="000A5A56">
      <w:pPr>
        <w:pStyle w:val="ListeParagraf"/>
        <w:numPr>
          <w:ilvl w:val="0"/>
          <w:numId w:val="27"/>
        </w:numPr>
      </w:pPr>
      <w:r>
        <w:t>29</w:t>
      </w:r>
      <w:r w:rsidR="0016003D" w:rsidRPr="0016003D">
        <w:t>.0</w:t>
      </w:r>
      <w:r>
        <w:t>7</w:t>
      </w:r>
      <w:r w:rsidR="0016003D" w:rsidRPr="0016003D">
        <w:t>.202</w:t>
      </w:r>
      <w:r>
        <w:t>2</w:t>
      </w:r>
      <w:r w:rsidR="0016003D" w:rsidRPr="0016003D">
        <w:t xml:space="preserve"> tarihli ve 31</w:t>
      </w:r>
      <w:r>
        <w:t>907</w:t>
      </w:r>
      <w:r w:rsidR="0016003D" w:rsidRPr="0016003D">
        <w:t xml:space="preserve"> sayılı Resmî </w:t>
      </w:r>
      <w:r w:rsidR="00274939">
        <w:t>Gazetede</w:t>
      </w:r>
      <w:r w:rsidR="0016003D" w:rsidRPr="0016003D">
        <w:t xml:space="preserve"> yayımlanan 2</w:t>
      </w:r>
      <w:r>
        <w:t>8</w:t>
      </w:r>
      <w:r w:rsidR="0016003D" w:rsidRPr="0016003D">
        <w:t>.0</w:t>
      </w:r>
      <w:r>
        <w:t>7</w:t>
      </w:r>
      <w:r w:rsidR="0016003D" w:rsidRPr="0016003D">
        <w:t>.202</w:t>
      </w:r>
      <w:r>
        <w:t>2</w:t>
      </w:r>
      <w:r w:rsidR="0016003D" w:rsidRPr="0016003D">
        <w:t xml:space="preserve"> Tarihli ve 1</w:t>
      </w:r>
      <w:r>
        <w:t>1083</w:t>
      </w:r>
      <w:r w:rsidR="0016003D" w:rsidRPr="0016003D">
        <w:t xml:space="preserve"> Sayılı Kurul Kararı ile </w:t>
      </w:r>
      <w:r w:rsidRPr="009E3DF3">
        <w:rPr>
          <w:b/>
        </w:rPr>
        <w:t>Gün Öncesi Piyasasında ve Dengeleme Güç Piyasasında Asgari ve Azami Fiyat Limitlerinin Belirlenmesine İlişkin Usul ve Esasların</w:t>
      </w:r>
    </w:p>
    <w:p w:rsidR="0016003D" w:rsidRPr="0016003D" w:rsidRDefault="0016003D" w:rsidP="0016003D">
      <w:pPr>
        <w:pStyle w:val="ListeParagraf"/>
      </w:pPr>
    </w:p>
    <w:p w:rsidR="0016003D" w:rsidRPr="004F2451" w:rsidRDefault="00D32439" w:rsidP="000A5A56">
      <w:pPr>
        <w:pStyle w:val="ListeParagraf"/>
        <w:numPr>
          <w:ilvl w:val="0"/>
          <w:numId w:val="46"/>
        </w:numPr>
        <w:spacing w:after="160" w:line="259" w:lineRule="auto"/>
      </w:pPr>
      <w:r w:rsidRPr="004F2451">
        <w:t>Geçici 1 inci maddesinin beşinci fıkrası aşağıdaki şekilde değiştirilmiştir.</w:t>
      </w:r>
    </w:p>
    <w:p w:rsidR="00D32439" w:rsidRDefault="00D32439" w:rsidP="0016003D">
      <w:pPr>
        <w:pStyle w:val="ListeParagraf"/>
        <w:spacing w:after="160" w:line="259" w:lineRule="auto"/>
        <w:ind w:left="1440"/>
      </w:pPr>
    </w:p>
    <w:p w:rsidR="0016003D" w:rsidRDefault="00D32439" w:rsidP="0016003D">
      <w:pPr>
        <w:pStyle w:val="ListeParagraf"/>
        <w:spacing w:after="160" w:line="259" w:lineRule="auto"/>
        <w:ind w:left="1440"/>
        <w:rPr>
          <w:i/>
        </w:rPr>
      </w:pPr>
      <w:r w:rsidRPr="00D32439">
        <w:rPr>
          <w:i/>
        </w:rPr>
        <w:t>“(5) Bu fıkra hükmünün yürürlüğe girdiği tarihten itibaren Kurul tarafından yeni bir karar alınıncaya kadar; ilgili piyasalarda asgari fiyat limitleri 0 TL/MWh, azami fiyat limitleri ise 4000 TL/MWh olarak uygulanır. Bu uygulama süresince bu Usul ve Esasların 4 üncü maddesinin ikinci fıkrası hükümleri uygulanmaz.”</w:t>
      </w:r>
    </w:p>
    <w:p w:rsidR="0016003D" w:rsidRPr="0016003D" w:rsidRDefault="0016003D" w:rsidP="0016003D">
      <w:pPr>
        <w:pStyle w:val="ListeParagraf"/>
        <w:spacing w:after="160" w:line="259" w:lineRule="auto"/>
        <w:ind w:left="1440"/>
        <w:rPr>
          <w:i/>
        </w:rPr>
      </w:pPr>
    </w:p>
    <w:p w:rsidR="003F5D54" w:rsidRPr="008D5F4F" w:rsidRDefault="008D5F4F" w:rsidP="000A5A56">
      <w:pPr>
        <w:pStyle w:val="ListeParagraf"/>
        <w:numPr>
          <w:ilvl w:val="0"/>
          <w:numId w:val="28"/>
        </w:numPr>
        <w:spacing w:after="160" w:line="259" w:lineRule="auto"/>
        <w:rPr>
          <w:b/>
        </w:rPr>
      </w:pPr>
      <w:bookmarkStart w:id="62" w:name="_Hlk92447109"/>
      <w:r>
        <w:t>11</w:t>
      </w:r>
      <w:r w:rsidR="003F5D54" w:rsidRPr="008D5F4F">
        <w:t>.0</w:t>
      </w:r>
      <w:r>
        <w:t>8</w:t>
      </w:r>
      <w:r w:rsidR="003F5D54" w:rsidRPr="008D5F4F">
        <w:t>.202</w:t>
      </w:r>
      <w:r>
        <w:t>2</w:t>
      </w:r>
      <w:r w:rsidR="003F5D54" w:rsidRPr="008D5F4F">
        <w:t xml:space="preserve"> tarihli ve 31</w:t>
      </w:r>
      <w:r>
        <w:t>920</w:t>
      </w:r>
      <w:r w:rsidR="003F5D54" w:rsidRPr="008D5F4F">
        <w:t xml:space="preserve"> sayılı Resmî </w:t>
      </w:r>
      <w:r w:rsidR="00274939">
        <w:t>Gazetede</w:t>
      </w:r>
      <w:r w:rsidR="003F5D54" w:rsidRPr="008D5F4F">
        <w:t xml:space="preserve"> yayımlanan 0</w:t>
      </w:r>
      <w:r>
        <w:t>4</w:t>
      </w:r>
      <w:r w:rsidR="003F5D54" w:rsidRPr="008D5F4F">
        <w:t>.0</w:t>
      </w:r>
      <w:r>
        <w:t>8</w:t>
      </w:r>
      <w:r w:rsidR="003F5D54" w:rsidRPr="008D5F4F">
        <w:t>.202</w:t>
      </w:r>
      <w:r>
        <w:t>2</w:t>
      </w:r>
      <w:r w:rsidR="003F5D54" w:rsidRPr="008D5F4F">
        <w:t xml:space="preserve"> Tarihli ve </w:t>
      </w:r>
      <w:r>
        <w:t>11098</w:t>
      </w:r>
      <w:r w:rsidR="003F5D54" w:rsidRPr="008D5F4F">
        <w:t xml:space="preserve"> Sayılı Kurul Kararı ile </w:t>
      </w:r>
      <w:r w:rsidRPr="008D5F4F">
        <w:t>6446 sayılı Elektrik Piyasası Kanununun 14 üncü maddesinin dördüncü fıkrası ile Elektrik Piyasasında Lisanssız Elektrik Üretim Yönetmeliğinin 26 ncı maddesinin onaltıncı fıkrası uyarınca;</w:t>
      </w:r>
    </w:p>
    <w:p w:rsidR="008D5F4F" w:rsidRPr="008D5F4F" w:rsidRDefault="008D5F4F" w:rsidP="000A5A56">
      <w:pPr>
        <w:numPr>
          <w:ilvl w:val="0"/>
          <w:numId w:val="50"/>
        </w:numPr>
        <w:autoSpaceDE w:val="0"/>
        <w:autoSpaceDN w:val="0"/>
        <w:adjustRightInd w:val="0"/>
        <w:spacing w:after="0" w:line="240" w:lineRule="auto"/>
        <w:ind w:left="1134"/>
        <w:contextualSpacing/>
        <w:rPr>
          <w:rFonts w:cstheme="minorHAnsi"/>
        </w:rPr>
      </w:pPr>
      <w:r w:rsidRPr="008D5F4F">
        <w:rPr>
          <w:rFonts w:cstheme="minorHAnsi"/>
        </w:rPr>
        <w:t>12/05/2019 tarihinden sonra yapılan başvurular neticesinde bağlantı anlaşmasına çağrı mektubu almaya hak kazanan lisanssız üretim tesislerinde üretilerek satışa konu edilebilecek ihtiyacının üzerindeki elektrik enerjisi miktarının hesabında kullanılacak tüketim miktarının, ilgili tüketim tesisinin bir önceki takvim yılında şebekeden çektiği, mahsuplaşılmamış toplam elektrik enerjisi tüketimi olarak esas alınmasına,</w:t>
      </w:r>
    </w:p>
    <w:p w:rsidR="008D5F4F" w:rsidRPr="008D5F4F" w:rsidRDefault="008D5F4F" w:rsidP="008D5F4F">
      <w:pPr>
        <w:autoSpaceDE w:val="0"/>
        <w:autoSpaceDN w:val="0"/>
        <w:adjustRightInd w:val="0"/>
        <w:spacing w:after="0" w:line="240" w:lineRule="auto"/>
        <w:ind w:left="1134"/>
        <w:contextualSpacing/>
        <w:rPr>
          <w:rFonts w:cstheme="minorHAnsi"/>
        </w:rPr>
      </w:pPr>
    </w:p>
    <w:p w:rsidR="008D5F4F" w:rsidRPr="008D5F4F" w:rsidRDefault="008D5F4F" w:rsidP="000A5A56">
      <w:pPr>
        <w:numPr>
          <w:ilvl w:val="0"/>
          <w:numId w:val="50"/>
        </w:numPr>
        <w:spacing w:after="0" w:line="240" w:lineRule="auto"/>
        <w:ind w:left="1134"/>
        <w:contextualSpacing/>
        <w:rPr>
          <w:rFonts w:cstheme="minorHAnsi"/>
        </w:rPr>
      </w:pPr>
      <w:r w:rsidRPr="008D5F4F">
        <w:rPr>
          <w:rFonts w:cstheme="minorHAnsi"/>
        </w:rPr>
        <w:t xml:space="preserve">1 inci madde kapsamındaki tüketim tesislerinde bir önceki takvim yılını kapsayacak şekilde tüketim olmaması halinde tüketim miktarının, mevcut aylık tüketimlerinin ortalaması alınarak yıllık bazda hesaplanmasına, </w:t>
      </w:r>
    </w:p>
    <w:p w:rsidR="008D5F4F" w:rsidRPr="008D5F4F" w:rsidRDefault="008D5F4F" w:rsidP="008D5F4F">
      <w:pPr>
        <w:spacing w:after="0" w:line="240" w:lineRule="auto"/>
        <w:ind w:left="1134"/>
        <w:contextualSpacing/>
        <w:rPr>
          <w:rFonts w:cstheme="minorHAnsi"/>
        </w:rPr>
      </w:pPr>
    </w:p>
    <w:p w:rsidR="008D5F4F" w:rsidRPr="008D5F4F" w:rsidRDefault="008D5F4F" w:rsidP="000A5A56">
      <w:pPr>
        <w:numPr>
          <w:ilvl w:val="0"/>
          <w:numId w:val="50"/>
        </w:numPr>
        <w:spacing w:after="0" w:line="240" w:lineRule="auto"/>
        <w:ind w:left="1134"/>
        <w:contextualSpacing/>
        <w:rPr>
          <w:rFonts w:cstheme="minorHAnsi"/>
        </w:rPr>
      </w:pPr>
      <w:r w:rsidRPr="008D5F4F">
        <w:rPr>
          <w:rFonts w:cstheme="minorHAnsi"/>
        </w:rPr>
        <w:t xml:space="preserve">İlgili tüketim tesisinin içinde bulunulan yılda şebekeden çektiği mahsuplaşılmamış toplam elektrik enerjisi tüketiminin 1 inci veya 2 nci madde uyarınca belirlenen toplam elektrik enerjisi tüketimini geçmesi halinde, satışa konu edilebilecek ihtiyaç fazlası enerjinin içinde bulunulan yıl verileri dikkate alınarak hesaplanmasına, </w:t>
      </w:r>
    </w:p>
    <w:p w:rsidR="008D5F4F" w:rsidRPr="008D5F4F" w:rsidRDefault="008D5F4F" w:rsidP="008D5F4F">
      <w:pPr>
        <w:spacing w:after="0" w:line="240" w:lineRule="auto"/>
        <w:ind w:left="1134"/>
        <w:contextualSpacing/>
        <w:rPr>
          <w:rFonts w:cstheme="minorHAnsi"/>
        </w:rPr>
      </w:pPr>
    </w:p>
    <w:p w:rsidR="008D5F4F" w:rsidRPr="008D5F4F" w:rsidRDefault="008D5F4F" w:rsidP="000A5A56">
      <w:pPr>
        <w:numPr>
          <w:ilvl w:val="0"/>
          <w:numId w:val="50"/>
        </w:numPr>
        <w:spacing w:after="0" w:line="240" w:lineRule="auto"/>
        <w:ind w:left="1134"/>
        <w:contextualSpacing/>
        <w:rPr>
          <w:rFonts w:cstheme="minorHAnsi"/>
        </w:rPr>
      </w:pPr>
      <w:r w:rsidRPr="008D5F4F">
        <w:rPr>
          <w:rFonts w:cstheme="minorHAnsi"/>
        </w:rPr>
        <w:t>Üretimle tüketim tesisinin aynı ölçüm noktasında yer aldığı tesislerde mahsuplaşılmamış ham tüketim miktarının tesis edilecek tek yönlü üretim sayacı verileri dikkate alınarak belirlenmesine,</w:t>
      </w:r>
    </w:p>
    <w:p w:rsidR="008D5F4F" w:rsidRPr="008D5F4F" w:rsidRDefault="008D5F4F" w:rsidP="008D5F4F">
      <w:pPr>
        <w:spacing w:after="0" w:line="240" w:lineRule="auto"/>
        <w:ind w:left="1134"/>
        <w:contextualSpacing/>
        <w:rPr>
          <w:rFonts w:cstheme="minorHAnsi"/>
        </w:rPr>
      </w:pPr>
    </w:p>
    <w:p w:rsidR="008D5F4F" w:rsidRPr="008D5F4F" w:rsidRDefault="008D5F4F" w:rsidP="000A5A56">
      <w:pPr>
        <w:numPr>
          <w:ilvl w:val="0"/>
          <w:numId w:val="50"/>
        </w:numPr>
        <w:spacing w:after="0" w:line="240" w:lineRule="auto"/>
        <w:ind w:left="1134"/>
        <w:contextualSpacing/>
        <w:rPr>
          <w:rFonts w:cstheme="minorHAnsi"/>
        </w:rPr>
      </w:pPr>
      <w:r w:rsidRPr="008D5F4F">
        <w:rPr>
          <w:rFonts w:cstheme="minorHAnsi"/>
        </w:rPr>
        <w:t>Bu Kurul Kararı uyarınca hesaplanan tüketim miktarı esas alınarak belirlenen satışa konu edilebilecek ihtiyaç fazlası enerjinin üzerinde üretilerek şebekeye verilen enerjinin, görevli tedarik şirketi tarafından üretilerek sisteme verilmiş olarak kabul edilmesine ve bu enerji ile ilgili olarak piyasa işletmecisi ve görevli tedarik şirketi tarafından herhangi bir ödeme yapılmayarak bu kapsamda sisteme verilen enerjinin YEKDEM’e bedelsiz katkı olarak dikkate alınmasına,</w:t>
      </w:r>
    </w:p>
    <w:p w:rsidR="008D5F4F" w:rsidRPr="008D5F4F" w:rsidRDefault="008D5F4F" w:rsidP="008D5F4F">
      <w:pPr>
        <w:spacing w:after="0" w:line="240" w:lineRule="auto"/>
        <w:ind w:left="1134"/>
        <w:contextualSpacing/>
        <w:rPr>
          <w:rFonts w:cstheme="minorHAnsi"/>
        </w:rPr>
      </w:pPr>
    </w:p>
    <w:p w:rsidR="008D5F4F" w:rsidRPr="008D5F4F" w:rsidRDefault="008D5F4F" w:rsidP="000A5A56">
      <w:pPr>
        <w:numPr>
          <w:ilvl w:val="0"/>
          <w:numId w:val="50"/>
        </w:numPr>
        <w:spacing w:after="0" w:line="240" w:lineRule="auto"/>
        <w:ind w:left="1134"/>
        <w:contextualSpacing/>
        <w:rPr>
          <w:rFonts w:cstheme="minorHAnsi"/>
        </w:rPr>
      </w:pPr>
      <w:r w:rsidRPr="008D5F4F">
        <w:rPr>
          <w:rFonts w:cstheme="minorHAnsi"/>
        </w:rPr>
        <w:t>5 inci madde uyarınca YEKDEM’e bedelsiz katkı olarak dikkate alınan enerji miktarı için oluşacak sistem kullanım bedelinin ilgili şebeke işletmecileri tarafından EPİAŞ’a bildirilmesine ve görevli tedarik şirketi aracılığıyla ilgili şebeke işletmecisine ödenmesine ve YEKDEM’e bedelsiz katkı olarak dikkate alınan enerji için lisanssız üretim tesisi sahibi kişilere herhangi bir fatura tebliğ edilmemesine,</w:t>
      </w:r>
    </w:p>
    <w:p w:rsidR="008D5F4F" w:rsidRPr="008D5F4F" w:rsidRDefault="008D5F4F" w:rsidP="008D5F4F">
      <w:pPr>
        <w:spacing w:after="0" w:line="240" w:lineRule="auto"/>
        <w:ind w:left="1134"/>
        <w:contextualSpacing/>
        <w:rPr>
          <w:rFonts w:cstheme="minorHAnsi"/>
        </w:rPr>
      </w:pPr>
    </w:p>
    <w:p w:rsidR="008D5F4F" w:rsidRPr="008D5F4F" w:rsidRDefault="008D5F4F" w:rsidP="000A5A56">
      <w:pPr>
        <w:numPr>
          <w:ilvl w:val="0"/>
          <w:numId w:val="50"/>
        </w:numPr>
        <w:spacing w:after="0" w:line="240" w:lineRule="auto"/>
        <w:ind w:left="1134"/>
        <w:contextualSpacing/>
        <w:rPr>
          <w:rFonts w:cstheme="minorHAnsi"/>
        </w:rPr>
      </w:pPr>
      <w:r w:rsidRPr="008D5F4F">
        <w:rPr>
          <w:rFonts w:cstheme="minorHAnsi"/>
        </w:rPr>
        <w:t>Bu Kurul Kararının kurulu gücü 50 kW ve altındaki mesken abone grubu ile ilişkilendirilen üretim tesislerine uygulanmamasına,</w:t>
      </w:r>
    </w:p>
    <w:bookmarkEnd w:id="62"/>
    <w:p w:rsidR="008D5F4F" w:rsidRDefault="008D5F4F" w:rsidP="008D5F4F">
      <w:pPr>
        <w:tabs>
          <w:tab w:val="right" w:pos="9072"/>
        </w:tabs>
        <w:spacing w:after="0" w:line="240" w:lineRule="auto"/>
        <w:ind w:firstLine="567"/>
        <w:rPr>
          <w:rFonts w:eastAsia="Times New Roman" w:cstheme="minorHAnsi"/>
          <w:spacing w:val="-2"/>
          <w:lang w:eastAsia="tr-TR"/>
        </w:rPr>
      </w:pPr>
      <w:r w:rsidRPr="00315C8C">
        <w:rPr>
          <w:rFonts w:eastAsia="Times New Roman" w:cstheme="minorHAnsi"/>
          <w:spacing w:val="-2"/>
          <w:lang w:eastAsia="tr-TR"/>
        </w:rPr>
        <w:t>karar verilmiştir.</w:t>
      </w:r>
    </w:p>
    <w:p w:rsidR="003F5D54" w:rsidRDefault="003F5D54" w:rsidP="003F5D54">
      <w:pPr>
        <w:pStyle w:val="ListeParagraf"/>
      </w:pPr>
    </w:p>
    <w:p w:rsidR="00AD4C37" w:rsidRDefault="00AD4C37" w:rsidP="000A5A56">
      <w:pPr>
        <w:pStyle w:val="ListeParagraf"/>
        <w:numPr>
          <w:ilvl w:val="0"/>
          <w:numId w:val="27"/>
        </w:numPr>
      </w:pPr>
      <w:bookmarkStart w:id="63" w:name="_Hlk92372000"/>
      <w:r>
        <w:lastRenderedPageBreak/>
        <w:t>01</w:t>
      </w:r>
      <w:r w:rsidRPr="0016003D">
        <w:t>.</w:t>
      </w:r>
      <w:r>
        <w:t>09</w:t>
      </w:r>
      <w:r w:rsidRPr="0016003D">
        <w:t>.202</w:t>
      </w:r>
      <w:r>
        <w:t>2</w:t>
      </w:r>
      <w:r w:rsidRPr="0016003D">
        <w:t xml:space="preserve"> tarihli ve </w:t>
      </w:r>
      <w:r>
        <w:t>31940</w:t>
      </w:r>
      <w:r w:rsidRPr="0016003D">
        <w:t xml:space="preserve"> sayılı Resmî </w:t>
      </w:r>
      <w:r w:rsidR="00274939">
        <w:t>Gazetede</w:t>
      </w:r>
      <w:r w:rsidRPr="0016003D">
        <w:t xml:space="preserve"> yayımlanan </w:t>
      </w:r>
      <w:r>
        <w:t>31</w:t>
      </w:r>
      <w:r w:rsidRPr="0016003D">
        <w:t>.</w:t>
      </w:r>
      <w:r>
        <w:t>08</w:t>
      </w:r>
      <w:r w:rsidRPr="0016003D">
        <w:t>.202</w:t>
      </w:r>
      <w:r>
        <w:t>2</w:t>
      </w:r>
      <w:r w:rsidRPr="0016003D">
        <w:t xml:space="preserve"> Tarihli ve </w:t>
      </w:r>
      <w:r w:rsidR="005E6CB7">
        <w:t>11156</w:t>
      </w:r>
      <w:r w:rsidRPr="0016003D">
        <w:t xml:space="preserve"> Sayılı Kurul Kararı ile </w:t>
      </w:r>
      <w:r w:rsidRPr="00AD4C37">
        <w:rPr>
          <w:b/>
        </w:rPr>
        <w:t>Gün Öncesi Piyasasında ve Dengeleme Güç Piyasasında Asgari ve Azami Fiyat Limitlerinin Belirlenmesine İlişkin Usul ve Esaslar</w:t>
      </w:r>
      <w:r>
        <w:rPr>
          <w:b/>
        </w:rPr>
        <w:t>ın</w:t>
      </w:r>
    </w:p>
    <w:p w:rsidR="00AD4C37" w:rsidRPr="0016003D" w:rsidRDefault="00AD4C37" w:rsidP="00AD4C37">
      <w:pPr>
        <w:pStyle w:val="ListeParagraf"/>
      </w:pPr>
    </w:p>
    <w:p w:rsidR="00AD4C37" w:rsidRPr="00417F98" w:rsidRDefault="00AD4C37" w:rsidP="000A5A56">
      <w:pPr>
        <w:pStyle w:val="ListeParagraf"/>
        <w:numPr>
          <w:ilvl w:val="0"/>
          <w:numId w:val="46"/>
        </w:numPr>
        <w:spacing w:after="160" w:line="259" w:lineRule="auto"/>
      </w:pPr>
      <w:r w:rsidRPr="00417F98">
        <w:t>Geçici 1 inci maddesinin beşinci fıkrası aşağıdaki şekilde değiştirilmiştir.</w:t>
      </w:r>
    </w:p>
    <w:p w:rsidR="00AD4C37" w:rsidRDefault="00AD4C37" w:rsidP="00AD4C37">
      <w:pPr>
        <w:pStyle w:val="ListeParagraf"/>
        <w:spacing w:after="160" w:line="259" w:lineRule="auto"/>
        <w:ind w:left="1440"/>
      </w:pPr>
    </w:p>
    <w:p w:rsidR="00AD4C37" w:rsidRDefault="00AD4C37" w:rsidP="00AD4C37">
      <w:pPr>
        <w:pStyle w:val="ListeParagraf"/>
        <w:spacing w:after="160" w:line="259" w:lineRule="auto"/>
        <w:ind w:left="1440"/>
        <w:rPr>
          <w:i/>
        </w:rPr>
      </w:pPr>
      <w:r w:rsidRPr="00AD4C37">
        <w:rPr>
          <w:i/>
        </w:rPr>
        <w:t>“(5) Bu fıkra hükmünün yürürlüğe girdiği tarihten itibaren Kurul tarafından yeni bir karar alınıncaya kadar; ilgili piyasalarda asgari fiyat limitleri 0 TL/MWh, azami fiyat limitleri ise 4800 TL/MWh olarak uygulanır. Bu uygulama süresince bu Usul ve Esasların 4 üncü maddesinin ikinci fıkrası hükümleri uygulanmaz.”</w:t>
      </w:r>
    </w:p>
    <w:bookmarkEnd w:id="63"/>
    <w:p w:rsidR="003F5D54" w:rsidRPr="005561AA" w:rsidRDefault="003F5D54" w:rsidP="003F5D54">
      <w:pPr>
        <w:pStyle w:val="ListeParagraf"/>
      </w:pPr>
    </w:p>
    <w:p w:rsidR="007B0694" w:rsidRDefault="007B0694" w:rsidP="000A5A56">
      <w:pPr>
        <w:pStyle w:val="ListeParagraf"/>
        <w:numPr>
          <w:ilvl w:val="0"/>
          <w:numId w:val="27"/>
        </w:numPr>
        <w:spacing w:after="160" w:line="259" w:lineRule="auto"/>
      </w:pPr>
      <w:bookmarkStart w:id="64" w:name="_Hlk92372269"/>
      <w:r>
        <w:t>01</w:t>
      </w:r>
      <w:r w:rsidRPr="00AB0B60">
        <w:t>.0</w:t>
      </w:r>
      <w:r>
        <w:t>9</w:t>
      </w:r>
      <w:r w:rsidRPr="00AB0B60">
        <w:t>.202</w:t>
      </w:r>
      <w:r>
        <w:t>2</w:t>
      </w:r>
      <w:r w:rsidRPr="00AB0B60">
        <w:t xml:space="preserve"> tarihli ve</w:t>
      </w:r>
      <w:r>
        <w:t xml:space="preserve"> </w:t>
      </w:r>
      <w:r w:rsidRPr="00AB0B60">
        <w:t>31</w:t>
      </w:r>
      <w:r>
        <w:t>940</w:t>
      </w:r>
      <w:r w:rsidRPr="00AB0B60">
        <w:t xml:space="preserve"> sayılı Resmî </w:t>
      </w:r>
      <w:r w:rsidR="00274939">
        <w:t>Gazetede</w:t>
      </w:r>
      <w:r w:rsidRPr="00AB0B60">
        <w:t xml:space="preserve"> yayımlanan </w:t>
      </w:r>
      <w:r>
        <w:t>31.</w:t>
      </w:r>
      <w:r w:rsidRPr="00AB0B60">
        <w:t>0</w:t>
      </w:r>
      <w:r>
        <w:t>8.</w:t>
      </w:r>
      <w:r w:rsidRPr="00AB0B60">
        <w:t>202</w:t>
      </w:r>
      <w:r>
        <w:t>2</w:t>
      </w:r>
      <w:r w:rsidRPr="00AB0B60">
        <w:t xml:space="preserve"> Tarihli ve 1</w:t>
      </w:r>
      <w:r>
        <w:t>1157</w:t>
      </w:r>
      <w:r w:rsidRPr="00AB0B60">
        <w:t xml:space="preserve"> Sayılı </w:t>
      </w:r>
      <w:r>
        <w:t xml:space="preserve">Kurul Kararı ile </w:t>
      </w:r>
      <w:r w:rsidRPr="007B0694">
        <w:t>Elektrik Piyasası Dengeleme ve Uzlaştırma Yönetmeliğinin (Yönetmelik) 132/D maddesinin onbirinci fıkrası kapsamında; 31/10/2022 tarihine kadar uygulanmak üzere; görevli tedarik şirketlerinin Yönetmeliğin 132/Ç maddesinin birinci fıkrasında belirtilen avans ödeme bildirimlerinde yer alan bedellerin, en fazla % 50 (yüzde elli) oranındaki tutarı için Yönetmeliğin 132/D maddesinin onbirinci fıkrası çerçevesinde işlem tesis edilmesine</w:t>
      </w:r>
      <w:r>
        <w:t xml:space="preserve"> </w:t>
      </w:r>
      <w:r w:rsidRPr="00C3546A">
        <w:t>karar verilmiştir.</w:t>
      </w:r>
    </w:p>
    <w:p w:rsidR="00270CA3" w:rsidRDefault="00270CA3" w:rsidP="00270CA3">
      <w:pPr>
        <w:pStyle w:val="ListeParagraf"/>
        <w:spacing w:after="160" w:line="259" w:lineRule="auto"/>
      </w:pPr>
    </w:p>
    <w:p w:rsidR="00270CA3" w:rsidRDefault="00270CA3" w:rsidP="000A5A56">
      <w:pPr>
        <w:pStyle w:val="ListeParagraf"/>
        <w:numPr>
          <w:ilvl w:val="0"/>
          <w:numId w:val="27"/>
        </w:numPr>
        <w:spacing w:after="160" w:line="259" w:lineRule="auto"/>
      </w:pPr>
      <w:r>
        <w:t>30</w:t>
      </w:r>
      <w:r w:rsidRPr="00AB0B60">
        <w:t>.0</w:t>
      </w:r>
      <w:r>
        <w:t>9</w:t>
      </w:r>
      <w:r w:rsidRPr="00AB0B60">
        <w:t>.202</w:t>
      </w:r>
      <w:r>
        <w:t>2</w:t>
      </w:r>
      <w:r w:rsidRPr="00AB0B60">
        <w:t xml:space="preserve"> tarihli ve</w:t>
      </w:r>
      <w:r>
        <w:t xml:space="preserve"> </w:t>
      </w:r>
      <w:r w:rsidRPr="00AB0B60">
        <w:t>31</w:t>
      </w:r>
      <w:r>
        <w:t>969</w:t>
      </w:r>
      <w:r w:rsidRPr="00AB0B60">
        <w:t xml:space="preserve"> sayılı Resmî </w:t>
      </w:r>
      <w:r w:rsidR="00274939">
        <w:t>Gazetede</w:t>
      </w:r>
      <w:r w:rsidRPr="00AB0B60">
        <w:t xml:space="preserve"> yayımlanan </w:t>
      </w:r>
      <w:r>
        <w:t>29.</w:t>
      </w:r>
      <w:r w:rsidRPr="00AB0B60">
        <w:t>0</w:t>
      </w:r>
      <w:r>
        <w:t>9.</w:t>
      </w:r>
      <w:r w:rsidRPr="00AB0B60">
        <w:t>202</w:t>
      </w:r>
      <w:r>
        <w:t>2</w:t>
      </w:r>
      <w:r w:rsidRPr="00AB0B60">
        <w:t xml:space="preserve"> </w:t>
      </w:r>
      <w:r>
        <w:t>t</w:t>
      </w:r>
      <w:r w:rsidRPr="00AB0B60">
        <w:t xml:space="preserve">arihli ve </w:t>
      </w:r>
      <w:r>
        <w:t>11254</w:t>
      </w:r>
      <w:r w:rsidRPr="0016003D">
        <w:t xml:space="preserve"> </w:t>
      </w:r>
      <w:r>
        <w:t>s</w:t>
      </w:r>
      <w:r w:rsidRPr="0016003D">
        <w:t>ayılı Kurul Kararı ile</w:t>
      </w:r>
      <w:r>
        <w:t xml:space="preserve"> </w:t>
      </w:r>
      <w:r w:rsidRPr="0021565E">
        <w:t>Elektrik Piyasası Bağlantı ve Sistem Kullanım Yönetmeliğinin 7 inci maddesinin birinci fıkrası ile 14 üncü maddesinin birinci fıkrası ve Enerji ve Tabii Kaynaklar Bakanlığı’nın 22/09/2022 tarih ve 144181 sayılı yazısı kapsamında; 12/05/2022 tarihli ve 10971 sayılı Kurul Kararının, söz konusu Kurul Kararında belirtilen esaslar çerçevesinde 31/03/2023 tarihine kadar uygulanmasına</w:t>
      </w:r>
      <w:r>
        <w:t xml:space="preserve"> karar verilmiştir.</w:t>
      </w:r>
    </w:p>
    <w:p w:rsidR="00417F98" w:rsidRDefault="00417F98" w:rsidP="00417F98">
      <w:pPr>
        <w:pStyle w:val="ListeParagraf"/>
        <w:spacing w:after="160" w:line="259" w:lineRule="auto"/>
      </w:pPr>
    </w:p>
    <w:p w:rsidR="00417F98" w:rsidRDefault="00417F98" w:rsidP="000A5A56">
      <w:pPr>
        <w:pStyle w:val="ListeParagraf"/>
        <w:numPr>
          <w:ilvl w:val="0"/>
          <w:numId w:val="27"/>
        </w:numPr>
      </w:pPr>
      <w:r>
        <w:t>30</w:t>
      </w:r>
      <w:r w:rsidRPr="00AB0B60">
        <w:t>.0</w:t>
      </w:r>
      <w:r>
        <w:t>9</w:t>
      </w:r>
      <w:r w:rsidRPr="00AB0B60">
        <w:t>.202</w:t>
      </w:r>
      <w:r>
        <w:t>2</w:t>
      </w:r>
      <w:r w:rsidRPr="00AB0B60">
        <w:t xml:space="preserve"> tarihli ve</w:t>
      </w:r>
      <w:r>
        <w:t xml:space="preserve"> </w:t>
      </w:r>
      <w:r w:rsidRPr="00AB0B60">
        <w:t>31</w:t>
      </w:r>
      <w:r>
        <w:t>969</w:t>
      </w:r>
      <w:r w:rsidRPr="00AB0B60">
        <w:t xml:space="preserve"> sayılı Resmî </w:t>
      </w:r>
      <w:r w:rsidR="00274939">
        <w:t>Gazetede</w:t>
      </w:r>
      <w:r w:rsidRPr="00AB0B60">
        <w:t xml:space="preserve"> yayımlanan </w:t>
      </w:r>
      <w:r>
        <w:t>29.</w:t>
      </w:r>
      <w:r w:rsidRPr="00AB0B60">
        <w:t>0</w:t>
      </w:r>
      <w:r>
        <w:t>9.</w:t>
      </w:r>
      <w:r w:rsidRPr="00AB0B60">
        <w:t>202</w:t>
      </w:r>
      <w:r>
        <w:t>2</w:t>
      </w:r>
      <w:r w:rsidRPr="00AB0B60">
        <w:t xml:space="preserve"> Tarihli ve </w:t>
      </w:r>
      <w:r>
        <w:t>11269</w:t>
      </w:r>
      <w:r w:rsidRPr="0016003D">
        <w:t xml:space="preserve"> Sayılı Kurul Kararı ile </w:t>
      </w:r>
      <w:r w:rsidRPr="00417F98">
        <w:rPr>
          <w:b/>
        </w:rPr>
        <w:t>Kaynak Bazında Destekleme Bedelinin Belirlenmesine ve Uygulanmasına İlişkin Usul</w:t>
      </w:r>
      <w:r w:rsidR="00270CA3">
        <w:rPr>
          <w:b/>
        </w:rPr>
        <w:t xml:space="preserve"> ve Esasların</w:t>
      </w:r>
    </w:p>
    <w:p w:rsidR="00417F98" w:rsidRPr="0016003D" w:rsidRDefault="00417F98" w:rsidP="00417F98">
      <w:pPr>
        <w:pStyle w:val="ListeParagraf"/>
      </w:pPr>
    </w:p>
    <w:p w:rsidR="00417F98" w:rsidRPr="00417F98" w:rsidRDefault="00417F98" w:rsidP="000A5A56">
      <w:pPr>
        <w:pStyle w:val="ListeParagraf"/>
        <w:numPr>
          <w:ilvl w:val="0"/>
          <w:numId w:val="46"/>
        </w:numPr>
        <w:spacing w:after="160" w:line="259" w:lineRule="auto"/>
      </w:pPr>
      <w:r w:rsidRPr="00417F98">
        <w:t>7 nci maddesinin birinci fıkrası aşağıdaki şekilde değiştirilmiştir.</w:t>
      </w:r>
    </w:p>
    <w:p w:rsidR="00417F98" w:rsidRDefault="00417F98" w:rsidP="00417F98">
      <w:pPr>
        <w:pStyle w:val="ListeParagraf"/>
        <w:spacing w:after="160" w:line="259" w:lineRule="auto"/>
        <w:ind w:left="1440"/>
      </w:pPr>
    </w:p>
    <w:p w:rsidR="00417F98" w:rsidRPr="00417F98" w:rsidRDefault="00417F98" w:rsidP="00417F98">
      <w:pPr>
        <w:pStyle w:val="ListeParagraf"/>
        <w:spacing w:after="160" w:line="259" w:lineRule="auto"/>
        <w:ind w:left="1440"/>
        <w:rPr>
          <w:i/>
        </w:rPr>
      </w:pPr>
      <w:r w:rsidRPr="00417F98">
        <w:rPr>
          <w:i/>
        </w:rPr>
        <w:t>“(1) İkili anlaşma miktarlarının destekleme bedeli hesabında kullanılması amacıyla piyasa katılımcıları tarafından, sabit fiyat (nihai tüketiciye kadar) ile düzenlenmiş olan ikili anlaşmalara dair sözleşmeler ile sözleşmelere ilişkin faturanın noter onaylı suretleri ve birden fazla üretim tesisi bulunması durumunda üretim tesisi bazında dağılımına ilişkin üretim programını gösteren beyanı da piyasa işletmecisine iletilir.”</w:t>
      </w:r>
    </w:p>
    <w:p w:rsidR="00725B87" w:rsidRDefault="00725B87" w:rsidP="00725B87">
      <w:pPr>
        <w:pStyle w:val="ListeParagraf"/>
      </w:pPr>
    </w:p>
    <w:p w:rsidR="00417F98" w:rsidRPr="00417F98" w:rsidRDefault="00417F98" w:rsidP="000A5A56">
      <w:pPr>
        <w:pStyle w:val="ListeParagraf"/>
        <w:numPr>
          <w:ilvl w:val="0"/>
          <w:numId w:val="46"/>
        </w:numPr>
        <w:spacing w:after="160" w:line="259" w:lineRule="auto"/>
      </w:pPr>
      <w:r w:rsidRPr="00417F98">
        <w:t>8 inci maddesinin ikinci ve üçüncü fıkraları aşağıdaki şekilde değiştirilmiştir.</w:t>
      </w:r>
    </w:p>
    <w:p w:rsidR="00417F98" w:rsidRDefault="00417F98" w:rsidP="00417F98">
      <w:pPr>
        <w:pStyle w:val="ListeParagraf"/>
        <w:spacing w:after="160" w:line="259" w:lineRule="auto"/>
        <w:ind w:left="1440"/>
      </w:pPr>
    </w:p>
    <w:p w:rsidR="00417F98" w:rsidRPr="00417F98" w:rsidRDefault="00417F98" w:rsidP="00417F98">
      <w:pPr>
        <w:pStyle w:val="ListeParagraf"/>
        <w:spacing w:after="160" w:line="259" w:lineRule="auto"/>
        <w:ind w:left="1440"/>
        <w:rPr>
          <w:i/>
        </w:rPr>
      </w:pPr>
      <w:r w:rsidRPr="00417F98">
        <w:rPr>
          <w:i/>
        </w:rPr>
        <w:t>“(2) Destekleme bedeli kapsamında piyasa katılımcılarından talep edilecek teminat tutarları aşağıdaki formüle göre hesaplanır:</w:t>
      </w:r>
    </w:p>
    <w:p w:rsidR="00417F98" w:rsidRDefault="00417F98" w:rsidP="00417F98">
      <w:pPr>
        <w:spacing w:after="0" w:line="240" w:lineRule="auto"/>
        <w:ind w:firstLine="708"/>
        <w:contextualSpacing/>
        <w:rPr>
          <w:rFonts w:ascii="Times New Roman" w:eastAsia="Times New Roman" w:hAnsi="Times New Roman"/>
          <w:sz w:val="24"/>
          <w:szCs w:val="24"/>
          <w:lang w:eastAsia="tr-TR"/>
        </w:rPr>
      </w:pPr>
    </w:p>
    <w:p w:rsidR="00417F98" w:rsidRPr="00417F98" w:rsidRDefault="00417F98" w:rsidP="00417F98">
      <w:pPr>
        <w:spacing w:after="0" w:line="240" w:lineRule="auto"/>
        <w:ind w:left="720"/>
        <w:rPr>
          <w:rFonts w:cstheme="minorHAnsi"/>
        </w:rPr>
      </w:pPr>
      <w:r w:rsidRPr="00417F98">
        <w:rPr>
          <w:rFonts w:cstheme="minorHAnsi"/>
          <w:noProof/>
          <w:lang w:eastAsia="tr-TR"/>
        </w:rPr>
        <w:drawing>
          <wp:inline distT="0" distB="0" distL="0" distR="0" wp14:anchorId="0567B8FD" wp14:editId="77306EDD">
            <wp:extent cx="4400550" cy="533400"/>
            <wp:effectExtent l="0" t="0" r="0"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400550" cy="533400"/>
                    </a:xfrm>
                    <a:prstGeom prst="rect">
                      <a:avLst/>
                    </a:prstGeom>
                    <a:noFill/>
                    <a:ln>
                      <a:noFill/>
                    </a:ln>
                  </pic:spPr>
                </pic:pic>
              </a:graphicData>
            </a:graphic>
          </wp:inline>
        </w:drawing>
      </w:r>
    </w:p>
    <w:p w:rsidR="00417F98" w:rsidRPr="00417F98" w:rsidRDefault="00417F98" w:rsidP="00417F98">
      <w:pPr>
        <w:spacing w:after="0" w:line="240" w:lineRule="auto"/>
        <w:ind w:firstLine="708"/>
        <w:contextualSpacing/>
        <w:rPr>
          <w:rFonts w:eastAsia="Times New Roman" w:cstheme="minorHAnsi"/>
          <w:lang w:eastAsia="tr-TR"/>
        </w:rPr>
      </w:pPr>
    </w:p>
    <w:p w:rsidR="00417F98" w:rsidRPr="00417F98" w:rsidRDefault="00417F98" w:rsidP="00417F98">
      <w:pPr>
        <w:tabs>
          <w:tab w:val="left" w:pos="540"/>
          <w:tab w:val="left" w:pos="566"/>
          <w:tab w:val="left" w:pos="2160"/>
        </w:tabs>
        <w:spacing w:after="0" w:line="240" w:lineRule="auto"/>
        <w:ind w:left="2160" w:hanging="1260"/>
        <w:rPr>
          <w:rFonts w:cstheme="minorHAnsi"/>
        </w:rPr>
      </w:pPr>
      <w:r w:rsidRPr="00417F98">
        <w:rPr>
          <w:rFonts w:eastAsia="Times New Roman" w:cstheme="minorHAnsi"/>
          <w:lang w:eastAsia="tr-TR"/>
        </w:rPr>
        <w:t>(3) İkinci fıkradaki formülde geçen;</w:t>
      </w:r>
    </w:p>
    <w:p w:rsidR="00417F98" w:rsidRPr="00417F98" w:rsidRDefault="00417F98" w:rsidP="00417F98">
      <w:pPr>
        <w:tabs>
          <w:tab w:val="left" w:pos="540"/>
          <w:tab w:val="left" w:pos="566"/>
          <w:tab w:val="left" w:pos="2160"/>
        </w:tabs>
        <w:spacing w:after="0" w:line="240" w:lineRule="auto"/>
        <w:ind w:left="2160" w:hanging="1260"/>
        <w:rPr>
          <w:rFonts w:eastAsia="Times New Roman" w:cstheme="minorHAnsi"/>
          <w:lang w:eastAsia="tr-TR"/>
        </w:rPr>
      </w:pPr>
    </w:p>
    <w:p w:rsidR="00417F98" w:rsidRPr="00417F98" w:rsidRDefault="00417F98" w:rsidP="00417F98">
      <w:pPr>
        <w:tabs>
          <w:tab w:val="left" w:pos="540"/>
          <w:tab w:val="left" w:pos="566"/>
          <w:tab w:val="left" w:pos="2160"/>
        </w:tabs>
        <w:spacing w:after="0" w:line="240" w:lineRule="auto"/>
        <w:ind w:left="2160" w:hanging="1260"/>
        <w:rPr>
          <w:rFonts w:eastAsia="Times New Roman" w:cstheme="minorHAnsi"/>
          <w:lang w:eastAsia="tr-TR"/>
        </w:rPr>
      </w:pPr>
      <w:r w:rsidRPr="00417F98">
        <w:rPr>
          <w:rFonts w:eastAsia="Times New Roman" w:cstheme="minorHAnsi"/>
          <w:lang w:eastAsia="tr-TR"/>
        </w:rPr>
        <w:lastRenderedPageBreak/>
        <w:t>DBT</w:t>
      </w:r>
      <w:r w:rsidRPr="00417F98">
        <w:rPr>
          <w:rFonts w:eastAsia="Times New Roman" w:cstheme="minorHAnsi"/>
          <w:vertAlign w:val="subscript"/>
          <w:lang w:eastAsia="tr-TR"/>
        </w:rPr>
        <w:t xml:space="preserve">p,a </w:t>
      </w:r>
      <w:r w:rsidRPr="00417F98">
        <w:rPr>
          <w:rFonts w:eastAsia="Times New Roman" w:cstheme="minorHAnsi"/>
          <w:vertAlign w:val="subscript"/>
          <w:lang w:eastAsia="tr-TR"/>
        </w:rPr>
        <w:tab/>
      </w:r>
      <w:r w:rsidRPr="00417F98">
        <w:rPr>
          <w:rFonts w:eastAsia="Times New Roman" w:cstheme="minorHAnsi"/>
          <w:lang w:eastAsia="tr-TR"/>
        </w:rPr>
        <w:t>: “p” piyasa katılımcısının “a” fatura dönemi için destekleme bedeli borç tutarına ilişkin olarak sunmakla yükümlü bulunduğu destekle</w:t>
      </w:r>
      <w:r w:rsidR="00825C87">
        <w:rPr>
          <w:rFonts w:eastAsia="Times New Roman" w:cstheme="minorHAnsi"/>
          <w:lang w:eastAsia="tr-TR"/>
        </w:rPr>
        <w:t>1127</w:t>
      </w:r>
      <w:r w:rsidRPr="00417F98">
        <w:rPr>
          <w:rFonts w:eastAsia="Times New Roman" w:cstheme="minorHAnsi"/>
          <w:lang w:eastAsia="tr-TR"/>
        </w:rPr>
        <w:t>me bedeli  teminat tutarını,</w:t>
      </w:r>
    </w:p>
    <w:p w:rsidR="00417F98" w:rsidRPr="00417F98" w:rsidRDefault="00417F98" w:rsidP="00417F98">
      <w:pPr>
        <w:tabs>
          <w:tab w:val="left" w:pos="2160"/>
        </w:tabs>
        <w:spacing w:after="0" w:line="240" w:lineRule="auto"/>
        <w:ind w:left="2160" w:hanging="1260"/>
        <w:rPr>
          <w:rFonts w:eastAsia="Times New Roman" w:cstheme="minorHAnsi"/>
          <w:lang w:eastAsia="tr-TR"/>
        </w:rPr>
      </w:pPr>
      <w:r w:rsidRPr="00417F98">
        <w:rPr>
          <w:rFonts w:eastAsia="Times New Roman" w:cstheme="minorHAnsi"/>
          <w:lang w:eastAsia="tr-TR"/>
        </w:rPr>
        <w:t>TÜM</w:t>
      </w:r>
      <w:r w:rsidRPr="00417F98">
        <w:rPr>
          <w:rFonts w:eastAsia="Times New Roman" w:cstheme="minorHAnsi"/>
          <w:vertAlign w:val="subscript"/>
          <w:lang w:eastAsia="tr-TR"/>
        </w:rPr>
        <w:t>p,b,t,i</w:t>
      </w:r>
      <w:r w:rsidRPr="00417F98">
        <w:rPr>
          <w:rFonts w:eastAsia="Times New Roman" w:cstheme="minorHAnsi"/>
          <w:vertAlign w:val="subscript"/>
          <w:lang w:eastAsia="tr-TR"/>
        </w:rPr>
        <w:tab/>
      </w:r>
      <w:r w:rsidRPr="00417F98">
        <w:rPr>
          <w:rFonts w:eastAsia="Times New Roman" w:cstheme="minorHAnsi"/>
          <w:lang w:eastAsia="tr-TR"/>
        </w:rPr>
        <w:t>: “p” piyasa katılımcısının “b” uzlaştırmaya esas veriş-çekiş biriminin, “t” teklif bölgesinin, “i” uzlaştırma dönemine ait TEİAŞ Yük Tevzi Bilgi Sisteminde (YTBS) yer alan ve teminata esas üretim miktarını, YTBS’den üretim verisinin temin edilememesi durumunda ilgili tesi</w:t>
      </w:r>
      <w:r w:rsidR="00825C87">
        <w:rPr>
          <w:rFonts w:eastAsia="Times New Roman" w:cstheme="minorHAnsi"/>
          <w:lang w:eastAsia="tr-TR"/>
        </w:rPr>
        <w:t>11</w:t>
      </w:r>
      <w:r w:rsidRPr="00417F98">
        <w:rPr>
          <w:rFonts w:eastAsia="Times New Roman" w:cstheme="minorHAnsi"/>
          <w:lang w:eastAsia="tr-TR"/>
        </w:rPr>
        <w:t>sin işletmedeki kurulu gücü ile üretebileceği enerjinin %85’ini,</w:t>
      </w:r>
    </w:p>
    <w:p w:rsidR="00417F98" w:rsidRPr="00417F98" w:rsidRDefault="00417F98" w:rsidP="00417F98">
      <w:pPr>
        <w:tabs>
          <w:tab w:val="left" w:pos="2160"/>
        </w:tabs>
        <w:spacing w:after="0" w:line="240" w:lineRule="auto"/>
        <w:ind w:left="2160" w:hanging="1260"/>
        <w:rPr>
          <w:rFonts w:eastAsia="Times New Roman" w:cstheme="minorHAnsi"/>
          <w:lang w:eastAsia="tr-TR"/>
        </w:rPr>
      </w:pPr>
      <w:r w:rsidRPr="00417F98">
        <w:rPr>
          <w:rFonts w:eastAsia="Times New Roman" w:cstheme="minorHAnsi"/>
          <w:lang w:eastAsia="tr-TR"/>
        </w:rPr>
        <w:t>BF</w:t>
      </w:r>
      <w:r w:rsidRPr="00417F98">
        <w:rPr>
          <w:rFonts w:eastAsia="Times New Roman" w:cstheme="minorHAnsi"/>
          <w:vertAlign w:val="subscript"/>
          <w:lang w:eastAsia="tr-TR"/>
        </w:rPr>
        <w:t>t,i</w:t>
      </w:r>
      <w:r w:rsidRPr="00417F98">
        <w:rPr>
          <w:rFonts w:eastAsia="Times New Roman" w:cstheme="minorHAnsi"/>
          <w:vertAlign w:val="subscript"/>
          <w:lang w:eastAsia="tr-TR"/>
        </w:rPr>
        <w:tab/>
      </w:r>
      <w:r w:rsidRPr="00417F98">
        <w:rPr>
          <w:rFonts w:eastAsia="Times New Roman" w:cstheme="minorHAnsi"/>
          <w:lang w:eastAsia="tr-TR"/>
        </w:rPr>
        <w:t>: “t” teklif bölgesinde “i” uzlaştırma dönemine ait piyasa takas fiyatını veya 7 nci madde kapsamındaki üretim miktarları için sözleşmelerde sabit fiyat olarak belirlenen fiyatı,</w:t>
      </w:r>
    </w:p>
    <w:p w:rsidR="00417F98" w:rsidRPr="00417F98" w:rsidRDefault="00417F98" w:rsidP="00417F98">
      <w:pPr>
        <w:tabs>
          <w:tab w:val="left" w:pos="2160"/>
        </w:tabs>
        <w:spacing w:after="0" w:line="240" w:lineRule="auto"/>
        <w:ind w:left="2160" w:hanging="1260"/>
        <w:rPr>
          <w:rFonts w:eastAsia="Times New Roman" w:cstheme="minorHAnsi"/>
          <w:lang w:eastAsia="tr-TR"/>
        </w:rPr>
      </w:pPr>
      <w:r w:rsidRPr="00417F98">
        <w:rPr>
          <w:rFonts w:eastAsia="Times New Roman" w:cstheme="minorHAnsi"/>
          <w:lang w:eastAsia="tr-TR"/>
        </w:rPr>
        <w:t>AUF</w:t>
      </w:r>
      <w:r w:rsidRPr="00417F98">
        <w:rPr>
          <w:rFonts w:eastAsia="Times New Roman" w:cstheme="minorHAnsi"/>
          <w:vertAlign w:val="subscript"/>
          <w:lang w:eastAsia="tr-TR"/>
        </w:rPr>
        <w:t>k</w:t>
      </w:r>
      <w:r w:rsidRPr="00417F98">
        <w:rPr>
          <w:rFonts w:eastAsia="Times New Roman" w:cstheme="minorHAnsi"/>
          <w:lang w:eastAsia="tr-TR"/>
        </w:rPr>
        <w:tab/>
        <w:t>: Kurul tarafından üretim tesislerinin “k” kaynak türü için belirlenen ve içinde bulunulan gün itibarıyla elde edilen nihai değerler üzerinden güncellenen azami uzlaştırma fiyatını,</w:t>
      </w:r>
    </w:p>
    <w:p w:rsidR="00417F98" w:rsidRPr="00417F98" w:rsidRDefault="00417F98" w:rsidP="00417F98">
      <w:pPr>
        <w:tabs>
          <w:tab w:val="left" w:pos="2160"/>
        </w:tabs>
        <w:spacing w:after="0" w:line="240" w:lineRule="auto"/>
        <w:ind w:left="2160" w:hanging="1260"/>
        <w:rPr>
          <w:rFonts w:eastAsia="Times New Roman" w:cstheme="minorHAnsi"/>
          <w:lang w:eastAsia="tr-TR"/>
        </w:rPr>
      </w:pPr>
      <w:r w:rsidRPr="00417F98">
        <w:rPr>
          <w:rFonts w:eastAsia="Times New Roman" w:cstheme="minorHAnsi"/>
          <w:lang w:eastAsia="tr-TR"/>
        </w:rPr>
        <w:t>n</w:t>
      </w:r>
      <w:r w:rsidRPr="00417F98">
        <w:rPr>
          <w:rFonts w:eastAsia="Times New Roman" w:cstheme="minorHAnsi"/>
          <w:lang w:eastAsia="tr-TR"/>
        </w:rPr>
        <w:tab/>
        <w:t>: ilgili fatura dönemine ilişkin uzlaştırma dönemlerinin sayısını,</w:t>
      </w:r>
    </w:p>
    <w:p w:rsidR="00417F98" w:rsidRPr="00417F98" w:rsidRDefault="00417F98" w:rsidP="00417F98">
      <w:pPr>
        <w:tabs>
          <w:tab w:val="left" w:pos="2160"/>
        </w:tabs>
        <w:spacing w:after="0" w:line="240" w:lineRule="auto"/>
        <w:ind w:left="2160" w:hanging="1260"/>
        <w:rPr>
          <w:rFonts w:eastAsia="Times New Roman" w:cstheme="minorHAnsi"/>
          <w:lang w:eastAsia="tr-TR"/>
        </w:rPr>
      </w:pPr>
      <w:r w:rsidRPr="00417F98">
        <w:rPr>
          <w:rFonts w:eastAsia="Times New Roman" w:cstheme="minorHAnsi"/>
          <w:lang w:eastAsia="tr-TR"/>
        </w:rPr>
        <w:t>m</w:t>
      </w:r>
      <w:r w:rsidRPr="00417F98">
        <w:rPr>
          <w:rFonts w:eastAsia="Times New Roman" w:cstheme="minorHAnsi"/>
          <w:lang w:eastAsia="tr-TR"/>
        </w:rPr>
        <w:tab/>
        <w:t>: “p” piyasa katılımcısına ait uzlaştırmaya esas veriş-çekiş birimi sayısını,</w:t>
      </w:r>
    </w:p>
    <w:p w:rsidR="00417F98" w:rsidRPr="00417F98" w:rsidRDefault="00417F98" w:rsidP="00417F98">
      <w:pPr>
        <w:tabs>
          <w:tab w:val="left" w:pos="2160"/>
        </w:tabs>
        <w:spacing w:after="0" w:line="240" w:lineRule="auto"/>
        <w:ind w:left="2160" w:hanging="1260"/>
        <w:rPr>
          <w:rFonts w:eastAsia="Times New Roman" w:cstheme="minorHAnsi"/>
          <w:lang w:eastAsia="tr-TR"/>
        </w:rPr>
      </w:pPr>
      <w:r>
        <w:rPr>
          <w:rFonts w:eastAsia="Times New Roman" w:cstheme="minorHAnsi"/>
          <w:lang w:eastAsia="tr-TR"/>
        </w:rPr>
        <w:t>l</w:t>
      </w:r>
      <w:r w:rsidRPr="00417F98">
        <w:rPr>
          <w:rFonts w:eastAsia="Times New Roman" w:cstheme="minorHAnsi"/>
          <w:lang w:eastAsia="tr-TR"/>
        </w:rPr>
        <w:tab/>
        <w:t>: Teklif bölgesi sayısını</w:t>
      </w:r>
    </w:p>
    <w:p w:rsidR="00417F98" w:rsidRPr="00417F98" w:rsidRDefault="00417F98" w:rsidP="00417F98">
      <w:pPr>
        <w:pStyle w:val="ListeParagraf"/>
        <w:rPr>
          <w:rFonts w:eastAsia="Times New Roman" w:cstheme="minorHAnsi"/>
          <w:lang w:eastAsia="tr-TR"/>
        </w:rPr>
      </w:pPr>
      <w:r w:rsidRPr="00417F98">
        <w:rPr>
          <w:rFonts w:eastAsia="Times New Roman" w:cstheme="minorHAnsi"/>
          <w:lang w:eastAsia="tr-TR"/>
        </w:rPr>
        <w:t>ifade eder.”</w:t>
      </w:r>
    </w:p>
    <w:p w:rsidR="00417F98" w:rsidRDefault="00417F98" w:rsidP="00417F98">
      <w:pPr>
        <w:pStyle w:val="ListeParagraf"/>
      </w:pPr>
    </w:p>
    <w:p w:rsidR="007B0694" w:rsidRDefault="00725B87" w:rsidP="000A5A56">
      <w:pPr>
        <w:pStyle w:val="ListeParagraf"/>
        <w:numPr>
          <w:ilvl w:val="0"/>
          <w:numId w:val="27"/>
        </w:numPr>
        <w:spacing w:after="160" w:line="259" w:lineRule="auto"/>
      </w:pPr>
      <w:r>
        <w:t>30</w:t>
      </w:r>
      <w:r w:rsidRPr="00AB0B60">
        <w:t>.0</w:t>
      </w:r>
      <w:r>
        <w:t>9</w:t>
      </w:r>
      <w:r w:rsidRPr="00AB0B60">
        <w:t>.202</w:t>
      </w:r>
      <w:r>
        <w:t>2</w:t>
      </w:r>
      <w:r w:rsidRPr="00AB0B60">
        <w:t xml:space="preserve"> tarihli ve</w:t>
      </w:r>
      <w:r>
        <w:t xml:space="preserve"> </w:t>
      </w:r>
      <w:r w:rsidRPr="00AB0B60">
        <w:t>31</w:t>
      </w:r>
      <w:r>
        <w:t>969</w:t>
      </w:r>
      <w:r w:rsidRPr="00AB0B60">
        <w:t xml:space="preserve"> sayılı Resmî </w:t>
      </w:r>
      <w:r w:rsidR="00274939">
        <w:t>Gazetede</w:t>
      </w:r>
      <w:r w:rsidRPr="00AB0B60">
        <w:t xml:space="preserve"> yayımlanan </w:t>
      </w:r>
      <w:r>
        <w:t>29.</w:t>
      </w:r>
      <w:r w:rsidRPr="00AB0B60">
        <w:t>0</w:t>
      </w:r>
      <w:r>
        <w:t>9.</w:t>
      </w:r>
      <w:r w:rsidRPr="00AB0B60">
        <w:t>202</w:t>
      </w:r>
      <w:r>
        <w:t>2</w:t>
      </w:r>
      <w:r w:rsidRPr="00AB0B60">
        <w:t xml:space="preserve"> Tarihli ve </w:t>
      </w:r>
      <w:r>
        <w:t>11274</w:t>
      </w:r>
      <w:r w:rsidRPr="00AB0B60">
        <w:t xml:space="preserve"> Sayılı </w:t>
      </w:r>
      <w:r>
        <w:t>Kurul Kararı ile</w:t>
      </w:r>
      <w:r w:rsidR="008F3742">
        <w:t>;</w:t>
      </w:r>
      <w:r>
        <w:t xml:space="preserve"> </w:t>
      </w:r>
      <w:r w:rsidRPr="00725B87">
        <w:t xml:space="preserve">6446 sayılı Elektrik Piyasası Kanununun 17 nci maddesinin on birinci fıkrası ve Kaynak Bazında Destekleme Bedelinin Belirlenmesine ve Uygulanmasına İlişkin Usul ve </w:t>
      </w:r>
      <w:r w:rsidR="00DC783D">
        <w:t>Esasların</w:t>
      </w:r>
      <w:r w:rsidRPr="00725B87">
        <w:t xml:space="preserve"> 4 üncü maddesinin dördüncü fıkrası kapsamında hesaplanan azami uzlaştırma fiyatının güncellenmesine ilişkin formüllerin 01/10/2022 tarihi itibarıyla </w:t>
      </w:r>
      <w:r>
        <w:t>kararda yer alan</w:t>
      </w:r>
      <w:r w:rsidRPr="00725B87">
        <w:t xml:space="preserve"> şekliyle uygulanmasına karar verilmiştir.</w:t>
      </w:r>
    </w:p>
    <w:p w:rsidR="007B0694" w:rsidRDefault="007B0694" w:rsidP="007B0694">
      <w:pPr>
        <w:pStyle w:val="ListeParagraf"/>
      </w:pPr>
    </w:p>
    <w:p w:rsidR="00AE58D4" w:rsidRPr="008F3742" w:rsidRDefault="008F3742" w:rsidP="000A5A56">
      <w:pPr>
        <w:pStyle w:val="ListeParagraf"/>
        <w:numPr>
          <w:ilvl w:val="0"/>
          <w:numId w:val="27"/>
        </w:numPr>
        <w:spacing w:after="160" w:line="259" w:lineRule="auto"/>
      </w:pPr>
      <w:r>
        <w:t>30</w:t>
      </w:r>
      <w:r w:rsidRPr="00AB0B60">
        <w:t>.0</w:t>
      </w:r>
      <w:r>
        <w:t>9</w:t>
      </w:r>
      <w:r w:rsidRPr="00AB0B60">
        <w:t>.202</w:t>
      </w:r>
      <w:r>
        <w:t>2</w:t>
      </w:r>
      <w:r w:rsidRPr="00AB0B60">
        <w:t xml:space="preserve"> tarihli ve</w:t>
      </w:r>
      <w:r>
        <w:t xml:space="preserve"> </w:t>
      </w:r>
      <w:r w:rsidRPr="00AB0B60">
        <w:t>31</w:t>
      </w:r>
      <w:r>
        <w:t>969</w:t>
      </w:r>
      <w:r w:rsidRPr="00AB0B60">
        <w:t xml:space="preserve"> sayılı Resmî </w:t>
      </w:r>
      <w:r w:rsidR="00274939">
        <w:t>Gazetede</w:t>
      </w:r>
      <w:r w:rsidRPr="00AB0B60">
        <w:t xml:space="preserve"> yayımlanan </w:t>
      </w:r>
      <w:r>
        <w:t>29.</w:t>
      </w:r>
      <w:r w:rsidRPr="00AB0B60">
        <w:t>0</w:t>
      </w:r>
      <w:r>
        <w:t>9.</w:t>
      </w:r>
      <w:r w:rsidRPr="00AB0B60">
        <w:t>202</w:t>
      </w:r>
      <w:r>
        <w:t>2</w:t>
      </w:r>
      <w:r w:rsidRPr="00AB0B60">
        <w:t xml:space="preserve"> Tarihli ve </w:t>
      </w:r>
      <w:r>
        <w:t>1127</w:t>
      </w:r>
      <w:r w:rsidR="008016CC">
        <w:t>0</w:t>
      </w:r>
      <w:r w:rsidRPr="00AB0B60">
        <w:t xml:space="preserve"> Sayılı </w:t>
      </w:r>
      <w:r>
        <w:t>Kurul Kararı ile</w:t>
      </w:r>
      <w:r w:rsidR="003F5D54" w:rsidRPr="005561AA">
        <w:t xml:space="preserve">; </w:t>
      </w:r>
      <w:bookmarkEnd w:id="64"/>
      <w:r w:rsidR="00AE58D4" w:rsidRPr="008F3742">
        <w:t>6446 sayılı Elektrik Piyasası Kanununun 17 nci maddesinin onbirinci fıkrası</w:t>
      </w:r>
      <w:r w:rsidR="00AE58D4" w:rsidRPr="008F3742" w:rsidDel="00E368D9">
        <w:t xml:space="preserve"> </w:t>
      </w:r>
      <w:r w:rsidR="00AE58D4" w:rsidRPr="008F3742">
        <w:t>ve 18</w:t>
      </w:r>
      <w:r w:rsidR="00AE58D4">
        <w:t>.</w:t>
      </w:r>
      <w:r w:rsidR="00AE58D4" w:rsidRPr="008F3742">
        <w:t>3</w:t>
      </w:r>
      <w:r w:rsidR="00AE58D4">
        <w:t>.</w:t>
      </w:r>
      <w:r w:rsidR="00AE58D4" w:rsidRPr="008F3742">
        <w:t xml:space="preserve">2022 tarihli 31782 sayılı Resmî </w:t>
      </w:r>
      <w:r w:rsidR="00274939">
        <w:t>Gazetede</w:t>
      </w:r>
      <w:r w:rsidR="00AE58D4" w:rsidRPr="008F3742">
        <w:t xml:space="preserve"> yayımlanarak yürürlüğe giren Kaynak Bazında Destekleme Bedelinin Belirlenmesine ve Uygulanmasına İlişkin Usul ve </w:t>
      </w:r>
      <w:r w:rsidR="00DC783D">
        <w:t>Esasların</w:t>
      </w:r>
      <w:r w:rsidR="00AE58D4" w:rsidRPr="008F3742">
        <w:t xml:space="preserve"> 4 üncü maddesinin birinci ve ikinci fıkraları kapsamında;</w:t>
      </w:r>
    </w:p>
    <w:p w:rsidR="00AE58D4" w:rsidRPr="00E00E32" w:rsidRDefault="00AE58D4" w:rsidP="00AE58D4">
      <w:pPr>
        <w:pStyle w:val="ListeParagraf"/>
        <w:tabs>
          <w:tab w:val="left" w:pos="851"/>
          <w:tab w:val="left" w:pos="993"/>
        </w:tabs>
        <w:spacing w:after="0" w:line="240" w:lineRule="auto"/>
        <w:ind w:left="0" w:firstLine="567"/>
        <w:rPr>
          <w:rFonts w:ascii="Times New Roman" w:eastAsia="Times New Roman" w:hAnsi="Times New Roman"/>
          <w:sz w:val="14"/>
          <w:szCs w:val="24"/>
          <w:lang w:eastAsia="tr-TR"/>
        </w:rPr>
      </w:pPr>
    </w:p>
    <w:p w:rsidR="00AE58D4" w:rsidRPr="008F3742" w:rsidRDefault="00AE58D4" w:rsidP="00AE58D4">
      <w:pPr>
        <w:autoSpaceDE w:val="0"/>
        <w:autoSpaceDN w:val="0"/>
        <w:adjustRightInd w:val="0"/>
        <w:spacing w:after="0" w:line="240" w:lineRule="auto"/>
        <w:ind w:left="993" w:hanging="283"/>
        <w:rPr>
          <w:rFonts w:cstheme="minorHAnsi"/>
        </w:rPr>
      </w:pPr>
      <w:r w:rsidRPr="008F3742">
        <w:rPr>
          <w:rFonts w:cstheme="minorHAnsi"/>
          <w:b/>
        </w:rPr>
        <w:t>1)</w:t>
      </w:r>
      <w:r w:rsidRPr="008F3742">
        <w:rPr>
          <w:rFonts w:cstheme="minorHAnsi"/>
        </w:rPr>
        <w:t xml:space="preserve"> 01/10/2022 tarihinden itibaren 6 (altı) ay süreyle, tüketiciyi ve/veya maliyeti yüksek üretimi desteklemek amacıyla</w:t>
      </w:r>
      <w:r w:rsidRPr="008F3742">
        <w:rPr>
          <w:rFonts w:cstheme="minorHAnsi"/>
          <w:color w:val="000000"/>
        </w:rPr>
        <w:t xml:space="preserve"> </w:t>
      </w:r>
      <w:r w:rsidRPr="008F3742">
        <w:rPr>
          <w:rFonts w:cstheme="minorHAnsi"/>
        </w:rPr>
        <w:t xml:space="preserve">destekleme bedeli uygulanmasına, </w:t>
      </w:r>
    </w:p>
    <w:p w:rsidR="00AE58D4" w:rsidRPr="008F3742" w:rsidRDefault="00AE58D4" w:rsidP="00AE58D4">
      <w:pPr>
        <w:autoSpaceDE w:val="0"/>
        <w:autoSpaceDN w:val="0"/>
        <w:adjustRightInd w:val="0"/>
        <w:spacing w:after="0" w:line="240" w:lineRule="auto"/>
        <w:ind w:left="851" w:firstLine="283"/>
        <w:rPr>
          <w:rFonts w:cstheme="minorHAnsi"/>
        </w:rPr>
      </w:pPr>
    </w:p>
    <w:p w:rsidR="00AE58D4" w:rsidRPr="008F3742" w:rsidRDefault="00AE58D4" w:rsidP="00AE58D4">
      <w:pPr>
        <w:autoSpaceDE w:val="0"/>
        <w:autoSpaceDN w:val="0"/>
        <w:adjustRightInd w:val="0"/>
        <w:spacing w:after="0" w:line="240" w:lineRule="auto"/>
        <w:ind w:left="993" w:hanging="283"/>
        <w:rPr>
          <w:rFonts w:cstheme="minorHAnsi"/>
        </w:rPr>
      </w:pPr>
      <w:r w:rsidRPr="008F3742">
        <w:rPr>
          <w:rFonts w:cstheme="minorHAnsi"/>
          <w:b/>
        </w:rPr>
        <w:t>2)</w:t>
      </w:r>
      <w:r w:rsidRPr="008F3742">
        <w:rPr>
          <w:rFonts w:cstheme="minorHAnsi"/>
          <w:b/>
        </w:rPr>
        <w:tab/>
      </w:r>
      <w:r w:rsidRPr="008F3742">
        <w:rPr>
          <w:rFonts w:cstheme="minorHAnsi"/>
        </w:rPr>
        <w:t>Destekleme bedelinin belirlenmesinde kullanılacak olan “azami uzlaştırma fiyatları”nın 01/10/2022 tarihi itibarıyla aşağıdaki tabloda yer aldığı şekilde uygulanmasına;</w:t>
      </w:r>
    </w:p>
    <w:p w:rsidR="00AE58D4" w:rsidRPr="008F3742" w:rsidRDefault="00AE58D4" w:rsidP="00AE58D4">
      <w:pPr>
        <w:autoSpaceDE w:val="0"/>
        <w:autoSpaceDN w:val="0"/>
        <w:adjustRightInd w:val="0"/>
        <w:spacing w:after="0" w:line="240" w:lineRule="auto"/>
        <w:ind w:left="851" w:firstLine="283"/>
        <w:rPr>
          <w:rFonts w:cstheme="minorHAnsi"/>
        </w:rPr>
      </w:pPr>
    </w:p>
    <w:tbl>
      <w:tblPr>
        <w:tblStyle w:val="TabloKlavuzu120"/>
        <w:tblW w:w="0" w:type="auto"/>
        <w:jc w:val="center"/>
        <w:shd w:val="clear" w:color="auto" w:fill="FFFFFF"/>
        <w:tblLook w:val="04A0" w:firstRow="1" w:lastRow="0" w:firstColumn="1" w:lastColumn="0" w:noHBand="0" w:noVBand="1"/>
      </w:tblPr>
      <w:tblGrid>
        <w:gridCol w:w="4303"/>
        <w:gridCol w:w="1883"/>
      </w:tblGrid>
      <w:tr w:rsidR="00AE58D4" w:rsidRPr="008F3742" w:rsidTr="003971F6">
        <w:trPr>
          <w:jc w:val="center"/>
        </w:trPr>
        <w:tc>
          <w:tcPr>
            <w:tcW w:w="4303" w:type="dxa"/>
            <w:shd w:val="clear" w:color="auto" w:fill="FFFFFF"/>
            <w:vAlign w:val="center"/>
          </w:tcPr>
          <w:p w:rsidR="00AE58D4" w:rsidRPr="008F3742" w:rsidRDefault="00AE58D4" w:rsidP="00AE58D4">
            <w:pPr>
              <w:ind w:left="851" w:firstLine="283"/>
              <w:rPr>
                <w:rFonts w:cstheme="minorHAnsi"/>
                <w:b/>
              </w:rPr>
            </w:pPr>
            <w:r w:rsidRPr="008F3742" w:rsidDel="00037941">
              <w:rPr>
                <w:rFonts w:cstheme="minorHAnsi"/>
                <w:b/>
              </w:rPr>
              <w:t>Kaynak</w:t>
            </w:r>
            <w:r w:rsidRPr="008F3742">
              <w:rPr>
                <w:rFonts w:cstheme="minorHAnsi"/>
                <w:b/>
              </w:rPr>
              <w:t xml:space="preserve"> Tipi</w:t>
            </w:r>
          </w:p>
        </w:tc>
        <w:tc>
          <w:tcPr>
            <w:tcW w:w="1883" w:type="dxa"/>
            <w:shd w:val="clear" w:color="auto" w:fill="FFFFFF"/>
          </w:tcPr>
          <w:p w:rsidR="00AE58D4" w:rsidRPr="008F3742" w:rsidRDefault="00AE58D4" w:rsidP="00AE58D4">
            <w:pPr>
              <w:rPr>
                <w:rFonts w:cstheme="minorHAnsi"/>
                <w:b/>
              </w:rPr>
            </w:pPr>
            <w:r w:rsidRPr="008F3742">
              <w:rPr>
                <w:rFonts w:cstheme="minorHAnsi"/>
                <w:b/>
              </w:rPr>
              <w:t>Azami Uzlaştırma Fiyatı Başlangıç Değeri (TL/MWh)</w:t>
            </w:r>
          </w:p>
        </w:tc>
      </w:tr>
      <w:tr w:rsidR="00AE58D4" w:rsidRPr="008F3742" w:rsidTr="003971F6">
        <w:trPr>
          <w:jc w:val="center"/>
        </w:trPr>
        <w:tc>
          <w:tcPr>
            <w:tcW w:w="4303" w:type="dxa"/>
            <w:shd w:val="clear" w:color="auto" w:fill="FFFFFF"/>
          </w:tcPr>
          <w:p w:rsidR="00AE58D4" w:rsidRPr="008F3742" w:rsidRDefault="00AE58D4" w:rsidP="003971F6">
            <w:pPr>
              <w:ind w:left="851" w:firstLine="283"/>
              <w:rPr>
                <w:rFonts w:cstheme="minorHAnsi"/>
                <w:b/>
              </w:rPr>
            </w:pPr>
            <w:r w:rsidRPr="008F3742">
              <w:rPr>
                <w:rFonts w:cstheme="minorHAnsi"/>
                <w:b/>
              </w:rPr>
              <w:t>Yerli Kömür</w:t>
            </w:r>
          </w:p>
        </w:tc>
        <w:tc>
          <w:tcPr>
            <w:tcW w:w="1883" w:type="dxa"/>
            <w:shd w:val="clear" w:color="auto" w:fill="FFFFFF"/>
            <w:vAlign w:val="center"/>
          </w:tcPr>
          <w:p w:rsidR="00AE58D4" w:rsidRPr="008F3742" w:rsidRDefault="00AE58D4" w:rsidP="003971F6">
            <w:pPr>
              <w:ind w:left="851" w:firstLine="283"/>
              <w:jc w:val="center"/>
              <w:rPr>
                <w:rFonts w:cstheme="minorHAnsi"/>
              </w:rPr>
            </w:pPr>
            <w:r w:rsidRPr="008F3742">
              <w:rPr>
                <w:rFonts w:cstheme="minorHAnsi"/>
              </w:rPr>
              <w:t>2050</w:t>
            </w:r>
          </w:p>
        </w:tc>
      </w:tr>
      <w:tr w:rsidR="00AE58D4" w:rsidRPr="008F3742" w:rsidTr="003971F6">
        <w:trPr>
          <w:jc w:val="center"/>
        </w:trPr>
        <w:tc>
          <w:tcPr>
            <w:tcW w:w="4303" w:type="dxa"/>
            <w:shd w:val="clear" w:color="auto" w:fill="FFFFFF"/>
          </w:tcPr>
          <w:p w:rsidR="00AE58D4" w:rsidRPr="008F3742" w:rsidRDefault="00AE58D4" w:rsidP="003971F6">
            <w:pPr>
              <w:ind w:left="851" w:firstLine="283"/>
              <w:rPr>
                <w:rFonts w:cstheme="minorHAnsi"/>
                <w:b/>
              </w:rPr>
            </w:pPr>
            <w:r w:rsidRPr="008F3742">
              <w:rPr>
                <w:rFonts w:cstheme="minorHAnsi"/>
                <w:b/>
              </w:rPr>
              <w:t>İthal Kömür</w:t>
            </w:r>
          </w:p>
        </w:tc>
        <w:tc>
          <w:tcPr>
            <w:tcW w:w="1883" w:type="dxa"/>
            <w:shd w:val="clear" w:color="auto" w:fill="FFFFFF"/>
            <w:vAlign w:val="center"/>
          </w:tcPr>
          <w:p w:rsidR="00AE58D4" w:rsidRPr="008F3742" w:rsidRDefault="00AE58D4" w:rsidP="003971F6">
            <w:pPr>
              <w:ind w:left="851" w:firstLine="283"/>
              <w:jc w:val="center"/>
              <w:rPr>
                <w:rFonts w:cstheme="minorHAnsi"/>
              </w:rPr>
            </w:pPr>
            <w:r w:rsidRPr="008F3742">
              <w:rPr>
                <w:rFonts w:cstheme="minorHAnsi"/>
              </w:rPr>
              <w:t>2750</w:t>
            </w:r>
          </w:p>
        </w:tc>
      </w:tr>
      <w:tr w:rsidR="00AE58D4" w:rsidRPr="008F3742" w:rsidTr="003971F6">
        <w:trPr>
          <w:jc w:val="center"/>
        </w:trPr>
        <w:tc>
          <w:tcPr>
            <w:tcW w:w="4303" w:type="dxa"/>
            <w:shd w:val="clear" w:color="auto" w:fill="FFFFFF"/>
          </w:tcPr>
          <w:p w:rsidR="00AE58D4" w:rsidRPr="008F3742" w:rsidRDefault="00AE58D4" w:rsidP="003971F6">
            <w:pPr>
              <w:ind w:left="851" w:firstLine="283"/>
              <w:rPr>
                <w:rFonts w:cstheme="minorHAnsi"/>
                <w:b/>
              </w:rPr>
            </w:pPr>
            <w:r w:rsidRPr="008F3742">
              <w:rPr>
                <w:rFonts w:cstheme="minorHAnsi"/>
                <w:b/>
              </w:rPr>
              <w:t>Doğalgaz/Fuel Oil/Nafta/LPG/Motorin</w:t>
            </w:r>
          </w:p>
        </w:tc>
        <w:tc>
          <w:tcPr>
            <w:tcW w:w="1883" w:type="dxa"/>
            <w:shd w:val="clear" w:color="auto" w:fill="FFFFFF"/>
            <w:vAlign w:val="center"/>
          </w:tcPr>
          <w:p w:rsidR="00AE58D4" w:rsidRPr="008F3742" w:rsidRDefault="00AE58D4" w:rsidP="003971F6">
            <w:pPr>
              <w:ind w:left="851" w:firstLine="283"/>
              <w:jc w:val="center"/>
              <w:rPr>
                <w:rFonts w:cstheme="minorHAnsi"/>
              </w:rPr>
            </w:pPr>
            <w:r w:rsidRPr="008F3742">
              <w:rPr>
                <w:rFonts w:cstheme="minorHAnsi"/>
              </w:rPr>
              <w:t>4500</w:t>
            </w:r>
          </w:p>
        </w:tc>
      </w:tr>
      <w:tr w:rsidR="00AE58D4" w:rsidRPr="008F3742" w:rsidTr="003971F6">
        <w:trPr>
          <w:jc w:val="center"/>
        </w:trPr>
        <w:tc>
          <w:tcPr>
            <w:tcW w:w="4303" w:type="dxa"/>
            <w:shd w:val="clear" w:color="auto" w:fill="FFFFFF"/>
          </w:tcPr>
          <w:p w:rsidR="00AE58D4" w:rsidRPr="008F3742" w:rsidRDefault="00AE58D4" w:rsidP="003971F6">
            <w:pPr>
              <w:ind w:left="851" w:firstLine="283"/>
              <w:rPr>
                <w:rFonts w:cstheme="minorHAnsi"/>
                <w:b/>
              </w:rPr>
            </w:pPr>
            <w:r w:rsidRPr="008F3742">
              <w:rPr>
                <w:rFonts w:cstheme="minorHAnsi"/>
                <w:b/>
              </w:rPr>
              <w:t>Diğer kaynaklar</w:t>
            </w:r>
          </w:p>
        </w:tc>
        <w:tc>
          <w:tcPr>
            <w:tcW w:w="1883" w:type="dxa"/>
            <w:shd w:val="clear" w:color="auto" w:fill="FFFFFF"/>
            <w:vAlign w:val="center"/>
          </w:tcPr>
          <w:p w:rsidR="00AE58D4" w:rsidRPr="008F3742" w:rsidRDefault="00AE58D4" w:rsidP="003971F6">
            <w:pPr>
              <w:ind w:left="851" w:firstLine="283"/>
              <w:jc w:val="center"/>
              <w:rPr>
                <w:rFonts w:cstheme="minorHAnsi"/>
              </w:rPr>
            </w:pPr>
            <w:r w:rsidRPr="008F3742">
              <w:rPr>
                <w:rFonts w:cstheme="minorHAnsi"/>
              </w:rPr>
              <w:t>1540</w:t>
            </w:r>
          </w:p>
        </w:tc>
      </w:tr>
    </w:tbl>
    <w:p w:rsidR="00AE58D4" w:rsidRPr="008F3742" w:rsidRDefault="00AE58D4" w:rsidP="00AE58D4">
      <w:pPr>
        <w:autoSpaceDE w:val="0"/>
        <w:autoSpaceDN w:val="0"/>
        <w:adjustRightInd w:val="0"/>
        <w:spacing w:after="0" w:line="240" w:lineRule="auto"/>
        <w:ind w:left="851" w:firstLine="283"/>
        <w:rPr>
          <w:rFonts w:cstheme="minorHAnsi"/>
        </w:rPr>
      </w:pPr>
      <w:r w:rsidRPr="008F3742">
        <w:rPr>
          <w:rFonts w:cstheme="minorHAnsi"/>
        </w:rPr>
        <w:tab/>
      </w:r>
    </w:p>
    <w:p w:rsidR="00AE58D4" w:rsidRPr="008F3742" w:rsidRDefault="00AE58D4" w:rsidP="00AE58D4">
      <w:pPr>
        <w:autoSpaceDE w:val="0"/>
        <w:autoSpaceDN w:val="0"/>
        <w:adjustRightInd w:val="0"/>
        <w:spacing w:after="0" w:line="240" w:lineRule="auto"/>
        <w:ind w:left="993" w:hanging="283"/>
        <w:rPr>
          <w:rFonts w:cstheme="minorHAnsi"/>
        </w:rPr>
      </w:pPr>
      <w:r w:rsidRPr="008F3742">
        <w:rPr>
          <w:rFonts w:cstheme="minorHAnsi"/>
          <w:b/>
        </w:rPr>
        <w:t>3)</w:t>
      </w:r>
      <w:r w:rsidRPr="008F3742">
        <w:rPr>
          <w:rFonts w:cstheme="minorHAnsi"/>
        </w:rPr>
        <w:t xml:space="preserve"> İthal kömür kaynaklı santrallerin; menşeindeki kömür fiyatının etkisiyle nihai birim ithal kömür maliyetlerinin 255 USD/ton’un üzerinde olması halinde, ithal kömür teminine ilişkin faturanın Kuruma ibraz edilmesi kaydıyla, ilgili santralin azami uzlaştırma fiyatına aşağıdaki formül ile hesaplanan fiyat farkının eklenmesi suretiyle destekleme bedelinin hesaplanmasına,</w:t>
      </w:r>
    </w:p>
    <w:p w:rsidR="00AE58D4" w:rsidRPr="008F3742" w:rsidRDefault="00AE58D4" w:rsidP="00AE58D4">
      <w:pPr>
        <w:autoSpaceDE w:val="0"/>
        <w:autoSpaceDN w:val="0"/>
        <w:adjustRightInd w:val="0"/>
        <w:spacing w:after="0" w:line="240" w:lineRule="auto"/>
        <w:ind w:left="851" w:firstLine="283"/>
        <w:rPr>
          <w:rFonts w:cstheme="minorHAnsi"/>
        </w:rPr>
      </w:pPr>
    </w:p>
    <w:p w:rsidR="00AE58D4" w:rsidRPr="008F3742" w:rsidRDefault="00255FFC" w:rsidP="00AE58D4">
      <w:pPr>
        <w:autoSpaceDE w:val="0"/>
        <w:autoSpaceDN w:val="0"/>
        <w:adjustRightInd w:val="0"/>
        <w:spacing w:after="0" w:line="240" w:lineRule="auto"/>
        <w:ind w:left="851" w:firstLine="283"/>
        <w:rPr>
          <w:rFonts w:cstheme="minorHAnsi"/>
        </w:rPr>
      </w:pPr>
      <m:oMathPara>
        <m:oMath>
          <m:sSub>
            <m:sSubPr>
              <m:ctrlPr>
                <w:rPr>
                  <w:rFonts w:ascii="Cambria Math" w:hAnsi="Cambria Math" w:cstheme="minorHAnsi"/>
                  <w:i/>
                </w:rPr>
              </m:ctrlPr>
            </m:sSubPr>
            <m:e>
              <m:r>
                <w:rPr>
                  <w:rFonts w:ascii="Cambria Math" w:hAnsi="Cambria Math" w:cstheme="minorHAnsi"/>
                </w:rPr>
                <m:t>AUF</m:t>
              </m:r>
            </m:e>
            <m:sub>
              <m:r>
                <w:rPr>
                  <w:rFonts w:ascii="Cambria Math" w:hAnsi="Cambria Math" w:cstheme="minorHAnsi"/>
                </w:rPr>
                <m:t>f</m:t>
              </m:r>
            </m:sub>
          </m:sSub>
          <m:r>
            <w:rPr>
              <w:rFonts w:ascii="Cambria Math" w:hAnsi="Cambria Math" w:cstheme="minorHAnsi"/>
            </w:rPr>
            <m:t>=0,35*</m:t>
          </m:r>
          <m:d>
            <m:dPr>
              <m:ctrlPr>
                <w:rPr>
                  <w:rFonts w:ascii="Cambria Math" w:hAnsi="Cambria Math" w:cstheme="minorHAnsi"/>
                  <w:i/>
                </w:rPr>
              </m:ctrlPr>
            </m:dPr>
            <m:e>
              <m:r>
                <m:rPr>
                  <m:sty m:val="p"/>
                </m:rPr>
                <w:rPr>
                  <w:rFonts w:ascii="Cambria Math" w:hAnsi="Cambria Math" w:cstheme="minorHAnsi"/>
                </w:rPr>
                <m:t>min⁡</m:t>
              </m:r>
              <m:r>
                <w:rPr>
                  <w:rFonts w:ascii="Cambria Math" w:hAnsi="Cambria Math" w:cstheme="minorHAnsi"/>
                </w:rPr>
                <m:t>(</m:t>
              </m:r>
              <m:sSub>
                <m:sSubPr>
                  <m:ctrlPr>
                    <w:rPr>
                      <w:rFonts w:ascii="Cambria Math" w:hAnsi="Cambria Math" w:cstheme="minorHAnsi"/>
                      <w:i/>
                    </w:rPr>
                  </m:ctrlPr>
                </m:sSubPr>
                <m:e>
                  <m:r>
                    <w:rPr>
                      <w:rFonts w:ascii="Cambria Math" w:hAnsi="Cambria Math" w:cstheme="minorHAnsi"/>
                    </w:rPr>
                    <m:t>FBB</m:t>
                  </m:r>
                </m:e>
                <m:sub>
                  <m:r>
                    <w:rPr>
                      <w:rFonts w:ascii="Cambria Math" w:hAnsi="Cambria Math" w:cstheme="minorHAnsi"/>
                    </w:rPr>
                    <m:t>t</m:t>
                  </m:r>
                </m:sub>
              </m:sSub>
              <m:r>
                <w:rPr>
                  <w:rFonts w:ascii="Cambria Math" w:hAnsi="Cambria Math" w:cstheme="minorHAnsi"/>
                </w:rPr>
                <m:t xml:space="preserve">, </m:t>
              </m:r>
              <m:sSub>
                <m:sSubPr>
                  <m:ctrlPr>
                    <w:rPr>
                      <w:rFonts w:ascii="Cambria Math" w:hAnsi="Cambria Math" w:cstheme="minorHAnsi"/>
                      <w:i/>
                    </w:rPr>
                  </m:ctrlPr>
                </m:sSubPr>
                <m:e>
                  <m:r>
                    <w:rPr>
                      <w:rFonts w:ascii="Cambria Math" w:hAnsi="Cambria Math" w:cstheme="minorHAnsi"/>
                    </w:rPr>
                    <m:t>API2</m:t>
                  </m:r>
                </m:e>
                <m:sub>
                  <m:r>
                    <w:rPr>
                      <w:rFonts w:ascii="Cambria Math" w:hAnsi="Cambria Math" w:cstheme="minorHAnsi"/>
                    </w:rPr>
                    <m:t>t</m:t>
                  </m:r>
                </m:sub>
              </m:sSub>
              <m:r>
                <w:rPr>
                  <w:rFonts w:ascii="Cambria Math" w:hAnsi="Cambria Math" w:cstheme="minorHAnsi"/>
                </w:rPr>
                <m:t>)-255</m:t>
              </m:r>
            </m:e>
          </m:d>
          <m:r>
            <w:rPr>
              <w:rFonts w:ascii="Cambria Math" w:hAnsi="Cambria Math" w:cstheme="minorHAnsi"/>
            </w:rPr>
            <m:t>*</m:t>
          </m:r>
          <m:sSub>
            <m:sSubPr>
              <m:ctrlPr>
                <w:rPr>
                  <w:rFonts w:ascii="Cambria Math" w:hAnsi="Cambria Math" w:cstheme="minorHAnsi"/>
                  <w:i/>
                </w:rPr>
              </m:ctrlPr>
            </m:sSubPr>
            <m:e>
              <m:r>
                <w:rPr>
                  <w:rFonts w:ascii="Cambria Math" w:hAnsi="Cambria Math" w:cstheme="minorHAnsi"/>
                </w:rPr>
                <m:t>Kur</m:t>
              </m:r>
            </m:e>
            <m:sub>
              <m:r>
                <w:rPr>
                  <w:rFonts w:ascii="Cambria Math" w:hAnsi="Cambria Math" w:cstheme="minorHAnsi"/>
                </w:rPr>
                <m:t>t</m:t>
              </m:r>
            </m:sub>
          </m:sSub>
        </m:oMath>
      </m:oMathPara>
    </w:p>
    <w:p w:rsidR="00AE58D4" w:rsidRPr="008F3742" w:rsidRDefault="00AE58D4" w:rsidP="00AE58D4">
      <w:pPr>
        <w:autoSpaceDE w:val="0"/>
        <w:autoSpaceDN w:val="0"/>
        <w:adjustRightInd w:val="0"/>
        <w:spacing w:after="0" w:line="240" w:lineRule="auto"/>
        <w:ind w:left="851" w:firstLine="283"/>
        <w:rPr>
          <w:rFonts w:cstheme="minorHAnsi"/>
        </w:rPr>
      </w:pPr>
    </w:p>
    <w:p w:rsidR="00AE58D4" w:rsidRPr="008F3742" w:rsidRDefault="00AE58D4" w:rsidP="00AE58D4">
      <w:pPr>
        <w:autoSpaceDE w:val="0"/>
        <w:autoSpaceDN w:val="0"/>
        <w:adjustRightInd w:val="0"/>
        <w:spacing w:after="0" w:line="240" w:lineRule="auto"/>
        <w:ind w:left="851" w:firstLine="283"/>
        <w:rPr>
          <w:rFonts w:cstheme="minorHAnsi"/>
        </w:rPr>
      </w:pPr>
      <w:r w:rsidRPr="008F3742">
        <w:rPr>
          <w:rFonts w:cstheme="minorHAnsi"/>
        </w:rPr>
        <w:t>Bu formülde geçen;</w:t>
      </w:r>
    </w:p>
    <w:p w:rsidR="00AE58D4" w:rsidRPr="008F3742" w:rsidRDefault="00AE58D4" w:rsidP="00AE58D4">
      <w:pPr>
        <w:autoSpaceDE w:val="0"/>
        <w:autoSpaceDN w:val="0"/>
        <w:adjustRightInd w:val="0"/>
        <w:spacing w:after="0" w:line="240" w:lineRule="auto"/>
        <w:ind w:left="851" w:firstLine="283"/>
        <w:rPr>
          <w:rFonts w:cstheme="minorHAnsi"/>
        </w:rPr>
      </w:pPr>
    </w:p>
    <w:p w:rsidR="00AE58D4" w:rsidRPr="008F3742" w:rsidRDefault="00AE58D4" w:rsidP="009067D4">
      <w:pPr>
        <w:spacing w:after="0" w:line="240" w:lineRule="auto"/>
        <w:ind w:left="2829" w:hanging="1695"/>
        <w:rPr>
          <w:rFonts w:cstheme="minorHAnsi"/>
          <w:i/>
        </w:rPr>
      </w:pPr>
      <w:r w:rsidRPr="008F3742">
        <w:rPr>
          <w:rFonts w:cstheme="minorHAnsi"/>
          <w:i/>
        </w:rPr>
        <w:t>AUF</w:t>
      </w:r>
      <w:r w:rsidRPr="008F3742">
        <w:rPr>
          <w:rFonts w:cstheme="minorHAnsi"/>
          <w:i/>
          <w:vertAlign w:val="subscript"/>
        </w:rPr>
        <w:t>f</w:t>
      </w:r>
      <w:r w:rsidRPr="008F3742">
        <w:rPr>
          <w:rFonts w:cstheme="minorHAnsi"/>
          <w:i/>
        </w:rPr>
        <w:tab/>
      </w:r>
      <w:r w:rsidRPr="008F3742">
        <w:rPr>
          <w:rFonts w:cstheme="minorHAnsi"/>
          <w:i/>
        </w:rPr>
        <w:tab/>
        <w:t>: İthal kömür santralleri için t fatura döneminde uygulanacak azami uzlaştırma fiyat farkını (TL/MWh),</w:t>
      </w:r>
      <w:r w:rsidRPr="008F3742">
        <w:rPr>
          <w:rFonts w:cstheme="minorHAnsi"/>
          <w:i/>
        </w:rPr>
        <w:tab/>
      </w:r>
    </w:p>
    <w:p w:rsidR="00AE58D4" w:rsidRPr="008F3742" w:rsidRDefault="00AE58D4" w:rsidP="009067D4">
      <w:pPr>
        <w:spacing w:after="0" w:line="240" w:lineRule="auto"/>
        <w:ind w:left="2829" w:hanging="1695"/>
        <w:rPr>
          <w:rFonts w:cstheme="minorHAnsi"/>
          <w:i/>
        </w:rPr>
      </w:pPr>
      <w:r w:rsidRPr="008F3742">
        <w:rPr>
          <w:rFonts w:cstheme="minorHAnsi"/>
          <w:i/>
        </w:rPr>
        <w:t>Kur</w:t>
      </w:r>
      <w:r w:rsidRPr="008F3742">
        <w:rPr>
          <w:rFonts w:cstheme="minorHAnsi"/>
          <w:i/>
          <w:vertAlign w:val="subscript"/>
        </w:rPr>
        <w:t>t</w:t>
      </w:r>
      <w:r w:rsidRPr="008F3742">
        <w:rPr>
          <w:rFonts w:cstheme="minorHAnsi"/>
          <w:i/>
        </w:rPr>
        <w:t xml:space="preserve"> </w:t>
      </w:r>
      <w:r w:rsidRPr="008F3742">
        <w:rPr>
          <w:rFonts w:cstheme="minorHAnsi"/>
          <w:i/>
        </w:rPr>
        <w:tab/>
      </w:r>
      <w:r w:rsidRPr="008F3742">
        <w:rPr>
          <w:rFonts w:cstheme="minorHAnsi"/>
          <w:i/>
        </w:rPr>
        <w:tab/>
        <w:t xml:space="preserve">: t fatura dönemi için TCMB tarafından açıklanan efektif USD satış döviz kuru ortalama değerini, </w:t>
      </w:r>
    </w:p>
    <w:p w:rsidR="00AE58D4" w:rsidRPr="008F3742" w:rsidRDefault="00AE58D4" w:rsidP="009067D4">
      <w:pPr>
        <w:autoSpaceDE w:val="0"/>
        <w:autoSpaceDN w:val="0"/>
        <w:adjustRightInd w:val="0"/>
        <w:spacing w:after="0" w:line="240" w:lineRule="auto"/>
        <w:ind w:left="2829" w:hanging="1695"/>
        <w:rPr>
          <w:rFonts w:cstheme="minorHAnsi"/>
          <w:i/>
        </w:rPr>
      </w:pPr>
      <w:r w:rsidRPr="008F3742">
        <w:rPr>
          <w:rFonts w:cstheme="minorHAnsi"/>
          <w:i/>
        </w:rPr>
        <w:t>FBB</w:t>
      </w:r>
      <w:r w:rsidRPr="008F3742">
        <w:rPr>
          <w:rFonts w:cstheme="minorHAnsi"/>
          <w:i/>
          <w:vertAlign w:val="subscript"/>
        </w:rPr>
        <w:t>t</w:t>
      </w:r>
      <w:r w:rsidRPr="008F3742">
        <w:rPr>
          <w:rFonts w:cstheme="minorHAnsi"/>
          <w:i/>
        </w:rPr>
        <w:tab/>
      </w:r>
      <w:r w:rsidRPr="008F3742">
        <w:rPr>
          <w:rFonts w:cstheme="minorHAnsi"/>
          <w:i/>
        </w:rPr>
        <w:tab/>
        <w:t>: t fatura döneminde Kuruma sunulan ithal kömür teminine ilişkin fatura birim bedelini (USD/ton),</w:t>
      </w:r>
    </w:p>
    <w:p w:rsidR="00AE58D4" w:rsidRPr="008F3742" w:rsidRDefault="00AE58D4" w:rsidP="009067D4">
      <w:pPr>
        <w:spacing w:after="0" w:line="240" w:lineRule="auto"/>
        <w:ind w:left="2829" w:hanging="1695"/>
        <w:rPr>
          <w:rFonts w:cstheme="minorHAnsi"/>
          <w:i/>
          <w:lang w:eastAsia="tr-TR"/>
        </w:rPr>
      </w:pPr>
      <w:r w:rsidRPr="008F3742">
        <w:rPr>
          <w:rFonts w:cstheme="minorHAnsi"/>
          <w:i/>
          <w:lang w:eastAsia="tr-TR"/>
        </w:rPr>
        <w:t>API2</w:t>
      </w:r>
      <w:r w:rsidRPr="008F3742">
        <w:rPr>
          <w:rFonts w:cstheme="minorHAnsi"/>
          <w:i/>
          <w:vertAlign w:val="subscript"/>
          <w:lang w:eastAsia="tr-TR"/>
        </w:rPr>
        <w:t>t</w:t>
      </w:r>
      <w:r w:rsidRPr="008F3742">
        <w:rPr>
          <w:rFonts w:cstheme="minorHAnsi"/>
          <w:i/>
          <w:lang w:eastAsia="tr-TR"/>
        </w:rPr>
        <w:tab/>
      </w:r>
      <w:r>
        <w:rPr>
          <w:rFonts w:cstheme="minorHAnsi"/>
          <w:i/>
          <w:lang w:eastAsia="tr-TR"/>
        </w:rPr>
        <w:tab/>
      </w:r>
      <w:r w:rsidRPr="008F3742">
        <w:rPr>
          <w:rFonts w:cstheme="minorHAnsi"/>
          <w:i/>
          <w:lang w:eastAsia="tr-TR"/>
        </w:rPr>
        <w:t>: Azami uzlaştırma fiyatı uygulama süresince t fatura dönemine ait yayımlanmış “ICE Rotterdam Coal Futures” kapanış endeks değerlerinin ortalamasını</w:t>
      </w:r>
    </w:p>
    <w:p w:rsidR="00AE58D4" w:rsidRPr="008F3742" w:rsidRDefault="00AE58D4" w:rsidP="009067D4">
      <w:pPr>
        <w:spacing w:before="120" w:after="120" w:line="240" w:lineRule="auto"/>
        <w:ind w:left="851" w:firstLine="283"/>
        <w:rPr>
          <w:rFonts w:cstheme="minorHAnsi"/>
        </w:rPr>
      </w:pPr>
      <w:r w:rsidRPr="008F3742">
        <w:rPr>
          <w:rFonts w:cstheme="minorHAnsi"/>
        </w:rPr>
        <w:t>ifade eder.</w:t>
      </w:r>
    </w:p>
    <w:p w:rsidR="008016CC" w:rsidRPr="008016CC" w:rsidRDefault="008016CC" w:rsidP="009067D4">
      <w:pPr>
        <w:autoSpaceDE w:val="0"/>
        <w:autoSpaceDN w:val="0"/>
        <w:adjustRightInd w:val="0"/>
        <w:spacing w:before="120" w:after="120" w:line="240" w:lineRule="auto"/>
        <w:ind w:left="993" w:hanging="283"/>
        <w:rPr>
          <w:rFonts w:cstheme="minorHAnsi"/>
        </w:rPr>
      </w:pPr>
      <w:r w:rsidRPr="008016CC">
        <w:rPr>
          <w:rFonts w:cstheme="minorHAnsi"/>
          <w:b/>
        </w:rPr>
        <w:t>4)</w:t>
      </w:r>
      <w:r w:rsidRPr="008016CC">
        <w:rPr>
          <w:rFonts w:cstheme="minorHAnsi"/>
        </w:rPr>
        <w:t xml:space="preserve"> Aynı fatura dönemi içerisinde Kuruma, ithal kömür teminine ilişkin birden fazla fatura sunulması halinde ilgili faturalarda belirtilen bedellerin ağırlıklı ortalaması alınarak AUFf hesaplanmasına</w:t>
      </w:r>
    </w:p>
    <w:p w:rsidR="008016CC" w:rsidRDefault="008016CC" w:rsidP="008016CC">
      <w:pPr>
        <w:tabs>
          <w:tab w:val="right" w:pos="9072"/>
        </w:tabs>
        <w:spacing w:after="0" w:line="240" w:lineRule="auto"/>
        <w:ind w:firstLine="567"/>
        <w:rPr>
          <w:rFonts w:eastAsia="Times New Roman" w:cstheme="minorHAnsi"/>
          <w:spacing w:val="-2"/>
          <w:lang w:eastAsia="tr-TR"/>
        </w:rPr>
      </w:pPr>
      <w:r w:rsidRPr="00315C8C">
        <w:rPr>
          <w:rFonts w:eastAsia="Times New Roman" w:cstheme="minorHAnsi"/>
          <w:spacing w:val="-2"/>
          <w:lang w:eastAsia="tr-TR"/>
        </w:rPr>
        <w:t>karar verilmiştir.</w:t>
      </w:r>
    </w:p>
    <w:p w:rsidR="00255323" w:rsidRDefault="00255323" w:rsidP="00255323">
      <w:pPr>
        <w:pStyle w:val="ListeParagraf"/>
        <w:spacing w:after="160" w:line="259" w:lineRule="auto"/>
      </w:pPr>
    </w:p>
    <w:p w:rsidR="00CA332B" w:rsidRDefault="00CA332B" w:rsidP="000A5A56">
      <w:pPr>
        <w:pStyle w:val="ListeParagraf"/>
        <w:numPr>
          <w:ilvl w:val="0"/>
          <w:numId w:val="30"/>
        </w:numPr>
        <w:spacing w:after="160" w:line="259" w:lineRule="auto"/>
      </w:pPr>
      <w:r>
        <w:t>30</w:t>
      </w:r>
      <w:r w:rsidRPr="00AB0B60">
        <w:t>.</w:t>
      </w:r>
      <w:r>
        <w:t>10</w:t>
      </w:r>
      <w:r w:rsidRPr="00AB0B60">
        <w:t>.202</w:t>
      </w:r>
      <w:r>
        <w:t>2</w:t>
      </w:r>
      <w:r w:rsidRPr="00AB0B60">
        <w:t xml:space="preserve"> tarihli ve</w:t>
      </w:r>
      <w:r>
        <w:t xml:space="preserve"> </w:t>
      </w:r>
      <w:r w:rsidRPr="00AB0B60">
        <w:t>31</w:t>
      </w:r>
      <w:r>
        <w:t>998</w:t>
      </w:r>
      <w:r w:rsidRPr="00AB0B60">
        <w:t xml:space="preserve"> sayılı Resmî </w:t>
      </w:r>
      <w:r w:rsidR="00274939">
        <w:t>Gazetede</w:t>
      </w:r>
      <w:r w:rsidRPr="00AB0B60">
        <w:t xml:space="preserve"> yayımlanan </w:t>
      </w:r>
      <w:r>
        <w:t>27.10.</w:t>
      </w:r>
      <w:r w:rsidRPr="00AB0B60">
        <w:t>202</w:t>
      </w:r>
      <w:r>
        <w:t>2</w:t>
      </w:r>
      <w:r w:rsidRPr="00AB0B60">
        <w:t xml:space="preserve"> Tarihli ve 1</w:t>
      </w:r>
      <w:r>
        <w:t>1323</w:t>
      </w:r>
      <w:r w:rsidRPr="00AB0B60">
        <w:t xml:space="preserve"> Sayılı </w:t>
      </w:r>
      <w:r>
        <w:t xml:space="preserve">Kurul Kararı ile; </w:t>
      </w:r>
      <w:r w:rsidRPr="00CA332B">
        <w:t>1)</w:t>
      </w:r>
      <w:r w:rsidRPr="00CA332B">
        <w:tab/>
        <w:t>Elektrik Piyasası Dengeleme ve Uzlaştırma Yönetmeliğinin (Yönetmelik) 132/D maddesinin onbirinci fıkrası kapsamında; 31/12/2022 tarihine kadar uygulanmak üzere; görevli tedarik şirketlerinin Yönetmeliğin 132/Ç maddesinin birinci fıkrasında belirtilen avans ödeme bildirimlerinde yer alan bedellerin, en fazla % 50 (yüzde elli) oranındaki tutarı için Yönetmeliğin 132/D maddesinin onbirinci fıkrası çerçevesinde işlem tesis edilmesine</w:t>
      </w:r>
      <w:r>
        <w:t xml:space="preserve"> </w:t>
      </w:r>
      <w:r w:rsidRPr="00C3546A">
        <w:t>karar verilmiştir.</w:t>
      </w:r>
    </w:p>
    <w:p w:rsidR="0006018D" w:rsidRDefault="0006018D" w:rsidP="0006018D">
      <w:pPr>
        <w:pStyle w:val="ListeParagraf"/>
        <w:spacing w:after="160" w:line="259" w:lineRule="auto"/>
      </w:pPr>
    </w:p>
    <w:p w:rsidR="001542D3" w:rsidRDefault="001542D3" w:rsidP="000A5A56">
      <w:pPr>
        <w:pStyle w:val="ListeParagraf"/>
        <w:numPr>
          <w:ilvl w:val="0"/>
          <w:numId w:val="27"/>
        </w:numPr>
      </w:pPr>
      <w:r>
        <w:t>02</w:t>
      </w:r>
      <w:r w:rsidRPr="0016003D">
        <w:t>.</w:t>
      </w:r>
      <w:r>
        <w:t>11</w:t>
      </w:r>
      <w:r w:rsidRPr="0016003D">
        <w:t>.202</w:t>
      </w:r>
      <w:r>
        <w:t>2</w:t>
      </w:r>
      <w:r w:rsidRPr="0016003D">
        <w:t xml:space="preserve"> tarihli ve 3</w:t>
      </w:r>
      <w:r>
        <w:t>2001</w:t>
      </w:r>
      <w:r w:rsidRPr="0016003D">
        <w:t xml:space="preserve"> sayılı Resmî </w:t>
      </w:r>
      <w:r w:rsidR="00274939">
        <w:t>Gazetede</w:t>
      </w:r>
      <w:r w:rsidRPr="0016003D">
        <w:t xml:space="preserve"> yayımlanan 2</w:t>
      </w:r>
      <w:r>
        <w:t>7</w:t>
      </w:r>
      <w:r w:rsidRPr="0016003D">
        <w:t>.</w:t>
      </w:r>
      <w:r>
        <w:t>10</w:t>
      </w:r>
      <w:r w:rsidRPr="0016003D">
        <w:t>.202</w:t>
      </w:r>
      <w:r>
        <w:t>2</w:t>
      </w:r>
      <w:r w:rsidRPr="0016003D">
        <w:t xml:space="preserve"> Tarihli ve </w:t>
      </w:r>
      <w:r>
        <w:t>11324</w:t>
      </w:r>
      <w:r w:rsidRPr="0016003D">
        <w:t xml:space="preserve"> Sayılı Kurul Kararı ile </w:t>
      </w:r>
      <w:r w:rsidRPr="001542D3">
        <w:rPr>
          <w:b/>
        </w:rPr>
        <w:t>Elektrik Piyasasında Önlisans veya Lisanslara Konu Üretim Tesislerinin Santral Sahalarının Belirlenmesine İlişkin Usul ve Esaslar</w:t>
      </w:r>
      <w:r w:rsidR="00A02BC4">
        <w:rPr>
          <w:b/>
        </w:rPr>
        <w:t>ın</w:t>
      </w:r>
    </w:p>
    <w:p w:rsidR="001542D3" w:rsidRPr="0016003D" w:rsidRDefault="001542D3" w:rsidP="001542D3">
      <w:pPr>
        <w:pStyle w:val="ListeParagraf"/>
      </w:pPr>
    </w:p>
    <w:p w:rsidR="001542D3" w:rsidRPr="004F2451" w:rsidRDefault="00A02BC4" w:rsidP="000A5A56">
      <w:pPr>
        <w:pStyle w:val="ListeParagraf"/>
        <w:numPr>
          <w:ilvl w:val="0"/>
          <w:numId w:val="46"/>
        </w:numPr>
        <w:spacing w:after="160" w:line="259" w:lineRule="auto"/>
      </w:pPr>
      <w:r w:rsidRPr="004F2451">
        <w:t>24 üncü maddesinin birinci fıkrası aşağıdaki şekilde değiştirilmiştir.</w:t>
      </w:r>
    </w:p>
    <w:p w:rsidR="001542D3" w:rsidRDefault="001542D3" w:rsidP="001542D3">
      <w:pPr>
        <w:pStyle w:val="ListeParagraf"/>
        <w:spacing w:after="160" w:line="259" w:lineRule="auto"/>
        <w:ind w:left="1440"/>
      </w:pPr>
    </w:p>
    <w:p w:rsidR="00A02BC4" w:rsidRPr="00A02BC4" w:rsidRDefault="00A02BC4" w:rsidP="00A02BC4">
      <w:pPr>
        <w:pStyle w:val="ListeParagraf"/>
        <w:spacing w:after="160" w:line="259" w:lineRule="auto"/>
        <w:ind w:left="1440"/>
        <w:rPr>
          <w:i/>
        </w:rPr>
      </w:pPr>
      <w:r w:rsidRPr="00A02BC4">
        <w:rPr>
          <w:i/>
        </w:rPr>
        <w:t>“(1) Birden çok kaynaklı elektrik üretim tesislerinde kurulabilecek yardımcı kaynağa dayalı ünitelerin toplam mekanik gücü;</w:t>
      </w:r>
    </w:p>
    <w:p w:rsidR="00A02BC4" w:rsidRPr="00A02BC4" w:rsidRDefault="00A02BC4" w:rsidP="00A02BC4">
      <w:pPr>
        <w:pStyle w:val="ListeParagraf"/>
        <w:spacing w:after="160" w:line="259" w:lineRule="auto"/>
        <w:ind w:left="1440"/>
        <w:rPr>
          <w:i/>
        </w:rPr>
      </w:pPr>
      <w:r w:rsidRPr="00A02BC4">
        <w:rPr>
          <w:i/>
        </w:rPr>
        <w:t>a) Ana kaynağa dayalı ünitelerin toplam elektriksel kurulu gücü 50 MW ve altında olan elektrik üretim tesislerinde, ana kaynağa dayalı ünitelerin toplam elektriksel kurulu gücünü,</w:t>
      </w:r>
    </w:p>
    <w:p w:rsidR="00A02BC4" w:rsidRPr="00A02BC4" w:rsidRDefault="00A02BC4" w:rsidP="00A02BC4">
      <w:pPr>
        <w:pStyle w:val="ListeParagraf"/>
        <w:spacing w:after="160" w:line="259" w:lineRule="auto"/>
        <w:ind w:left="1440"/>
        <w:rPr>
          <w:i/>
        </w:rPr>
      </w:pPr>
      <w:r w:rsidRPr="00A02BC4">
        <w:rPr>
          <w:i/>
        </w:rPr>
        <w:t xml:space="preserve">b) Ana kaynağa dayalı ünitelerin toplam elektriksel kurulu gücü 50 MW’ın üstünde olan elektrik üretim tesislerinde; 50 MW güce, ana kaynağın elektriksel kurulu gücünün 50 MW’ı aşan kısmının yarısına tekabül eden güç ilave edilerek bulunacak toplam gücü </w:t>
      </w:r>
    </w:p>
    <w:p w:rsidR="001542D3" w:rsidRDefault="00A02BC4" w:rsidP="00A02BC4">
      <w:pPr>
        <w:pStyle w:val="ListeParagraf"/>
        <w:spacing w:after="160" w:line="259" w:lineRule="auto"/>
        <w:ind w:left="1440"/>
        <w:rPr>
          <w:i/>
        </w:rPr>
      </w:pPr>
      <w:r w:rsidRPr="00A02BC4">
        <w:rPr>
          <w:i/>
        </w:rPr>
        <w:t>aşamaz. Ana kaynağı rüzgâr enerjisine dayalı üretim tesisleri hariç olmak üzere, bu madde kapsamında tesis edilecek yardımcı kaynağa dayalı ünitelerin mekanik kurulu gücü toplamda 100 MW’ı geçemez.”</w:t>
      </w:r>
    </w:p>
    <w:p w:rsidR="0006018D" w:rsidRDefault="0006018D" w:rsidP="00A02BC4">
      <w:pPr>
        <w:pStyle w:val="ListeParagraf"/>
        <w:spacing w:after="160" w:line="259" w:lineRule="auto"/>
        <w:ind w:left="1440"/>
        <w:rPr>
          <w:i/>
        </w:rPr>
      </w:pPr>
    </w:p>
    <w:p w:rsidR="00316032" w:rsidRDefault="00316032" w:rsidP="000A5A56">
      <w:pPr>
        <w:pStyle w:val="ListeParagraf"/>
        <w:numPr>
          <w:ilvl w:val="0"/>
          <w:numId w:val="27"/>
        </w:numPr>
      </w:pPr>
      <w:r>
        <w:t>19</w:t>
      </w:r>
      <w:r w:rsidRPr="0016003D">
        <w:t>.</w:t>
      </w:r>
      <w:r>
        <w:t>11</w:t>
      </w:r>
      <w:r w:rsidRPr="0016003D">
        <w:t>.202</w:t>
      </w:r>
      <w:r>
        <w:t>2</w:t>
      </w:r>
      <w:r w:rsidRPr="0016003D">
        <w:t xml:space="preserve"> tarihli ve 3</w:t>
      </w:r>
      <w:r>
        <w:t>2018</w:t>
      </w:r>
      <w:r w:rsidRPr="0016003D">
        <w:t xml:space="preserve"> sayılı Resmî </w:t>
      </w:r>
      <w:r w:rsidR="00274939">
        <w:t>Gazetede</w:t>
      </w:r>
      <w:r w:rsidRPr="0016003D">
        <w:t xml:space="preserve"> yayımlanan 2</w:t>
      </w:r>
      <w:r>
        <w:t>7</w:t>
      </w:r>
      <w:r w:rsidRPr="0016003D">
        <w:t>.</w:t>
      </w:r>
      <w:r>
        <w:t>10</w:t>
      </w:r>
      <w:r w:rsidRPr="0016003D">
        <w:t>.202</w:t>
      </w:r>
      <w:r>
        <w:t>2</w:t>
      </w:r>
      <w:r w:rsidRPr="0016003D">
        <w:t xml:space="preserve"> Tarihli ve </w:t>
      </w:r>
      <w:r>
        <w:t>11326</w:t>
      </w:r>
      <w:r w:rsidRPr="0016003D">
        <w:t xml:space="preserve"> Sayılı Kurul Kararı ile </w:t>
      </w:r>
      <w:r w:rsidRPr="00316032">
        <w:rPr>
          <w:b/>
        </w:rPr>
        <w:t>Otomatik Sayaç Okuma Sistemlerinin Kapsamına ve Sayaç Değerlerinin Belirlenmesine İlişkin Usul ve</w:t>
      </w:r>
      <w:r w:rsidRPr="001542D3">
        <w:rPr>
          <w:b/>
        </w:rPr>
        <w:t xml:space="preserve"> Esaslar</w:t>
      </w:r>
      <w:r>
        <w:rPr>
          <w:b/>
        </w:rPr>
        <w:t>ın</w:t>
      </w:r>
    </w:p>
    <w:p w:rsidR="00316032" w:rsidRPr="0016003D" w:rsidRDefault="00316032" w:rsidP="00316032">
      <w:pPr>
        <w:pStyle w:val="ListeParagraf"/>
      </w:pPr>
    </w:p>
    <w:p w:rsidR="00316032" w:rsidRPr="004F2451" w:rsidRDefault="00316032" w:rsidP="000A5A56">
      <w:pPr>
        <w:pStyle w:val="ListeParagraf"/>
        <w:numPr>
          <w:ilvl w:val="0"/>
          <w:numId w:val="46"/>
        </w:numPr>
        <w:spacing w:after="160" w:line="259" w:lineRule="auto"/>
      </w:pPr>
      <w:r w:rsidRPr="004F2451">
        <w:t>3 üncü maddesinin birinci fıkrasının (ğ) bendi aşağıdaki şekilde değiştirilmiş ve aynı fıkranın sonuna aşağıdaki bent eklenmiştir.</w:t>
      </w:r>
    </w:p>
    <w:p w:rsidR="00316032" w:rsidRDefault="00316032" w:rsidP="00316032">
      <w:pPr>
        <w:pStyle w:val="ListeParagraf"/>
        <w:spacing w:after="160" w:line="259" w:lineRule="auto"/>
        <w:ind w:left="1440"/>
      </w:pPr>
    </w:p>
    <w:p w:rsidR="00316032" w:rsidRPr="00316032" w:rsidRDefault="00316032" w:rsidP="00316032">
      <w:pPr>
        <w:pStyle w:val="ListeParagraf"/>
        <w:spacing w:after="160" w:line="259" w:lineRule="auto"/>
        <w:ind w:left="1440"/>
        <w:rPr>
          <w:i/>
        </w:rPr>
      </w:pPr>
      <w:r w:rsidRPr="00316032">
        <w:rPr>
          <w:i/>
        </w:rPr>
        <w:lastRenderedPageBreak/>
        <w:t>“ğ) Depolamalı elektrik üretim tesisi bünyesindeki elektrik depolama ünitesi, üretim tesisine bütünleşik elektrik depolama ünitesi ile müstakil elektrik depolama tesislerinden verilen ve çekilen elektrik enerjisini ölçen sayaçlar.”</w:t>
      </w:r>
    </w:p>
    <w:p w:rsidR="00316032" w:rsidRDefault="00316032" w:rsidP="00316032">
      <w:pPr>
        <w:pStyle w:val="ListeParagraf"/>
        <w:spacing w:after="160" w:line="259" w:lineRule="auto"/>
        <w:ind w:left="1440"/>
        <w:rPr>
          <w:i/>
        </w:rPr>
      </w:pPr>
      <w:r w:rsidRPr="00316032">
        <w:rPr>
          <w:i/>
        </w:rPr>
        <w:t xml:space="preserve">“h) 2/4/2022 tarihli ve 31797 sayılı </w:t>
      </w:r>
      <w:r w:rsidR="00DC783D">
        <w:rPr>
          <w:i/>
        </w:rPr>
        <w:t>Resmî</w:t>
      </w:r>
      <w:r w:rsidRPr="00316032">
        <w:rPr>
          <w:i/>
        </w:rPr>
        <w:t xml:space="preserve"> </w:t>
      </w:r>
      <w:r w:rsidR="00274939">
        <w:rPr>
          <w:i/>
        </w:rPr>
        <w:t>Gazetede</w:t>
      </w:r>
      <w:r w:rsidRPr="00316032">
        <w:rPr>
          <w:i/>
        </w:rPr>
        <w:t xml:space="preserve"> yayımlanan Şarj Hizmeti Yönetmeliği kapsamında belirtilen koşullara haiz şarj istasyonlarında tüketilen elektrik enerjisini ölçen sayaçlar.”</w:t>
      </w:r>
    </w:p>
    <w:p w:rsidR="00316032" w:rsidRDefault="00316032" w:rsidP="00A02BC4">
      <w:pPr>
        <w:pStyle w:val="ListeParagraf"/>
        <w:spacing w:after="160" w:line="259" w:lineRule="auto"/>
        <w:ind w:left="1440"/>
        <w:rPr>
          <w:i/>
        </w:rPr>
      </w:pPr>
    </w:p>
    <w:p w:rsidR="00316032" w:rsidRPr="004F2451" w:rsidRDefault="00316032" w:rsidP="000A5A56">
      <w:pPr>
        <w:pStyle w:val="ListeParagraf"/>
        <w:numPr>
          <w:ilvl w:val="0"/>
          <w:numId w:val="46"/>
        </w:numPr>
        <w:spacing w:after="160" w:line="259" w:lineRule="auto"/>
      </w:pPr>
      <w:r w:rsidRPr="004F2451">
        <w:t>4 üncü maddesinin birinci fıkrası aşağıdaki şekilde değiştirilmiştir.</w:t>
      </w:r>
    </w:p>
    <w:p w:rsidR="00316032" w:rsidRDefault="00316032" w:rsidP="00316032">
      <w:pPr>
        <w:pStyle w:val="ListeParagraf"/>
        <w:spacing w:after="160" w:line="259" w:lineRule="auto"/>
        <w:ind w:left="1440"/>
      </w:pPr>
    </w:p>
    <w:p w:rsidR="00316032" w:rsidRPr="00316032" w:rsidRDefault="00316032" w:rsidP="00316032">
      <w:pPr>
        <w:pStyle w:val="ListeParagraf"/>
        <w:spacing w:after="160" w:line="259" w:lineRule="auto"/>
        <w:ind w:left="1440"/>
        <w:rPr>
          <w:i/>
        </w:rPr>
      </w:pPr>
      <w:r w:rsidRPr="00316032">
        <w:rPr>
          <w:i/>
        </w:rPr>
        <w:t xml:space="preserve">“(1) OSOS kapsamında yer alması zorunlu olan sayaçlara ait aktif elektrik enerjisi tüketim limiti Kurul tarafından belirlenir. Bu limit dağıtım şirketinin talebi halinde Kurul onayı ile bir takvim yılında iki defa revize edilebilir. Kurul tarafından belirlenen limitin üzerinde tüketimi olan sayaçların; </w:t>
      </w:r>
    </w:p>
    <w:p w:rsidR="00316032" w:rsidRPr="00316032" w:rsidRDefault="00316032" w:rsidP="00316032">
      <w:pPr>
        <w:pStyle w:val="ListeParagraf"/>
        <w:spacing w:after="160" w:line="259" w:lineRule="auto"/>
        <w:ind w:left="1440"/>
        <w:rPr>
          <w:i/>
        </w:rPr>
      </w:pPr>
      <w:r w:rsidRPr="00316032">
        <w:rPr>
          <w:i/>
        </w:rPr>
        <w:t>a)</w:t>
      </w:r>
      <w:r>
        <w:rPr>
          <w:i/>
        </w:rPr>
        <w:t xml:space="preserve"> </w:t>
      </w:r>
      <w:r w:rsidRPr="00316032">
        <w:rPr>
          <w:i/>
        </w:rPr>
        <w:t>Kurul kararı ile limiti revize edilenler için Kurul karar tarihinden itibaren en geç bir yıl içerisinde,</w:t>
      </w:r>
    </w:p>
    <w:p w:rsidR="00316032" w:rsidRPr="00316032" w:rsidRDefault="00316032" w:rsidP="00316032">
      <w:pPr>
        <w:pStyle w:val="ListeParagraf"/>
        <w:spacing w:after="160" w:line="259" w:lineRule="auto"/>
        <w:ind w:left="1440"/>
        <w:rPr>
          <w:i/>
        </w:rPr>
      </w:pPr>
      <w:r w:rsidRPr="00316032">
        <w:rPr>
          <w:i/>
        </w:rPr>
        <w:t>b)</w:t>
      </w:r>
      <w:r>
        <w:rPr>
          <w:i/>
        </w:rPr>
        <w:t xml:space="preserve"> </w:t>
      </w:r>
      <w:r w:rsidRPr="00316032">
        <w:rPr>
          <w:i/>
        </w:rPr>
        <w:t>Bir önceki takvim yılında Kurulca onaylanan limiti geçen tüketicilere ait sayaçlar ise en geç sonraki ilgili takvim yılı sonuna kadar</w:t>
      </w:r>
    </w:p>
    <w:p w:rsidR="00316032" w:rsidRDefault="00316032" w:rsidP="00316032">
      <w:pPr>
        <w:pStyle w:val="ListeParagraf"/>
        <w:spacing w:after="160" w:line="259" w:lineRule="auto"/>
        <w:ind w:left="1440"/>
        <w:rPr>
          <w:i/>
        </w:rPr>
      </w:pPr>
      <w:r w:rsidRPr="00316032">
        <w:rPr>
          <w:i/>
        </w:rPr>
        <w:t>OSOS kapsamına alınması zorunludur. Bu süre mücbir sebepler veya Kurul tarafından uygun bulunan haller kapsamında uzatılabilir.”</w:t>
      </w:r>
    </w:p>
    <w:p w:rsidR="00316032" w:rsidRDefault="00316032" w:rsidP="00316032">
      <w:pPr>
        <w:pStyle w:val="ListeParagraf"/>
        <w:spacing w:after="160" w:line="259" w:lineRule="auto"/>
        <w:ind w:left="1440"/>
        <w:rPr>
          <w:i/>
        </w:rPr>
      </w:pPr>
    </w:p>
    <w:p w:rsidR="00316032" w:rsidRPr="004F2451" w:rsidRDefault="00316032" w:rsidP="000A5A56">
      <w:pPr>
        <w:pStyle w:val="ListeParagraf"/>
        <w:numPr>
          <w:ilvl w:val="0"/>
          <w:numId w:val="46"/>
        </w:numPr>
        <w:spacing w:after="160" w:line="259" w:lineRule="auto"/>
      </w:pPr>
      <w:r w:rsidRPr="004F2451">
        <w:t>5 inci maddesinin ikinci fıkrasının (ç) bendi aşağıdaki şekilde değiştirilmiştir.</w:t>
      </w:r>
    </w:p>
    <w:p w:rsidR="00316032" w:rsidRDefault="00316032" w:rsidP="00316032">
      <w:pPr>
        <w:pStyle w:val="ListeParagraf"/>
        <w:spacing w:after="160" w:line="259" w:lineRule="auto"/>
        <w:ind w:left="1440"/>
      </w:pPr>
    </w:p>
    <w:p w:rsidR="00316032" w:rsidRDefault="00316032" w:rsidP="00316032">
      <w:pPr>
        <w:pStyle w:val="ListeParagraf"/>
        <w:spacing w:after="160" w:line="259" w:lineRule="auto"/>
        <w:ind w:left="1440"/>
        <w:rPr>
          <w:i/>
        </w:rPr>
      </w:pPr>
      <w:r w:rsidRPr="00316032">
        <w:rPr>
          <w:i/>
        </w:rPr>
        <w:t>“ç) Depolamalı elektrik üretim tesisi bünyesindeki elektrik depolama ünitesi, üretim tesisine bütünleşik elektrik depolama ünitesi ile müstakil elektrik depolama tesisleri için ilgili piyasa faaliyeti gösteren tüzel kişinin,”</w:t>
      </w:r>
    </w:p>
    <w:p w:rsidR="00316032" w:rsidRDefault="00316032" w:rsidP="00316032">
      <w:pPr>
        <w:pStyle w:val="ListeParagraf"/>
        <w:spacing w:after="160" w:line="259" w:lineRule="auto"/>
        <w:ind w:left="1440"/>
        <w:rPr>
          <w:i/>
        </w:rPr>
      </w:pPr>
    </w:p>
    <w:p w:rsidR="00316032" w:rsidRPr="004F2451" w:rsidRDefault="00316032" w:rsidP="000A5A56">
      <w:pPr>
        <w:pStyle w:val="ListeParagraf"/>
        <w:numPr>
          <w:ilvl w:val="0"/>
          <w:numId w:val="46"/>
        </w:numPr>
        <w:spacing w:after="160" w:line="259" w:lineRule="auto"/>
      </w:pPr>
      <w:r w:rsidRPr="004F2451">
        <w:t>6 ncı maddesinin ikinci fıkrası aşağıdaki şekilde değiştirilmiş ve üçüncü fıkrasında “elektrik depolama” ibaresinden sonra gelmek üzere “ünitelerinin veya” ibaresi eklenmiştir.</w:t>
      </w:r>
    </w:p>
    <w:p w:rsidR="00316032" w:rsidRDefault="00316032" w:rsidP="00316032">
      <w:pPr>
        <w:pStyle w:val="ListeParagraf"/>
        <w:spacing w:after="160" w:line="259" w:lineRule="auto"/>
        <w:ind w:left="1440"/>
      </w:pPr>
    </w:p>
    <w:p w:rsidR="00316032" w:rsidRDefault="00316032" w:rsidP="00316032">
      <w:pPr>
        <w:pStyle w:val="ListeParagraf"/>
        <w:spacing w:after="160" w:line="259" w:lineRule="auto"/>
        <w:ind w:left="1440"/>
        <w:rPr>
          <w:i/>
        </w:rPr>
      </w:pPr>
      <w:r w:rsidRPr="00316032">
        <w:rPr>
          <w:i/>
        </w:rPr>
        <w:t>“(2) Dengeleme birimi olan üretim, tüketim tesisleri ile elektrik depolama ünitelerinin veya tesislerinin 15 dakikalık üretim veya tüketim değerleri piyasa işletmecisi ile en geç ilgili saatin 2 saat sonrasında paylaşılır.”</w:t>
      </w:r>
    </w:p>
    <w:p w:rsidR="00316032" w:rsidRDefault="00316032" w:rsidP="00316032">
      <w:pPr>
        <w:pStyle w:val="ListeParagraf"/>
        <w:spacing w:after="160" w:line="259" w:lineRule="auto"/>
        <w:ind w:left="1440"/>
        <w:rPr>
          <w:i/>
        </w:rPr>
      </w:pPr>
    </w:p>
    <w:p w:rsidR="0006018D" w:rsidRDefault="0006018D" w:rsidP="000A5A56">
      <w:pPr>
        <w:pStyle w:val="ListeParagraf"/>
        <w:numPr>
          <w:ilvl w:val="0"/>
          <w:numId w:val="28"/>
        </w:numPr>
        <w:spacing w:after="160" w:line="259" w:lineRule="auto"/>
      </w:pPr>
      <w:r>
        <w:t>19</w:t>
      </w:r>
      <w:r w:rsidRPr="00FB5D3F">
        <w:t>.</w:t>
      </w:r>
      <w:r>
        <w:t>11</w:t>
      </w:r>
      <w:r w:rsidRPr="00FB5D3F">
        <w:t>.202</w:t>
      </w:r>
      <w:r>
        <w:t>2</w:t>
      </w:r>
      <w:r w:rsidRPr="00FB5D3F">
        <w:t xml:space="preserve"> tarihli ve 3</w:t>
      </w:r>
      <w:r>
        <w:t>2018</w:t>
      </w:r>
      <w:r w:rsidRPr="00FB5D3F">
        <w:t xml:space="preserve"> sayılı Resmî </w:t>
      </w:r>
      <w:r w:rsidR="00274939">
        <w:t>Gazetede</w:t>
      </w:r>
      <w:r w:rsidRPr="00FB5D3F">
        <w:t xml:space="preserve"> yayımlanan </w:t>
      </w:r>
      <w:r>
        <w:t>27</w:t>
      </w:r>
      <w:r w:rsidRPr="00FB5D3F">
        <w:t>.</w:t>
      </w:r>
      <w:r>
        <w:t>10</w:t>
      </w:r>
      <w:r w:rsidRPr="00FB5D3F">
        <w:t>.202</w:t>
      </w:r>
      <w:r>
        <w:t>2</w:t>
      </w:r>
      <w:r w:rsidRPr="00FB5D3F">
        <w:t xml:space="preserve"> </w:t>
      </w:r>
      <w:r>
        <w:t>t</w:t>
      </w:r>
      <w:r w:rsidRPr="00FB5D3F">
        <w:t xml:space="preserve">arihli ve </w:t>
      </w:r>
      <w:r>
        <w:t>11331-1</w:t>
      </w:r>
      <w:r w:rsidRPr="00FB5D3F">
        <w:t xml:space="preserve"> </w:t>
      </w:r>
      <w:r>
        <w:t>s</w:t>
      </w:r>
      <w:r w:rsidRPr="00FB5D3F">
        <w:t xml:space="preserve">ayılı Kurul Kararı ile </w:t>
      </w:r>
      <w:r w:rsidRPr="0006018D">
        <w:t>27/06/2019 tarihli ve 8674 sayılı Kurul Kararı ile onaylanan “Önlisans ve Lisans İşlemleri ile İlgili Başvurulara İlişkin Usul ve Esaslar”ın eklerinden;</w:t>
      </w:r>
    </w:p>
    <w:p w:rsidR="0006018D" w:rsidRPr="0006018D" w:rsidRDefault="0006018D" w:rsidP="0006018D">
      <w:pPr>
        <w:spacing w:after="0" w:line="240" w:lineRule="auto"/>
        <w:ind w:left="993" w:hanging="284"/>
        <w:contextualSpacing/>
        <w:rPr>
          <w:rFonts w:eastAsia="Times New Roman" w:cstheme="minorHAnsi"/>
          <w:lang w:eastAsia="tr-TR"/>
        </w:rPr>
      </w:pPr>
      <w:r w:rsidRPr="0006018D">
        <w:rPr>
          <w:rFonts w:eastAsia="Times New Roman" w:cstheme="minorHAnsi"/>
          <w:b/>
          <w:lang w:eastAsia="tr-TR"/>
        </w:rPr>
        <w:t xml:space="preserve">1) </w:t>
      </w:r>
      <w:r w:rsidRPr="0006018D">
        <w:rPr>
          <w:rFonts w:eastAsia="Times New Roman" w:cstheme="minorHAnsi"/>
          <w:lang w:eastAsia="tr-TR"/>
        </w:rPr>
        <w:t>“Önlisans Başvurusunda Sunulması Gereken Bilgi ve Belgeler Listesi (EK-3)”nin yer aldığı 30/09/2021 tarihli ve 10441-1 sayılı Kurul Kararının yürürlükten kaldırılmasına,</w:t>
      </w:r>
    </w:p>
    <w:p w:rsidR="0006018D" w:rsidRPr="0006018D" w:rsidRDefault="0006018D" w:rsidP="0006018D">
      <w:pPr>
        <w:spacing w:after="0" w:line="240" w:lineRule="auto"/>
        <w:ind w:left="709"/>
        <w:contextualSpacing/>
        <w:rPr>
          <w:rFonts w:eastAsia="Times New Roman" w:cstheme="minorHAnsi"/>
          <w:lang w:eastAsia="tr-TR"/>
        </w:rPr>
      </w:pPr>
    </w:p>
    <w:p w:rsidR="0006018D" w:rsidRPr="0006018D" w:rsidRDefault="0006018D" w:rsidP="0006018D">
      <w:pPr>
        <w:spacing w:after="0" w:line="240" w:lineRule="auto"/>
        <w:ind w:left="993" w:hanging="284"/>
        <w:contextualSpacing/>
        <w:rPr>
          <w:rFonts w:eastAsia="Times New Roman" w:cstheme="minorHAnsi"/>
          <w:lang w:eastAsia="tr-TR"/>
        </w:rPr>
      </w:pPr>
      <w:r w:rsidRPr="0006018D">
        <w:rPr>
          <w:rFonts w:eastAsia="Times New Roman" w:cstheme="minorHAnsi"/>
          <w:b/>
          <w:lang w:eastAsia="tr-TR"/>
        </w:rPr>
        <w:t>2)</w:t>
      </w:r>
      <w:r w:rsidRPr="0006018D">
        <w:rPr>
          <w:rFonts w:eastAsia="Times New Roman" w:cstheme="minorHAnsi"/>
          <w:lang w:eastAsia="tr-TR"/>
        </w:rPr>
        <w:t xml:space="preserve"> Ekteki “Önlisans Başvurusunda Sunulması Gereken Bilgi ve Belgeler Listesi (EK-3)”nin kabul edilerek Resmî </w:t>
      </w:r>
      <w:r w:rsidR="00274939">
        <w:rPr>
          <w:rFonts w:eastAsia="Times New Roman" w:cstheme="minorHAnsi"/>
          <w:lang w:eastAsia="tr-TR"/>
        </w:rPr>
        <w:t>Gazetede</w:t>
      </w:r>
      <w:r w:rsidRPr="0006018D">
        <w:rPr>
          <w:rFonts w:eastAsia="Times New Roman" w:cstheme="minorHAnsi"/>
          <w:lang w:eastAsia="tr-TR"/>
        </w:rPr>
        <w:t xml:space="preserve"> yayımlanmak üzere Cumhurbaşkanlığına gönderilmesine,</w:t>
      </w:r>
    </w:p>
    <w:p w:rsidR="0006018D" w:rsidRPr="0006018D" w:rsidRDefault="0006018D" w:rsidP="0006018D">
      <w:pPr>
        <w:spacing w:after="0" w:line="240" w:lineRule="auto"/>
        <w:ind w:firstLine="567"/>
        <w:contextualSpacing/>
        <w:rPr>
          <w:rFonts w:eastAsia="Times New Roman" w:cstheme="minorHAnsi"/>
          <w:lang w:eastAsia="tr-TR"/>
        </w:rPr>
      </w:pPr>
    </w:p>
    <w:p w:rsidR="0006018D" w:rsidRPr="0006018D" w:rsidRDefault="0006018D" w:rsidP="0006018D">
      <w:pPr>
        <w:pStyle w:val="ListeParagraf"/>
        <w:spacing w:after="160" w:line="259" w:lineRule="auto"/>
        <w:rPr>
          <w:rFonts w:cstheme="minorHAnsi"/>
        </w:rPr>
      </w:pPr>
      <w:r w:rsidRPr="0006018D">
        <w:rPr>
          <w:rFonts w:cstheme="minorHAnsi"/>
        </w:rPr>
        <w:t>karar verilmiştir.</w:t>
      </w:r>
    </w:p>
    <w:p w:rsidR="0006018D" w:rsidRDefault="0006018D" w:rsidP="0006018D">
      <w:pPr>
        <w:pStyle w:val="ListeParagraf"/>
        <w:spacing w:after="160" w:line="259" w:lineRule="auto"/>
      </w:pPr>
    </w:p>
    <w:p w:rsidR="0006018D" w:rsidRDefault="0006018D" w:rsidP="000A5A56">
      <w:pPr>
        <w:pStyle w:val="ListeParagraf"/>
        <w:numPr>
          <w:ilvl w:val="0"/>
          <w:numId w:val="28"/>
        </w:numPr>
        <w:spacing w:after="160" w:line="259" w:lineRule="auto"/>
      </w:pPr>
      <w:r>
        <w:t>19</w:t>
      </w:r>
      <w:r w:rsidRPr="00FB5D3F">
        <w:t>.</w:t>
      </w:r>
      <w:r>
        <w:t>11</w:t>
      </w:r>
      <w:r w:rsidRPr="00FB5D3F">
        <w:t>.202</w:t>
      </w:r>
      <w:r>
        <w:t>2</w:t>
      </w:r>
      <w:r w:rsidRPr="00FB5D3F">
        <w:t xml:space="preserve"> tarihli ve 3</w:t>
      </w:r>
      <w:r>
        <w:t>2018</w:t>
      </w:r>
      <w:r w:rsidRPr="00FB5D3F">
        <w:t xml:space="preserve"> sayılı Resmî </w:t>
      </w:r>
      <w:r w:rsidR="00274939">
        <w:t>Gazetede</w:t>
      </w:r>
      <w:r w:rsidRPr="00FB5D3F">
        <w:t xml:space="preserve"> yayımlanan </w:t>
      </w:r>
      <w:r>
        <w:t>27</w:t>
      </w:r>
      <w:r w:rsidRPr="00FB5D3F">
        <w:t>.</w:t>
      </w:r>
      <w:r>
        <w:t>10</w:t>
      </w:r>
      <w:r w:rsidRPr="00FB5D3F">
        <w:t>.202</w:t>
      </w:r>
      <w:r>
        <w:t>2</w:t>
      </w:r>
      <w:r w:rsidRPr="00FB5D3F">
        <w:t xml:space="preserve"> </w:t>
      </w:r>
      <w:r>
        <w:t>t</w:t>
      </w:r>
      <w:r w:rsidRPr="00FB5D3F">
        <w:t xml:space="preserve">arihli ve </w:t>
      </w:r>
      <w:r>
        <w:t>11331-2</w:t>
      </w:r>
      <w:r w:rsidRPr="00FB5D3F">
        <w:t xml:space="preserve"> </w:t>
      </w:r>
      <w:r>
        <w:t>s</w:t>
      </w:r>
      <w:r w:rsidRPr="00FB5D3F">
        <w:t xml:space="preserve">ayılı Kurul Kararı ile </w:t>
      </w:r>
      <w:r w:rsidRPr="0006018D">
        <w:t>“Önlisans ve Lisans İşlemleri ile İlgili Başvurulara İlişkin Usul ve Esaslar”ın eklerinden;</w:t>
      </w:r>
    </w:p>
    <w:p w:rsidR="0006018D" w:rsidRPr="0006018D" w:rsidRDefault="0006018D" w:rsidP="0006018D">
      <w:pPr>
        <w:spacing w:after="0" w:line="240" w:lineRule="auto"/>
        <w:ind w:left="993" w:hanging="284"/>
        <w:contextualSpacing/>
        <w:rPr>
          <w:rFonts w:eastAsia="Times New Roman" w:cstheme="minorHAnsi"/>
          <w:lang w:eastAsia="tr-TR"/>
        </w:rPr>
      </w:pPr>
      <w:r w:rsidRPr="0006018D">
        <w:rPr>
          <w:rFonts w:eastAsia="Times New Roman" w:cstheme="minorHAnsi"/>
          <w:b/>
          <w:lang w:eastAsia="tr-TR"/>
        </w:rPr>
        <w:t xml:space="preserve">1) </w:t>
      </w:r>
      <w:r w:rsidRPr="0006018D">
        <w:rPr>
          <w:rFonts w:eastAsia="Times New Roman" w:cstheme="minorHAnsi"/>
          <w:lang w:eastAsia="tr-TR"/>
        </w:rPr>
        <w:t>“Lisans Başvurusunda Sunulması Gereken Bilgi ve Belgeler Listesi (EK-4)”nin yer aldığı 30/09/2021 tarihli ve 10441-2 sayılı Kurul Kararının yürürlükten kaldırılmasına,</w:t>
      </w:r>
    </w:p>
    <w:p w:rsidR="0006018D" w:rsidRPr="0006018D" w:rsidRDefault="0006018D" w:rsidP="004F2451">
      <w:pPr>
        <w:spacing w:after="0" w:line="240" w:lineRule="auto"/>
        <w:ind w:left="993" w:hanging="284"/>
        <w:contextualSpacing/>
        <w:rPr>
          <w:rFonts w:eastAsia="Times New Roman" w:cstheme="minorHAnsi"/>
          <w:lang w:eastAsia="tr-TR"/>
        </w:rPr>
      </w:pPr>
      <w:r w:rsidRPr="0006018D">
        <w:rPr>
          <w:rFonts w:eastAsia="Times New Roman" w:cstheme="minorHAnsi"/>
          <w:b/>
          <w:lang w:eastAsia="tr-TR"/>
        </w:rPr>
        <w:lastRenderedPageBreak/>
        <w:t>2)</w:t>
      </w:r>
      <w:r w:rsidRPr="0006018D">
        <w:rPr>
          <w:rFonts w:eastAsia="Times New Roman" w:cstheme="minorHAnsi"/>
          <w:lang w:eastAsia="tr-TR"/>
        </w:rPr>
        <w:t xml:space="preserve"> Ekteki “Lisans Başvurusunda Sunulması Gereken Bilgi ve Belgeler Listesi (EK-4)”nin kabul edilerek Resmî </w:t>
      </w:r>
      <w:r w:rsidR="00274939">
        <w:rPr>
          <w:rFonts w:eastAsia="Times New Roman" w:cstheme="minorHAnsi"/>
          <w:lang w:eastAsia="tr-TR"/>
        </w:rPr>
        <w:t>Gazetede</w:t>
      </w:r>
      <w:r w:rsidRPr="0006018D">
        <w:rPr>
          <w:rFonts w:eastAsia="Times New Roman" w:cstheme="minorHAnsi"/>
          <w:lang w:eastAsia="tr-TR"/>
        </w:rPr>
        <w:t xml:space="preserve"> yayımlanmak üzere Cumhurbaşkanlığına gönderilmesine,</w:t>
      </w:r>
    </w:p>
    <w:p w:rsidR="0006018D" w:rsidRPr="0006018D" w:rsidRDefault="0006018D" w:rsidP="0006018D">
      <w:pPr>
        <w:pStyle w:val="ListeParagraf"/>
        <w:spacing w:after="160" w:line="259" w:lineRule="auto"/>
        <w:rPr>
          <w:rFonts w:cstheme="minorHAnsi"/>
        </w:rPr>
      </w:pPr>
      <w:r w:rsidRPr="0006018D">
        <w:rPr>
          <w:rFonts w:cstheme="minorHAnsi"/>
        </w:rPr>
        <w:t>karar verilmiştir.</w:t>
      </w:r>
    </w:p>
    <w:p w:rsidR="0006018D" w:rsidRDefault="0006018D" w:rsidP="0006018D">
      <w:pPr>
        <w:pStyle w:val="ListeParagraf"/>
        <w:spacing w:after="160" w:line="259" w:lineRule="auto"/>
      </w:pPr>
    </w:p>
    <w:p w:rsidR="00402E32" w:rsidRDefault="00402E32" w:rsidP="000A5A56">
      <w:pPr>
        <w:pStyle w:val="ListeParagraf"/>
        <w:numPr>
          <w:ilvl w:val="0"/>
          <w:numId w:val="28"/>
        </w:numPr>
        <w:spacing w:after="160" w:line="259" w:lineRule="auto"/>
      </w:pPr>
      <w:r>
        <w:t>19</w:t>
      </w:r>
      <w:r w:rsidRPr="00FB5D3F">
        <w:t>.</w:t>
      </w:r>
      <w:r>
        <w:t>11</w:t>
      </w:r>
      <w:r w:rsidRPr="00FB5D3F">
        <w:t>.202</w:t>
      </w:r>
      <w:r>
        <w:t>2</w:t>
      </w:r>
      <w:r w:rsidRPr="00FB5D3F">
        <w:t xml:space="preserve"> tarihli ve 3</w:t>
      </w:r>
      <w:r>
        <w:t>2018</w:t>
      </w:r>
      <w:r w:rsidRPr="00FB5D3F">
        <w:t xml:space="preserve"> sayılı Resmî </w:t>
      </w:r>
      <w:r w:rsidR="00274939">
        <w:t>Gazetede</w:t>
      </w:r>
      <w:r w:rsidRPr="00FB5D3F">
        <w:t xml:space="preserve"> yayımlanan </w:t>
      </w:r>
      <w:r>
        <w:t>27</w:t>
      </w:r>
      <w:r w:rsidRPr="00FB5D3F">
        <w:t>.</w:t>
      </w:r>
      <w:r>
        <w:t>10</w:t>
      </w:r>
      <w:r w:rsidRPr="00FB5D3F">
        <w:t>.202</w:t>
      </w:r>
      <w:r>
        <w:t>2</w:t>
      </w:r>
      <w:r w:rsidRPr="00FB5D3F">
        <w:t xml:space="preserve"> </w:t>
      </w:r>
      <w:r>
        <w:t>t</w:t>
      </w:r>
      <w:r w:rsidRPr="00FB5D3F">
        <w:t xml:space="preserve">arihli ve </w:t>
      </w:r>
      <w:r>
        <w:t>11332</w:t>
      </w:r>
      <w:r w:rsidRPr="00FB5D3F">
        <w:t xml:space="preserve"> </w:t>
      </w:r>
      <w:r>
        <w:t>s</w:t>
      </w:r>
      <w:r w:rsidRPr="00FB5D3F">
        <w:t xml:space="preserve">ayılı Kurul Kararı ile </w:t>
      </w:r>
      <w:r w:rsidRPr="00402E32">
        <w:t>27/06/2019 tarihli ve 8674 sayılı Kurul Kararı ile onaylanan “Önlisans ve Lisans İşlemleri ile İlgili Başvurulara İlişkin Usul ve Esaslar”ın eklerinden;</w:t>
      </w:r>
    </w:p>
    <w:p w:rsidR="00402E32" w:rsidRPr="0006018D" w:rsidRDefault="00402E32" w:rsidP="00402E32">
      <w:pPr>
        <w:spacing w:after="0" w:line="240" w:lineRule="auto"/>
        <w:ind w:left="993" w:hanging="284"/>
        <w:contextualSpacing/>
        <w:rPr>
          <w:rFonts w:eastAsia="Times New Roman" w:cstheme="minorHAnsi"/>
          <w:lang w:eastAsia="tr-TR"/>
        </w:rPr>
      </w:pPr>
      <w:r w:rsidRPr="0006018D">
        <w:rPr>
          <w:rFonts w:eastAsia="Times New Roman" w:cstheme="minorHAnsi"/>
          <w:b/>
          <w:lang w:eastAsia="tr-TR"/>
        </w:rPr>
        <w:t xml:space="preserve">1) </w:t>
      </w:r>
      <w:r w:rsidRPr="00402E32">
        <w:rPr>
          <w:rFonts w:eastAsia="Times New Roman" w:cstheme="minorHAnsi"/>
          <w:lang w:eastAsia="tr-TR"/>
        </w:rPr>
        <w:t>“Önlisans ve Lisans Tadil Başvuruları ile Birleşme, Bölünme, Tesis/Proje Devri Onay Başvurularında Sunulması Gereken Bilgi ve Belgeler Listesi (EK-5)”nin yer aldığı 30/09/2021 tarihli ve 10441-3 sayılı Kurul Kararının yürürlükten kaldırılmasına,</w:t>
      </w:r>
    </w:p>
    <w:p w:rsidR="00402E32" w:rsidRPr="0006018D" w:rsidRDefault="00402E32" w:rsidP="00402E32">
      <w:pPr>
        <w:spacing w:after="0" w:line="240" w:lineRule="auto"/>
        <w:ind w:left="709"/>
        <w:contextualSpacing/>
        <w:rPr>
          <w:rFonts w:eastAsia="Times New Roman" w:cstheme="minorHAnsi"/>
          <w:lang w:eastAsia="tr-TR"/>
        </w:rPr>
      </w:pPr>
    </w:p>
    <w:p w:rsidR="00402E32" w:rsidRPr="0006018D" w:rsidRDefault="00402E32" w:rsidP="00402E32">
      <w:pPr>
        <w:spacing w:after="0" w:line="240" w:lineRule="auto"/>
        <w:ind w:left="993" w:hanging="284"/>
        <w:contextualSpacing/>
        <w:rPr>
          <w:rFonts w:eastAsia="Times New Roman" w:cstheme="minorHAnsi"/>
          <w:lang w:eastAsia="tr-TR"/>
        </w:rPr>
      </w:pPr>
      <w:r w:rsidRPr="0006018D">
        <w:rPr>
          <w:rFonts w:eastAsia="Times New Roman" w:cstheme="minorHAnsi"/>
          <w:b/>
          <w:lang w:eastAsia="tr-TR"/>
        </w:rPr>
        <w:t>2)</w:t>
      </w:r>
      <w:r w:rsidRPr="0006018D">
        <w:rPr>
          <w:rFonts w:eastAsia="Times New Roman" w:cstheme="minorHAnsi"/>
          <w:lang w:eastAsia="tr-TR"/>
        </w:rPr>
        <w:t xml:space="preserve"> </w:t>
      </w:r>
      <w:r w:rsidRPr="00402E32">
        <w:rPr>
          <w:rFonts w:eastAsia="Times New Roman" w:cstheme="minorHAnsi"/>
          <w:lang w:eastAsia="tr-TR"/>
        </w:rPr>
        <w:t xml:space="preserve">Ekli “Önlisans ve Lisans Tadil Başvuruları ile Birleşme, Bölünme, Tesis/Proje Devri Onay Başvurularında ve Bildirimlerde Sunulması Gereken Bilgi ve Belgeler Listesi (EK-5)”nin kabul edilerek Resmî </w:t>
      </w:r>
      <w:r w:rsidR="00274939">
        <w:rPr>
          <w:rFonts w:eastAsia="Times New Roman" w:cstheme="minorHAnsi"/>
          <w:lang w:eastAsia="tr-TR"/>
        </w:rPr>
        <w:t>Gazetede</w:t>
      </w:r>
      <w:r w:rsidRPr="00402E32">
        <w:rPr>
          <w:rFonts w:eastAsia="Times New Roman" w:cstheme="minorHAnsi"/>
          <w:lang w:eastAsia="tr-TR"/>
        </w:rPr>
        <w:t xml:space="preserve"> yayımlanmak üzere Cumhurbaşkanlığına gönderilmesine,</w:t>
      </w:r>
    </w:p>
    <w:p w:rsidR="00402E32" w:rsidRDefault="00402E32" w:rsidP="00402E32">
      <w:pPr>
        <w:pStyle w:val="ListeParagraf"/>
        <w:spacing w:after="160" w:line="259" w:lineRule="auto"/>
      </w:pPr>
      <w:r w:rsidRPr="0006018D">
        <w:rPr>
          <w:rFonts w:cstheme="minorHAnsi"/>
        </w:rPr>
        <w:t>karar verilmiştir.</w:t>
      </w:r>
    </w:p>
    <w:p w:rsidR="00402E32" w:rsidRDefault="00402E32" w:rsidP="0006018D">
      <w:pPr>
        <w:pStyle w:val="ListeParagraf"/>
        <w:spacing w:after="160" w:line="259" w:lineRule="auto"/>
      </w:pPr>
    </w:p>
    <w:p w:rsidR="003F5D54" w:rsidRPr="007F076F" w:rsidRDefault="00AE58D4" w:rsidP="000A5A56">
      <w:pPr>
        <w:pStyle w:val="ListeParagraf"/>
        <w:numPr>
          <w:ilvl w:val="0"/>
          <w:numId w:val="27"/>
        </w:numPr>
        <w:spacing w:after="160" w:line="259" w:lineRule="auto"/>
      </w:pPr>
      <w:r>
        <w:t>19</w:t>
      </w:r>
      <w:r w:rsidR="003F5D54" w:rsidRPr="007F076F">
        <w:t>.</w:t>
      </w:r>
      <w:r>
        <w:t>11</w:t>
      </w:r>
      <w:r w:rsidR="003F5D54" w:rsidRPr="007F076F">
        <w:t>.202</w:t>
      </w:r>
      <w:r>
        <w:t>2</w:t>
      </w:r>
      <w:r w:rsidR="003F5D54" w:rsidRPr="007F076F">
        <w:t xml:space="preserve"> tarihli ve </w:t>
      </w:r>
      <w:r>
        <w:t>32018</w:t>
      </w:r>
      <w:r w:rsidR="003F5D54" w:rsidRPr="007F076F">
        <w:t xml:space="preserve"> sayılı Resmî </w:t>
      </w:r>
      <w:r w:rsidR="00274939">
        <w:t>Gazetede</w:t>
      </w:r>
      <w:r w:rsidR="003F5D54" w:rsidRPr="007F076F">
        <w:t xml:space="preserve"> yayımlanan </w:t>
      </w:r>
      <w:r>
        <w:t>27.10.2022</w:t>
      </w:r>
      <w:r w:rsidR="003F5D54" w:rsidRPr="007F076F">
        <w:t xml:space="preserve"> tarihli ve 1</w:t>
      </w:r>
      <w:r>
        <w:t>1329-1</w:t>
      </w:r>
      <w:r w:rsidR="003F5D54" w:rsidRPr="007F076F">
        <w:t xml:space="preserve"> sayılı Kurul Kararı ile; </w:t>
      </w:r>
      <w:r w:rsidRPr="00AE58D4">
        <w:t>17/03/2022 tarihli ve 10847-2 sayılı Kurul Kararının yürürlükten kaldırılmasına</w:t>
      </w:r>
      <w:r w:rsidR="003F5D54" w:rsidRPr="007F076F">
        <w:t xml:space="preserve"> karar verilmiştir. </w:t>
      </w:r>
    </w:p>
    <w:p w:rsidR="008F17DF" w:rsidRDefault="00AE58D4" w:rsidP="000A5A56">
      <w:pPr>
        <w:numPr>
          <w:ilvl w:val="0"/>
          <w:numId w:val="30"/>
        </w:numPr>
        <w:spacing w:after="160" w:line="259" w:lineRule="auto"/>
        <w:contextualSpacing/>
      </w:pPr>
      <w:r>
        <w:t>19</w:t>
      </w:r>
      <w:r w:rsidRPr="007F076F">
        <w:t>.</w:t>
      </w:r>
      <w:r>
        <w:t>11</w:t>
      </w:r>
      <w:r w:rsidRPr="007F076F">
        <w:t>.202</w:t>
      </w:r>
      <w:r>
        <w:t>2</w:t>
      </w:r>
      <w:r w:rsidRPr="007F076F">
        <w:t xml:space="preserve"> tarihli ve </w:t>
      </w:r>
      <w:r>
        <w:t>32018</w:t>
      </w:r>
      <w:r w:rsidRPr="007F076F">
        <w:t xml:space="preserve"> sayılı Resmî </w:t>
      </w:r>
      <w:r w:rsidR="00274939">
        <w:t>Gazetede</w:t>
      </w:r>
      <w:r w:rsidRPr="007F076F">
        <w:t xml:space="preserve"> yayımlanan </w:t>
      </w:r>
      <w:r>
        <w:t>27.10.2022</w:t>
      </w:r>
      <w:r w:rsidRPr="007F076F">
        <w:t xml:space="preserve"> tarihli ve 1</w:t>
      </w:r>
      <w:r>
        <w:t>1329-2</w:t>
      </w:r>
      <w:r w:rsidRPr="007F076F">
        <w:t xml:space="preserve"> sayılı Kurul Kararı ile; </w:t>
      </w:r>
      <w:r w:rsidRPr="00AE58D4">
        <w:t>Elektrik Piyasası Lisans Yönetmeliğinin 9 uncu maddesinin birinci fıkrası ile 23 üncü maddesinin üçüncü fıkrasının (a) bendi çerçevesinde “Önlisans Süreleri ile Tesis Tamamlanma Tarihinin Belirlenmesinde Referans Alınacak İnşaat Süreleri”</w:t>
      </w:r>
      <w:r>
        <w:t xml:space="preserve"> </w:t>
      </w:r>
      <w:r w:rsidR="008F17DF" w:rsidRPr="008F17DF">
        <w:t>kabul edilmiştir.</w:t>
      </w:r>
    </w:p>
    <w:p w:rsidR="008016CC" w:rsidRDefault="003F5D54" w:rsidP="000A5A56">
      <w:pPr>
        <w:pStyle w:val="ListeParagraf"/>
        <w:numPr>
          <w:ilvl w:val="0"/>
          <w:numId w:val="30"/>
        </w:numPr>
        <w:spacing w:after="160" w:line="259" w:lineRule="auto"/>
      </w:pPr>
      <w:bookmarkStart w:id="65" w:name="_Hlk92835955"/>
      <w:r>
        <w:t>1</w:t>
      </w:r>
      <w:r w:rsidR="00AE58D4">
        <w:t>9</w:t>
      </w:r>
      <w:r w:rsidRPr="0067098E">
        <w:t>.</w:t>
      </w:r>
      <w:r w:rsidR="00AE58D4">
        <w:t>11</w:t>
      </w:r>
      <w:r w:rsidRPr="0067098E">
        <w:t>.202</w:t>
      </w:r>
      <w:r w:rsidR="00AE58D4">
        <w:t>2</w:t>
      </w:r>
      <w:r w:rsidRPr="0067098E">
        <w:t xml:space="preserve"> tarihli ve 3</w:t>
      </w:r>
      <w:r w:rsidR="00AE58D4">
        <w:t>2018</w:t>
      </w:r>
      <w:r w:rsidRPr="0067098E">
        <w:t xml:space="preserve"> sayılı Resmî </w:t>
      </w:r>
      <w:r w:rsidR="00274939">
        <w:t>Gazetede</w:t>
      </w:r>
      <w:r w:rsidRPr="0067098E">
        <w:t xml:space="preserve"> yayımlanan </w:t>
      </w:r>
      <w:r w:rsidR="00AE58D4">
        <w:t>27</w:t>
      </w:r>
      <w:r w:rsidRPr="0067098E">
        <w:t>.</w:t>
      </w:r>
      <w:r w:rsidR="00AE58D4">
        <w:t>10</w:t>
      </w:r>
      <w:r w:rsidRPr="0067098E">
        <w:t>.202</w:t>
      </w:r>
      <w:r w:rsidR="00AE58D4">
        <w:t>2</w:t>
      </w:r>
      <w:r w:rsidRPr="0067098E">
        <w:t xml:space="preserve"> tarihli ve </w:t>
      </w:r>
      <w:r w:rsidR="00AE58D4">
        <w:t>11328</w:t>
      </w:r>
      <w:r w:rsidRPr="0067098E">
        <w:t xml:space="preserve"> sayılı Kurul Kararı ile</w:t>
      </w:r>
      <w:r w:rsidR="008016CC">
        <w:t>;</w:t>
      </w:r>
      <w:r w:rsidRPr="0067098E">
        <w:t xml:space="preserve"> </w:t>
      </w:r>
      <w:bookmarkEnd w:id="65"/>
    </w:p>
    <w:p w:rsidR="003F5D54" w:rsidRDefault="008016CC" w:rsidP="000A5A56">
      <w:pPr>
        <w:pStyle w:val="ListeParagraf"/>
        <w:numPr>
          <w:ilvl w:val="0"/>
          <w:numId w:val="51"/>
        </w:numPr>
        <w:spacing w:after="160" w:line="259" w:lineRule="auto"/>
        <w:ind w:left="1134"/>
      </w:pPr>
      <w:r w:rsidRPr="008016CC">
        <w:t>Elektrik piyasasında üretim faaliyeti için yapılan önlisans ve üretim lisansı başvurularında sağlanması gereken sermaye yükümlülüğünün hesaplanması ile Kuruma sunulacak teminat tutarlarının belirlenmesinde kaynak bazındaki toplam birim yatırım tutarları olarak aşağıdaki tutarların esas alınmasına</w:t>
      </w:r>
      <w:r w:rsidR="007D184A">
        <w:t>,</w:t>
      </w:r>
    </w:p>
    <w:p w:rsidR="007D184A" w:rsidRPr="00AD44CE" w:rsidRDefault="007D184A" w:rsidP="00AD44CE">
      <w:pPr>
        <w:ind w:left="708" w:firstLine="708"/>
        <w:rPr>
          <w:b/>
          <w:lang w:eastAsia="tr-TR"/>
        </w:rPr>
      </w:pPr>
      <w:r w:rsidRPr="00AD44CE">
        <w:rPr>
          <w:b/>
          <w:lang w:eastAsia="tr-TR"/>
        </w:rPr>
        <w:t>Elektrik Piyasasında Kaynak Bazındaki Toplam Birim Yatırım Tutarları</w:t>
      </w:r>
    </w:p>
    <w:p w:rsidR="007D184A" w:rsidRPr="007D184A" w:rsidRDefault="007D184A" w:rsidP="007D184A">
      <w:pPr>
        <w:pStyle w:val="ListeParagraf"/>
        <w:tabs>
          <w:tab w:val="left" w:pos="1134"/>
        </w:tabs>
        <w:spacing w:after="0" w:line="240" w:lineRule="auto"/>
        <w:ind w:left="1080"/>
        <w:rPr>
          <w:rFonts w:eastAsia="Times New Roman" w:cstheme="minorHAnsi"/>
          <w:b/>
          <w:lang w:eastAsia="tr-TR"/>
        </w:rPr>
      </w:pPr>
      <w:r w:rsidRPr="007D184A">
        <w:rPr>
          <w:rFonts w:eastAsia="Times New Roman" w:cstheme="minorHAnsi"/>
          <w:b/>
          <w:lang w:eastAsia="tr-TR"/>
        </w:rPr>
        <w:t xml:space="preserve">   Tablo 1</w:t>
      </w:r>
    </w:p>
    <w:tbl>
      <w:tblPr>
        <w:tblW w:w="5911" w:type="dxa"/>
        <w:tblInd w:w="1291" w:type="dxa"/>
        <w:tblCellMar>
          <w:left w:w="0" w:type="dxa"/>
          <w:right w:w="0" w:type="dxa"/>
        </w:tblCellMar>
        <w:tblLook w:val="04A0" w:firstRow="1" w:lastRow="0" w:firstColumn="1" w:lastColumn="0" w:noHBand="0" w:noVBand="1"/>
      </w:tblPr>
      <w:tblGrid>
        <w:gridCol w:w="3031"/>
        <w:gridCol w:w="2880"/>
      </w:tblGrid>
      <w:tr w:rsidR="007D184A" w:rsidRPr="007D184A" w:rsidTr="004F2451">
        <w:trPr>
          <w:trHeight w:val="635"/>
        </w:trPr>
        <w:tc>
          <w:tcPr>
            <w:tcW w:w="3031" w:type="dxa"/>
            <w:tcBorders>
              <w:top w:val="single" w:sz="8" w:space="0" w:color="auto"/>
              <w:left w:val="single" w:sz="8" w:space="0" w:color="auto"/>
              <w:bottom w:val="single" w:sz="8" w:space="0" w:color="auto"/>
              <w:right w:val="single" w:sz="8" w:space="0" w:color="auto"/>
            </w:tcBorders>
            <w:shd w:val="clear" w:color="000000" w:fill="BFBFBF"/>
            <w:tcMar>
              <w:top w:w="15" w:type="dxa"/>
              <w:left w:w="15" w:type="dxa"/>
              <w:bottom w:w="0" w:type="dxa"/>
              <w:right w:w="15" w:type="dxa"/>
            </w:tcMar>
            <w:vAlign w:val="center"/>
            <w:hideMark/>
          </w:tcPr>
          <w:p w:rsidR="007D184A" w:rsidRPr="007D184A" w:rsidRDefault="007D184A" w:rsidP="003971F6">
            <w:pPr>
              <w:spacing w:after="0" w:line="240" w:lineRule="auto"/>
              <w:jc w:val="center"/>
              <w:rPr>
                <w:rFonts w:eastAsia="Times New Roman" w:cstheme="minorHAnsi"/>
                <w:b/>
                <w:bCs/>
                <w:lang w:eastAsia="tr-TR"/>
              </w:rPr>
            </w:pPr>
            <w:r w:rsidRPr="007D184A">
              <w:rPr>
                <w:rFonts w:eastAsia="Times New Roman" w:cstheme="minorHAnsi"/>
                <w:b/>
                <w:bCs/>
                <w:lang w:eastAsia="tr-TR"/>
              </w:rPr>
              <w:t>Kaynak Türü</w:t>
            </w:r>
          </w:p>
        </w:tc>
        <w:tc>
          <w:tcPr>
            <w:tcW w:w="2880" w:type="dxa"/>
            <w:tcBorders>
              <w:top w:val="single" w:sz="8" w:space="0" w:color="auto"/>
              <w:left w:val="nil"/>
              <w:bottom w:val="single" w:sz="8" w:space="0" w:color="auto"/>
              <w:right w:val="single" w:sz="8" w:space="0" w:color="auto"/>
            </w:tcBorders>
            <w:shd w:val="clear" w:color="000000" w:fill="BFBFBF"/>
            <w:tcMar>
              <w:top w:w="15" w:type="dxa"/>
              <w:left w:w="15" w:type="dxa"/>
              <w:bottom w:w="0" w:type="dxa"/>
              <w:right w:w="15" w:type="dxa"/>
            </w:tcMar>
            <w:vAlign w:val="center"/>
            <w:hideMark/>
          </w:tcPr>
          <w:p w:rsidR="007D184A" w:rsidRPr="007D184A" w:rsidRDefault="007D184A" w:rsidP="003971F6">
            <w:pPr>
              <w:spacing w:after="0" w:line="240" w:lineRule="auto"/>
              <w:jc w:val="center"/>
              <w:rPr>
                <w:rFonts w:eastAsia="Times New Roman" w:cstheme="minorHAnsi"/>
                <w:b/>
                <w:bCs/>
                <w:lang w:eastAsia="tr-TR"/>
              </w:rPr>
            </w:pPr>
            <w:r w:rsidRPr="007D184A">
              <w:rPr>
                <w:rFonts w:eastAsia="Times New Roman" w:cstheme="minorHAnsi"/>
                <w:b/>
                <w:bCs/>
                <w:lang w:eastAsia="tr-TR"/>
              </w:rPr>
              <w:t>Toplam Birim Yatırım Tutarı (TL/MWm)</w:t>
            </w:r>
          </w:p>
        </w:tc>
      </w:tr>
      <w:tr w:rsidR="007D184A" w:rsidRPr="007D184A" w:rsidTr="004F2451">
        <w:trPr>
          <w:trHeight w:val="260"/>
        </w:trPr>
        <w:tc>
          <w:tcPr>
            <w:tcW w:w="0" w:type="auto"/>
            <w:tcBorders>
              <w:top w:val="nil"/>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bottom"/>
            <w:hideMark/>
          </w:tcPr>
          <w:p w:rsidR="007D184A" w:rsidRPr="007D184A" w:rsidRDefault="007D184A" w:rsidP="003971F6">
            <w:pPr>
              <w:spacing w:after="0" w:line="240" w:lineRule="auto"/>
              <w:rPr>
                <w:rFonts w:eastAsia="Times New Roman" w:cstheme="minorHAnsi"/>
                <w:lang w:eastAsia="tr-TR"/>
              </w:rPr>
            </w:pPr>
            <w:r w:rsidRPr="007D184A">
              <w:rPr>
                <w:rFonts w:eastAsia="Times New Roman" w:cstheme="minorHAnsi"/>
                <w:lang w:eastAsia="tr-TR"/>
              </w:rPr>
              <w:t>Kömür</w:t>
            </w:r>
          </w:p>
        </w:tc>
        <w:tc>
          <w:tcPr>
            <w:tcW w:w="2880" w:type="dxa"/>
            <w:tcBorders>
              <w:top w:val="nil"/>
              <w:left w:val="single" w:sz="4" w:space="0" w:color="auto"/>
              <w:bottom w:val="single" w:sz="8" w:space="0" w:color="auto"/>
              <w:right w:val="single" w:sz="8" w:space="0" w:color="auto"/>
            </w:tcBorders>
            <w:shd w:val="clear" w:color="auto" w:fill="auto"/>
            <w:noWrap/>
            <w:tcMar>
              <w:top w:w="15" w:type="dxa"/>
              <w:left w:w="15" w:type="dxa"/>
              <w:bottom w:w="0" w:type="dxa"/>
              <w:right w:w="15" w:type="dxa"/>
            </w:tcMar>
            <w:vAlign w:val="bottom"/>
            <w:hideMark/>
          </w:tcPr>
          <w:p w:rsidR="007D184A" w:rsidRPr="007D184A" w:rsidRDefault="007D184A" w:rsidP="003971F6">
            <w:pPr>
              <w:spacing w:after="0" w:line="240" w:lineRule="auto"/>
              <w:jc w:val="center"/>
              <w:rPr>
                <w:rFonts w:eastAsia="Times New Roman" w:cstheme="minorHAnsi"/>
                <w:lang w:eastAsia="tr-TR"/>
              </w:rPr>
            </w:pPr>
            <w:r w:rsidRPr="007D184A">
              <w:rPr>
                <w:rFonts w:eastAsia="Times New Roman" w:cstheme="minorHAnsi"/>
                <w:lang w:eastAsia="tr-TR"/>
              </w:rPr>
              <w:t>9.300.000</w:t>
            </w:r>
          </w:p>
        </w:tc>
      </w:tr>
      <w:tr w:rsidR="007D184A" w:rsidRPr="007D184A" w:rsidTr="004F2451">
        <w:trPr>
          <w:trHeight w:val="260"/>
        </w:trPr>
        <w:tc>
          <w:tcPr>
            <w:tcW w:w="0" w:type="auto"/>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bottom"/>
            <w:hideMark/>
          </w:tcPr>
          <w:p w:rsidR="007D184A" w:rsidRPr="007D184A" w:rsidRDefault="007D184A" w:rsidP="003971F6">
            <w:pPr>
              <w:spacing w:after="0" w:line="240" w:lineRule="auto"/>
              <w:rPr>
                <w:rFonts w:eastAsia="Times New Roman" w:cstheme="minorHAnsi"/>
                <w:lang w:eastAsia="tr-TR"/>
              </w:rPr>
            </w:pPr>
            <w:r w:rsidRPr="007D184A">
              <w:rPr>
                <w:rFonts w:eastAsia="Times New Roman" w:cstheme="minorHAnsi"/>
                <w:lang w:eastAsia="tr-TR"/>
              </w:rPr>
              <w:t>Doğalgaz / LPG</w:t>
            </w:r>
          </w:p>
        </w:tc>
        <w:tc>
          <w:tcPr>
            <w:tcW w:w="2880" w:type="dxa"/>
            <w:tcBorders>
              <w:top w:val="nil"/>
              <w:left w:val="single" w:sz="4" w:space="0" w:color="auto"/>
              <w:bottom w:val="single" w:sz="8" w:space="0" w:color="auto"/>
              <w:right w:val="single" w:sz="8" w:space="0" w:color="auto"/>
            </w:tcBorders>
            <w:shd w:val="clear" w:color="auto" w:fill="auto"/>
            <w:noWrap/>
            <w:tcMar>
              <w:top w:w="15" w:type="dxa"/>
              <w:left w:w="15" w:type="dxa"/>
              <w:bottom w:w="0" w:type="dxa"/>
              <w:right w:w="15" w:type="dxa"/>
            </w:tcMar>
            <w:vAlign w:val="bottom"/>
            <w:hideMark/>
          </w:tcPr>
          <w:p w:rsidR="007D184A" w:rsidRPr="007D184A" w:rsidRDefault="007D184A" w:rsidP="003971F6">
            <w:pPr>
              <w:spacing w:after="0" w:line="240" w:lineRule="auto"/>
              <w:jc w:val="center"/>
              <w:rPr>
                <w:rFonts w:eastAsia="Times New Roman" w:cstheme="minorHAnsi"/>
                <w:lang w:eastAsia="tr-TR"/>
              </w:rPr>
            </w:pPr>
            <w:r w:rsidRPr="007D184A">
              <w:rPr>
                <w:rFonts w:eastAsia="Times New Roman" w:cstheme="minorHAnsi"/>
                <w:lang w:eastAsia="tr-TR"/>
              </w:rPr>
              <w:t>4.600.000</w:t>
            </w:r>
          </w:p>
        </w:tc>
      </w:tr>
      <w:tr w:rsidR="007D184A" w:rsidRPr="007D184A" w:rsidTr="004F2451">
        <w:trPr>
          <w:trHeight w:val="260"/>
        </w:trPr>
        <w:tc>
          <w:tcPr>
            <w:tcW w:w="0" w:type="auto"/>
            <w:tcBorders>
              <w:top w:val="single" w:sz="8" w:space="0" w:color="auto"/>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bottom"/>
            <w:hideMark/>
          </w:tcPr>
          <w:p w:rsidR="007D184A" w:rsidRPr="007D184A" w:rsidRDefault="007D184A" w:rsidP="003971F6">
            <w:pPr>
              <w:spacing w:after="0" w:line="240" w:lineRule="auto"/>
              <w:rPr>
                <w:rFonts w:eastAsia="Times New Roman" w:cstheme="minorHAnsi"/>
                <w:lang w:eastAsia="tr-TR"/>
              </w:rPr>
            </w:pPr>
            <w:r w:rsidRPr="007D184A">
              <w:rPr>
                <w:rFonts w:eastAsia="Times New Roman" w:cstheme="minorHAnsi"/>
                <w:lang w:eastAsia="tr-TR"/>
              </w:rPr>
              <w:t>Fuel Oil / Nafta</w:t>
            </w:r>
          </w:p>
        </w:tc>
        <w:tc>
          <w:tcPr>
            <w:tcW w:w="2880" w:type="dxa"/>
            <w:tcBorders>
              <w:top w:val="nil"/>
              <w:left w:val="single" w:sz="4" w:space="0" w:color="auto"/>
              <w:bottom w:val="single" w:sz="8" w:space="0" w:color="auto"/>
              <w:right w:val="single" w:sz="8" w:space="0" w:color="auto"/>
            </w:tcBorders>
            <w:shd w:val="clear" w:color="auto" w:fill="auto"/>
            <w:noWrap/>
            <w:tcMar>
              <w:top w:w="15" w:type="dxa"/>
              <w:left w:w="15" w:type="dxa"/>
              <w:bottom w:w="0" w:type="dxa"/>
              <w:right w:w="15" w:type="dxa"/>
            </w:tcMar>
            <w:vAlign w:val="bottom"/>
            <w:hideMark/>
          </w:tcPr>
          <w:p w:rsidR="007D184A" w:rsidRPr="007D184A" w:rsidRDefault="007D184A" w:rsidP="003971F6">
            <w:pPr>
              <w:spacing w:after="0" w:line="240" w:lineRule="auto"/>
              <w:jc w:val="center"/>
              <w:rPr>
                <w:rFonts w:eastAsia="Times New Roman" w:cstheme="minorHAnsi"/>
                <w:lang w:eastAsia="tr-TR"/>
              </w:rPr>
            </w:pPr>
            <w:r w:rsidRPr="007D184A">
              <w:rPr>
                <w:rFonts w:eastAsia="Times New Roman" w:cstheme="minorHAnsi"/>
                <w:lang w:eastAsia="tr-TR"/>
              </w:rPr>
              <w:t>4.600.000</w:t>
            </w:r>
          </w:p>
        </w:tc>
      </w:tr>
      <w:tr w:rsidR="007D184A" w:rsidRPr="007D184A" w:rsidTr="004F2451">
        <w:trPr>
          <w:trHeight w:val="260"/>
        </w:trPr>
        <w:tc>
          <w:tcPr>
            <w:tcW w:w="0" w:type="auto"/>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bottom"/>
            <w:hideMark/>
          </w:tcPr>
          <w:p w:rsidR="007D184A" w:rsidRPr="007D184A" w:rsidRDefault="007D184A" w:rsidP="003971F6">
            <w:pPr>
              <w:spacing w:after="0" w:line="240" w:lineRule="auto"/>
              <w:rPr>
                <w:rFonts w:eastAsia="Times New Roman" w:cstheme="minorHAnsi"/>
                <w:lang w:eastAsia="tr-TR"/>
              </w:rPr>
            </w:pPr>
            <w:r w:rsidRPr="007D184A">
              <w:rPr>
                <w:rFonts w:eastAsia="Times New Roman" w:cstheme="minorHAnsi"/>
                <w:lang w:eastAsia="tr-TR"/>
              </w:rPr>
              <w:t>Hidrolik</w:t>
            </w:r>
          </w:p>
        </w:tc>
        <w:tc>
          <w:tcPr>
            <w:tcW w:w="2880" w:type="dxa"/>
            <w:tcBorders>
              <w:top w:val="nil"/>
              <w:left w:val="single" w:sz="4" w:space="0" w:color="auto"/>
              <w:bottom w:val="single" w:sz="8" w:space="0" w:color="auto"/>
              <w:right w:val="single" w:sz="8" w:space="0" w:color="auto"/>
            </w:tcBorders>
            <w:shd w:val="clear" w:color="auto" w:fill="auto"/>
            <w:noWrap/>
            <w:tcMar>
              <w:top w:w="15" w:type="dxa"/>
              <w:left w:w="15" w:type="dxa"/>
              <w:bottom w:w="0" w:type="dxa"/>
              <w:right w:w="15" w:type="dxa"/>
            </w:tcMar>
            <w:vAlign w:val="bottom"/>
            <w:hideMark/>
          </w:tcPr>
          <w:p w:rsidR="007D184A" w:rsidRPr="007D184A" w:rsidRDefault="007D184A" w:rsidP="003971F6">
            <w:pPr>
              <w:spacing w:after="0" w:line="240" w:lineRule="auto"/>
              <w:jc w:val="center"/>
              <w:rPr>
                <w:rFonts w:eastAsia="Times New Roman" w:cstheme="minorHAnsi"/>
                <w:lang w:eastAsia="tr-TR"/>
              </w:rPr>
            </w:pPr>
            <w:r w:rsidRPr="007D184A">
              <w:rPr>
                <w:rFonts w:eastAsia="Times New Roman" w:cstheme="minorHAnsi"/>
                <w:lang w:eastAsia="tr-TR"/>
              </w:rPr>
              <w:t>9.300.000</w:t>
            </w:r>
          </w:p>
        </w:tc>
      </w:tr>
      <w:tr w:rsidR="007D184A" w:rsidRPr="007D184A" w:rsidTr="004F2451">
        <w:trPr>
          <w:trHeight w:val="260"/>
        </w:trPr>
        <w:tc>
          <w:tcPr>
            <w:tcW w:w="0" w:type="auto"/>
            <w:tcBorders>
              <w:top w:val="single" w:sz="8" w:space="0" w:color="auto"/>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bottom"/>
            <w:hideMark/>
          </w:tcPr>
          <w:p w:rsidR="007D184A" w:rsidRPr="007D184A" w:rsidRDefault="00151CF9" w:rsidP="003971F6">
            <w:pPr>
              <w:spacing w:after="0" w:line="240" w:lineRule="auto"/>
              <w:rPr>
                <w:rFonts w:eastAsia="Times New Roman" w:cstheme="minorHAnsi"/>
                <w:lang w:eastAsia="tr-TR"/>
              </w:rPr>
            </w:pPr>
            <w:r>
              <w:rPr>
                <w:rFonts w:eastAsia="Times New Roman" w:cstheme="minorHAnsi"/>
                <w:lang w:eastAsia="tr-TR"/>
              </w:rPr>
              <w:t>Rüzgâr</w:t>
            </w:r>
          </w:p>
        </w:tc>
        <w:tc>
          <w:tcPr>
            <w:tcW w:w="2880" w:type="dxa"/>
            <w:tcBorders>
              <w:top w:val="nil"/>
              <w:left w:val="single" w:sz="4" w:space="0" w:color="auto"/>
              <w:bottom w:val="single" w:sz="8" w:space="0" w:color="auto"/>
              <w:right w:val="single" w:sz="8" w:space="0" w:color="auto"/>
            </w:tcBorders>
            <w:shd w:val="clear" w:color="auto" w:fill="auto"/>
            <w:noWrap/>
            <w:tcMar>
              <w:top w:w="15" w:type="dxa"/>
              <w:left w:w="15" w:type="dxa"/>
              <w:bottom w:w="0" w:type="dxa"/>
              <w:right w:w="15" w:type="dxa"/>
            </w:tcMar>
            <w:vAlign w:val="bottom"/>
            <w:hideMark/>
          </w:tcPr>
          <w:p w:rsidR="007D184A" w:rsidRPr="007D184A" w:rsidRDefault="007D184A" w:rsidP="003971F6">
            <w:pPr>
              <w:spacing w:after="0" w:line="240" w:lineRule="auto"/>
              <w:jc w:val="center"/>
              <w:rPr>
                <w:rFonts w:eastAsia="Times New Roman" w:cstheme="minorHAnsi"/>
                <w:lang w:eastAsia="tr-TR"/>
              </w:rPr>
            </w:pPr>
            <w:r w:rsidRPr="007D184A">
              <w:rPr>
                <w:rFonts w:eastAsia="Times New Roman" w:cstheme="minorHAnsi"/>
                <w:lang w:eastAsia="tr-TR"/>
              </w:rPr>
              <w:t>9.300.000</w:t>
            </w:r>
          </w:p>
        </w:tc>
      </w:tr>
      <w:tr w:rsidR="007D184A" w:rsidRPr="007D184A" w:rsidTr="004F2451">
        <w:trPr>
          <w:trHeight w:val="260"/>
        </w:trPr>
        <w:tc>
          <w:tcPr>
            <w:tcW w:w="0" w:type="auto"/>
            <w:tcBorders>
              <w:top w:val="nil"/>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bottom"/>
            <w:hideMark/>
          </w:tcPr>
          <w:p w:rsidR="007D184A" w:rsidRPr="007D184A" w:rsidRDefault="007D184A" w:rsidP="003971F6">
            <w:pPr>
              <w:spacing w:after="0" w:line="240" w:lineRule="auto"/>
              <w:rPr>
                <w:rFonts w:eastAsia="Times New Roman" w:cstheme="minorHAnsi"/>
                <w:lang w:eastAsia="tr-TR"/>
              </w:rPr>
            </w:pPr>
            <w:r w:rsidRPr="007D184A">
              <w:rPr>
                <w:rFonts w:eastAsia="Times New Roman" w:cstheme="minorHAnsi"/>
                <w:lang w:eastAsia="tr-TR"/>
              </w:rPr>
              <w:t>Jeotermal</w:t>
            </w:r>
          </w:p>
        </w:tc>
        <w:tc>
          <w:tcPr>
            <w:tcW w:w="2880" w:type="dxa"/>
            <w:tcBorders>
              <w:top w:val="nil"/>
              <w:left w:val="single" w:sz="4" w:space="0" w:color="auto"/>
              <w:bottom w:val="single" w:sz="8" w:space="0" w:color="auto"/>
              <w:right w:val="single" w:sz="8" w:space="0" w:color="auto"/>
            </w:tcBorders>
            <w:shd w:val="clear" w:color="auto" w:fill="auto"/>
            <w:noWrap/>
            <w:tcMar>
              <w:top w:w="15" w:type="dxa"/>
              <w:left w:w="15" w:type="dxa"/>
              <w:bottom w:w="0" w:type="dxa"/>
              <w:right w:w="15" w:type="dxa"/>
            </w:tcMar>
            <w:vAlign w:val="bottom"/>
            <w:hideMark/>
          </w:tcPr>
          <w:p w:rsidR="007D184A" w:rsidRPr="007D184A" w:rsidRDefault="007D184A" w:rsidP="003971F6">
            <w:pPr>
              <w:spacing w:after="0" w:line="240" w:lineRule="auto"/>
              <w:jc w:val="center"/>
              <w:rPr>
                <w:rFonts w:eastAsia="Times New Roman" w:cstheme="minorHAnsi"/>
                <w:lang w:eastAsia="tr-TR"/>
              </w:rPr>
            </w:pPr>
            <w:r w:rsidRPr="007D184A">
              <w:rPr>
                <w:rFonts w:eastAsia="Times New Roman" w:cstheme="minorHAnsi"/>
                <w:lang w:eastAsia="tr-TR"/>
              </w:rPr>
              <w:t>13.000.000</w:t>
            </w:r>
          </w:p>
        </w:tc>
      </w:tr>
      <w:tr w:rsidR="007D184A" w:rsidRPr="007D184A" w:rsidTr="004F2451">
        <w:trPr>
          <w:trHeight w:val="260"/>
        </w:trPr>
        <w:tc>
          <w:tcPr>
            <w:tcW w:w="0" w:type="auto"/>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bottom"/>
            <w:hideMark/>
          </w:tcPr>
          <w:p w:rsidR="007D184A" w:rsidRPr="007D184A" w:rsidRDefault="007D184A" w:rsidP="003971F6">
            <w:pPr>
              <w:spacing w:after="0" w:line="240" w:lineRule="auto"/>
              <w:rPr>
                <w:rFonts w:eastAsia="Times New Roman" w:cstheme="minorHAnsi"/>
                <w:lang w:eastAsia="tr-TR"/>
              </w:rPr>
            </w:pPr>
            <w:r w:rsidRPr="007D184A">
              <w:rPr>
                <w:rFonts w:eastAsia="Times New Roman" w:cstheme="minorHAnsi"/>
                <w:lang w:eastAsia="tr-TR"/>
              </w:rPr>
              <w:t>Biyokütle</w:t>
            </w:r>
          </w:p>
        </w:tc>
        <w:tc>
          <w:tcPr>
            <w:tcW w:w="2880" w:type="dxa"/>
            <w:tcBorders>
              <w:top w:val="nil"/>
              <w:left w:val="single" w:sz="4" w:space="0" w:color="auto"/>
              <w:bottom w:val="single" w:sz="8" w:space="0" w:color="auto"/>
              <w:right w:val="single" w:sz="8" w:space="0" w:color="auto"/>
            </w:tcBorders>
            <w:shd w:val="clear" w:color="auto" w:fill="auto"/>
            <w:noWrap/>
            <w:tcMar>
              <w:top w:w="15" w:type="dxa"/>
              <w:left w:w="15" w:type="dxa"/>
              <w:bottom w:w="0" w:type="dxa"/>
              <w:right w:w="15" w:type="dxa"/>
            </w:tcMar>
            <w:vAlign w:val="bottom"/>
            <w:hideMark/>
          </w:tcPr>
          <w:p w:rsidR="007D184A" w:rsidRPr="007D184A" w:rsidRDefault="007D184A" w:rsidP="003971F6">
            <w:pPr>
              <w:spacing w:after="0" w:line="240" w:lineRule="auto"/>
              <w:jc w:val="center"/>
              <w:rPr>
                <w:rFonts w:eastAsia="Times New Roman" w:cstheme="minorHAnsi"/>
                <w:lang w:eastAsia="tr-TR"/>
              </w:rPr>
            </w:pPr>
            <w:r w:rsidRPr="007D184A">
              <w:rPr>
                <w:rFonts w:eastAsia="Times New Roman" w:cstheme="minorHAnsi"/>
                <w:lang w:eastAsia="tr-TR"/>
              </w:rPr>
              <w:t>12.500.000</w:t>
            </w:r>
          </w:p>
        </w:tc>
      </w:tr>
      <w:tr w:rsidR="007D184A" w:rsidRPr="007D184A" w:rsidTr="004F2451">
        <w:trPr>
          <w:trHeight w:val="260"/>
        </w:trPr>
        <w:tc>
          <w:tcPr>
            <w:tcW w:w="0" w:type="auto"/>
            <w:tcBorders>
              <w:top w:val="single" w:sz="8" w:space="0" w:color="auto"/>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bottom"/>
            <w:hideMark/>
          </w:tcPr>
          <w:p w:rsidR="007D184A" w:rsidRPr="007D184A" w:rsidRDefault="007D184A" w:rsidP="003971F6">
            <w:pPr>
              <w:spacing w:after="0" w:line="240" w:lineRule="auto"/>
              <w:rPr>
                <w:rFonts w:eastAsia="Times New Roman" w:cstheme="minorHAnsi"/>
                <w:lang w:eastAsia="tr-TR"/>
              </w:rPr>
            </w:pPr>
            <w:r w:rsidRPr="007D184A">
              <w:rPr>
                <w:rFonts w:eastAsia="Times New Roman" w:cstheme="minorHAnsi"/>
                <w:lang w:eastAsia="tr-TR"/>
              </w:rPr>
              <w:t>Güneş</w:t>
            </w:r>
          </w:p>
        </w:tc>
        <w:tc>
          <w:tcPr>
            <w:tcW w:w="2880" w:type="dxa"/>
            <w:tcBorders>
              <w:top w:val="nil"/>
              <w:left w:val="single" w:sz="4" w:space="0" w:color="auto"/>
              <w:bottom w:val="single" w:sz="8" w:space="0" w:color="auto"/>
              <w:right w:val="single" w:sz="8" w:space="0" w:color="auto"/>
            </w:tcBorders>
            <w:shd w:val="clear" w:color="auto" w:fill="auto"/>
            <w:noWrap/>
            <w:tcMar>
              <w:top w:w="15" w:type="dxa"/>
              <w:left w:w="15" w:type="dxa"/>
              <w:bottom w:w="0" w:type="dxa"/>
              <w:right w:w="15" w:type="dxa"/>
            </w:tcMar>
            <w:vAlign w:val="bottom"/>
            <w:hideMark/>
          </w:tcPr>
          <w:p w:rsidR="007D184A" w:rsidRPr="007D184A" w:rsidRDefault="007D184A" w:rsidP="003971F6">
            <w:pPr>
              <w:spacing w:after="0" w:line="240" w:lineRule="auto"/>
              <w:jc w:val="center"/>
              <w:rPr>
                <w:rFonts w:eastAsia="Times New Roman" w:cstheme="minorHAnsi"/>
                <w:lang w:eastAsia="tr-TR"/>
              </w:rPr>
            </w:pPr>
            <w:r w:rsidRPr="007D184A">
              <w:rPr>
                <w:rFonts w:eastAsia="Times New Roman" w:cstheme="minorHAnsi"/>
                <w:lang w:eastAsia="tr-TR"/>
              </w:rPr>
              <w:t>6.500.000</w:t>
            </w:r>
          </w:p>
        </w:tc>
      </w:tr>
      <w:tr w:rsidR="007D184A" w:rsidRPr="007D184A" w:rsidTr="004F2451">
        <w:trPr>
          <w:trHeight w:val="260"/>
        </w:trPr>
        <w:tc>
          <w:tcPr>
            <w:tcW w:w="0" w:type="auto"/>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bottom"/>
            <w:hideMark/>
          </w:tcPr>
          <w:p w:rsidR="007D184A" w:rsidRPr="007D184A" w:rsidRDefault="007D184A" w:rsidP="003971F6">
            <w:pPr>
              <w:spacing w:after="0" w:line="240" w:lineRule="auto"/>
              <w:rPr>
                <w:rFonts w:eastAsia="Times New Roman" w:cstheme="minorHAnsi"/>
                <w:lang w:eastAsia="tr-TR"/>
              </w:rPr>
            </w:pPr>
            <w:r w:rsidRPr="007D184A">
              <w:rPr>
                <w:rFonts w:eastAsia="Times New Roman" w:cstheme="minorHAnsi"/>
                <w:lang w:eastAsia="tr-TR"/>
              </w:rPr>
              <w:t>Nükleer</w:t>
            </w:r>
          </w:p>
        </w:tc>
        <w:tc>
          <w:tcPr>
            <w:tcW w:w="2880" w:type="dxa"/>
            <w:tcBorders>
              <w:top w:val="nil"/>
              <w:left w:val="single" w:sz="4" w:space="0" w:color="auto"/>
              <w:bottom w:val="single" w:sz="8" w:space="0" w:color="auto"/>
              <w:right w:val="single" w:sz="8" w:space="0" w:color="auto"/>
            </w:tcBorders>
            <w:shd w:val="clear" w:color="auto" w:fill="auto"/>
            <w:noWrap/>
            <w:tcMar>
              <w:top w:w="15" w:type="dxa"/>
              <w:left w:w="15" w:type="dxa"/>
              <w:bottom w:w="0" w:type="dxa"/>
              <w:right w:w="15" w:type="dxa"/>
            </w:tcMar>
            <w:vAlign w:val="bottom"/>
            <w:hideMark/>
          </w:tcPr>
          <w:p w:rsidR="007D184A" w:rsidRPr="007D184A" w:rsidRDefault="007D184A" w:rsidP="003971F6">
            <w:pPr>
              <w:spacing w:after="0" w:line="240" w:lineRule="auto"/>
              <w:jc w:val="center"/>
              <w:rPr>
                <w:rFonts w:eastAsia="Times New Roman" w:cstheme="minorHAnsi"/>
                <w:lang w:eastAsia="tr-TR"/>
              </w:rPr>
            </w:pPr>
            <w:r w:rsidRPr="007D184A">
              <w:rPr>
                <w:rFonts w:eastAsia="Times New Roman" w:cstheme="minorHAnsi"/>
                <w:lang w:eastAsia="tr-TR"/>
              </w:rPr>
              <w:t>32.500.000</w:t>
            </w:r>
          </w:p>
        </w:tc>
      </w:tr>
      <w:tr w:rsidR="007D184A" w:rsidRPr="007D184A" w:rsidTr="004F2451">
        <w:trPr>
          <w:trHeight w:val="260"/>
        </w:trPr>
        <w:tc>
          <w:tcPr>
            <w:tcW w:w="0" w:type="auto"/>
            <w:tcBorders>
              <w:top w:val="single" w:sz="8" w:space="0" w:color="auto"/>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bottom"/>
            <w:hideMark/>
          </w:tcPr>
          <w:p w:rsidR="007D184A" w:rsidRPr="007D184A" w:rsidRDefault="007D184A" w:rsidP="003971F6">
            <w:pPr>
              <w:spacing w:after="0" w:line="240" w:lineRule="auto"/>
              <w:rPr>
                <w:rFonts w:eastAsia="Times New Roman" w:cstheme="minorHAnsi"/>
                <w:lang w:eastAsia="tr-TR"/>
              </w:rPr>
            </w:pPr>
            <w:r w:rsidRPr="007D184A">
              <w:rPr>
                <w:rFonts w:eastAsia="Times New Roman" w:cstheme="minorHAnsi"/>
                <w:lang w:eastAsia="tr-TR"/>
              </w:rPr>
              <w:t>Proses Atık Isısı(*)</w:t>
            </w:r>
          </w:p>
        </w:tc>
        <w:tc>
          <w:tcPr>
            <w:tcW w:w="2880" w:type="dxa"/>
            <w:tcBorders>
              <w:top w:val="nil"/>
              <w:left w:val="single" w:sz="4" w:space="0" w:color="auto"/>
              <w:bottom w:val="single" w:sz="8" w:space="0" w:color="auto"/>
              <w:right w:val="single" w:sz="8" w:space="0" w:color="auto"/>
            </w:tcBorders>
            <w:shd w:val="clear" w:color="auto" w:fill="auto"/>
            <w:noWrap/>
            <w:tcMar>
              <w:top w:w="15" w:type="dxa"/>
              <w:left w:w="15" w:type="dxa"/>
              <w:bottom w:w="0" w:type="dxa"/>
              <w:right w:w="15" w:type="dxa"/>
            </w:tcMar>
            <w:vAlign w:val="bottom"/>
            <w:hideMark/>
          </w:tcPr>
          <w:p w:rsidR="007D184A" w:rsidRPr="007D184A" w:rsidRDefault="007D184A" w:rsidP="003971F6">
            <w:pPr>
              <w:spacing w:after="0" w:line="240" w:lineRule="auto"/>
              <w:jc w:val="center"/>
              <w:rPr>
                <w:rFonts w:eastAsia="Times New Roman" w:cstheme="minorHAnsi"/>
                <w:lang w:eastAsia="tr-TR"/>
              </w:rPr>
            </w:pPr>
            <w:r w:rsidRPr="007D184A">
              <w:rPr>
                <w:rFonts w:eastAsia="Times New Roman" w:cstheme="minorHAnsi"/>
                <w:lang w:eastAsia="tr-TR"/>
              </w:rPr>
              <w:t>4.600.000</w:t>
            </w:r>
          </w:p>
        </w:tc>
      </w:tr>
      <w:tr w:rsidR="007D184A" w:rsidRPr="007D184A" w:rsidTr="004F2451">
        <w:trPr>
          <w:trHeight w:val="260"/>
        </w:trPr>
        <w:tc>
          <w:tcPr>
            <w:tcW w:w="0" w:type="auto"/>
            <w:tcBorders>
              <w:top w:val="nil"/>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bottom"/>
            <w:hideMark/>
          </w:tcPr>
          <w:p w:rsidR="007D184A" w:rsidRPr="007D184A" w:rsidRDefault="007D184A" w:rsidP="003971F6">
            <w:pPr>
              <w:spacing w:after="0" w:line="240" w:lineRule="auto"/>
              <w:rPr>
                <w:rFonts w:eastAsia="Times New Roman" w:cstheme="minorHAnsi"/>
                <w:lang w:eastAsia="tr-TR"/>
              </w:rPr>
            </w:pPr>
            <w:r w:rsidRPr="007D184A">
              <w:rPr>
                <w:rFonts w:eastAsia="Times New Roman" w:cstheme="minorHAnsi"/>
                <w:lang w:eastAsia="tr-TR"/>
              </w:rPr>
              <w:t>Diğerleri</w:t>
            </w:r>
          </w:p>
        </w:tc>
        <w:tc>
          <w:tcPr>
            <w:tcW w:w="2880" w:type="dxa"/>
            <w:tcBorders>
              <w:top w:val="nil"/>
              <w:left w:val="single" w:sz="4" w:space="0" w:color="auto"/>
              <w:bottom w:val="single" w:sz="8" w:space="0" w:color="auto"/>
              <w:right w:val="single" w:sz="8" w:space="0" w:color="auto"/>
            </w:tcBorders>
            <w:shd w:val="clear" w:color="auto" w:fill="auto"/>
            <w:noWrap/>
            <w:tcMar>
              <w:top w:w="15" w:type="dxa"/>
              <w:left w:w="15" w:type="dxa"/>
              <w:bottom w:w="0" w:type="dxa"/>
              <w:right w:w="15" w:type="dxa"/>
            </w:tcMar>
            <w:vAlign w:val="bottom"/>
            <w:hideMark/>
          </w:tcPr>
          <w:p w:rsidR="007D184A" w:rsidRPr="007D184A" w:rsidRDefault="007D184A" w:rsidP="003971F6">
            <w:pPr>
              <w:spacing w:after="0" w:line="240" w:lineRule="auto"/>
              <w:jc w:val="center"/>
              <w:rPr>
                <w:rFonts w:eastAsia="Times New Roman" w:cstheme="minorHAnsi"/>
                <w:lang w:eastAsia="tr-TR"/>
              </w:rPr>
            </w:pPr>
            <w:r w:rsidRPr="007D184A">
              <w:rPr>
                <w:rFonts w:eastAsia="Times New Roman" w:cstheme="minorHAnsi"/>
                <w:lang w:eastAsia="tr-TR"/>
              </w:rPr>
              <w:t>6.500.000</w:t>
            </w:r>
          </w:p>
        </w:tc>
      </w:tr>
    </w:tbl>
    <w:p w:rsidR="007D184A" w:rsidRPr="007D184A" w:rsidRDefault="007D184A" w:rsidP="007D184A">
      <w:pPr>
        <w:pStyle w:val="ListeParagraf"/>
        <w:tabs>
          <w:tab w:val="left" w:pos="1134"/>
        </w:tabs>
        <w:spacing w:after="0" w:line="240" w:lineRule="auto"/>
        <w:ind w:left="1080"/>
        <w:rPr>
          <w:rFonts w:eastAsia="Times New Roman" w:cstheme="minorHAnsi"/>
          <w:lang w:eastAsia="tr-TR"/>
        </w:rPr>
      </w:pPr>
      <w:r w:rsidRPr="007D184A">
        <w:rPr>
          <w:rFonts w:eastAsia="Times New Roman" w:cstheme="minorHAnsi"/>
          <w:lang w:eastAsia="tr-TR"/>
        </w:rPr>
        <w:t xml:space="preserve">   (*) Elektrik üretiminde ana kaynağın/yakıtın proses atık ısısı olduğu üretim tesisleri için geçerlidir.</w:t>
      </w:r>
    </w:p>
    <w:p w:rsidR="007D184A" w:rsidRPr="007D184A" w:rsidRDefault="007D184A" w:rsidP="007D184A">
      <w:pPr>
        <w:pStyle w:val="ListeParagraf"/>
        <w:tabs>
          <w:tab w:val="left" w:pos="1134"/>
        </w:tabs>
        <w:spacing w:after="0" w:line="240" w:lineRule="auto"/>
        <w:ind w:left="1080"/>
        <w:rPr>
          <w:rFonts w:eastAsia="Times New Roman" w:cstheme="minorHAnsi"/>
          <w:b/>
          <w:lang w:eastAsia="tr-TR"/>
        </w:rPr>
      </w:pPr>
      <w:r w:rsidRPr="007D184A">
        <w:rPr>
          <w:rFonts w:eastAsia="Times New Roman" w:cstheme="minorHAnsi"/>
          <w:b/>
          <w:lang w:eastAsia="tr-TR"/>
        </w:rPr>
        <w:lastRenderedPageBreak/>
        <w:t xml:space="preserve"> Tablo 2 </w:t>
      </w:r>
    </w:p>
    <w:tbl>
      <w:tblPr>
        <w:tblW w:w="6804" w:type="dxa"/>
        <w:tblInd w:w="1204" w:type="dxa"/>
        <w:tblCellMar>
          <w:left w:w="70" w:type="dxa"/>
          <w:right w:w="70" w:type="dxa"/>
        </w:tblCellMar>
        <w:tblLook w:val="04A0" w:firstRow="1" w:lastRow="0" w:firstColumn="1" w:lastColumn="0" w:noHBand="0" w:noVBand="1"/>
      </w:tblPr>
      <w:tblGrid>
        <w:gridCol w:w="3402"/>
        <w:gridCol w:w="3402"/>
      </w:tblGrid>
      <w:tr w:rsidR="007D184A" w:rsidRPr="007D184A" w:rsidTr="003971F6">
        <w:trPr>
          <w:trHeight w:val="804"/>
        </w:trPr>
        <w:tc>
          <w:tcPr>
            <w:tcW w:w="3402" w:type="dxa"/>
            <w:tcBorders>
              <w:top w:val="single" w:sz="8" w:space="0" w:color="auto"/>
              <w:left w:val="single" w:sz="8" w:space="0" w:color="auto"/>
              <w:bottom w:val="single" w:sz="8" w:space="0" w:color="auto"/>
              <w:right w:val="single" w:sz="8" w:space="0" w:color="auto"/>
            </w:tcBorders>
            <w:shd w:val="clear" w:color="000000" w:fill="BFBFBF"/>
            <w:vAlign w:val="center"/>
            <w:hideMark/>
          </w:tcPr>
          <w:p w:rsidR="007D184A" w:rsidRPr="007D184A" w:rsidRDefault="007D184A" w:rsidP="003971F6">
            <w:pPr>
              <w:spacing w:after="0" w:line="240" w:lineRule="auto"/>
              <w:jc w:val="center"/>
              <w:rPr>
                <w:rFonts w:eastAsia="Times New Roman" w:cstheme="minorHAnsi"/>
                <w:b/>
                <w:bCs/>
                <w:lang w:eastAsia="tr-TR"/>
              </w:rPr>
            </w:pPr>
            <w:r w:rsidRPr="007D184A">
              <w:rPr>
                <w:rFonts w:eastAsia="Times New Roman" w:cstheme="minorHAnsi"/>
                <w:b/>
                <w:bCs/>
                <w:lang w:eastAsia="tr-TR"/>
              </w:rPr>
              <w:t>Depolamalı Elektrik Üretim Tesisi</w:t>
            </w:r>
          </w:p>
        </w:tc>
        <w:tc>
          <w:tcPr>
            <w:tcW w:w="3402" w:type="dxa"/>
            <w:tcBorders>
              <w:top w:val="single" w:sz="8" w:space="0" w:color="auto"/>
              <w:left w:val="nil"/>
              <w:bottom w:val="single" w:sz="8" w:space="0" w:color="auto"/>
              <w:right w:val="single" w:sz="8" w:space="0" w:color="auto"/>
            </w:tcBorders>
            <w:shd w:val="clear" w:color="000000" w:fill="BFBFBF"/>
            <w:vAlign w:val="center"/>
            <w:hideMark/>
          </w:tcPr>
          <w:p w:rsidR="007D184A" w:rsidRPr="007D184A" w:rsidRDefault="007D184A" w:rsidP="003971F6">
            <w:pPr>
              <w:spacing w:after="0" w:line="240" w:lineRule="auto"/>
              <w:jc w:val="center"/>
              <w:rPr>
                <w:rFonts w:eastAsia="Times New Roman" w:cstheme="minorHAnsi"/>
                <w:b/>
                <w:bCs/>
                <w:lang w:eastAsia="tr-TR"/>
              </w:rPr>
            </w:pPr>
            <w:r w:rsidRPr="007D184A">
              <w:rPr>
                <w:rFonts w:eastAsia="Times New Roman" w:cstheme="minorHAnsi"/>
                <w:b/>
                <w:bCs/>
                <w:lang w:eastAsia="tr-TR"/>
              </w:rPr>
              <w:t>Toplam Birim Yatırım Tutarı (TL/MWh)</w:t>
            </w:r>
          </w:p>
        </w:tc>
      </w:tr>
      <w:tr w:rsidR="007D184A" w:rsidRPr="007D184A" w:rsidTr="003971F6">
        <w:trPr>
          <w:trHeight w:val="276"/>
        </w:trPr>
        <w:tc>
          <w:tcPr>
            <w:tcW w:w="3402" w:type="dxa"/>
            <w:tcBorders>
              <w:top w:val="nil"/>
              <w:left w:val="single" w:sz="8" w:space="0" w:color="auto"/>
              <w:bottom w:val="single" w:sz="8" w:space="0" w:color="auto"/>
              <w:right w:val="single" w:sz="8" w:space="0" w:color="auto"/>
            </w:tcBorders>
            <w:shd w:val="clear" w:color="auto" w:fill="auto"/>
            <w:noWrap/>
            <w:vAlign w:val="bottom"/>
            <w:hideMark/>
          </w:tcPr>
          <w:p w:rsidR="007D184A" w:rsidRPr="007D184A" w:rsidRDefault="007D184A" w:rsidP="003971F6">
            <w:pPr>
              <w:spacing w:after="0" w:line="240" w:lineRule="auto"/>
              <w:rPr>
                <w:rFonts w:eastAsia="Times New Roman" w:cstheme="minorHAnsi"/>
                <w:lang w:eastAsia="tr-TR"/>
              </w:rPr>
            </w:pPr>
            <w:r w:rsidRPr="007D184A">
              <w:rPr>
                <w:rFonts w:eastAsia="Times New Roman" w:cstheme="minorHAnsi"/>
                <w:lang w:eastAsia="tr-TR"/>
              </w:rPr>
              <w:t xml:space="preserve">Elektrik Depolama Ünitesi </w:t>
            </w:r>
          </w:p>
        </w:tc>
        <w:tc>
          <w:tcPr>
            <w:tcW w:w="3402" w:type="dxa"/>
            <w:tcBorders>
              <w:top w:val="nil"/>
              <w:left w:val="nil"/>
              <w:bottom w:val="single" w:sz="8" w:space="0" w:color="auto"/>
              <w:right w:val="single" w:sz="8" w:space="0" w:color="auto"/>
            </w:tcBorders>
            <w:shd w:val="clear" w:color="auto" w:fill="auto"/>
            <w:noWrap/>
            <w:vAlign w:val="bottom"/>
            <w:hideMark/>
          </w:tcPr>
          <w:p w:rsidR="007D184A" w:rsidRPr="007D184A" w:rsidRDefault="007D184A" w:rsidP="003971F6">
            <w:pPr>
              <w:spacing w:after="0" w:line="240" w:lineRule="auto"/>
              <w:jc w:val="center"/>
              <w:rPr>
                <w:rFonts w:eastAsia="Times New Roman" w:cstheme="minorHAnsi"/>
                <w:lang w:eastAsia="tr-TR"/>
              </w:rPr>
            </w:pPr>
            <w:r w:rsidRPr="007D184A">
              <w:rPr>
                <w:rFonts w:eastAsia="Times New Roman" w:cstheme="minorHAnsi"/>
                <w:lang w:eastAsia="tr-TR"/>
              </w:rPr>
              <w:t>3.700.000</w:t>
            </w:r>
          </w:p>
        </w:tc>
      </w:tr>
    </w:tbl>
    <w:p w:rsidR="007D184A" w:rsidRDefault="007D184A" w:rsidP="007D184A">
      <w:pPr>
        <w:pStyle w:val="ListeParagraf"/>
        <w:spacing w:after="160" w:line="259" w:lineRule="auto"/>
        <w:ind w:left="1134"/>
      </w:pPr>
    </w:p>
    <w:p w:rsidR="008016CC" w:rsidRPr="008016CC" w:rsidRDefault="008016CC" w:rsidP="000A5A56">
      <w:pPr>
        <w:pStyle w:val="ListeParagraf"/>
        <w:numPr>
          <w:ilvl w:val="0"/>
          <w:numId w:val="51"/>
        </w:numPr>
        <w:spacing w:after="0" w:line="240" w:lineRule="auto"/>
        <w:rPr>
          <w:rFonts w:eastAsia="Times New Roman" w:cstheme="minorHAnsi"/>
          <w:lang w:eastAsia="tr-TR"/>
        </w:rPr>
      </w:pPr>
      <w:r w:rsidRPr="008016CC">
        <w:rPr>
          <w:rFonts w:eastAsia="Times New Roman" w:cstheme="minorHAnsi"/>
          <w:lang w:eastAsia="tr-TR"/>
        </w:rPr>
        <w:t>Sermaye tutarının hesaplanmasına ilişkin olarak;</w:t>
      </w:r>
    </w:p>
    <w:p w:rsidR="008016CC" w:rsidRPr="008016CC" w:rsidRDefault="008016CC" w:rsidP="008016CC">
      <w:pPr>
        <w:pStyle w:val="ListeParagraf"/>
        <w:spacing w:after="0" w:line="240" w:lineRule="auto"/>
        <w:ind w:left="1080"/>
        <w:rPr>
          <w:rFonts w:eastAsia="Times New Roman" w:cstheme="minorHAnsi"/>
          <w:lang w:eastAsia="tr-TR"/>
        </w:rPr>
      </w:pPr>
    </w:p>
    <w:p w:rsidR="008016CC" w:rsidRPr="008016CC" w:rsidRDefault="008016CC" w:rsidP="007D184A">
      <w:pPr>
        <w:pStyle w:val="ListeParagraf"/>
        <w:tabs>
          <w:tab w:val="left" w:pos="709"/>
        </w:tabs>
        <w:spacing w:after="0" w:line="240" w:lineRule="auto"/>
        <w:ind w:left="709"/>
        <w:rPr>
          <w:rFonts w:eastAsia="Times New Roman" w:cstheme="minorHAnsi"/>
          <w:lang w:eastAsia="tr-TR"/>
        </w:rPr>
      </w:pPr>
      <w:r w:rsidRPr="008016CC">
        <w:rPr>
          <w:rFonts w:eastAsia="Times New Roman" w:cstheme="minorHAnsi"/>
          <w:b/>
          <w:lang w:eastAsia="tr-TR"/>
        </w:rPr>
        <w:t>a)</w:t>
      </w:r>
      <w:r w:rsidRPr="008016CC">
        <w:rPr>
          <w:rFonts w:eastAsia="Times New Roman" w:cstheme="minorHAnsi"/>
          <w:lang w:eastAsia="tr-TR"/>
        </w:rPr>
        <w:t xml:space="preserve"> Elektrik Piyasası Lisans Yönetmeliği (Yönetmelik)’nin 12 nci maddesinin beşinci fıkrası çerçevesinde önlisans başvurusunda bulunacak tüzel kişilerin sermayesinin asgari olarak, üretim tesisi için MWm cinsinden kurulu gücün (virgülden sonraki üç basamak dâhil) öngörülen toplam yatırım tutarının yüzde beşine, nükleer enerjiye veya yerli kömüre dayalı üretim tesisi kurulması için yapılan önlisans başvuruları açısından yüzde birine tekabül etmesi,</w:t>
      </w:r>
    </w:p>
    <w:p w:rsidR="008016CC" w:rsidRPr="008016CC" w:rsidRDefault="008016CC" w:rsidP="007D184A">
      <w:pPr>
        <w:pStyle w:val="ListeParagraf"/>
        <w:tabs>
          <w:tab w:val="left" w:pos="1134"/>
        </w:tabs>
        <w:spacing w:after="0" w:line="240" w:lineRule="auto"/>
        <w:ind w:left="709"/>
        <w:rPr>
          <w:rFonts w:eastAsia="Times New Roman" w:cstheme="minorHAnsi"/>
          <w:lang w:eastAsia="tr-TR"/>
        </w:rPr>
      </w:pPr>
    </w:p>
    <w:p w:rsidR="008016CC" w:rsidRDefault="008016CC" w:rsidP="007D184A">
      <w:pPr>
        <w:pStyle w:val="ListeParagraf"/>
        <w:tabs>
          <w:tab w:val="left" w:pos="709"/>
        </w:tabs>
        <w:spacing w:after="0" w:line="240" w:lineRule="auto"/>
        <w:ind w:left="709"/>
        <w:rPr>
          <w:rFonts w:eastAsia="Times New Roman" w:cstheme="minorHAnsi"/>
          <w:lang w:eastAsia="tr-TR"/>
        </w:rPr>
      </w:pPr>
      <w:r w:rsidRPr="008016CC">
        <w:rPr>
          <w:rFonts w:eastAsia="Times New Roman" w:cstheme="minorHAnsi"/>
          <w:b/>
          <w:lang w:eastAsia="tr-TR"/>
        </w:rPr>
        <w:t>b)</w:t>
      </w:r>
      <w:r w:rsidRPr="008016CC">
        <w:rPr>
          <w:rFonts w:eastAsia="Times New Roman" w:cstheme="minorHAnsi"/>
          <w:lang w:eastAsia="tr-TR"/>
        </w:rPr>
        <w:t xml:space="preserve"> Yönetmeliğin 20 nci maddesinin altıncı fıkrası çerçevesinde üretim lisansı başvurusunda bulunacak tüzel kişilerin sermayesinin asgari olarak, üretim tesisi için MWm cinsinden kurulu gücün öngörülen toplam yatırım tutarının yüzde yirmisine, nükleer enerjiye veya yerli kömüre dayalı veya Yönetmelikte belirtilen güç sınırını aşan YEKA kapsamında üretim tesisi kurulması için yapılan üretim lisansı başvuruları açısından yüzde beşine tekabül etmesine,</w:t>
      </w:r>
    </w:p>
    <w:p w:rsidR="004F2451" w:rsidRDefault="004F2451" w:rsidP="007D184A">
      <w:pPr>
        <w:pStyle w:val="ListeParagraf"/>
        <w:tabs>
          <w:tab w:val="left" w:pos="709"/>
        </w:tabs>
        <w:spacing w:after="0" w:line="240" w:lineRule="auto"/>
        <w:ind w:left="709"/>
        <w:rPr>
          <w:rFonts w:eastAsia="Times New Roman" w:cstheme="minorHAnsi"/>
          <w:lang w:eastAsia="tr-TR"/>
        </w:rPr>
      </w:pPr>
    </w:p>
    <w:tbl>
      <w:tblPr>
        <w:tblW w:w="8000" w:type="dxa"/>
        <w:tblInd w:w="1087" w:type="dxa"/>
        <w:tblCellMar>
          <w:left w:w="70" w:type="dxa"/>
          <w:right w:w="70" w:type="dxa"/>
        </w:tblCellMar>
        <w:tblLook w:val="04A0" w:firstRow="1" w:lastRow="0" w:firstColumn="1" w:lastColumn="0" w:noHBand="0" w:noVBand="1"/>
      </w:tblPr>
      <w:tblGrid>
        <w:gridCol w:w="2660"/>
        <w:gridCol w:w="2100"/>
        <w:gridCol w:w="3240"/>
      </w:tblGrid>
      <w:tr w:rsidR="007D184A" w:rsidRPr="007D184A" w:rsidTr="007D184A">
        <w:trPr>
          <w:trHeight w:val="1275"/>
        </w:trPr>
        <w:tc>
          <w:tcPr>
            <w:tcW w:w="266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7D184A" w:rsidRPr="007D184A" w:rsidRDefault="007D184A" w:rsidP="003971F6">
            <w:pPr>
              <w:spacing w:after="0" w:line="240" w:lineRule="auto"/>
              <w:jc w:val="center"/>
              <w:rPr>
                <w:rFonts w:eastAsia="Times New Roman" w:cstheme="minorHAnsi"/>
                <w:lang w:eastAsia="tr-TR"/>
              </w:rPr>
            </w:pPr>
            <w:r w:rsidRPr="007D184A">
              <w:rPr>
                <w:rFonts w:eastAsia="Times New Roman" w:cstheme="minorHAnsi"/>
                <w:lang w:eastAsia="tr-TR"/>
              </w:rPr>
              <w:t>Başvuru Türü</w:t>
            </w:r>
          </w:p>
        </w:tc>
        <w:tc>
          <w:tcPr>
            <w:tcW w:w="2100" w:type="dxa"/>
            <w:tcBorders>
              <w:top w:val="single" w:sz="8" w:space="0" w:color="auto"/>
              <w:left w:val="nil"/>
              <w:bottom w:val="single" w:sz="8" w:space="0" w:color="auto"/>
              <w:right w:val="single" w:sz="8" w:space="0" w:color="auto"/>
            </w:tcBorders>
            <w:shd w:val="clear" w:color="auto" w:fill="auto"/>
            <w:vAlign w:val="center"/>
            <w:hideMark/>
          </w:tcPr>
          <w:p w:rsidR="007D184A" w:rsidRPr="007D184A" w:rsidRDefault="007D184A" w:rsidP="003971F6">
            <w:pPr>
              <w:spacing w:after="0" w:line="240" w:lineRule="auto"/>
              <w:jc w:val="center"/>
              <w:rPr>
                <w:rFonts w:eastAsia="Times New Roman" w:cstheme="minorHAnsi"/>
                <w:lang w:eastAsia="tr-TR"/>
              </w:rPr>
            </w:pPr>
            <w:r w:rsidRPr="007D184A">
              <w:rPr>
                <w:rFonts w:eastAsia="Times New Roman" w:cstheme="minorHAnsi"/>
                <w:lang w:eastAsia="tr-TR"/>
              </w:rPr>
              <w:t>Öngörülen toplam yatırım tutarına uygulanacak yüzde (%)</w:t>
            </w:r>
          </w:p>
        </w:tc>
        <w:tc>
          <w:tcPr>
            <w:tcW w:w="3240" w:type="dxa"/>
            <w:tcBorders>
              <w:top w:val="single" w:sz="8" w:space="0" w:color="auto"/>
              <w:left w:val="nil"/>
              <w:bottom w:val="single" w:sz="8" w:space="0" w:color="auto"/>
              <w:right w:val="single" w:sz="8" w:space="0" w:color="auto"/>
            </w:tcBorders>
            <w:shd w:val="clear" w:color="auto" w:fill="auto"/>
            <w:vAlign w:val="center"/>
            <w:hideMark/>
          </w:tcPr>
          <w:p w:rsidR="007D184A" w:rsidRPr="007D184A" w:rsidRDefault="007D184A" w:rsidP="003971F6">
            <w:pPr>
              <w:spacing w:after="0" w:line="240" w:lineRule="auto"/>
              <w:jc w:val="center"/>
              <w:rPr>
                <w:rFonts w:eastAsia="Times New Roman" w:cstheme="minorHAnsi"/>
                <w:lang w:eastAsia="tr-TR"/>
              </w:rPr>
            </w:pPr>
            <w:r w:rsidRPr="007D184A">
              <w:rPr>
                <w:rFonts w:eastAsia="Times New Roman" w:cstheme="minorHAnsi"/>
                <w:lang w:eastAsia="tr-TR"/>
              </w:rPr>
              <w:t>Uygulanan Formül</w:t>
            </w:r>
          </w:p>
        </w:tc>
      </w:tr>
      <w:tr w:rsidR="007D184A" w:rsidRPr="007D184A" w:rsidTr="007D184A">
        <w:trPr>
          <w:trHeight w:val="330"/>
        </w:trPr>
        <w:tc>
          <w:tcPr>
            <w:tcW w:w="2660" w:type="dxa"/>
            <w:tcBorders>
              <w:top w:val="nil"/>
              <w:left w:val="single" w:sz="8" w:space="0" w:color="auto"/>
              <w:bottom w:val="single" w:sz="8" w:space="0" w:color="auto"/>
              <w:right w:val="single" w:sz="8" w:space="0" w:color="auto"/>
            </w:tcBorders>
            <w:shd w:val="clear" w:color="auto" w:fill="auto"/>
            <w:vAlign w:val="center"/>
            <w:hideMark/>
          </w:tcPr>
          <w:p w:rsidR="007D184A" w:rsidRPr="007D184A" w:rsidRDefault="007D184A" w:rsidP="003971F6">
            <w:pPr>
              <w:spacing w:after="0" w:line="240" w:lineRule="auto"/>
              <w:jc w:val="center"/>
              <w:rPr>
                <w:rFonts w:eastAsia="Times New Roman" w:cstheme="minorHAnsi"/>
                <w:vertAlign w:val="superscript"/>
                <w:lang w:eastAsia="tr-TR"/>
              </w:rPr>
            </w:pPr>
            <w:r w:rsidRPr="007D184A">
              <w:rPr>
                <w:rFonts w:eastAsia="Times New Roman" w:cstheme="minorHAnsi"/>
                <w:lang w:eastAsia="tr-TR"/>
              </w:rPr>
              <w:t>Önlisans</w:t>
            </w:r>
            <w:r w:rsidRPr="007D184A">
              <w:rPr>
                <w:rFonts w:eastAsia="Times New Roman" w:cstheme="minorHAnsi"/>
                <w:vertAlign w:val="superscript"/>
                <w:lang w:eastAsia="tr-TR"/>
              </w:rPr>
              <w:t>1</w:t>
            </w:r>
          </w:p>
        </w:tc>
        <w:tc>
          <w:tcPr>
            <w:tcW w:w="2100" w:type="dxa"/>
            <w:tcBorders>
              <w:top w:val="nil"/>
              <w:left w:val="nil"/>
              <w:bottom w:val="single" w:sz="8" w:space="0" w:color="auto"/>
              <w:right w:val="single" w:sz="8" w:space="0" w:color="auto"/>
            </w:tcBorders>
            <w:shd w:val="clear" w:color="auto" w:fill="auto"/>
            <w:vAlign w:val="center"/>
            <w:hideMark/>
          </w:tcPr>
          <w:p w:rsidR="007D184A" w:rsidRPr="007D184A" w:rsidRDefault="007D184A" w:rsidP="003971F6">
            <w:pPr>
              <w:spacing w:after="0" w:line="240" w:lineRule="auto"/>
              <w:jc w:val="center"/>
              <w:rPr>
                <w:rFonts w:eastAsia="Times New Roman" w:cstheme="minorHAnsi"/>
                <w:lang w:eastAsia="tr-TR"/>
              </w:rPr>
            </w:pPr>
            <w:r w:rsidRPr="007D184A">
              <w:rPr>
                <w:rFonts w:eastAsia="Times New Roman" w:cstheme="minorHAnsi"/>
                <w:lang w:eastAsia="tr-TR"/>
              </w:rPr>
              <w:t>5</w:t>
            </w:r>
          </w:p>
        </w:tc>
        <w:tc>
          <w:tcPr>
            <w:tcW w:w="3240" w:type="dxa"/>
            <w:tcBorders>
              <w:top w:val="nil"/>
              <w:left w:val="nil"/>
              <w:bottom w:val="single" w:sz="8" w:space="0" w:color="auto"/>
              <w:right w:val="single" w:sz="8" w:space="0" w:color="auto"/>
            </w:tcBorders>
            <w:shd w:val="clear" w:color="auto" w:fill="auto"/>
            <w:vAlign w:val="center"/>
            <w:hideMark/>
          </w:tcPr>
          <w:p w:rsidR="007D184A" w:rsidRPr="007D184A" w:rsidRDefault="007D184A" w:rsidP="003971F6">
            <w:pPr>
              <w:spacing w:after="0" w:line="240" w:lineRule="auto"/>
              <w:jc w:val="center"/>
              <w:rPr>
                <w:rFonts w:eastAsia="Times New Roman" w:cstheme="minorHAnsi"/>
                <w:lang w:eastAsia="tr-TR"/>
              </w:rPr>
            </w:pPr>
            <w:r w:rsidRPr="007D184A">
              <w:rPr>
                <w:rFonts w:eastAsia="Times New Roman" w:cstheme="minorHAnsi"/>
                <w:lang w:eastAsia="tr-TR"/>
              </w:rPr>
              <w:t>P x BYT x 0,05</w:t>
            </w:r>
          </w:p>
        </w:tc>
      </w:tr>
      <w:tr w:rsidR="007D184A" w:rsidRPr="007D184A" w:rsidTr="007D184A">
        <w:trPr>
          <w:trHeight w:val="330"/>
        </w:trPr>
        <w:tc>
          <w:tcPr>
            <w:tcW w:w="2660" w:type="dxa"/>
            <w:tcBorders>
              <w:top w:val="nil"/>
              <w:left w:val="single" w:sz="8" w:space="0" w:color="auto"/>
              <w:bottom w:val="single" w:sz="8" w:space="0" w:color="auto"/>
              <w:right w:val="single" w:sz="8" w:space="0" w:color="auto"/>
            </w:tcBorders>
            <w:shd w:val="clear" w:color="auto" w:fill="auto"/>
            <w:vAlign w:val="center"/>
            <w:hideMark/>
          </w:tcPr>
          <w:p w:rsidR="007D184A" w:rsidRPr="007D184A" w:rsidRDefault="007D184A" w:rsidP="003971F6">
            <w:pPr>
              <w:spacing w:after="0" w:line="240" w:lineRule="auto"/>
              <w:jc w:val="center"/>
              <w:rPr>
                <w:rFonts w:eastAsia="Times New Roman" w:cstheme="minorHAnsi"/>
                <w:lang w:eastAsia="tr-TR"/>
              </w:rPr>
            </w:pPr>
            <w:r w:rsidRPr="007D184A">
              <w:rPr>
                <w:rFonts w:eastAsia="Times New Roman" w:cstheme="minorHAnsi"/>
                <w:lang w:eastAsia="tr-TR"/>
              </w:rPr>
              <w:t>Üretim Lisansı</w:t>
            </w:r>
            <w:r w:rsidRPr="007D184A">
              <w:rPr>
                <w:rFonts w:eastAsia="Times New Roman" w:cstheme="minorHAnsi"/>
                <w:vertAlign w:val="superscript"/>
                <w:lang w:eastAsia="tr-TR"/>
              </w:rPr>
              <w:t>2</w:t>
            </w:r>
          </w:p>
        </w:tc>
        <w:tc>
          <w:tcPr>
            <w:tcW w:w="2100" w:type="dxa"/>
            <w:tcBorders>
              <w:top w:val="nil"/>
              <w:left w:val="nil"/>
              <w:bottom w:val="single" w:sz="8" w:space="0" w:color="auto"/>
              <w:right w:val="single" w:sz="8" w:space="0" w:color="auto"/>
            </w:tcBorders>
            <w:shd w:val="clear" w:color="auto" w:fill="auto"/>
            <w:vAlign w:val="center"/>
            <w:hideMark/>
          </w:tcPr>
          <w:p w:rsidR="007D184A" w:rsidRPr="007D184A" w:rsidRDefault="007D184A" w:rsidP="003971F6">
            <w:pPr>
              <w:spacing w:after="0" w:line="240" w:lineRule="auto"/>
              <w:jc w:val="center"/>
              <w:rPr>
                <w:rFonts w:eastAsia="Times New Roman" w:cstheme="minorHAnsi"/>
                <w:lang w:eastAsia="tr-TR"/>
              </w:rPr>
            </w:pPr>
            <w:r w:rsidRPr="007D184A">
              <w:rPr>
                <w:rFonts w:eastAsia="Times New Roman" w:cstheme="minorHAnsi"/>
                <w:lang w:eastAsia="tr-TR"/>
              </w:rPr>
              <w:t>20</w:t>
            </w:r>
          </w:p>
        </w:tc>
        <w:tc>
          <w:tcPr>
            <w:tcW w:w="3240" w:type="dxa"/>
            <w:tcBorders>
              <w:top w:val="nil"/>
              <w:left w:val="nil"/>
              <w:bottom w:val="single" w:sz="8" w:space="0" w:color="auto"/>
              <w:right w:val="single" w:sz="8" w:space="0" w:color="auto"/>
            </w:tcBorders>
            <w:shd w:val="clear" w:color="auto" w:fill="auto"/>
            <w:vAlign w:val="center"/>
            <w:hideMark/>
          </w:tcPr>
          <w:p w:rsidR="007D184A" w:rsidRPr="007D184A" w:rsidRDefault="007D184A" w:rsidP="003971F6">
            <w:pPr>
              <w:spacing w:after="0" w:line="240" w:lineRule="auto"/>
              <w:jc w:val="center"/>
              <w:rPr>
                <w:rFonts w:eastAsia="Times New Roman" w:cstheme="minorHAnsi"/>
                <w:lang w:eastAsia="tr-TR"/>
              </w:rPr>
            </w:pPr>
            <w:r w:rsidRPr="007D184A">
              <w:rPr>
                <w:rFonts w:eastAsia="Times New Roman" w:cstheme="minorHAnsi"/>
                <w:lang w:eastAsia="tr-TR"/>
              </w:rPr>
              <w:t>P x BYT x 0,20</w:t>
            </w:r>
          </w:p>
        </w:tc>
      </w:tr>
    </w:tbl>
    <w:p w:rsidR="007D184A" w:rsidRPr="007D184A" w:rsidRDefault="007D184A" w:rsidP="007D184A">
      <w:pPr>
        <w:spacing w:after="0" w:line="240" w:lineRule="auto"/>
        <w:rPr>
          <w:rFonts w:eastAsia="Times New Roman" w:cstheme="minorHAnsi"/>
          <w:sz w:val="20"/>
          <w:szCs w:val="20"/>
          <w:lang w:eastAsia="tr-TR"/>
        </w:rPr>
      </w:pPr>
      <w:r w:rsidRPr="007D184A">
        <w:rPr>
          <w:rFonts w:eastAsia="Times New Roman" w:cstheme="minorHAnsi"/>
          <w:lang w:eastAsia="tr-TR"/>
        </w:rPr>
        <w:t xml:space="preserve">                    </w:t>
      </w:r>
      <w:r w:rsidRPr="007D184A">
        <w:rPr>
          <w:rFonts w:eastAsia="Times New Roman" w:cstheme="minorHAnsi"/>
          <w:sz w:val="20"/>
          <w:szCs w:val="20"/>
          <w:lang w:eastAsia="tr-TR"/>
        </w:rPr>
        <w:t>P : Kurulu Güç (MWm cinsinden; virgülden sonraki üç basamak dâhil)</w:t>
      </w:r>
    </w:p>
    <w:p w:rsidR="007D184A" w:rsidRPr="007D184A" w:rsidRDefault="007D184A" w:rsidP="007D184A">
      <w:pPr>
        <w:tabs>
          <w:tab w:val="left" w:pos="1134"/>
        </w:tabs>
        <w:spacing w:after="0" w:line="240" w:lineRule="auto"/>
        <w:ind w:left="708"/>
        <w:contextualSpacing/>
        <w:rPr>
          <w:rFonts w:eastAsia="Times New Roman" w:cstheme="minorHAnsi"/>
          <w:sz w:val="20"/>
          <w:szCs w:val="20"/>
          <w:lang w:eastAsia="tr-TR"/>
        </w:rPr>
      </w:pPr>
      <w:r w:rsidRPr="007D184A">
        <w:rPr>
          <w:rFonts w:eastAsia="Times New Roman" w:cstheme="minorHAnsi"/>
          <w:sz w:val="20"/>
          <w:szCs w:val="20"/>
          <w:lang w:eastAsia="tr-TR"/>
        </w:rPr>
        <w:t xml:space="preserve">   </w:t>
      </w:r>
      <w:r>
        <w:rPr>
          <w:rFonts w:eastAsia="Times New Roman" w:cstheme="minorHAnsi"/>
          <w:sz w:val="20"/>
          <w:szCs w:val="20"/>
          <w:lang w:eastAsia="tr-TR"/>
        </w:rPr>
        <w:t xml:space="preserve">  </w:t>
      </w:r>
      <w:r w:rsidRPr="007D184A">
        <w:rPr>
          <w:rFonts w:eastAsia="Times New Roman" w:cstheme="minorHAnsi"/>
          <w:sz w:val="20"/>
          <w:szCs w:val="20"/>
          <w:lang w:eastAsia="tr-TR"/>
        </w:rPr>
        <w:t xml:space="preserve"> BYT : Kurum tarafından öngörülen toplam birim yatırım tutarı (TL)</w:t>
      </w:r>
    </w:p>
    <w:p w:rsidR="007D184A" w:rsidRPr="007D184A" w:rsidRDefault="007D184A" w:rsidP="007D184A">
      <w:pPr>
        <w:tabs>
          <w:tab w:val="left" w:pos="1134"/>
        </w:tabs>
        <w:spacing w:after="0" w:line="240" w:lineRule="auto"/>
        <w:ind w:left="993" w:hanging="142"/>
        <w:contextualSpacing/>
        <w:rPr>
          <w:rFonts w:eastAsia="Times New Roman" w:cstheme="minorHAnsi"/>
          <w:sz w:val="20"/>
          <w:szCs w:val="20"/>
          <w:lang w:eastAsia="tr-TR"/>
        </w:rPr>
      </w:pPr>
      <w:r>
        <w:rPr>
          <w:rFonts w:eastAsia="Times New Roman" w:cstheme="minorHAnsi"/>
          <w:sz w:val="20"/>
          <w:szCs w:val="20"/>
          <w:vertAlign w:val="superscript"/>
          <w:lang w:eastAsia="tr-TR"/>
        </w:rPr>
        <w:t xml:space="preserve"> </w:t>
      </w:r>
      <w:r w:rsidRPr="007D184A">
        <w:rPr>
          <w:rFonts w:eastAsia="Times New Roman" w:cstheme="minorHAnsi"/>
          <w:sz w:val="20"/>
          <w:szCs w:val="20"/>
          <w:vertAlign w:val="superscript"/>
          <w:lang w:eastAsia="tr-TR"/>
        </w:rPr>
        <w:t xml:space="preserve">  1</w:t>
      </w:r>
      <w:r w:rsidRPr="007D184A">
        <w:rPr>
          <w:rFonts w:eastAsia="Times New Roman" w:cstheme="minorHAnsi"/>
          <w:sz w:val="20"/>
          <w:szCs w:val="20"/>
          <w:lang w:eastAsia="tr-TR"/>
        </w:rPr>
        <w:t xml:space="preserve"> Nükleer enerjiye veya yerli kömüre dayalı üretim tesisi kurulması için yapılan önlisans başvuruları için %1.</w:t>
      </w:r>
    </w:p>
    <w:p w:rsidR="007D184A" w:rsidRPr="007D184A" w:rsidRDefault="007D184A" w:rsidP="007D184A">
      <w:pPr>
        <w:tabs>
          <w:tab w:val="left" w:pos="1134"/>
        </w:tabs>
        <w:spacing w:after="0" w:line="240" w:lineRule="auto"/>
        <w:ind w:left="993" w:hanging="142"/>
        <w:contextualSpacing/>
        <w:rPr>
          <w:rFonts w:eastAsia="Times New Roman" w:cstheme="minorHAnsi"/>
          <w:sz w:val="20"/>
          <w:szCs w:val="20"/>
          <w:lang w:eastAsia="tr-TR"/>
        </w:rPr>
      </w:pPr>
      <w:r>
        <w:rPr>
          <w:rFonts w:eastAsia="Times New Roman" w:cstheme="minorHAnsi"/>
          <w:sz w:val="20"/>
          <w:szCs w:val="20"/>
          <w:vertAlign w:val="superscript"/>
          <w:lang w:eastAsia="tr-TR"/>
        </w:rPr>
        <w:t xml:space="preserve"> </w:t>
      </w:r>
      <w:r w:rsidRPr="007D184A">
        <w:rPr>
          <w:rFonts w:eastAsia="Times New Roman" w:cstheme="minorHAnsi"/>
          <w:sz w:val="20"/>
          <w:szCs w:val="20"/>
          <w:vertAlign w:val="superscript"/>
          <w:lang w:eastAsia="tr-TR"/>
        </w:rPr>
        <w:t xml:space="preserve">  2</w:t>
      </w:r>
      <w:r w:rsidRPr="007D184A">
        <w:rPr>
          <w:rFonts w:eastAsia="Times New Roman" w:cstheme="minorHAnsi"/>
          <w:sz w:val="20"/>
          <w:szCs w:val="20"/>
          <w:lang w:eastAsia="tr-TR"/>
        </w:rPr>
        <w:t xml:space="preserve"> Nükleer enerjiye veya yerli kömüre dayalı veya YEKA kapsamında üretim tesisi kurulması için yapılan üretim lisansı başvuruları için %5. </w:t>
      </w:r>
    </w:p>
    <w:p w:rsidR="007D184A" w:rsidRPr="008016CC" w:rsidRDefault="007D184A" w:rsidP="008016CC">
      <w:pPr>
        <w:pStyle w:val="ListeParagraf"/>
        <w:tabs>
          <w:tab w:val="left" w:pos="709"/>
        </w:tabs>
        <w:spacing w:after="0" w:line="240" w:lineRule="auto"/>
        <w:ind w:left="1080"/>
        <w:rPr>
          <w:rFonts w:eastAsia="Times New Roman" w:cstheme="minorHAnsi"/>
          <w:lang w:eastAsia="tr-TR"/>
        </w:rPr>
      </w:pPr>
    </w:p>
    <w:p w:rsidR="008016CC" w:rsidRPr="008016CC" w:rsidRDefault="008016CC" w:rsidP="007D184A">
      <w:pPr>
        <w:pStyle w:val="ListeParagraf"/>
        <w:tabs>
          <w:tab w:val="left" w:pos="709"/>
        </w:tabs>
        <w:spacing w:after="0" w:line="240" w:lineRule="auto"/>
        <w:ind w:left="709"/>
        <w:rPr>
          <w:rFonts w:eastAsia="Times New Roman" w:cstheme="minorHAnsi"/>
          <w:lang w:eastAsia="tr-TR"/>
        </w:rPr>
      </w:pPr>
      <w:r w:rsidRPr="008016CC">
        <w:rPr>
          <w:rFonts w:eastAsia="Times New Roman" w:cstheme="minorHAnsi"/>
          <w:b/>
          <w:lang w:eastAsia="tr-TR"/>
        </w:rPr>
        <w:t>c)</w:t>
      </w:r>
      <w:r w:rsidRPr="008016CC">
        <w:rPr>
          <w:rFonts w:eastAsia="Times New Roman" w:cstheme="minorHAnsi"/>
          <w:lang w:eastAsia="tr-TR"/>
        </w:rPr>
        <w:t xml:space="preserve"> Depolamalı elektrik üretim tesisi kapsamındaki önlisans ve üretim lisansı başvurularında (a) ve (b) bendi kapsamındaki sermaye tutarı hesaplamalarının </w:t>
      </w:r>
      <w:bookmarkStart w:id="66" w:name="_Hlk115160061"/>
      <w:r w:rsidRPr="008016CC">
        <w:rPr>
          <w:rFonts w:eastAsia="Times New Roman" w:cstheme="minorHAnsi"/>
          <w:lang w:eastAsia="tr-TR"/>
        </w:rPr>
        <w:t>elektrik depolama ünitesi için MWh cinsinden</w:t>
      </w:r>
      <w:bookmarkEnd w:id="66"/>
      <w:r w:rsidRPr="008016CC">
        <w:rPr>
          <w:rFonts w:eastAsia="Times New Roman" w:cstheme="minorHAnsi"/>
          <w:lang w:eastAsia="tr-TR"/>
        </w:rPr>
        <w:t xml:space="preserve"> (virgülden sonraki üç basamak dâhil) ayrıca hesaplanarak (a) ve (b) bendi çerçevesinde ilgili kaynağa göre tespit edilen sermaye tutarına eklenmesine,</w:t>
      </w:r>
    </w:p>
    <w:p w:rsidR="008016CC" w:rsidRPr="008016CC" w:rsidRDefault="008016CC" w:rsidP="008016CC">
      <w:pPr>
        <w:pStyle w:val="ListeParagraf"/>
        <w:tabs>
          <w:tab w:val="left" w:pos="709"/>
        </w:tabs>
        <w:spacing w:after="0" w:line="240" w:lineRule="auto"/>
        <w:ind w:left="1080"/>
        <w:rPr>
          <w:rFonts w:eastAsia="Times New Roman" w:cstheme="minorHAnsi"/>
          <w:lang w:eastAsia="tr-TR"/>
        </w:rPr>
      </w:pPr>
    </w:p>
    <w:p w:rsidR="008016CC" w:rsidRPr="008016CC" w:rsidRDefault="008016CC" w:rsidP="000A5A56">
      <w:pPr>
        <w:pStyle w:val="ListeParagraf"/>
        <w:numPr>
          <w:ilvl w:val="0"/>
          <w:numId w:val="51"/>
        </w:numPr>
        <w:spacing w:after="0" w:line="240" w:lineRule="auto"/>
        <w:rPr>
          <w:rFonts w:eastAsia="Times New Roman" w:cstheme="minorHAnsi"/>
          <w:lang w:eastAsia="tr-TR"/>
        </w:rPr>
      </w:pPr>
      <w:r w:rsidRPr="008016CC">
        <w:rPr>
          <w:rFonts w:eastAsia="Times New Roman" w:cstheme="minorHAnsi"/>
          <w:lang w:eastAsia="tr-TR"/>
        </w:rPr>
        <w:t>Teminat tutarının hesaplanmasına ilişkin olarak;</w:t>
      </w:r>
    </w:p>
    <w:p w:rsidR="008016CC" w:rsidRPr="008016CC" w:rsidRDefault="008016CC" w:rsidP="008016CC">
      <w:pPr>
        <w:tabs>
          <w:tab w:val="left" w:pos="1134"/>
        </w:tabs>
        <w:spacing w:after="0" w:line="240" w:lineRule="auto"/>
        <w:ind w:left="720"/>
        <w:contextualSpacing/>
        <w:rPr>
          <w:rFonts w:eastAsia="Times New Roman" w:cstheme="minorHAnsi"/>
          <w:lang w:eastAsia="tr-TR"/>
        </w:rPr>
      </w:pPr>
    </w:p>
    <w:p w:rsidR="008016CC" w:rsidRPr="008016CC" w:rsidRDefault="008016CC" w:rsidP="008016CC">
      <w:pPr>
        <w:tabs>
          <w:tab w:val="left" w:pos="709"/>
        </w:tabs>
        <w:spacing w:after="0" w:line="240" w:lineRule="auto"/>
        <w:contextualSpacing/>
        <w:rPr>
          <w:rFonts w:eastAsia="Times New Roman" w:cstheme="minorHAnsi"/>
          <w:lang w:eastAsia="tr-TR"/>
        </w:rPr>
      </w:pPr>
      <w:r w:rsidRPr="008016CC">
        <w:rPr>
          <w:rFonts w:eastAsia="Times New Roman" w:cstheme="minorHAnsi"/>
          <w:b/>
          <w:lang w:eastAsia="tr-TR"/>
        </w:rPr>
        <w:tab/>
        <w:t>a)</w:t>
      </w:r>
      <w:r w:rsidRPr="008016CC">
        <w:rPr>
          <w:rFonts w:eastAsia="Times New Roman" w:cstheme="minorHAnsi"/>
          <w:lang w:eastAsia="tr-TR"/>
        </w:rPr>
        <w:t xml:space="preserve"> Yönetmeliğin 12 nci maddesinin beşinci fıkrası çerçevesinde;</w:t>
      </w:r>
    </w:p>
    <w:p w:rsidR="008016CC" w:rsidRPr="008016CC" w:rsidRDefault="008016CC" w:rsidP="008016CC">
      <w:pPr>
        <w:tabs>
          <w:tab w:val="left" w:pos="709"/>
        </w:tabs>
        <w:spacing w:after="0" w:line="240" w:lineRule="auto"/>
        <w:contextualSpacing/>
        <w:rPr>
          <w:rFonts w:eastAsia="Times New Roman" w:cstheme="minorHAnsi"/>
          <w:lang w:eastAsia="tr-TR"/>
        </w:rPr>
      </w:pPr>
    </w:p>
    <w:p w:rsidR="008016CC" w:rsidRPr="008016CC" w:rsidRDefault="008016CC" w:rsidP="008016CC">
      <w:pPr>
        <w:tabs>
          <w:tab w:val="left" w:pos="709"/>
        </w:tabs>
        <w:spacing w:after="0" w:line="240" w:lineRule="auto"/>
        <w:ind w:left="708"/>
        <w:contextualSpacing/>
        <w:rPr>
          <w:rFonts w:eastAsia="Times New Roman" w:cstheme="minorHAnsi"/>
          <w:lang w:eastAsia="tr-TR"/>
        </w:rPr>
      </w:pPr>
      <w:r w:rsidRPr="008016CC">
        <w:rPr>
          <w:rFonts w:eastAsia="Times New Roman" w:cstheme="minorHAnsi"/>
          <w:b/>
          <w:lang w:eastAsia="tr-TR"/>
        </w:rPr>
        <w:tab/>
        <w:t>a.1)</w:t>
      </w:r>
      <w:r w:rsidRPr="008016CC">
        <w:rPr>
          <w:rFonts w:eastAsia="Times New Roman" w:cstheme="minorHAnsi"/>
          <w:lang w:eastAsia="tr-TR"/>
        </w:rPr>
        <w:t xml:space="preserve">  Önlisans başvurusunda bulunacak tüzel kişilerden MWm cinsinden kurulu güç (virgülden sonraki üç basamak dâhil) başına alınacak teminat tutarının 50.000 (ellibin) TL olmasına, </w:t>
      </w:r>
    </w:p>
    <w:p w:rsidR="008016CC" w:rsidRPr="008016CC" w:rsidRDefault="008016CC" w:rsidP="008016CC">
      <w:pPr>
        <w:tabs>
          <w:tab w:val="left" w:pos="709"/>
        </w:tabs>
        <w:spacing w:after="0" w:line="240" w:lineRule="auto"/>
        <w:ind w:left="708"/>
        <w:contextualSpacing/>
        <w:rPr>
          <w:rFonts w:eastAsia="Times New Roman" w:cstheme="minorHAnsi"/>
          <w:lang w:eastAsia="tr-TR"/>
        </w:rPr>
      </w:pPr>
    </w:p>
    <w:p w:rsidR="008016CC" w:rsidRPr="008016CC" w:rsidRDefault="008016CC" w:rsidP="008016CC">
      <w:pPr>
        <w:tabs>
          <w:tab w:val="left" w:pos="709"/>
        </w:tabs>
        <w:spacing w:after="0" w:line="240" w:lineRule="auto"/>
        <w:ind w:left="708"/>
        <w:contextualSpacing/>
        <w:rPr>
          <w:rFonts w:eastAsia="Times New Roman" w:cstheme="minorHAnsi"/>
          <w:lang w:eastAsia="tr-TR"/>
        </w:rPr>
      </w:pPr>
      <w:r w:rsidRPr="008016CC">
        <w:rPr>
          <w:rFonts w:eastAsia="Times New Roman" w:cstheme="minorHAnsi"/>
          <w:b/>
          <w:lang w:eastAsia="tr-TR"/>
        </w:rPr>
        <w:tab/>
        <w:t>a.2)</w:t>
      </w:r>
      <w:r w:rsidRPr="008016CC">
        <w:rPr>
          <w:rFonts w:eastAsia="Times New Roman" w:cstheme="minorHAnsi"/>
          <w:lang w:eastAsia="tr-TR"/>
        </w:rPr>
        <w:t xml:space="preserve"> Depolamalı elektrik üretim tesisi kapsamındaki önlisans başvurularında elektrik depolama ünitesi için MWh başına alınacak teminat tutarının 50.000 (ellibin) TL olmasına, bu kapsamda Kuruma sunulması gereken teminat tutarının, (a.1) bendinde belirlenen teminat tutarına elektrik depolama ünitesi için hesaplanacak teminat tutarının eklenmesi suretiyle belirlenmesine,</w:t>
      </w:r>
    </w:p>
    <w:p w:rsidR="008016CC" w:rsidRPr="008016CC" w:rsidRDefault="008016CC" w:rsidP="008016CC">
      <w:pPr>
        <w:tabs>
          <w:tab w:val="left" w:pos="709"/>
        </w:tabs>
        <w:spacing w:after="0" w:line="240" w:lineRule="auto"/>
        <w:ind w:left="708"/>
        <w:contextualSpacing/>
        <w:rPr>
          <w:rFonts w:eastAsia="Times New Roman" w:cstheme="minorHAnsi"/>
          <w:lang w:eastAsia="tr-TR"/>
        </w:rPr>
      </w:pPr>
    </w:p>
    <w:p w:rsidR="008016CC" w:rsidRPr="008016CC" w:rsidRDefault="008016CC" w:rsidP="008016CC">
      <w:pPr>
        <w:tabs>
          <w:tab w:val="left" w:pos="709"/>
        </w:tabs>
        <w:spacing w:after="0" w:line="240" w:lineRule="auto"/>
        <w:ind w:left="708"/>
        <w:contextualSpacing/>
        <w:rPr>
          <w:rFonts w:eastAsia="Times New Roman" w:cstheme="minorHAnsi"/>
          <w:lang w:eastAsia="tr-TR"/>
        </w:rPr>
      </w:pPr>
      <w:r w:rsidRPr="008016CC">
        <w:rPr>
          <w:rFonts w:eastAsia="Times New Roman" w:cstheme="minorHAnsi"/>
          <w:b/>
          <w:lang w:eastAsia="tr-TR"/>
        </w:rPr>
        <w:lastRenderedPageBreak/>
        <w:tab/>
        <w:t>a.3)</w:t>
      </w:r>
      <w:r w:rsidRPr="008016CC">
        <w:rPr>
          <w:rFonts w:eastAsia="Times New Roman" w:cstheme="minorHAnsi"/>
          <w:lang w:eastAsia="tr-TR"/>
        </w:rPr>
        <w:t xml:space="preserve"> Önlisans başvurularında Kuruma sunulacak olan teminat tutarının her bir proje için</w:t>
      </w:r>
      <w:r w:rsidRPr="008016CC" w:rsidDel="00493072">
        <w:rPr>
          <w:rFonts w:eastAsia="Times New Roman" w:cstheme="minorHAnsi"/>
          <w:lang w:eastAsia="tr-TR"/>
        </w:rPr>
        <w:t xml:space="preserve"> </w:t>
      </w:r>
      <w:r w:rsidRPr="008016CC">
        <w:rPr>
          <w:rFonts w:eastAsia="Times New Roman" w:cstheme="minorHAnsi"/>
          <w:lang w:eastAsia="tr-TR"/>
        </w:rPr>
        <w:t>30.000.000 (otuzmilyon) TL’yi aşmamasına,</w:t>
      </w:r>
    </w:p>
    <w:p w:rsidR="008016CC" w:rsidRPr="008016CC" w:rsidRDefault="008016CC" w:rsidP="008016CC">
      <w:pPr>
        <w:tabs>
          <w:tab w:val="left" w:pos="709"/>
        </w:tabs>
        <w:spacing w:after="0" w:line="240" w:lineRule="auto"/>
        <w:ind w:left="708"/>
        <w:contextualSpacing/>
        <w:rPr>
          <w:rFonts w:eastAsia="Times New Roman" w:cstheme="minorHAnsi"/>
          <w:lang w:eastAsia="tr-TR"/>
        </w:rPr>
      </w:pPr>
    </w:p>
    <w:p w:rsidR="008016CC" w:rsidRPr="008016CC" w:rsidRDefault="008016CC" w:rsidP="008016CC">
      <w:pPr>
        <w:tabs>
          <w:tab w:val="left" w:pos="709"/>
        </w:tabs>
        <w:spacing w:after="0" w:line="240" w:lineRule="auto"/>
        <w:ind w:left="708"/>
        <w:contextualSpacing/>
        <w:rPr>
          <w:rFonts w:eastAsia="Times New Roman" w:cstheme="minorHAnsi"/>
          <w:lang w:eastAsia="tr-TR"/>
        </w:rPr>
      </w:pPr>
      <w:r w:rsidRPr="008016CC">
        <w:rPr>
          <w:rFonts w:eastAsia="Times New Roman" w:cstheme="minorHAnsi"/>
          <w:b/>
          <w:lang w:eastAsia="tr-TR"/>
        </w:rPr>
        <w:t>b)</w:t>
      </w:r>
      <w:r w:rsidRPr="008016CC">
        <w:rPr>
          <w:rFonts w:eastAsia="Times New Roman" w:cstheme="minorHAnsi"/>
          <w:lang w:eastAsia="tr-TR"/>
        </w:rPr>
        <w:t xml:space="preserve"> Yönetmeliğin 20 nci maddesinin altıncı fıkrası çerçevesinde;</w:t>
      </w:r>
    </w:p>
    <w:p w:rsidR="008016CC" w:rsidRPr="008016CC" w:rsidRDefault="008016CC" w:rsidP="008016CC">
      <w:pPr>
        <w:tabs>
          <w:tab w:val="left" w:pos="1134"/>
        </w:tabs>
        <w:spacing w:after="0" w:line="240" w:lineRule="auto"/>
        <w:ind w:left="720"/>
        <w:contextualSpacing/>
        <w:rPr>
          <w:rFonts w:eastAsia="Times New Roman" w:cstheme="minorHAnsi"/>
          <w:lang w:eastAsia="tr-TR"/>
        </w:rPr>
      </w:pPr>
    </w:p>
    <w:p w:rsidR="008016CC" w:rsidRDefault="008016CC" w:rsidP="008016CC">
      <w:pPr>
        <w:tabs>
          <w:tab w:val="left" w:pos="709"/>
        </w:tabs>
        <w:spacing w:after="0" w:line="240" w:lineRule="auto"/>
        <w:ind w:left="708"/>
        <w:rPr>
          <w:rFonts w:eastAsia="Times New Roman" w:cstheme="minorHAnsi"/>
          <w:lang w:eastAsia="tr-TR"/>
        </w:rPr>
      </w:pPr>
      <w:r w:rsidRPr="008016CC">
        <w:rPr>
          <w:rFonts w:eastAsia="Times New Roman" w:cstheme="minorHAnsi"/>
          <w:b/>
          <w:lang w:eastAsia="tr-TR"/>
        </w:rPr>
        <w:tab/>
        <w:t>b.1)</w:t>
      </w:r>
      <w:r w:rsidRPr="008016CC">
        <w:rPr>
          <w:rFonts w:eastAsia="Times New Roman" w:cstheme="minorHAnsi"/>
          <w:lang w:eastAsia="tr-TR"/>
        </w:rPr>
        <w:t xml:space="preserve"> Yerli madene dayalı üretim lisansı başvuruları ile 9/10/2016 tarihli ve 29852 sayılı </w:t>
      </w:r>
      <w:r w:rsidR="00DC783D">
        <w:rPr>
          <w:rFonts w:eastAsia="Times New Roman" w:cstheme="minorHAnsi"/>
          <w:lang w:eastAsia="tr-TR"/>
        </w:rPr>
        <w:t>Resmî</w:t>
      </w:r>
      <w:r w:rsidRPr="008016CC">
        <w:rPr>
          <w:rFonts w:eastAsia="Times New Roman" w:cstheme="minorHAnsi"/>
          <w:lang w:eastAsia="tr-TR"/>
        </w:rPr>
        <w:t xml:space="preserve"> </w:t>
      </w:r>
      <w:r w:rsidR="00274939">
        <w:rPr>
          <w:rFonts w:eastAsia="Times New Roman" w:cstheme="minorHAnsi"/>
          <w:lang w:eastAsia="tr-TR"/>
        </w:rPr>
        <w:t>Gazetede</w:t>
      </w:r>
      <w:r w:rsidRPr="008016CC">
        <w:rPr>
          <w:rFonts w:eastAsia="Times New Roman" w:cstheme="minorHAnsi"/>
          <w:lang w:eastAsia="tr-TR"/>
        </w:rPr>
        <w:t xml:space="preserve"> yayımlanarak yürürlüğe giren Yenilenebilir Enerji Kaynak Alanları Yönetmeliği kapsamında Yönetmelikte belirtilen güç sınırını aşan  üretim lisansı başvurularında Kuruma sunulması gereken teminat tutarlarının aşağıdaki tablo uyarınca tespit edilmesine, tabloda anılan formüle göre hesaplanacak teminat tutarına ilişkin üst sınırın her bir proje için 130.000.000 (yüzotuzmilyon) TL olarak belirlenmesine,</w:t>
      </w:r>
    </w:p>
    <w:p w:rsidR="007D184A" w:rsidRPr="008A04B1" w:rsidRDefault="007D184A" w:rsidP="007D184A">
      <w:pPr>
        <w:spacing w:after="0" w:line="240" w:lineRule="auto"/>
        <w:rPr>
          <w:rFonts w:ascii="Times New Roman" w:eastAsia="Times New Roman" w:hAnsi="Times New Roman"/>
          <w:sz w:val="16"/>
          <w:szCs w:val="16"/>
          <w:lang w:eastAsia="tr-TR"/>
        </w:rPr>
      </w:pPr>
    </w:p>
    <w:tbl>
      <w:tblPr>
        <w:tblW w:w="73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835"/>
        <w:gridCol w:w="4536"/>
      </w:tblGrid>
      <w:tr w:rsidR="007D184A" w:rsidRPr="007D184A" w:rsidTr="004F2451">
        <w:trPr>
          <w:trHeight w:val="936"/>
          <w:jc w:val="center"/>
        </w:trPr>
        <w:tc>
          <w:tcPr>
            <w:tcW w:w="192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7D184A" w:rsidRPr="007D184A" w:rsidRDefault="004F2451" w:rsidP="004F2451">
            <w:pPr>
              <w:spacing w:after="0" w:line="240" w:lineRule="auto"/>
              <w:jc w:val="center"/>
              <w:rPr>
                <w:rFonts w:eastAsia="Times New Roman" w:cstheme="minorHAnsi"/>
                <w:lang w:eastAsia="tr-TR"/>
              </w:rPr>
            </w:pPr>
            <w:r w:rsidRPr="007D184A">
              <w:rPr>
                <w:rFonts w:eastAsia="Times New Roman" w:cstheme="minorHAnsi"/>
                <w:lang w:eastAsia="tr-TR"/>
              </w:rPr>
              <w:t>Öngörülen Toplam Yatırım</w:t>
            </w:r>
          </w:p>
          <w:p w:rsidR="007D184A" w:rsidRPr="007D184A" w:rsidRDefault="004F2451" w:rsidP="004F2451">
            <w:pPr>
              <w:spacing w:after="0" w:line="240" w:lineRule="auto"/>
              <w:jc w:val="center"/>
              <w:rPr>
                <w:rFonts w:eastAsia="Times New Roman" w:cstheme="minorHAnsi"/>
                <w:lang w:eastAsia="tr-TR"/>
              </w:rPr>
            </w:pPr>
            <w:r w:rsidRPr="007D184A">
              <w:rPr>
                <w:rFonts w:eastAsia="Times New Roman" w:cstheme="minorHAnsi"/>
                <w:lang w:eastAsia="tr-TR"/>
              </w:rPr>
              <w:t xml:space="preserve">Tutarına Uygulanacak Yüzde </w:t>
            </w:r>
            <w:r w:rsidR="007D184A" w:rsidRPr="007D184A">
              <w:rPr>
                <w:rFonts w:eastAsia="Times New Roman" w:cstheme="minorHAnsi"/>
                <w:lang w:eastAsia="tr-TR"/>
              </w:rPr>
              <w:t>(%)</w:t>
            </w:r>
          </w:p>
        </w:tc>
        <w:tc>
          <w:tcPr>
            <w:tcW w:w="307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7D184A" w:rsidRPr="007D184A" w:rsidRDefault="007D184A" w:rsidP="004F2451">
            <w:pPr>
              <w:spacing w:after="0" w:line="240" w:lineRule="auto"/>
              <w:jc w:val="center"/>
              <w:rPr>
                <w:rFonts w:eastAsia="Times New Roman" w:cstheme="minorHAnsi"/>
                <w:lang w:eastAsia="tr-TR"/>
              </w:rPr>
            </w:pPr>
            <w:r w:rsidRPr="007D184A">
              <w:rPr>
                <w:rFonts w:eastAsia="Times New Roman" w:cstheme="minorHAnsi"/>
                <w:lang w:eastAsia="tr-TR"/>
              </w:rPr>
              <w:t>Uygulanan Formül</w:t>
            </w:r>
          </w:p>
        </w:tc>
      </w:tr>
      <w:tr w:rsidR="007D184A" w:rsidRPr="007D184A" w:rsidTr="003971F6">
        <w:trPr>
          <w:trHeight w:val="485"/>
          <w:jc w:val="center"/>
        </w:trPr>
        <w:tc>
          <w:tcPr>
            <w:tcW w:w="192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7D184A" w:rsidRPr="007D184A" w:rsidRDefault="007D184A" w:rsidP="003971F6">
            <w:pPr>
              <w:spacing w:after="0" w:line="240" w:lineRule="auto"/>
              <w:jc w:val="center"/>
              <w:rPr>
                <w:rFonts w:eastAsia="Times New Roman" w:cstheme="minorHAnsi"/>
                <w:lang w:eastAsia="tr-TR"/>
              </w:rPr>
            </w:pPr>
            <w:r w:rsidRPr="007D184A">
              <w:rPr>
                <w:rFonts w:eastAsia="Times New Roman" w:cstheme="minorHAnsi"/>
                <w:lang w:eastAsia="tr-TR"/>
              </w:rPr>
              <w:t>1</w:t>
            </w:r>
          </w:p>
        </w:tc>
        <w:tc>
          <w:tcPr>
            <w:tcW w:w="307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7D184A" w:rsidRPr="007D184A" w:rsidRDefault="007D184A" w:rsidP="003971F6">
            <w:pPr>
              <w:spacing w:after="0" w:line="240" w:lineRule="auto"/>
              <w:jc w:val="center"/>
              <w:rPr>
                <w:rFonts w:eastAsia="Times New Roman" w:cstheme="minorHAnsi"/>
                <w:lang w:eastAsia="tr-TR"/>
              </w:rPr>
            </w:pPr>
            <w:r w:rsidRPr="007D184A">
              <w:rPr>
                <w:rFonts w:eastAsia="Times New Roman" w:cstheme="minorHAnsi"/>
                <w:lang w:eastAsia="tr-TR"/>
              </w:rPr>
              <w:t>P x BYT x 0,01</w:t>
            </w:r>
          </w:p>
        </w:tc>
      </w:tr>
    </w:tbl>
    <w:p w:rsidR="007D184A" w:rsidRPr="007D184A" w:rsidRDefault="007D184A" w:rsidP="007D184A">
      <w:pPr>
        <w:tabs>
          <w:tab w:val="left" w:pos="1276"/>
        </w:tabs>
        <w:spacing w:after="0" w:line="240" w:lineRule="auto"/>
        <w:ind w:firstLine="993"/>
        <w:rPr>
          <w:rFonts w:eastAsia="Times New Roman" w:cstheme="minorHAnsi"/>
          <w:sz w:val="20"/>
          <w:szCs w:val="20"/>
          <w:lang w:eastAsia="tr-TR"/>
        </w:rPr>
      </w:pPr>
      <w:r w:rsidRPr="007D184A">
        <w:rPr>
          <w:rFonts w:eastAsia="Times New Roman" w:cstheme="minorHAnsi"/>
          <w:sz w:val="20"/>
          <w:szCs w:val="20"/>
          <w:lang w:eastAsia="tr-TR"/>
        </w:rPr>
        <w:t xml:space="preserve">     P: Kurulu Güç (</w:t>
      </w:r>
      <w:r w:rsidRPr="007D184A">
        <w:rPr>
          <w:rFonts w:eastAsia="Times New Roman" w:cstheme="minorHAnsi"/>
          <w:i/>
          <w:sz w:val="20"/>
          <w:szCs w:val="20"/>
          <w:lang w:eastAsia="tr-TR"/>
        </w:rPr>
        <w:t>MW</w:t>
      </w:r>
      <w:r w:rsidRPr="007D184A">
        <w:rPr>
          <w:rFonts w:eastAsia="Times New Roman" w:cstheme="minorHAnsi"/>
          <w:i/>
          <w:sz w:val="20"/>
          <w:szCs w:val="20"/>
          <w:vertAlign w:val="subscript"/>
          <w:lang w:eastAsia="tr-TR"/>
        </w:rPr>
        <w:t>m</w:t>
      </w:r>
      <w:r w:rsidRPr="007D184A">
        <w:rPr>
          <w:rFonts w:eastAsia="Times New Roman" w:cstheme="minorHAnsi"/>
          <w:i/>
          <w:sz w:val="20"/>
          <w:szCs w:val="20"/>
          <w:lang w:eastAsia="tr-TR"/>
        </w:rPr>
        <w:t xml:space="preserve"> cinsinden; virgülden sonraki üç basamak dâhil</w:t>
      </w:r>
      <w:r w:rsidRPr="007D184A">
        <w:rPr>
          <w:rFonts w:eastAsia="Times New Roman" w:cstheme="minorHAnsi"/>
          <w:sz w:val="20"/>
          <w:szCs w:val="20"/>
          <w:lang w:eastAsia="tr-TR"/>
        </w:rPr>
        <w:t>)</w:t>
      </w:r>
    </w:p>
    <w:p w:rsidR="007D184A" w:rsidRPr="007D184A" w:rsidRDefault="007D184A" w:rsidP="007D184A">
      <w:pPr>
        <w:tabs>
          <w:tab w:val="left" w:pos="1276"/>
        </w:tabs>
        <w:spacing w:after="0" w:line="240" w:lineRule="auto"/>
        <w:ind w:firstLine="993"/>
        <w:rPr>
          <w:rFonts w:eastAsia="Times New Roman" w:cstheme="minorHAnsi"/>
          <w:sz w:val="20"/>
          <w:szCs w:val="20"/>
          <w:lang w:eastAsia="tr-TR"/>
        </w:rPr>
      </w:pPr>
      <w:r w:rsidRPr="007D184A">
        <w:rPr>
          <w:rFonts w:eastAsia="Times New Roman" w:cstheme="minorHAnsi"/>
          <w:sz w:val="20"/>
          <w:szCs w:val="20"/>
          <w:lang w:eastAsia="tr-TR"/>
        </w:rPr>
        <w:t xml:space="preserve">     BYT: Kurum tarafından öngörülen toplam birim yatırım tutarı (</w:t>
      </w:r>
      <w:r w:rsidRPr="007D184A">
        <w:rPr>
          <w:rFonts w:eastAsia="Times New Roman" w:cstheme="minorHAnsi"/>
          <w:i/>
          <w:sz w:val="20"/>
          <w:szCs w:val="20"/>
          <w:lang w:eastAsia="tr-TR"/>
        </w:rPr>
        <w:t>TL/MW</w:t>
      </w:r>
      <w:r w:rsidRPr="007D184A">
        <w:rPr>
          <w:rFonts w:eastAsia="Times New Roman" w:cstheme="minorHAnsi"/>
          <w:i/>
          <w:sz w:val="20"/>
          <w:szCs w:val="20"/>
          <w:vertAlign w:val="subscript"/>
          <w:lang w:eastAsia="tr-TR"/>
        </w:rPr>
        <w:t>m</w:t>
      </w:r>
      <w:r w:rsidRPr="007D184A">
        <w:rPr>
          <w:rFonts w:eastAsia="Times New Roman" w:cstheme="minorHAnsi"/>
          <w:sz w:val="20"/>
          <w:szCs w:val="20"/>
          <w:lang w:eastAsia="tr-TR"/>
        </w:rPr>
        <w:t>)</w:t>
      </w:r>
    </w:p>
    <w:p w:rsidR="008016CC" w:rsidRPr="008016CC" w:rsidRDefault="008016CC" w:rsidP="008016CC">
      <w:pPr>
        <w:tabs>
          <w:tab w:val="left" w:pos="709"/>
        </w:tabs>
        <w:spacing w:after="0" w:line="240" w:lineRule="auto"/>
        <w:rPr>
          <w:rFonts w:eastAsia="Times New Roman" w:cstheme="minorHAnsi"/>
          <w:lang w:eastAsia="tr-TR"/>
        </w:rPr>
      </w:pPr>
    </w:p>
    <w:p w:rsidR="008016CC" w:rsidRDefault="008016CC" w:rsidP="008016CC">
      <w:pPr>
        <w:tabs>
          <w:tab w:val="left" w:pos="709"/>
        </w:tabs>
        <w:spacing w:after="0" w:line="240" w:lineRule="auto"/>
        <w:ind w:left="708"/>
        <w:rPr>
          <w:rFonts w:eastAsia="Times New Roman" w:cstheme="minorHAnsi"/>
          <w:lang w:eastAsia="tr-TR"/>
        </w:rPr>
      </w:pPr>
      <w:r w:rsidRPr="008016CC">
        <w:rPr>
          <w:rFonts w:eastAsia="Times New Roman" w:cstheme="minorHAnsi"/>
          <w:b/>
          <w:lang w:eastAsia="tr-TR"/>
        </w:rPr>
        <w:t>b.2)</w:t>
      </w:r>
      <w:r w:rsidRPr="008016CC">
        <w:rPr>
          <w:rFonts w:eastAsia="Times New Roman" w:cstheme="minorHAnsi"/>
          <w:lang w:eastAsia="tr-TR"/>
        </w:rPr>
        <w:t xml:space="preserve"> (b.1) bendi kapsamı dışında kalan üretim lisansı başvurularında Kuruma sunulması gereken teminat tutarlarının aşağıdaki tablo uyarınca tespit edilmesine, tabloda anılan formüle göre hesaplanacak teminat tutarına ilişkin üst sınırın 340.000.000 (üçyüzkırkmilyon) TL olarak belirlenmesine,</w:t>
      </w:r>
    </w:p>
    <w:p w:rsidR="007D184A" w:rsidRPr="008A04B1" w:rsidRDefault="007D184A" w:rsidP="007D184A">
      <w:pPr>
        <w:spacing w:after="0" w:line="240" w:lineRule="auto"/>
        <w:rPr>
          <w:rFonts w:ascii="Arial" w:eastAsia="Times New Roman" w:hAnsi="Arial" w:cs="Arial"/>
          <w:sz w:val="24"/>
          <w:szCs w:val="12"/>
          <w:lang w:eastAsia="tr-TR"/>
        </w:rPr>
      </w:pP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978"/>
        <w:gridCol w:w="2834"/>
        <w:gridCol w:w="3260"/>
      </w:tblGrid>
      <w:tr w:rsidR="007D184A" w:rsidRPr="008A04B1" w:rsidTr="004F2451">
        <w:trPr>
          <w:trHeight w:val="951"/>
          <w:jc w:val="center"/>
        </w:trPr>
        <w:tc>
          <w:tcPr>
            <w:tcW w:w="164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7D184A" w:rsidRPr="007D184A" w:rsidRDefault="007D184A" w:rsidP="004F2451">
            <w:pPr>
              <w:spacing w:after="0" w:line="240" w:lineRule="auto"/>
              <w:jc w:val="center"/>
              <w:rPr>
                <w:rFonts w:eastAsia="Times New Roman" w:cstheme="minorHAnsi"/>
                <w:lang w:eastAsia="tr-TR"/>
              </w:rPr>
            </w:pPr>
            <w:r w:rsidRPr="007D184A">
              <w:rPr>
                <w:rFonts w:eastAsia="Times New Roman" w:cstheme="minorHAnsi"/>
                <w:lang w:eastAsia="tr-TR"/>
              </w:rPr>
              <w:t>Kurulu Güç (MW</w:t>
            </w:r>
            <w:r w:rsidRPr="007D184A">
              <w:rPr>
                <w:rFonts w:eastAsia="Times New Roman" w:cstheme="minorHAnsi"/>
                <w:vertAlign w:val="subscript"/>
                <w:lang w:eastAsia="tr-TR"/>
              </w:rPr>
              <w:t>m</w:t>
            </w:r>
            <w:r w:rsidRPr="007D184A">
              <w:rPr>
                <w:rFonts w:eastAsia="Times New Roman" w:cstheme="minorHAnsi"/>
                <w:lang w:eastAsia="tr-TR"/>
              </w:rPr>
              <w:t>)</w:t>
            </w:r>
          </w:p>
        </w:tc>
        <w:tc>
          <w:tcPr>
            <w:tcW w:w="156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7D184A" w:rsidRPr="007D184A" w:rsidRDefault="007D184A" w:rsidP="004F2451">
            <w:pPr>
              <w:spacing w:after="0" w:line="240" w:lineRule="auto"/>
              <w:jc w:val="center"/>
              <w:rPr>
                <w:rFonts w:eastAsia="Times New Roman" w:cstheme="minorHAnsi"/>
                <w:lang w:eastAsia="tr-TR"/>
              </w:rPr>
            </w:pPr>
            <w:r w:rsidRPr="007D184A">
              <w:rPr>
                <w:rFonts w:eastAsia="Times New Roman" w:cstheme="minorHAnsi"/>
                <w:lang w:eastAsia="tr-TR"/>
              </w:rPr>
              <w:t xml:space="preserve">Öngörülen </w:t>
            </w:r>
            <w:r w:rsidR="004F2451" w:rsidRPr="007D184A">
              <w:rPr>
                <w:rFonts w:eastAsia="Times New Roman" w:cstheme="minorHAnsi"/>
                <w:lang w:eastAsia="tr-TR"/>
              </w:rPr>
              <w:t>Toplam Yatırım</w:t>
            </w:r>
          </w:p>
          <w:p w:rsidR="007D184A" w:rsidRPr="007D184A" w:rsidRDefault="004F2451" w:rsidP="004F2451">
            <w:pPr>
              <w:spacing w:after="0" w:line="240" w:lineRule="auto"/>
              <w:jc w:val="center"/>
              <w:rPr>
                <w:rFonts w:eastAsia="Times New Roman" w:cstheme="minorHAnsi"/>
                <w:lang w:eastAsia="tr-TR"/>
              </w:rPr>
            </w:pPr>
            <w:r w:rsidRPr="007D184A">
              <w:rPr>
                <w:rFonts w:eastAsia="Times New Roman" w:cstheme="minorHAnsi"/>
                <w:lang w:eastAsia="tr-TR"/>
              </w:rPr>
              <w:t xml:space="preserve">Tutarına Uygulanacak Yüzde </w:t>
            </w:r>
            <w:r w:rsidR="007D184A" w:rsidRPr="007D184A">
              <w:rPr>
                <w:rFonts w:eastAsia="Times New Roman" w:cstheme="minorHAnsi"/>
                <w:lang w:eastAsia="tr-TR"/>
              </w:rPr>
              <w:t>(%)</w:t>
            </w:r>
          </w:p>
        </w:tc>
        <w:tc>
          <w:tcPr>
            <w:tcW w:w="179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7D184A" w:rsidRPr="007D184A" w:rsidRDefault="007D184A" w:rsidP="004F2451">
            <w:pPr>
              <w:spacing w:after="0" w:line="240" w:lineRule="auto"/>
              <w:jc w:val="center"/>
              <w:rPr>
                <w:rFonts w:eastAsia="Times New Roman" w:cstheme="minorHAnsi"/>
                <w:lang w:eastAsia="tr-TR"/>
              </w:rPr>
            </w:pPr>
            <w:r w:rsidRPr="007D184A">
              <w:rPr>
                <w:rFonts w:eastAsia="Times New Roman" w:cstheme="minorHAnsi"/>
                <w:lang w:eastAsia="tr-TR"/>
              </w:rPr>
              <w:t>Uygulanan Formül</w:t>
            </w:r>
          </w:p>
        </w:tc>
      </w:tr>
      <w:tr w:rsidR="007D184A" w:rsidRPr="008A04B1" w:rsidTr="003971F6">
        <w:trPr>
          <w:trHeight w:val="469"/>
          <w:jc w:val="center"/>
        </w:trPr>
        <w:tc>
          <w:tcPr>
            <w:tcW w:w="164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7D184A" w:rsidRPr="007D184A" w:rsidRDefault="007D184A" w:rsidP="003971F6">
            <w:pPr>
              <w:spacing w:after="0" w:line="240" w:lineRule="auto"/>
              <w:jc w:val="center"/>
              <w:rPr>
                <w:rFonts w:eastAsia="Times New Roman" w:cstheme="minorHAnsi"/>
                <w:lang w:eastAsia="tr-TR"/>
              </w:rPr>
            </w:pPr>
            <w:r w:rsidRPr="007D184A">
              <w:rPr>
                <w:rFonts w:eastAsia="Times New Roman" w:cstheme="minorHAnsi"/>
                <w:lang w:eastAsia="tr-TR"/>
              </w:rPr>
              <w:t>0 &lt; P ≤ 10</w:t>
            </w:r>
          </w:p>
        </w:tc>
        <w:tc>
          <w:tcPr>
            <w:tcW w:w="156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7D184A" w:rsidRPr="007D184A" w:rsidRDefault="007D184A" w:rsidP="003971F6">
            <w:pPr>
              <w:spacing w:after="0" w:line="240" w:lineRule="auto"/>
              <w:jc w:val="center"/>
              <w:rPr>
                <w:rFonts w:eastAsia="Times New Roman" w:cstheme="minorHAnsi"/>
                <w:lang w:eastAsia="tr-TR"/>
              </w:rPr>
            </w:pPr>
            <w:r w:rsidRPr="007D184A">
              <w:rPr>
                <w:rFonts w:eastAsia="Times New Roman" w:cstheme="minorHAnsi"/>
                <w:lang w:eastAsia="tr-TR"/>
              </w:rPr>
              <w:t>3</w:t>
            </w:r>
          </w:p>
        </w:tc>
        <w:tc>
          <w:tcPr>
            <w:tcW w:w="179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7D184A" w:rsidRPr="007D184A" w:rsidRDefault="007D184A" w:rsidP="003971F6">
            <w:pPr>
              <w:spacing w:after="0" w:line="240" w:lineRule="auto"/>
              <w:jc w:val="center"/>
              <w:rPr>
                <w:rFonts w:eastAsia="Times New Roman" w:cstheme="minorHAnsi"/>
                <w:lang w:eastAsia="tr-TR"/>
              </w:rPr>
            </w:pPr>
            <w:r w:rsidRPr="007D184A">
              <w:rPr>
                <w:rFonts w:eastAsia="Times New Roman" w:cstheme="minorHAnsi"/>
                <w:lang w:eastAsia="tr-TR"/>
              </w:rPr>
              <w:t>P x BYT x 0,03</w:t>
            </w:r>
          </w:p>
        </w:tc>
      </w:tr>
      <w:tr w:rsidR="007D184A" w:rsidRPr="008A04B1" w:rsidTr="003971F6">
        <w:trPr>
          <w:trHeight w:val="417"/>
          <w:jc w:val="center"/>
        </w:trPr>
        <w:tc>
          <w:tcPr>
            <w:tcW w:w="164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7D184A" w:rsidRPr="007D184A" w:rsidRDefault="007D184A" w:rsidP="003971F6">
            <w:pPr>
              <w:spacing w:after="0" w:line="240" w:lineRule="auto"/>
              <w:jc w:val="center"/>
              <w:rPr>
                <w:rFonts w:eastAsia="Times New Roman" w:cstheme="minorHAnsi"/>
                <w:lang w:eastAsia="tr-TR"/>
              </w:rPr>
            </w:pPr>
            <w:r w:rsidRPr="007D184A">
              <w:rPr>
                <w:rFonts w:eastAsia="Times New Roman" w:cstheme="minorHAnsi"/>
                <w:lang w:eastAsia="tr-TR"/>
              </w:rPr>
              <w:t>10 &lt; P ≤ 100</w:t>
            </w:r>
          </w:p>
        </w:tc>
        <w:tc>
          <w:tcPr>
            <w:tcW w:w="156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7D184A" w:rsidRPr="007D184A" w:rsidRDefault="007D184A" w:rsidP="003971F6">
            <w:pPr>
              <w:spacing w:after="0" w:line="240" w:lineRule="auto"/>
              <w:jc w:val="center"/>
              <w:rPr>
                <w:rFonts w:eastAsia="Times New Roman" w:cstheme="minorHAnsi"/>
                <w:lang w:eastAsia="tr-TR"/>
              </w:rPr>
            </w:pPr>
            <w:r w:rsidRPr="007D184A">
              <w:rPr>
                <w:rFonts w:eastAsia="Times New Roman" w:cstheme="minorHAnsi"/>
                <w:lang w:eastAsia="tr-TR"/>
              </w:rPr>
              <w:t>2</w:t>
            </w:r>
          </w:p>
        </w:tc>
        <w:tc>
          <w:tcPr>
            <w:tcW w:w="179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7D184A" w:rsidRPr="007D184A" w:rsidRDefault="007D184A" w:rsidP="004F2451">
            <w:pPr>
              <w:spacing w:after="0" w:line="240" w:lineRule="auto"/>
              <w:jc w:val="center"/>
              <w:rPr>
                <w:rFonts w:eastAsia="Times New Roman" w:cstheme="minorHAnsi"/>
                <w:lang w:eastAsia="tr-TR"/>
              </w:rPr>
            </w:pPr>
            <w:r w:rsidRPr="007D184A">
              <w:rPr>
                <w:rFonts w:eastAsia="Times New Roman" w:cstheme="minorHAnsi"/>
                <w:lang w:eastAsia="tr-TR"/>
              </w:rPr>
              <w:t>BYT x [0,3 + (P – 10) x 0,02 ]</w:t>
            </w:r>
          </w:p>
        </w:tc>
      </w:tr>
      <w:tr w:rsidR="007D184A" w:rsidRPr="008A04B1" w:rsidTr="003971F6">
        <w:trPr>
          <w:trHeight w:val="410"/>
          <w:jc w:val="center"/>
        </w:trPr>
        <w:tc>
          <w:tcPr>
            <w:tcW w:w="164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7D184A" w:rsidRPr="007D184A" w:rsidRDefault="007D184A" w:rsidP="003971F6">
            <w:pPr>
              <w:spacing w:after="0" w:line="240" w:lineRule="auto"/>
              <w:jc w:val="center"/>
              <w:rPr>
                <w:rFonts w:eastAsia="Times New Roman" w:cstheme="minorHAnsi"/>
                <w:lang w:eastAsia="tr-TR"/>
              </w:rPr>
            </w:pPr>
            <w:r w:rsidRPr="007D184A">
              <w:rPr>
                <w:rFonts w:eastAsia="Times New Roman" w:cstheme="minorHAnsi"/>
                <w:lang w:eastAsia="tr-TR"/>
              </w:rPr>
              <w:t>P &gt; 100</w:t>
            </w:r>
          </w:p>
        </w:tc>
        <w:tc>
          <w:tcPr>
            <w:tcW w:w="156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7D184A" w:rsidRPr="007D184A" w:rsidRDefault="007D184A" w:rsidP="003971F6">
            <w:pPr>
              <w:spacing w:after="0" w:line="240" w:lineRule="auto"/>
              <w:jc w:val="center"/>
              <w:rPr>
                <w:rFonts w:eastAsia="Times New Roman" w:cstheme="minorHAnsi"/>
                <w:lang w:eastAsia="tr-TR"/>
              </w:rPr>
            </w:pPr>
            <w:r w:rsidRPr="007D184A">
              <w:rPr>
                <w:rFonts w:eastAsia="Times New Roman" w:cstheme="minorHAnsi"/>
                <w:lang w:eastAsia="tr-TR"/>
              </w:rPr>
              <w:t>1</w:t>
            </w:r>
          </w:p>
        </w:tc>
        <w:tc>
          <w:tcPr>
            <w:tcW w:w="179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7D184A" w:rsidRPr="007D184A" w:rsidRDefault="007D184A" w:rsidP="004F2451">
            <w:pPr>
              <w:spacing w:after="0" w:line="240" w:lineRule="auto"/>
              <w:jc w:val="center"/>
              <w:rPr>
                <w:rFonts w:eastAsia="Times New Roman" w:cstheme="minorHAnsi"/>
                <w:lang w:eastAsia="tr-TR"/>
              </w:rPr>
            </w:pPr>
            <w:r w:rsidRPr="007D184A">
              <w:rPr>
                <w:rFonts w:eastAsia="Times New Roman" w:cstheme="minorHAnsi"/>
                <w:lang w:eastAsia="tr-TR"/>
              </w:rPr>
              <w:t>BYT x [2,1 + (P – 100) x 0,01]</w:t>
            </w:r>
          </w:p>
        </w:tc>
      </w:tr>
    </w:tbl>
    <w:p w:rsidR="007D184A" w:rsidRPr="007D184A" w:rsidRDefault="007D184A" w:rsidP="007D184A">
      <w:pPr>
        <w:spacing w:after="0" w:line="240" w:lineRule="auto"/>
        <w:rPr>
          <w:rFonts w:eastAsia="Times New Roman" w:cstheme="minorHAnsi"/>
          <w:sz w:val="20"/>
          <w:szCs w:val="20"/>
          <w:lang w:eastAsia="tr-TR"/>
        </w:rPr>
      </w:pPr>
      <w:r w:rsidRPr="007D184A">
        <w:rPr>
          <w:rFonts w:eastAsia="Times New Roman" w:cstheme="minorHAnsi"/>
          <w:sz w:val="20"/>
          <w:szCs w:val="20"/>
          <w:lang w:eastAsia="tr-TR"/>
        </w:rPr>
        <w:t xml:space="preserve">        P : Kurulu Güç (</w:t>
      </w:r>
      <w:r w:rsidRPr="007D184A">
        <w:rPr>
          <w:rFonts w:eastAsia="Times New Roman" w:cstheme="minorHAnsi"/>
          <w:i/>
          <w:sz w:val="20"/>
          <w:szCs w:val="20"/>
          <w:lang w:eastAsia="tr-TR"/>
        </w:rPr>
        <w:t>MW</w:t>
      </w:r>
      <w:r w:rsidRPr="007D184A">
        <w:rPr>
          <w:rFonts w:eastAsia="Times New Roman" w:cstheme="minorHAnsi"/>
          <w:i/>
          <w:sz w:val="20"/>
          <w:szCs w:val="20"/>
          <w:vertAlign w:val="subscript"/>
          <w:lang w:eastAsia="tr-TR"/>
        </w:rPr>
        <w:t>m</w:t>
      </w:r>
      <w:r w:rsidRPr="007D184A">
        <w:rPr>
          <w:rFonts w:eastAsia="Times New Roman" w:cstheme="minorHAnsi"/>
          <w:i/>
          <w:sz w:val="20"/>
          <w:szCs w:val="20"/>
          <w:lang w:eastAsia="tr-TR"/>
        </w:rPr>
        <w:t xml:space="preserve"> cinsinden; virgülden sonraki üç basamak dâhil</w:t>
      </w:r>
      <w:r w:rsidRPr="007D184A">
        <w:rPr>
          <w:rFonts w:eastAsia="Times New Roman" w:cstheme="minorHAnsi"/>
          <w:sz w:val="20"/>
          <w:szCs w:val="20"/>
          <w:lang w:eastAsia="tr-TR"/>
        </w:rPr>
        <w:t xml:space="preserve">) </w:t>
      </w:r>
    </w:p>
    <w:p w:rsidR="007D184A" w:rsidRPr="007D184A" w:rsidRDefault="007D184A" w:rsidP="007D184A">
      <w:pPr>
        <w:spacing w:after="0" w:line="240" w:lineRule="auto"/>
        <w:rPr>
          <w:rFonts w:eastAsia="Times New Roman" w:cstheme="minorHAnsi"/>
          <w:sz w:val="20"/>
          <w:szCs w:val="20"/>
          <w:lang w:eastAsia="tr-TR"/>
        </w:rPr>
      </w:pPr>
      <w:r w:rsidRPr="007D184A">
        <w:rPr>
          <w:rFonts w:eastAsia="Times New Roman" w:cstheme="minorHAnsi"/>
          <w:sz w:val="20"/>
          <w:szCs w:val="20"/>
          <w:lang w:eastAsia="tr-TR"/>
        </w:rPr>
        <w:t xml:space="preserve">        BYT : Kurum tarafından öngörülen toplam birim yatırım tutarı (</w:t>
      </w:r>
      <w:r w:rsidRPr="007D184A">
        <w:rPr>
          <w:rFonts w:eastAsia="Times New Roman" w:cstheme="minorHAnsi"/>
          <w:i/>
          <w:sz w:val="20"/>
          <w:szCs w:val="20"/>
          <w:lang w:eastAsia="tr-TR"/>
        </w:rPr>
        <w:t>TL/MW</w:t>
      </w:r>
      <w:r w:rsidRPr="007D184A">
        <w:rPr>
          <w:rFonts w:eastAsia="Times New Roman" w:cstheme="minorHAnsi"/>
          <w:i/>
          <w:sz w:val="20"/>
          <w:szCs w:val="20"/>
          <w:vertAlign w:val="subscript"/>
          <w:lang w:eastAsia="tr-TR"/>
        </w:rPr>
        <w:t>m</w:t>
      </w:r>
      <w:r w:rsidRPr="007D184A">
        <w:rPr>
          <w:rFonts w:eastAsia="Times New Roman" w:cstheme="minorHAnsi"/>
          <w:sz w:val="20"/>
          <w:szCs w:val="20"/>
          <w:lang w:eastAsia="tr-TR"/>
        </w:rPr>
        <w:t>)</w:t>
      </w:r>
    </w:p>
    <w:p w:rsidR="007D184A" w:rsidRPr="008016CC" w:rsidRDefault="007D184A" w:rsidP="008016CC">
      <w:pPr>
        <w:tabs>
          <w:tab w:val="left" w:pos="709"/>
        </w:tabs>
        <w:spacing w:after="0" w:line="240" w:lineRule="auto"/>
        <w:ind w:left="708"/>
        <w:rPr>
          <w:rFonts w:eastAsia="Times New Roman" w:cstheme="minorHAnsi"/>
          <w:lang w:eastAsia="tr-TR"/>
        </w:rPr>
      </w:pPr>
    </w:p>
    <w:p w:rsidR="008016CC" w:rsidRPr="008016CC" w:rsidRDefault="008016CC" w:rsidP="008016CC">
      <w:pPr>
        <w:spacing w:after="0" w:line="240" w:lineRule="auto"/>
        <w:ind w:left="1134" w:hanging="425"/>
        <w:rPr>
          <w:rFonts w:eastAsia="Times New Roman" w:cstheme="minorHAnsi"/>
          <w:lang w:eastAsia="tr-TR"/>
        </w:rPr>
      </w:pPr>
      <w:r w:rsidRPr="008016CC">
        <w:rPr>
          <w:rFonts w:eastAsia="Times New Roman" w:cstheme="minorHAnsi"/>
          <w:b/>
          <w:lang w:eastAsia="tr-TR"/>
        </w:rPr>
        <w:t>b.3)</w:t>
      </w:r>
      <w:r w:rsidRPr="008016CC">
        <w:rPr>
          <w:rFonts w:eastAsia="Times New Roman" w:cstheme="minorHAnsi"/>
          <w:lang w:eastAsia="tr-TR"/>
        </w:rPr>
        <w:t xml:space="preserve"> </w:t>
      </w:r>
      <w:bookmarkStart w:id="67" w:name="_Hlk117241289"/>
      <w:bookmarkStart w:id="68" w:name="_Hlk117240656"/>
      <w:r w:rsidRPr="008016CC">
        <w:rPr>
          <w:rFonts w:eastAsia="Times New Roman" w:cstheme="minorHAnsi"/>
          <w:lang w:eastAsia="tr-TR"/>
        </w:rPr>
        <w:t xml:space="preserve">Depolamalı elektrik üretim tesisi kapsamındaki üretim lisansı başvurularında </w:t>
      </w:r>
      <w:bookmarkEnd w:id="67"/>
      <w:r w:rsidRPr="008016CC">
        <w:rPr>
          <w:rFonts w:eastAsia="Times New Roman" w:cstheme="minorHAnsi"/>
          <w:lang w:eastAsia="tr-TR"/>
        </w:rPr>
        <w:t>Kuruma sunulması gereken teminat tutarının elektrik depolama ünitesi için MWh cinsinden (b.2) bendinde yer alan formül kullanılmak suretiyle ayrıca hesaplanarak, (b.2) bendinde ilgili kaynağa göre tespit edilen teminat tutarına eklenerek birlikte sunulmasına</w:t>
      </w:r>
      <w:bookmarkEnd w:id="68"/>
      <w:r w:rsidRPr="008016CC">
        <w:rPr>
          <w:rFonts w:eastAsia="Times New Roman" w:cstheme="minorHAnsi"/>
          <w:lang w:eastAsia="tr-TR"/>
        </w:rPr>
        <w:t>,</w:t>
      </w:r>
    </w:p>
    <w:p w:rsidR="008016CC" w:rsidRPr="008016CC" w:rsidRDefault="008016CC" w:rsidP="008016CC">
      <w:pPr>
        <w:tabs>
          <w:tab w:val="left" w:pos="709"/>
        </w:tabs>
        <w:spacing w:after="0" w:line="240" w:lineRule="auto"/>
        <w:ind w:left="708"/>
        <w:rPr>
          <w:rFonts w:eastAsia="Times New Roman" w:cstheme="minorHAnsi"/>
          <w:lang w:eastAsia="tr-TR"/>
        </w:rPr>
      </w:pPr>
    </w:p>
    <w:p w:rsidR="006E18CB" w:rsidRDefault="008016CC" w:rsidP="000A5A56">
      <w:pPr>
        <w:pStyle w:val="ListeParagraf"/>
        <w:numPr>
          <w:ilvl w:val="0"/>
          <w:numId w:val="51"/>
        </w:numPr>
        <w:spacing w:after="0" w:line="240" w:lineRule="auto"/>
        <w:rPr>
          <w:rFonts w:eastAsia="Times New Roman" w:cstheme="minorHAnsi"/>
          <w:lang w:eastAsia="tr-TR"/>
        </w:rPr>
      </w:pPr>
      <w:r w:rsidRPr="008016CC">
        <w:rPr>
          <w:rFonts w:eastAsia="Times New Roman" w:cstheme="minorHAnsi"/>
          <w:lang w:eastAsia="tr-TR"/>
        </w:rPr>
        <w:t>Birden çok kaynaklı elektrik üretim tesislerine ilişkin başvurularda, bu kararda belirtilen işlemlerle ilgili olarak ana kaynak ve yardımcı kaynağın MWm cinsinden kurulu güçlerinin toplanarak ana kaynak birim yatırım tutarı üzerinden birlikte değerlendirilmesine,</w:t>
      </w:r>
    </w:p>
    <w:p w:rsidR="008016CC" w:rsidRDefault="008016CC" w:rsidP="008016CC">
      <w:pPr>
        <w:pStyle w:val="ListeParagraf"/>
        <w:spacing w:after="0" w:line="240" w:lineRule="auto"/>
        <w:ind w:left="1080"/>
        <w:rPr>
          <w:rFonts w:eastAsia="Times New Roman" w:cstheme="minorHAnsi"/>
          <w:lang w:eastAsia="tr-TR"/>
        </w:rPr>
      </w:pPr>
    </w:p>
    <w:p w:rsidR="008016CC" w:rsidRPr="008016CC" w:rsidRDefault="008016CC" w:rsidP="000A5A56">
      <w:pPr>
        <w:pStyle w:val="ListeParagraf"/>
        <w:numPr>
          <w:ilvl w:val="0"/>
          <w:numId w:val="51"/>
        </w:numPr>
        <w:spacing w:after="0" w:line="240" w:lineRule="auto"/>
        <w:rPr>
          <w:rFonts w:eastAsia="Times New Roman" w:cstheme="minorHAnsi"/>
          <w:lang w:eastAsia="tr-TR"/>
        </w:rPr>
      </w:pPr>
      <w:r w:rsidRPr="008016CC">
        <w:rPr>
          <w:rFonts w:eastAsia="Times New Roman" w:cstheme="minorHAnsi"/>
          <w:lang w:eastAsia="tr-TR"/>
        </w:rPr>
        <w:t>18/06/2020 tarihli ve 9397 sayılı Kurul Kararının yürürlükten kaldırılmasına,</w:t>
      </w:r>
    </w:p>
    <w:p w:rsidR="008016CC" w:rsidRPr="008016CC" w:rsidRDefault="008016CC" w:rsidP="008016CC">
      <w:pPr>
        <w:pStyle w:val="ListeParagraf"/>
        <w:spacing w:after="0" w:line="240" w:lineRule="auto"/>
        <w:ind w:left="1080"/>
        <w:rPr>
          <w:rFonts w:eastAsia="Times New Roman" w:cstheme="minorHAnsi"/>
          <w:lang w:eastAsia="tr-TR"/>
        </w:rPr>
      </w:pPr>
    </w:p>
    <w:p w:rsidR="008016CC" w:rsidRDefault="008016CC" w:rsidP="008016CC">
      <w:pPr>
        <w:tabs>
          <w:tab w:val="right" w:pos="9072"/>
        </w:tabs>
        <w:spacing w:after="0" w:line="240" w:lineRule="auto"/>
        <w:ind w:firstLine="567"/>
        <w:rPr>
          <w:rFonts w:eastAsia="Times New Roman" w:cstheme="minorHAnsi"/>
          <w:spacing w:val="-2"/>
          <w:lang w:eastAsia="tr-TR"/>
        </w:rPr>
      </w:pPr>
      <w:r w:rsidRPr="00315C8C">
        <w:rPr>
          <w:rFonts w:eastAsia="Times New Roman" w:cstheme="minorHAnsi"/>
          <w:spacing w:val="-2"/>
          <w:lang w:eastAsia="tr-TR"/>
        </w:rPr>
        <w:t>karar verilmiştir.</w:t>
      </w:r>
    </w:p>
    <w:p w:rsidR="008016CC" w:rsidRDefault="008016CC" w:rsidP="008016CC">
      <w:pPr>
        <w:pStyle w:val="ListeParagraf"/>
        <w:spacing w:after="160" w:line="259" w:lineRule="auto"/>
        <w:ind w:left="1080"/>
      </w:pPr>
    </w:p>
    <w:p w:rsidR="00CA332B" w:rsidRDefault="00CA332B" w:rsidP="000A5A56">
      <w:pPr>
        <w:pStyle w:val="ListeParagraf"/>
        <w:numPr>
          <w:ilvl w:val="0"/>
          <w:numId w:val="28"/>
        </w:numPr>
        <w:spacing w:after="160" w:line="259" w:lineRule="auto"/>
      </w:pPr>
      <w:r>
        <w:t>19</w:t>
      </w:r>
      <w:r w:rsidR="003F5D54" w:rsidRPr="00FB5D3F">
        <w:t>.</w:t>
      </w:r>
      <w:r>
        <w:t>11</w:t>
      </w:r>
      <w:r w:rsidR="003F5D54" w:rsidRPr="00FB5D3F">
        <w:t>.202</w:t>
      </w:r>
      <w:r>
        <w:t>2</w:t>
      </w:r>
      <w:r w:rsidR="003F5D54" w:rsidRPr="00FB5D3F">
        <w:t xml:space="preserve"> tarihli ve 3</w:t>
      </w:r>
      <w:r>
        <w:t>2018</w:t>
      </w:r>
      <w:r w:rsidR="003F5D54" w:rsidRPr="00FB5D3F">
        <w:t xml:space="preserve"> sayılı Resmî </w:t>
      </w:r>
      <w:r w:rsidR="00274939">
        <w:t>Gazetede</w:t>
      </w:r>
      <w:r w:rsidR="003F5D54" w:rsidRPr="00FB5D3F">
        <w:t xml:space="preserve"> yayımlanan </w:t>
      </w:r>
      <w:r>
        <w:t>17</w:t>
      </w:r>
      <w:r w:rsidR="003F5D54" w:rsidRPr="00FB5D3F">
        <w:t>.</w:t>
      </w:r>
      <w:r>
        <w:t>11</w:t>
      </w:r>
      <w:r w:rsidR="003F5D54" w:rsidRPr="00FB5D3F">
        <w:t>.202</w:t>
      </w:r>
      <w:r>
        <w:t>2</w:t>
      </w:r>
      <w:r w:rsidR="003F5D54" w:rsidRPr="00FB5D3F">
        <w:t xml:space="preserve"> </w:t>
      </w:r>
      <w:r w:rsidR="003F5D54">
        <w:t>t</w:t>
      </w:r>
      <w:r w:rsidR="003F5D54" w:rsidRPr="00FB5D3F">
        <w:t xml:space="preserve">arihli ve </w:t>
      </w:r>
      <w:r>
        <w:t>11391</w:t>
      </w:r>
      <w:r w:rsidR="003F5D54" w:rsidRPr="00FB5D3F">
        <w:t xml:space="preserve"> </w:t>
      </w:r>
      <w:r w:rsidR="003F5D54">
        <w:t>s</w:t>
      </w:r>
      <w:r w:rsidR="003F5D54" w:rsidRPr="00FB5D3F">
        <w:t>ayılı Kurul Kararı ile</w:t>
      </w:r>
      <w:r>
        <w:t>;</w:t>
      </w:r>
      <w:r w:rsidR="003F5D54" w:rsidRPr="00FB5D3F">
        <w:t xml:space="preserve"> </w:t>
      </w:r>
      <w:r>
        <w:t>Elektrik Piyasası Lisans Yönetmeliğinin 12 nci maddesinin ondördüncü fıkrası ve 24 üncü maddesinin yirmibirinci fıkrası ile Geçici 37 nci maddesi kapsamında yapılacak önlisans başvurularının değerlendirilmesi aşamasında;</w:t>
      </w:r>
    </w:p>
    <w:p w:rsidR="00CA332B" w:rsidRDefault="00CA332B" w:rsidP="000A5A56">
      <w:pPr>
        <w:pStyle w:val="ListeParagraf"/>
        <w:numPr>
          <w:ilvl w:val="0"/>
          <w:numId w:val="52"/>
        </w:numPr>
        <w:spacing w:after="160" w:line="259" w:lineRule="auto"/>
      </w:pPr>
      <w:r>
        <w:lastRenderedPageBreak/>
        <w:t xml:space="preserve">Başvuruların değerlendirmeye alınmasına ilişkin yapılan incelemeler kapsamında; aynı gün yapılan başvurular için yapılacak incelemeler sonrasında tespit edilen eksikliklere ilişkin bildirim yazılarının, söz konusu başvuruların tamamı için yapılan incelemelerin tamamlandığı gün içerisinde başvuru sahiplerine gönderilmesine, </w:t>
      </w:r>
    </w:p>
    <w:p w:rsidR="00EE1E39" w:rsidRDefault="00EE1E39" w:rsidP="00EE1E39">
      <w:pPr>
        <w:pStyle w:val="ListeParagraf"/>
        <w:spacing w:after="160" w:line="259" w:lineRule="auto"/>
        <w:ind w:left="1080"/>
      </w:pPr>
    </w:p>
    <w:p w:rsidR="00CA332B" w:rsidRDefault="00CA332B" w:rsidP="000A5A56">
      <w:pPr>
        <w:pStyle w:val="ListeParagraf"/>
        <w:numPr>
          <w:ilvl w:val="0"/>
          <w:numId w:val="52"/>
        </w:numPr>
        <w:spacing w:after="160" w:line="259" w:lineRule="auto"/>
      </w:pPr>
      <w:r>
        <w:t xml:space="preserve">Değerlendirmeye alınan başvuruların değerlendirmeye alınma sırasına göre tespit edilmesine, Yönetmeliğin Geçici 37 nci maddesi kapsamındaki başvurulara ilişkin sürenin sona ermesini müteakip, o tarihe kadar değerlendirmeye alınan başvuruların toplu olarak, bağlantı görüşlerinin oluşturulması için TEİAŞ’a gönderilmesine, TEİAŞ tarafından söz konusu başvurulara ilişkin bağlantı görüşlerinin, Kurum tarafından gönderilen sıraya uygun olarak oluşturulmasına, </w:t>
      </w:r>
    </w:p>
    <w:p w:rsidR="00EE1E39" w:rsidRDefault="00EE1E39" w:rsidP="00EE1E39">
      <w:pPr>
        <w:pStyle w:val="ListeParagraf"/>
      </w:pPr>
    </w:p>
    <w:p w:rsidR="00CA332B" w:rsidRDefault="00CA332B" w:rsidP="000A5A56">
      <w:pPr>
        <w:pStyle w:val="ListeParagraf"/>
        <w:numPr>
          <w:ilvl w:val="0"/>
          <w:numId w:val="52"/>
        </w:numPr>
        <w:spacing w:after="160" w:line="259" w:lineRule="auto"/>
      </w:pPr>
      <w:r>
        <w:t xml:space="preserve">Yönetmeliğin Geçici 37 nci maddesi kapsamındaki başvurulara ilişkin olarak, Kurul tarafından uygun bulunan “mücbir sebep” hallerinin bulunması ve aynı bağlantı bölgesinde kalmak kaydıyla uygun bulunan santral sahasının dışında tamamen farklı bir sahaya taşınabilmesine, </w:t>
      </w:r>
    </w:p>
    <w:p w:rsidR="00EE1E39" w:rsidRDefault="00EE1E39" w:rsidP="00EE1E39">
      <w:pPr>
        <w:pStyle w:val="ListeParagraf"/>
        <w:spacing w:after="160" w:line="259" w:lineRule="auto"/>
        <w:ind w:left="1080"/>
      </w:pPr>
    </w:p>
    <w:p w:rsidR="00CA332B" w:rsidRDefault="00CA332B" w:rsidP="000A5A56">
      <w:pPr>
        <w:pStyle w:val="ListeParagraf"/>
        <w:numPr>
          <w:ilvl w:val="0"/>
          <w:numId w:val="52"/>
        </w:numPr>
        <w:spacing w:after="160" w:line="259" w:lineRule="auto"/>
      </w:pPr>
      <w:r>
        <w:t xml:space="preserve">Yönetmeliğin Geçici 37 nci maddesi kapsamındaki başvurulara ilişkin olarak, uygun bulunan tesis kurulu gücünün bölünmesi halinde, bu kapsamda Kurul tarafından daha önce uygun bulunan santral sahası değiştirilmeden veya bu sahayı içerecek şekilde yeni saha oluşturularak önlisans başvurusu yapılması durumunda; bağlantı bölgesinin değiştirilmemesi kaydıyla, uygun bulunan kapasitenin korunmasına, ancak gerekmesi halinde bağlantı görüşünün yeniden değerlendirilmesi için TEİAŞ ve/veya ilgili elektrik dağıtım şirketine gönderilmesine, </w:t>
      </w:r>
    </w:p>
    <w:p w:rsidR="00EE1E39" w:rsidRDefault="00EE1E39" w:rsidP="00EE1E39">
      <w:pPr>
        <w:pStyle w:val="ListeParagraf"/>
        <w:spacing w:after="160" w:line="259" w:lineRule="auto"/>
        <w:ind w:left="1080"/>
      </w:pPr>
    </w:p>
    <w:p w:rsidR="00CA332B" w:rsidRDefault="00CA332B" w:rsidP="000A5A56">
      <w:pPr>
        <w:pStyle w:val="ListeParagraf"/>
        <w:numPr>
          <w:ilvl w:val="0"/>
          <w:numId w:val="52"/>
        </w:numPr>
        <w:spacing w:after="160" w:line="259" w:lineRule="auto"/>
      </w:pPr>
      <w:r>
        <w:t xml:space="preserve">Yönetmeliğin Geçici 37 nci maddesi kapsamındaki başvuruların birbirleri ile veya Yönetmeliğinin 12 nci maddesi kapsamında yapılacak yeni başvurular ile santral sahalarında kesişme veya çakışma olması durumunda, bu kapsamdaki başvurular arasında yapılacak önceliklendirme sıralamasında; </w:t>
      </w:r>
    </w:p>
    <w:p w:rsidR="00CA332B" w:rsidRDefault="00CA332B" w:rsidP="00CA332B">
      <w:pPr>
        <w:pStyle w:val="ListeParagraf"/>
        <w:spacing w:after="160" w:line="259" w:lineRule="auto"/>
        <w:ind w:left="1080"/>
      </w:pPr>
      <w:r w:rsidRPr="00EE1E39">
        <w:rPr>
          <w:b/>
        </w:rPr>
        <w:t>a)</w:t>
      </w:r>
      <w:r>
        <w:t xml:space="preserve"> Söz konusu başvurular için tedarik lisansı kapsamında, uygun bulunan santral sahası değiştirilmeden veya bu sahayı içerecek şekilde yeni saha oluşturularak önlisans başvurusu yapılması halinde, müstakil depolama tesisi için yapılan başvurunun değerlendirmeye alındığı tarihin esas alınmasına, </w:t>
      </w:r>
    </w:p>
    <w:p w:rsidR="00CA332B" w:rsidRDefault="00CA332B" w:rsidP="00CA332B">
      <w:pPr>
        <w:pStyle w:val="ListeParagraf"/>
        <w:spacing w:after="160" w:line="259" w:lineRule="auto"/>
        <w:ind w:left="1080"/>
      </w:pPr>
      <w:r w:rsidRPr="00EE1E39">
        <w:rPr>
          <w:b/>
        </w:rPr>
        <w:t>b)</w:t>
      </w:r>
      <w:r>
        <w:t xml:space="preserve"> 3 üncü madde kapsamında uygun bulunan santral sahasının değiştirilerek önlisans başvurusu yapılması halinde, yeni sahayla yapılan başvuru için, söz konusu yeni başvurunun değerlendirmeye alındığı tarihin esas alınmasına, </w:t>
      </w:r>
    </w:p>
    <w:p w:rsidR="00EE1E39" w:rsidRDefault="00EE1E39" w:rsidP="00CA332B">
      <w:pPr>
        <w:pStyle w:val="ListeParagraf"/>
        <w:spacing w:after="160" w:line="259" w:lineRule="auto"/>
        <w:ind w:left="1080"/>
      </w:pPr>
    </w:p>
    <w:p w:rsidR="00CA332B" w:rsidRDefault="00CA332B" w:rsidP="000A5A56">
      <w:pPr>
        <w:pStyle w:val="ListeParagraf"/>
        <w:numPr>
          <w:ilvl w:val="0"/>
          <w:numId w:val="52"/>
        </w:numPr>
        <w:spacing w:after="160" w:line="259" w:lineRule="auto"/>
      </w:pPr>
      <w:r>
        <w:t>Önlisans başvurusu kapsamında üretim tesisine ilişkin seçilen kaynağın daha sonra değiştirilmemesine,</w:t>
      </w:r>
    </w:p>
    <w:p w:rsidR="00CA332B" w:rsidRDefault="00CA332B" w:rsidP="00CA332B">
      <w:pPr>
        <w:pStyle w:val="ListeParagraf"/>
        <w:spacing w:after="160" w:line="259" w:lineRule="auto"/>
      </w:pPr>
    </w:p>
    <w:p w:rsidR="00041598" w:rsidRDefault="00EE1E39" w:rsidP="00041598">
      <w:pPr>
        <w:pStyle w:val="ListeParagraf"/>
        <w:spacing w:after="160" w:line="259" w:lineRule="auto"/>
      </w:pPr>
      <w:r>
        <w:t>karar verilmiştir.</w:t>
      </w:r>
    </w:p>
    <w:p w:rsidR="00EE1E39" w:rsidRDefault="00EE1E39" w:rsidP="00041598">
      <w:pPr>
        <w:pStyle w:val="ListeParagraf"/>
        <w:spacing w:after="160" w:line="259" w:lineRule="auto"/>
      </w:pPr>
    </w:p>
    <w:p w:rsidR="003F5D54" w:rsidRDefault="00BB42F9" w:rsidP="000A5A56">
      <w:pPr>
        <w:pStyle w:val="ListeParagraf"/>
        <w:numPr>
          <w:ilvl w:val="0"/>
          <w:numId w:val="27"/>
        </w:numPr>
        <w:spacing w:after="160" w:line="259" w:lineRule="auto"/>
      </w:pPr>
      <w:r>
        <w:t>22</w:t>
      </w:r>
      <w:r w:rsidR="003F5D54" w:rsidRPr="00864F4E">
        <w:t>.</w:t>
      </w:r>
      <w:r w:rsidR="003F5D54">
        <w:t>1</w:t>
      </w:r>
      <w:r>
        <w:t>1</w:t>
      </w:r>
      <w:r w:rsidR="003F5D54" w:rsidRPr="00864F4E">
        <w:t>.202</w:t>
      </w:r>
      <w:r>
        <w:t>2</w:t>
      </w:r>
      <w:r w:rsidR="003F5D54" w:rsidRPr="00864F4E">
        <w:t xml:space="preserve"> tarihli ve </w:t>
      </w:r>
      <w:r w:rsidR="00850327">
        <w:t>32021</w:t>
      </w:r>
      <w:r w:rsidR="003F5D54" w:rsidRPr="00864F4E">
        <w:t xml:space="preserve"> sayılı Resmî </w:t>
      </w:r>
      <w:r w:rsidR="00274939">
        <w:t>Gazetede</w:t>
      </w:r>
      <w:r w:rsidR="003F5D54" w:rsidRPr="00864F4E">
        <w:t xml:space="preserve"> yayımlanan </w:t>
      </w:r>
      <w:r>
        <w:t>17</w:t>
      </w:r>
      <w:r w:rsidR="003F5D54" w:rsidRPr="00864F4E">
        <w:t>.</w:t>
      </w:r>
      <w:r>
        <w:t>11</w:t>
      </w:r>
      <w:r w:rsidR="003F5D54" w:rsidRPr="00864F4E">
        <w:t>.202</w:t>
      </w:r>
      <w:r>
        <w:t>2</w:t>
      </w:r>
      <w:r w:rsidR="003F5D54" w:rsidRPr="00864F4E">
        <w:t xml:space="preserve"> tarihli ve </w:t>
      </w:r>
      <w:r>
        <w:t>11410</w:t>
      </w:r>
      <w:r w:rsidR="003F5D54" w:rsidRPr="00864F4E">
        <w:t xml:space="preserve"> sayılı Kurul Kararı ile </w:t>
      </w:r>
      <w:r w:rsidR="00850327" w:rsidRPr="00850327">
        <w:t>27/03/2014 tarihli ve 4935-19 sayılı Kurul Kararının yürürlükten kaldırılmasına</w:t>
      </w:r>
      <w:r w:rsidR="00CC791F" w:rsidRPr="00CC791F">
        <w:t xml:space="preserve"> </w:t>
      </w:r>
      <w:r w:rsidR="003F5D54" w:rsidRPr="00864F4E">
        <w:t xml:space="preserve">karar verilmiştir. </w:t>
      </w:r>
    </w:p>
    <w:p w:rsidR="00041598" w:rsidRDefault="00041598" w:rsidP="00041598">
      <w:pPr>
        <w:pStyle w:val="ListeParagraf"/>
        <w:spacing w:after="160" w:line="259" w:lineRule="auto"/>
      </w:pPr>
    </w:p>
    <w:p w:rsidR="00850327" w:rsidRPr="00850327" w:rsidRDefault="00850327" w:rsidP="000A5A56">
      <w:pPr>
        <w:pStyle w:val="ListeParagraf"/>
        <w:numPr>
          <w:ilvl w:val="0"/>
          <w:numId w:val="27"/>
        </w:numPr>
        <w:spacing w:after="160" w:line="259" w:lineRule="auto"/>
      </w:pPr>
      <w:r>
        <w:t>2</w:t>
      </w:r>
      <w:r w:rsidR="003F5D54">
        <w:t>5</w:t>
      </w:r>
      <w:r w:rsidR="003F5D54" w:rsidRPr="005561AA">
        <w:t>.</w:t>
      </w:r>
      <w:r w:rsidR="003F5D54">
        <w:t>1</w:t>
      </w:r>
      <w:r>
        <w:t>1</w:t>
      </w:r>
      <w:r w:rsidR="003F5D54" w:rsidRPr="005561AA">
        <w:t>.202</w:t>
      </w:r>
      <w:r>
        <w:t>2</w:t>
      </w:r>
      <w:r w:rsidR="003F5D54" w:rsidRPr="005561AA">
        <w:t xml:space="preserve"> tarihli ve 3</w:t>
      </w:r>
      <w:r>
        <w:t>2024</w:t>
      </w:r>
      <w:r w:rsidR="003F5D54" w:rsidRPr="005561AA">
        <w:t xml:space="preserve"> sayılı Resmî </w:t>
      </w:r>
      <w:r w:rsidR="00274939">
        <w:t>Gazetede</w:t>
      </w:r>
      <w:r w:rsidR="003F5D54" w:rsidRPr="005561AA">
        <w:t xml:space="preserve"> yayımlanan </w:t>
      </w:r>
      <w:r>
        <w:t>24</w:t>
      </w:r>
      <w:r w:rsidR="003F5D54" w:rsidRPr="005561AA">
        <w:t>.</w:t>
      </w:r>
      <w:r>
        <w:t>11</w:t>
      </w:r>
      <w:r w:rsidR="003F5D54" w:rsidRPr="005561AA">
        <w:t>.202</w:t>
      </w:r>
      <w:r>
        <w:t>2</w:t>
      </w:r>
      <w:r w:rsidR="003F5D54" w:rsidRPr="005561AA">
        <w:t xml:space="preserve"> tarihli ve </w:t>
      </w:r>
      <w:r>
        <w:t>11412-1</w:t>
      </w:r>
      <w:r w:rsidR="003F5D54" w:rsidRPr="005561AA">
        <w:t xml:space="preserve"> sayılı Kurul Kararı </w:t>
      </w:r>
      <w:r w:rsidR="00E16B2E" w:rsidRPr="005561AA">
        <w:t>ile</w:t>
      </w:r>
      <w:r w:rsidR="003F5D54" w:rsidRPr="005561AA">
        <w:t xml:space="preserve"> </w:t>
      </w:r>
      <w:r w:rsidRPr="00850327">
        <w:t>27</w:t>
      </w:r>
      <w:r w:rsidR="00EB7255">
        <w:t>.</w:t>
      </w:r>
      <w:r w:rsidRPr="00850327">
        <w:t>10</w:t>
      </w:r>
      <w:r w:rsidR="00EB7255">
        <w:t>.</w:t>
      </w:r>
      <w:r w:rsidRPr="00850327">
        <w:t xml:space="preserve">2022 tarihli ve 11331-1 sayılı Kurul kararı ekinde yer alan “Önlisans Başvurusunda Sunulması Gereken Bilgi ve Belgeler Listesi (Ek-3)”nin “Önlisans alma bedeli” başlıklı 12 nci maddesinde, </w:t>
      </w:r>
    </w:p>
    <w:p w:rsidR="00850327" w:rsidRPr="003B3F24" w:rsidRDefault="00850327" w:rsidP="00850327">
      <w:pPr>
        <w:spacing w:after="0" w:line="240" w:lineRule="auto"/>
        <w:ind w:firstLine="708"/>
        <w:rPr>
          <w:rFonts w:ascii="Times New Roman" w:hAnsi="Times New Roman"/>
          <w:sz w:val="24"/>
          <w:szCs w:val="24"/>
        </w:rPr>
      </w:pPr>
    </w:p>
    <w:p w:rsidR="00850327" w:rsidRPr="00E04C95" w:rsidRDefault="00850327" w:rsidP="00E04C95">
      <w:pPr>
        <w:pStyle w:val="ListeParagraf"/>
        <w:numPr>
          <w:ilvl w:val="0"/>
          <w:numId w:val="53"/>
        </w:numPr>
        <w:tabs>
          <w:tab w:val="left" w:pos="1560"/>
        </w:tabs>
        <w:spacing w:after="0" w:line="240" w:lineRule="auto"/>
        <w:ind w:left="1418" w:hanging="284"/>
        <w:rPr>
          <w:rFonts w:cstheme="minorHAnsi"/>
        </w:rPr>
      </w:pPr>
      <w:r w:rsidRPr="00EB7255">
        <w:rPr>
          <w:rFonts w:cstheme="minorHAnsi"/>
          <w:i/>
        </w:rPr>
        <w:t xml:space="preserve">“…Depolamalı elektrik üretim tesisine ilişkin başvurularda, üretim tesisinin toplam mekanik kurulu gücü ile elektrik depolama ünitesi kurulu güçleri toplanarak birlikte </w:t>
      </w:r>
      <w:r w:rsidRPr="00EB7255">
        <w:rPr>
          <w:rFonts w:cstheme="minorHAnsi"/>
          <w:i/>
        </w:rPr>
        <w:lastRenderedPageBreak/>
        <w:t>değerlendirilir…”</w:t>
      </w:r>
      <w:r w:rsidRPr="00EB7255">
        <w:rPr>
          <w:rFonts w:cstheme="minorHAnsi"/>
          <w:b/>
          <w:i/>
        </w:rPr>
        <w:t xml:space="preserve"> </w:t>
      </w:r>
      <w:r w:rsidRPr="00EB7255">
        <w:rPr>
          <w:rFonts w:cstheme="minorHAnsi"/>
          <w:i/>
        </w:rPr>
        <w:t> </w:t>
      </w:r>
      <w:r w:rsidRPr="00EB7255">
        <w:rPr>
          <w:rFonts w:cstheme="minorHAnsi"/>
        </w:rPr>
        <w:t xml:space="preserve">şeklinde yer alan ifadenin, </w:t>
      </w:r>
      <w:r w:rsidRPr="00E04C95">
        <w:rPr>
          <w:rFonts w:cstheme="minorHAnsi"/>
          <w:i/>
        </w:rPr>
        <w:t xml:space="preserve">“…Depolamalı elektrik üretim tesisine ilişkin başvurularda, üretim tesisinin toplam mekanik kurulu gücü üzerinden değerlendirilir…” </w:t>
      </w:r>
      <w:r w:rsidRPr="00E04C95">
        <w:rPr>
          <w:rFonts w:cstheme="minorHAnsi"/>
        </w:rPr>
        <w:t>şeklinde</w:t>
      </w:r>
      <w:r w:rsidRPr="00E04C95">
        <w:rPr>
          <w:rFonts w:cstheme="minorHAnsi"/>
          <w:i/>
        </w:rPr>
        <w:t>,</w:t>
      </w:r>
    </w:p>
    <w:p w:rsidR="00850327" w:rsidRDefault="00850327" w:rsidP="00850327">
      <w:pPr>
        <w:pStyle w:val="ListeParagraf"/>
        <w:spacing w:after="0" w:line="240" w:lineRule="auto"/>
        <w:ind w:left="0"/>
        <w:rPr>
          <w:rFonts w:ascii="Times New Roman" w:hAnsi="Times New Roman"/>
          <w:sz w:val="24"/>
          <w:szCs w:val="24"/>
        </w:rPr>
      </w:pPr>
    </w:p>
    <w:p w:rsidR="003F5D54" w:rsidRDefault="00850327" w:rsidP="00850327">
      <w:pPr>
        <w:pStyle w:val="ListeParagraf"/>
      </w:pPr>
      <w:r w:rsidRPr="00E04C95">
        <w:t>değiştirilmesine</w:t>
      </w:r>
      <w:r>
        <w:rPr>
          <w:rFonts w:ascii="Times New Roman" w:hAnsi="Times New Roman"/>
          <w:sz w:val="24"/>
          <w:szCs w:val="24"/>
        </w:rPr>
        <w:t xml:space="preserve"> </w:t>
      </w:r>
      <w:r w:rsidR="003F5D54" w:rsidRPr="00CC791F">
        <w:t xml:space="preserve">karar verilmiştir. </w:t>
      </w:r>
    </w:p>
    <w:p w:rsidR="00EB7255" w:rsidRDefault="00EB7255" w:rsidP="00850327">
      <w:pPr>
        <w:pStyle w:val="ListeParagraf"/>
      </w:pPr>
    </w:p>
    <w:p w:rsidR="00EB7255" w:rsidRPr="00850327" w:rsidRDefault="00EB7255" w:rsidP="000A5A56">
      <w:pPr>
        <w:pStyle w:val="ListeParagraf"/>
        <w:numPr>
          <w:ilvl w:val="0"/>
          <w:numId w:val="27"/>
        </w:numPr>
        <w:spacing w:after="160" w:line="259" w:lineRule="auto"/>
      </w:pPr>
      <w:r>
        <w:t>25</w:t>
      </w:r>
      <w:r w:rsidRPr="005561AA">
        <w:t>.</w:t>
      </w:r>
      <w:r>
        <w:t>11</w:t>
      </w:r>
      <w:r w:rsidRPr="005561AA">
        <w:t>.202</w:t>
      </w:r>
      <w:r>
        <w:t>2</w:t>
      </w:r>
      <w:r w:rsidRPr="005561AA">
        <w:t xml:space="preserve"> tarihli ve 3</w:t>
      </w:r>
      <w:r>
        <w:t>2024</w:t>
      </w:r>
      <w:r w:rsidRPr="005561AA">
        <w:t xml:space="preserve"> sayılı Resmî </w:t>
      </w:r>
      <w:r w:rsidR="00274939">
        <w:t>Gazetede</w:t>
      </w:r>
      <w:r w:rsidRPr="005561AA">
        <w:t xml:space="preserve"> yayımlanan </w:t>
      </w:r>
      <w:r>
        <w:t>24</w:t>
      </w:r>
      <w:r w:rsidRPr="005561AA">
        <w:t>.</w:t>
      </w:r>
      <w:r>
        <w:t>11</w:t>
      </w:r>
      <w:r w:rsidRPr="005561AA">
        <w:t>.202</w:t>
      </w:r>
      <w:r>
        <w:t>2</w:t>
      </w:r>
      <w:r w:rsidRPr="005561AA">
        <w:t xml:space="preserve"> tarihli ve </w:t>
      </w:r>
      <w:r>
        <w:t>11412-2</w:t>
      </w:r>
      <w:r w:rsidRPr="005561AA">
        <w:t xml:space="preserve"> sayılı Kurul Kararı ile </w:t>
      </w:r>
      <w:r w:rsidRPr="00850327">
        <w:t>27</w:t>
      </w:r>
      <w:r>
        <w:t>.</w:t>
      </w:r>
      <w:r w:rsidRPr="00850327">
        <w:t>10</w:t>
      </w:r>
      <w:r>
        <w:t>.</w:t>
      </w:r>
      <w:r w:rsidRPr="00850327">
        <w:t xml:space="preserve">2022 tarihli </w:t>
      </w:r>
      <w:r w:rsidRPr="00EB7255">
        <w:t>11331-2 sayılı Kurul kararı ekinde yer alan “Lisans Başvurusunda Sunulması Gereken Bilgi ve Belgeler Listesi (Ek-4)”nin “Lisans alma bedeli” başlıklı 7 nci maddesinde,</w:t>
      </w:r>
      <w:r w:rsidRPr="00850327">
        <w:t xml:space="preserve"> </w:t>
      </w:r>
    </w:p>
    <w:p w:rsidR="00EB7255" w:rsidRPr="003B3F24" w:rsidRDefault="00EB7255" w:rsidP="00EB7255">
      <w:pPr>
        <w:spacing w:after="0" w:line="240" w:lineRule="auto"/>
        <w:ind w:firstLine="708"/>
        <w:rPr>
          <w:rFonts w:ascii="Times New Roman" w:hAnsi="Times New Roman"/>
          <w:sz w:val="24"/>
          <w:szCs w:val="24"/>
        </w:rPr>
      </w:pPr>
    </w:p>
    <w:p w:rsidR="00EB7255" w:rsidRPr="00E04C95" w:rsidRDefault="00EB7255" w:rsidP="00E04C95">
      <w:pPr>
        <w:pStyle w:val="ListeParagraf"/>
        <w:numPr>
          <w:ilvl w:val="0"/>
          <w:numId w:val="53"/>
        </w:numPr>
        <w:tabs>
          <w:tab w:val="left" w:pos="1560"/>
        </w:tabs>
        <w:spacing w:after="0" w:line="240" w:lineRule="auto"/>
        <w:ind w:left="1418" w:hanging="284"/>
        <w:rPr>
          <w:rFonts w:cstheme="minorHAnsi"/>
          <w:i/>
        </w:rPr>
      </w:pPr>
      <w:r w:rsidRPr="00EB7255">
        <w:rPr>
          <w:rFonts w:cstheme="minorHAnsi"/>
          <w:i/>
        </w:rPr>
        <w:t xml:space="preserve">“…Depolamalı elektrik üretim tesisine ilişkin başvurularda, üretim tesisinin toplam mekanik kurulu gücü ile elektrik depolama ünitesi kurulu güçleri toplanarak birlikte değerlendirilir…”  </w:t>
      </w:r>
      <w:r w:rsidRPr="00EB7255">
        <w:rPr>
          <w:rFonts w:cstheme="minorHAnsi"/>
        </w:rPr>
        <w:t>şeklinde yer alan ifadenin,</w:t>
      </w:r>
      <w:r w:rsidR="00E04C95">
        <w:rPr>
          <w:rFonts w:cstheme="minorHAnsi"/>
        </w:rPr>
        <w:t xml:space="preserve"> </w:t>
      </w:r>
      <w:r w:rsidRPr="00E04C95">
        <w:rPr>
          <w:rFonts w:cstheme="minorHAnsi"/>
          <w:i/>
        </w:rPr>
        <w:t xml:space="preserve">“…Depolamalı elektrik üretim tesisine ilişkin başvurularda, üretim tesisinin toplam mekanik kurulu gücü üzerinden değerlendirilir...” </w:t>
      </w:r>
      <w:r w:rsidRPr="00E04C95">
        <w:rPr>
          <w:rFonts w:cstheme="minorHAnsi"/>
        </w:rPr>
        <w:t>şeklinde,</w:t>
      </w:r>
    </w:p>
    <w:p w:rsidR="00EB7255" w:rsidRDefault="00EB7255" w:rsidP="00EB7255">
      <w:pPr>
        <w:pStyle w:val="ListeParagraf"/>
        <w:spacing w:after="0" w:line="240" w:lineRule="auto"/>
        <w:ind w:left="0"/>
        <w:rPr>
          <w:rFonts w:ascii="Times New Roman" w:hAnsi="Times New Roman"/>
          <w:sz w:val="24"/>
          <w:szCs w:val="24"/>
        </w:rPr>
      </w:pPr>
    </w:p>
    <w:p w:rsidR="00EB7255" w:rsidRDefault="00EB7255" w:rsidP="00EB7255">
      <w:pPr>
        <w:pStyle w:val="ListeParagraf"/>
      </w:pPr>
      <w:r w:rsidRPr="00E04C95">
        <w:t>değiştirilmesine karar</w:t>
      </w:r>
      <w:r w:rsidRPr="00CC791F">
        <w:t xml:space="preserve"> verilmiştir. </w:t>
      </w:r>
    </w:p>
    <w:p w:rsidR="00EB7255" w:rsidRDefault="00EB7255" w:rsidP="00850327">
      <w:pPr>
        <w:pStyle w:val="ListeParagraf"/>
      </w:pPr>
    </w:p>
    <w:p w:rsidR="00E23C4B" w:rsidRDefault="00201B49" w:rsidP="000A5A56">
      <w:pPr>
        <w:pStyle w:val="ListeParagraf"/>
        <w:numPr>
          <w:ilvl w:val="0"/>
          <w:numId w:val="27"/>
        </w:numPr>
      </w:pPr>
      <w:r>
        <w:t>30</w:t>
      </w:r>
      <w:r w:rsidR="00E23C4B" w:rsidRPr="0016003D">
        <w:t>.</w:t>
      </w:r>
      <w:r w:rsidR="00E23C4B">
        <w:t>1</w:t>
      </w:r>
      <w:r>
        <w:t>2</w:t>
      </w:r>
      <w:r w:rsidR="00E23C4B" w:rsidRPr="0016003D">
        <w:t>.202</w:t>
      </w:r>
      <w:r w:rsidR="00E23C4B">
        <w:t>2</w:t>
      </w:r>
      <w:r w:rsidR="00E23C4B" w:rsidRPr="0016003D">
        <w:t xml:space="preserve"> tarihli ve 3</w:t>
      </w:r>
      <w:r w:rsidR="00E23C4B">
        <w:t>20</w:t>
      </w:r>
      <w:r>
        <w:t>59</w:t>
      </w:r>
      <w:r w:rsidR="00E23C4B" w:rsidRPr="0016003D">
        <w:t xml:space="preserve"> sayılı Resmî </w:t>
      </w:r>
      <w:r w:rsidR="00274939">
        <w:t>Gazetede</w:t>
      </w:r>
      <w:r w:rsidR="00E23C4B" w:rsidRPr="0016003D">
        <w:t xml:space="preserve"> yayımlanan 2</w:t>
      </w:r>
      <w:r>
        <w:t>9</w:t>
      </w:r>
      <w:r w:rsidR="00E23C4B" w:rsidRPr="0016003D">
        <w:t>.</w:t>
      </w:r>
      <w:r w:rsidR="00E23C4B">
        <w:t>1</w:t>
      </w:r>
      <w:r>
        <w:t>2</w:t>
      </w:r>
      <w:r w:rsidR="00E23C4B" w:rsidRPr="0016003D">
        <w:t>.202</w:t>
      </w:r>
      <w:r w:rsidR="00E23C4B">
        <w:t>2</w:t>
      </w:r>
      <w:r w:rsidR="00E23C4B" w:rsidRPr="0016003D">
        <w:t xml:space="preserve"> Tarihli ve </w:t>
      </w:r>
      <w:r w:rsidR="00E23C4B">
        <w:t>11</w:t>
      </w:r>
      <w:r>
        <w:t>503</w:t>
      </w:r>
      <w:r w:rsidR="00E23C4B" w:rsidRPr="0016003D">
        <w:t xml:space="preserve"> Sayılı Kurul Kararı ile </w:t>
      </w:r>
      <w:r w:rsidRPr="00201B49">
        <w:t>Elektrik Piyasası Dengeleme ve Uzlaştırma Yönetmeliğinin (Yönetmelik) 132/D maddesinin onbirinci fıkrası kapsamında; 28/02/2023 tarihine kadar uygulanmak üzere; görevli tedarik şirketlerinin Yönetmeliğin 132/Ç maddesinin birinci fıkrasında belirtilen avans ödeme bildirimlerinde yer alan bedellerin, en fazla %50 (yüzde elli) oranındaki tutarı için Yönetmeliğin 132/D maddesinin onbirinci fıkrası çerçevesinde işlem tesis edilmesine</w:t>
      </w:r>
      <w:r>
        <w:t xml:space="preserve"> karar verilmiştir.</w:t>
      </w:r>
    </w:p>
    <w:p w:rsidR="00E23C4B" w:rsidRPr="0016003D" w:rsidRDefault="00E23C4B" w:rsidP="00E23C4B">
      <w:pPr>
        <w:pStyle w:val="ListeParagraf"/>
      </w:pPr>
    </w:p>
    <w:p w:rsidR="007C459B" w:rsidRDefault="007C459B" w:rsidP="000A5A56">
      <w:pPr>
        <w:pStyle w:val="ListeParagraf"/>
        <w:numPr>
          <w:ilvl w:val="0"/>
          <w:numId w:val="27"/>
        </w:numPr>
      </w:pPr>
      <w:r>
        <w:t>30</w:t>
      </w:r>
      <w:r w:rsidRPr="0016003D">
        <w:t>.</w:t>
      </w:r>
      <w:r>
        <w:t>12</w:t>
      </w:r>
      <w:r w:rsidRPr="0016003D">
        <w:t>.202</w:t>
      </w:r>
      <w:r>
        <w:t>2</w:t>
      </w:r>
      <w:r w:rsidRPr="0016003D">
        <w:t xml:space="preserve"> tarihli ve 3</w:t>
      </w:r>
      <w:r>
        <w:t>2059</w:t>
      </w:r>
      <w:r w:rsidRPr="0016003D">
        <w:t xml:space="preserve"> sayılı Resmî </w:t>
      </w:r>
      <w:r w:rsidR="00274939">
        <w:t>Gazetede</w:t>
      </w:r>
      <w:r w:rsidRPr="0016003D">
        <w:t xml:space="preserve"> yayımlanan 2</w:t>
      </w:r>
      <w:r>
        <w:t>9</w:t>
      </w:r>
      <w:r w:rsidRPr="0016003D">
        <w:t>.</w:t>
      </w:r>
      <w:r>
        <w:t>12</w:t>
      </w:r>
      <w:r w:rsidRPr="0016003D">
        <w:t>.202</w:t>
      </w:r>
      <w:r>
        <w:t>2</w:t>
      </w:r>
      <w:r w:rsidRPr="0016003D">
        <w:t xml:space="preserve"> Tarihli ve 1</w:t>
      </w:r>
      <w:r>
        <w:t>1499</w:t>
      </w:r>
      <w:r w:rsidRPr="0016003D">
        <w:t xml:space="preserve"> Sayılı Kurul Kararı ile </w:t>
      </w:r>
      <w:r w:rsidRPr="009E3DF3">
        <w:rPr>
          <w:b/>
        </w:rPr>
        <w:t>Gün Öncesi Piyasasında ve Dengeleme Güç Piyasasında Asgari ve Azami Fiyat Limitlerinin Belirlenmesine İlişkin Usul ve Esasların</w:t>
      </w:r>
    </w:p>
    <w:p w:rsidR="007C459B" w:rsidRPr="0016003D" w:rsidRDefault="007C459B" w:rsidP="007C459B">
      <w:pPr>
        <w:pStyle w:val="ListeParagraf"/>
      </w:pPr>
    </w:p>
    <w:p w:rsidR="007C459B" w:rsidRPr="00E04C95" w:rsidRDefault="007C459B" w:rsidP="000A5A56">
      <w:pPr>
        <w:pStyle w:val="ListeParagraf"/>
        <w:numPr>
          <w:ilvl w:val="0"/>
          <w:numId w:val="46"/>
        </w:numPr>
        <w:spacing w:after="160" w:line="259" w:lineRule="auto"/>
      </w:pPr>
      <w:r w:rsidRPr="00E04C95">
        <w:t>Geçici 1 inci maddesinin beşinci fıkrası aşağıdaki şekilde değiştirilmiştir.</w:t>
      </w:r>
    </w:p>
    <w:p w:rsidR="007C459B" w:rsidRDefault="007C459B" w:rsidP="007C459B">
      <w:pPr>
        <w:pStyle w:val="ListeParagraf"/>
        <w:spacing w:after="160" w:line="259" w:lineRule="auto"/>
        <w:ind w:left="1440"/>
      </w:pPr>
    </w:p>
    <w:p w:rsidR="007C459B" w:rsidRDefault="007C459B" w:rsidP="007C459B">
      <w:pPr>
        <w:pStyle w:val="ListeParagraf"/>
        <w:spacing w:after="160" w:line="259" w:lineRule="auto"/>
        <w:ind w:left="1440"/>
        <w:rPr>
          <w:i/>
        </w:rPr>
      </w:pPr>
      <w:r w:rsidRPr="007C459B">
        <w:rPr>
          <w:i/>
        </w:rPr>
        <w:t>“(5) Bu fıkra hükmünün yürürlüğe girdiği tarihten itibaren Kurul tarafından yeni bir karar alınıncaya kadar; ilgili piyasalarda asgari fiyat limitleri 0 TL/MWh, azami fiyat limitleri ise 4200 TL/MWh olarak uygulanır. Bu uygulama süresince bu Usul ve Esasların 4 üncü maddesinin ikinci fıkrası hükümleri uygulanmaz.”</w:t>
      </w:r>
    </w:p>
    <w:p w:rsidR="00E23C4B" w:rsidRDefault="00E23C4B" w:rsidP="00E23C4B">
      <w:pPr>
        <w:pStyle w:val="ListeParagraf"/>
        <w:spacing w:after="160" w:line="259" w:lineRule="auto"/>
      </w:pPr>
    </w:p>
    <w:p w:rsidR="003F5D54" w:rsidRDefault="007C459B" w:rsidP="000A5A56">
      <w:pPr>
        <w:pStyle w:val="ListeParagraf"/>
        <w:numPr>
          <w:ilvl w:val="0"/>
          <w:numId w:val="27"/>
        </w:numPr>
      </w:pPr>
      <w:r w:rsidRPr="007C459B">
        <w:t>30.</w:t>
      </w:r>
      <w:r w:rsidR="009572DC">
        <w:t>12</w:t>
      </w:r>
      <w:r w:rsidRPr="007C459B">
        <w:t xml:space="preserve">.2022 tarihli ve </w:t>
      </w:r>
      <w:r w:rsidR="009572DC">
        <w:t>32059</w:t>
      </w:r>
      <w:r w:rsidRPr="007C459B">
        <w:t xml:space="preserve"> sayılı Resmî </w:t>
      </w:r>
      <w:r w:rsidR="00274939">
        <w:t>Gazetede</w:t>
      </w:r>
      <w:r w:rsidRPr="007C459B">
        <w:t xml:space="preserve"> yayımlanan 29.</w:t>
      </w:r>
      <w:r w:rsidR="009572DC">
        <w:t>12</w:t>
      </w:r>
      <w:r w:rsidRPr="007C459B">
        <w:t xml:space="preserve">.2022 Tarihli ve </w:t>
      </w:r>
      <w:r w:rsidR="009572DC">
        <w:t>11498</w:t>
      </w:r>
      <w:r w:rsidRPr="007C459B">
        <w:t xml:space="preserve"> Sayılı Kurul Kararı ile; </w:t>
      </w:r>
      <w:r w:rsidR="009572DC" w:rsidRPr="009572DC">
        <w:rPr>
          <w:b/>
        </w:rPr>
        <w:t>“Kaynak Bazında Destekleme Bedelinin Belirlenmesine ve Uygulanmasına İlişkin Usul ve Esaslar”ın</w:t>
      </w:r>
      <w:r w:rsidR="009572DC" w:rsidRPr="009572DC">
        <w:t xml:space="preserve"> (Usul ve Esaslar) 8 inci maddesi çerçevesinde; piyasa katılımcılarının fatura son ödeme tarihi geçmemiş fatura dönemleri için faturalarına yansıması öngörülen destekleme bedeli borç tutarlarına ilişkin olarak Usul ve Esasların 8 inci maddesinin ikinci fıkrası çerçevesinde hesaplanarak Piyasa İşletmecisine sunmakla yükümlü oldukları teminat tutarlarının, 31/03/2022 tarihine kadar % 50 (yüzde elli) oranındaki kısmını sunmalarına</w:t>
      </w:r>
      <w:r w:rsidR="009572DC">
        <w:t xml:space="preserve"> </w:t>
      </w:r>
      <w:r w:rsidRPr="007C459B">
        <w:t>karar verilmiştir.</w:t>
      </w:r>
    </w:p>
    <w:p w:rsidR="009572DC" w:rsidRDefault="009572DC" w:rsidP="009572DC">
      <w:pPr>
        <w:pStyle w:val="ListeParagraf"/>
      </w:pPr>
    </w:p>
    <w:p w:rsidR="009572DC" w:rsidRDefault="009572DC" w:rsidP="000A5A56">
      <w:pPr>
        <w:pStyle w:val="ListeParagraf"/>
        <w:numPr>
          <w:ilvl w:val="0"/>
          <w:numId w:val="27"/>
        </w:numPr>
      </w:pPr>
      <w:r w:rsidRPr="007C459B">
        <w:t>30.</w:t>
      </w:r>
      <w:r>
        <w:t>12</w:t>
      </w:r>
      <w:r w:rsidRPr="007C459B">
        <w:t xml:space="preserve">.2022 tarihli ve </w:t>
      </w:r>
      <w:r>
        <w:t>32059</w:t>
      </w:r>
      <w:r w:rsidRPr="007C459B">
        <w:t xml:space="preserve"> sayılı Resmî </w:t>
      </w:r>
      <w:r w:rsidR="00274939">
        <w:t>Gazetede</w:t>
      </w:r>
      <w:r w:rsidRPr="007C459B">
        <w:t xml:space="preserve"> yayımlanan 29.</w:t>
      </w:r>
      <w:r>
        <w:t>12</w:t>
      </w:r>
      <w:r w:rsidRPr="007C459B">
        <w:t xml:space="preserve">.2022 Tarihli ve </w:t>
      </w:r>
      <w:r>
        <w:t>11497</w:t>
      </w:r>
      <w:r w:rsidRPr="007C459B">
        <w:t xml:space="preserve"> Sayılı Kurul Kararı ile; </w:t>
      </w:r>
      <w:r w:rsidR="00B7233B" w:rsidRPr="00B7233B">
        <w:t>6446 sayılı Elektrik Piyasası Kanunu’nun Geçici 7 nci maddesinin ikinci fıkrası kapsamındaki lisans sahibi bir tüzel kişinin bir takvim yılı içerisinde lisansına kayıtlı olan yıllık elektrik enerjisi üretim miktarının piyasada satabileceği oranının 2023 yılı için %50 olarak uygulanmasına</w:t>
      </w:r>
      <w:r>
        <w:t xml:space="preserve"> </w:t>
      </w:r>
      <w:r w:rsidRPr="007C459B">
        <w:t>karar verilmiştir.</w:t>
      </w:r>
    </w:p>
    <w:p w:rsidR="00B7233B" w:rsidRDefault="00B7233B" w:rsidP="00B7233B">
      <w:pPr>
        <w:pStyle w:val="ListeParagraf"/>
      </w:pPr>
    </w:p>
    <w:p w:rsidR="00B7233B" w:rsidRPr="007C459B" w:rsidRDefault="00B7233B" w:rsidP="000A5A56">
      <w:pPr>
        <w:pStyle w:val="ListeParagraf"/>
        <w:numPr>
          <w:ilvl w:val="0"/>
          <w:numId w:val="27"/>
        </w:numPr>
      </w:pPr>
      <w:r w:rsidRPr="007C459B">
        <w:t>30.</w:t>
      </w:r>
      <w:r>
        <w:t>12</w:t>
      </w:r>
      <w:r w:rsidRPr="007C459B">
        <w:t xml:space="preserve">.2022 tarihli ve </w:t>
      </w:r>
      <w:r>
        <w:t>32059</w:t>
      </w:r>
      <w:r w:rsidRPr="007C459B">
        <w:t xml:space="preserve"> sayılı Resmî </w:t>
      </w:r>
      <w:r w:rsidR="00274939">
        <w:t>Gazetede</w:t>
      </w:r>
      <w:r w:rsidRPr="007C459B">
        <w:t xml:space="preserve"> yayımlanan 29.</w:t>
      </w:r>
      <w:r>
        <w:t>12</w:t>
      </w:r>
      <w:r w:rsidRPr="007C459B">
        <w:t xml:space="preserve">.2022 Tarihli ve </w:t>
      </w:r>
      <w:r>
        <w:t>11496</w:t>
      </w:r>
      <w:r w:rsidRPr="007C459B">
        <w:t xml:space="preserve"> Sayılı Kurul Kararı ile; </w:t>
      </w:r>
      <w:r w:rsidRPr="00B7233B">
        <w:t>4628 sayılı Enerji Piyasası Düzenleme Kurumunun Teşkilat ve Görevleri Hakkında Kanunun 5 inci maddesinin altıncı fıkrasının (b) bendi ve Elektrik Piyasası Tüketici Hizmetleri Yönetmeliğinin 41 inci maddesi hükümleri uyarınca serbest tüketici limitine ilişkin aşağıdaki Karar alınmıştır.</w:t>
      </w:r>
    </w:p>
    <w:p w:rsidR="00B7233B" w:rsidRDefault="00B7233B" w:rsidP="00B7233B">
      <w:pPr>
        <w:pStyle w:val="ListeParagraf"/>
      </w:pPr>
    </w:p>
    <w:p w:rsidR="00526572" w:rsidRDefault="00526572" w:rsidP="00E04C95">
      <w:pPr>
        <w:pStyle w:val="ListeParagraf"/>
        <w:numPr>
          <w:ilvl w:val="0"/>
          <w:numId w:val="46"/>
        </w:numPr>
        <w:rPr>
          <w:rFonts w:ascii="Calibri" w:hAnsi="Calibri" w:cs="Calibri"/>
          <w:color w:val="000000"/>
        </w:rPr>
      </w:pPr>
      <w:r w:rsidRPr="00A94A40">
        <w:rPr>
          <w:rFonts w:ascii="Calibri" w:hAnsi="Calibri" w:cs="Calibri"/>
          <w:b/>
          <w:color w:val="000000"/>
        </w:rPr>
        <w:t>Madde 1-</w:t>
      </w:r>
      <w:r w:rsidRPr="00A94A40">
        <w:rPr>
          <w:rFonts w:ascii="Calibri" w:hAnsi="Calibri" w:cs="Calibri"/>
          <w:color w:val="000000"/>
        </w:rPr>
        <w:t xml:space="preserve"> </w:t>
      </w:r>
      <w:r w:rsidRPr="00E04C95">
        <w:rPr>
          <w:rFonts w:ascii="Calibri" w:hAnsi="Calibri" w:cs="Calibri"/>
          <w:i/>
          <w:color w:val="000000"/>
        </w:rPr>
        <w:t>2023 yılı için serbest tüketici limiti 1000 kWh olarak uygulanır.</w:t>
      </w:r>
    </w:p>
    <w:p w:rsidR="00DE1E2F" w:rsidRDefault="00DE1E2F" w:rsidP="00DE1E2F">
      <w:pPr>
        <w:pStyle w:val="Balk2"/>
        <w:numPr>
          <w:ilvl w:val="1"/>
          <w:numId w:val="11"/>
        </w:numPr>
        <w:spacing w:before="0" w:after="240"/>
        <w:rPr>
          <w:rFonts w:asciiTheme="minorHAnsi" w:hAnsiTheme="minorHAnsi"/>
          <w:color w:val="auto"/>
          <w:sz w:val="22"/>
          <w:szCs w:val="22"/>
        </w:rPr>
      </w:pPr>
      <w:bookmarkStart w:id="69" w:name="_Toc130290873"/>
      <w:bookmarkStart w:id="70" w:name="_Toc132713761"/>
      <w:r>
        <w:rPr>
          <w:rFonts w:asciiTheme="minorHAnsi" w:hAnsiTheme="minorHAnsi"/>
          <w:color w:val="auto"/>
          <w:sz w:val="22"/>
          <w:szCs w:val="22"/>
        </w:rPr>
        <w:t>Şarj Hizmeti</w:t>
      </w:r>
      <w:r w:rsidRPr="001A3AD7">
        <w:rPr>
          <w:rFonts w:asciiTheme="minorHAnsi" w:hAnsiTheme="minorHAnsi"/>
          <w:color w:val="auto"/>
          <w:sz w:val="22"/>
          <w:szCs w:val="22"/>
        </w:rPr>
        <w:t xml:space="preserve"> Piyasası Mevzuatı</w:t>
      </w:r>
      <w:bookmarkEnd w:id="69"/>
      <w:bookmarkEnd w:id="70"/>
    </w:p>
    <w:p w:rsidR="00DE1E2F" w:rsidRDefault="00DE1E2F" w:rsidP="00DE1E2F">
      <w:pPr>
        <w:pStyle w:val="Balk3"/>
        <w:numPr>
          <w:ilvl w:val="2"/>
          <w:numId w:val="11"/>
        </w:numPr>
        <w:spacing w:before="0" w:after="240"/>
        <w:rPr>
          <w:rFonts w:asciiTheme="minorHAnsi" w:hAnsiTheme="minorHAnsi"/>
          <w:color w:val="auto"/>
        </w:rPr>
      </w:pPr>
      <w:bookmarkStart w:id="71" w:name="_Toc130290874"/>
      <w:bookmarkStart w:id="72" w:name="_Toc132713762"/>
      <w:r w:rsidRPr="00410B0D">
        <w:rPr>
          <w:rFonts w:asciiTheme="minorHAnsi" w:hAnsiTheme="minorHAnsi"/>
          <w:color w:val="auto"/>
        </w:rPr>
        <w:t>Kanun</w:t>
      </w:r>
      <w:bookmarkEnd w:id="71"/>
      <w:bookmarkEnd w:id="72"/>
    </w:p>
    <w:p w:rsidR="00DE1E2F" w:rsidRDefault="00DE1E2F" w:rsidP="00DE1E2F">
      <w:pPr>
        <w:pStyle w:val="ListeParagraf"/>
        <w:spacing w:after="240"/>
        <w:ind w:left="360"/>
        <w:rPr>
          <w:lang w:eastAsia="tr-TR"/>
        </w:rPr>
      </w:pPr>
      <w:r w:rsidRPr="00410B0D">
        <w:rPr>
          <w:lang w:eastAsia="tr-TR"/>
        </w:rPr>
        <w:t>202</w:t>
      </w:r>
      <w:r>
        <w:rPr>
          <w:lang w:eastAsia="tr-TR"/>
        </w:rPr>
        <w:t>2</w:t>
      </w:r>
      <w:r w:rsidRPr="00410B0D">
        <w:rPr>
          <w:lang w:eastAsia="tr-TR"/>
        </w:rPr>
        <w:t xml:space="preserve"> yılı içerisinde, </w:t>
      </w:r>
      <w:r>
        <w:rPr>
          <w:lang w:eastAsia="tr-TR"/>
        </w:rPr>
        <w:t xml:space="preserve">şarj hizmeti piyasasında </w:t>
      </w:r>
      <w:r w:rsidRPr="00410B0D">
        <w:rPr>
          <w:lang w:eastAsia="tr-TR"/>
        </w:rPr>
        <w:t xml:space="preserve">aşağıdaki </w:t>
      </w:r>
      <w:r>
        <w:rPr>
          <w:lang w:eastAsia="tr-TR"/>
        </w:rPr>
        <w:t>Kanun çalışmaları</w:t>
      </w:r>
      <w:r w:rsidRPr="00410B0D">
        <w:rPr>
          <w:lang w:eastAsia="tr-TR"/>
        </w:rPr>
        <w:t xml:space="preserve"> yapılmıştır;</w:t>
      </w:r>
    </w:p>
    <w:p w:rsidR="00DE1E2F" w:rsidRDefault="00DE1E2F" w:rsidP="00DE1E2F">
      <w:pPr>
        <w:pStyle w:val="ListeParagraf"/>
        <w:spacing w:after="240"/>
        <w:ind w:left="360"/>
        <w:rPr>
          <w:lang w:eastAsia="tr-TR"/>
        </w:rPr>
      </w:pPr>
    </w:p>
    <w:p w:rsidR="00DE1E2F" w:rsidRPr="00E6446B" w:rsidRDefault="00DE1E2F" w:rsidP="00DE1E2F">
      <w:pPr>
        <w:pStyle w:val="ListeParagraf"/>
        <w:numPr>
          <w:ilvl w:val="0"/>
          <w:numId w:val="76"/>
        </w:numPr>
        <w:spacing w:after="160" w:line="259" w:lineRule="auto"/>
      </w:pPr>
      <w:r w:rsidRPr="006F5314">
        <w:rPr>
          <w:bCs/>
        </w:rPr>
        <w:t xml:space="preserve">28.12.2022 tarihli ve 32057 sayılı Resmî </w:t>
      </w:r>
      <w:r w:rsidR="00274939">
        <w:rPr>
          <w:bCs/>
        </w:rPr>
        <w:t>Gazetede</w:t>
      </w:r>
      <w:r w:rsidRPr="006F5314">
        <w:rPr>
          <w:bCs/>
        </w:rPr>
        <w:t xml:space="preserve"> yayımlanan 7429 sayılı Elektrik Piyasası Kanunu İle Bazı Kanunlarda Ve 375 Sayılı Kanun Hükmünde Kararnamede Değişiklik Yapılmasına Dair Kanun ile 6446 sayılı </w:t>
      </w:r>
      <w:r w:rsidRPr="006F5314">
        <w:rPr>
          <w:b/>
          <w:bCs/>
        </w:rPr>
        <w:t>Elektrik Piyasası Kanununun</w:t>
      </w:r>
    </w:p>
    <w:p w:rsidR="00DE1E2F" w:rsidRPr="00FE3B51" w:rsidRDefault="00DE1E2F" w:rsidP="00DE1E2F">
      <w:pPr>
        <w:pStyle w:val="ListeParagraf"/>
        <w:spacing w:after="160" w:line="259" w:lineRule="auto"/>
        <w:ind w:left="360"/>
      </w:pPr>
    </w:p>
    <w:p w:rsidR="00DE1E2F" w:rsidRDefault="00DE1E2F" w:rsidP="00DE1E2F">
      <w:pPr>
        <w:pStyle w:val="ListeParagraf"/>
        <w:numPr>
          <w:ilvl w:val="0"/>
          <w:numId w:val="46"/>
        </w:numPr>
        <w:spacing w:after="160" w:line="259" w:lineRule="auto"/>
      </w:pPr>
      <w:r w:rsidRPr="00E90A7A">
        <w:t xml:space="preserve">3 üncü maddesinin birinci fıkrasının (ddd) bendine </w:t>
      </w:r>
      <w:r w:rsidRPr="006F5314">
        <w:rPr>
          <w:i/>
        </w:rPr>
        <w:t>“tüm şarj istasyonlarının”</w:t>
      </w:r>
      <w:r w:rsidRPr="00E90A7A">
        <w:t xml:space="preserve"> ibaresinden önce gelmek üzere </w:t>
      </w:r>
      <w:r w:rsidRPr="006F5314">
        <w:rPr>
          <w:i/>
        </w:rPr>
        <w:t>“halka açık”</w:t>
      </w:r>
      <w:r w:rsidRPr="00E90A7A">
        <w:t xml:space="preserve"> ibaresi eklenmiştir.</w:t>
      </w:r>
    </w:p>
    <w:p w:rsidR="00DE1E2F" w:rsidRDefault="00DE1E2F" w:rsidP="00DE1E2F">
      <w:pPr>
        <w:pStyle w:val="Balk3"/>
        <w:numPr>
          <w:ilvl w:val="2"/>
          <w:numId w:val="11"/>
        </w:numPr>
        <w:spacing w:after="240"/>
        <w:rPr>
          <w:rFonts w:asciiTheme="minorHAnsi" w:hAnsiTheme="minorHAnsi"/>
          <w:color w:val="auto"/>
        </w:rPr>
      </w:pPr>
      <w:bookmarkStart w:id="73" w:name="_Toc130290875"/>
      <w:bookmarkStart w:id="74" w:name="_Toc132713763"/>
      <w:r w:rsidRPr="00410B0D">
        <w:rPr>
          <w:rFonts w:asciiTheme="minorHAnsi" w:hAnsiTheme="minorHAnsi"/>
          <w:color w:val="auto"/>
        </w:rPr>
        <w:t>Yönetmelikler</w:t>
      </w:r>
      <w:bookmarkEnd w:id="73"/>
      <w:bookmarkEnd w:id="74"/>
    </w:p>
    <w:p w:rsidR="00DE1E2F" w:rsidRDefault="00DE1E2F" w:rsidP="00DE1E2F">
      <w:pPr>
        <w:spacing w:after="0"/>
        <w:ind w:firstLine="708"/>
      </w:pPr>
      <w:r w:rsidRPr="00410B0D">
        <w:t>202</w:t>
      </w:r>
      <w:r>
        <w:t>2</w:t>
      </w:r>
      <w:r w:rsidRPr="00410B0D">
        <w:t xml:space="preserve"> yılında </w:t>
      </w:r>
      <w:r>
        <w:t xml:space="preserve">şarj hizmeti </w:t>
      </w:r>
      <w:r w:rsidRPr="00410B0D">
        <w:t>piyasasında aşağıda belirtilen Yönetmelik çalışmaları yapılmıştır:</w:t>
      </w:r>
    </w:p>
    <w:p w:rsidR="00DE1E2F" w:rsidRPr="00410B0D" w:rsidRDefault="00DE1E2F" w:rsidP="00DE1E2F">
      <w:pPr>
        <w:spacing w:after="0"/>
        <w:ind w:firstLine="708"/>
      </w:pPr>
    </w:p>
    <w:p w:rsidR="00DE1E2F" w:rsidRPr="003F02FA" w:rsidRDefault="00DE1E2F" w:rsidP="00DE1E2F">
      <w:pPr>
        <w:pStyle w:val="ListeParagraf"/>
        <w:numPr>
          <w:ilvl w:val="0"/>
          <w:numId w:val="26"/>
        </w:numPr>
        <w:spacing w:after="0"/>
        <w:rPr>
          <w:rFonts w:ascii="Calibri" w:hAnsi="Calibri"/>
        </w:rPr>
      </w:pPr>
      <w:r w:rsidRPr="00A174E8">
        <w:rPr>
          <w:rFonts w:ascii="Calibri" w:hAnsi="Calibri"/>
          <w:bCs/>
        </w:rPr>
        <w:t xml:space="preserve">02.04.2022 tarihli ve 31797 sayılı Resmî </w:t>
      </w:r>
      <w:r w:rsidR="00274939">
        <w:rPr>
          <w:rFonts w:ascii="Calibri" w:hAnsi="Calibri"/>
          <w:bCs/>
        </w:rPr>
        <w:t>Gazetede</w:t>
      </w:r>
      <w:r w:rsidRPr="00A174E8">
        <w:rPr>
          <w:rFonts w:ascii="Calibri" w:hAnsi="Calibri"/>
          <w:bCs/>
        </w:rPr>
        <w:t xml:space="preserve"> amacı; elektrikli araçlara elektrik enerjisi temininin sağlandığı şarj ünitesi ve istasyonlarının kurulması, şarj ağı ve şarj ağına bağlı şarj istasyonlarının işletilmesi ile şarj hizmetinin sunulmasına ilişkin usul ve esasları belirlemek</w:t>
      </w:r>
      <w:r>
        <w:rPr>
          <w:rFonts w:ascii="Calibri" w:hAnsi="Calibri"/>
          <w:bCs/>
        </w:rPr>
        <w:t xml:space="preserve"> olan </w:t>
      </w:r>
      <w:r w:rsidRPr="00A174E8">
        <w:rPr>
          <w:rFonts w:ascii="Calibri" w:hAnsi="Calibri"/>
          <w:b/>
          <w:bCs/>
        </w:rPr>
        <w:t>Şarj Hizmeti Yönetmeliği</w:t>
      </w:r>
      <w:r>
        <w:rPr>
          <w:rFonts w:ascii="Calibri" w:hAnsi="Calibri"/>
          <w:bCs/>
        </w:rPr>
        <w:t xml:space="preserve"> yayımlanmıştır.</w:t>
      </w:r>
    </w:p>
    <w:p w:rsidR="00DE1E2F" w:rsidRPr="005D599A" w:rsidRDefault="00DE1E2F" w:rsidP="00DE1E2F">
      <w:pPr>
        <w:pStyle w:val="ListeParagraf"/>
        <w:spacing w:after="0"/>
        <w:rPr>
          <w:rFonts w:ascii="Calibri" w:hAnsi="Calibri"/>
        </w:rPr>
      </w:pPr>
    </w:p>
    <w:p w:rsidR="00DE1E2F" w:rsidRDefault="00DE1E2F" w:rsidP="00DE1E2F">
      <w:pPr>
        <w:pStyle w:val="ListeParagraf"/>
        <w:spacing w:after="0"/>
        <w:rPr>
          <w:rFonts w:ascii="Calibri" w:hAnsi="Calibri"/>
          <w:bCs/>
        </w:rPr>
      </w:pPr>
      <w:r w:rsidRPr="00CE5333">
        <w:rPr>
          <w:rFonts w:ascii="Calibri" w:hAnsi="Calibri"/>
          <w:bCs/>
        </w:rPr>
        <w:t>Söz konusu Yönetmelik ile;</w:t>
      </w:r>
    </w:p>
    <w:p w:rsidR="00DE1E2F" w:rsidRPr="00E6446B" w:rsidRDefault="00DE1E2F" w:rsidP="00DE1E2F">
      <w:pPr>
        <w:spacing w:after="0"/>
        <w:rPr>
          <w:rFonts w:ascii="Calibri" w:hAnsi="Calibri"/>
          <w:bCs/>
        </w:rPr>
      </w:pPr>
      <w:r w:rsidRPr="00E6446B">
        <w:rPr>
          <w:rFonts w:ascii="Calibri" w:hAnsi="Calibri"/>
          <w:bCs/>
        </w:rPr>
        <w:t xml:space="preserve"> </w:t>
      </w:r>
    </w:p>
    <w:p w:rsidR="00DE1E2F" w:rsidRDefault="00DE1E2F" w:rsidP="00DE1E2F">
      <w:pPr>
        <w:pStyle w:val="ListeParagraf"/>
        <w:numPr>
          <w:ilvl w:val="0"/>
          <w:numId w:val="46"/>
        </w:numPr>
        <w:spacing w:after="0" w:line="259" w:lineRule="auto"/>
      </w:pPr>
      <w:r w:rsidRPr="00E6446B">
        <w:t>Ticari olarak şarj hizmetinin şarj ağı işletmecisi tarafından yürütülebilmesi için Kurumdan lisans alınması, lisansta değişikliklerin olması halinde lisansın tadili ve lisansın kendiliğinden ya da Kurul Kararı ile sona ermesine ilişkin koşullar,</w:t>
      </w:r>
    </w:p>
    <w:p w:rsidR="00DE1E2F" w:rsidRDefault="00DE1E2F" w:rsidP="00DE1E2F">
      <w:pPr>
        <w:pStyle w:val="ListeParagraf"/>
        <w:spacing w:after="0" w:line="259" w:lineRule="auto"/>
        <w:ind w:left="1440"/>
      </w:pPr>
    </w:p>
    <w:p w:rsidR="00DE1E2F" w:rsidRPr="00E6446B" w:rsidRDefault="00DE1E2F" w:rsidP="00DE1E2F">
      <w:pPr>
        <w:pStyle w:val="ListeParagraf"/>
        <w:numPr>
          <w:ilvl w:val="0"/>
          <w:numId w:val="46"/>
        </w:numPr>
        <w:spacing w:after="0" w:line="259" w:lineRule="auto"/>
      </w:pPr>
      <w:r w:rsidRPr="00E6446B">
        <w:rPr>
          <w:rFonts w:eastAsia="Times New Roman" w:cstheme="minorHAnsi"/>
          <w:lang w:eastAsia="tr-TR"/>
        </w:rPr>
        <w:t xml:space="preserve">Lisans sahiplerine altı aylık süre içinde </w:t>
      </w:r>
      <w:r w:rsidRPr="00E6446B">
        <w:rPr>
          <w:rFonts w:eastAsia="Times New Roman" w:cstheme="minorHAnsi"/>
          <w:bCs/>
          <w:lang w:eastAsia="tr-TR"/>
        </w:rPr>
        <w:t>en az 50 üniteden oluşan şarj ağını oluşturma yükümlülüğü</w:t>
      </w:r>
      <w:r w:rsidRPr="00E6446B">
        <w:rPr>
          <w:rFonts w:eastAsia="Times New Roman" w:cstheme="minorHAnsi"/>
          <w:lang w:eastAsia="tr-TR"/>
        </w:rPr>
        <w:t xml:space="preserve">, bu ünitelerin </w:t>
      </w:r>
      <w:r w:rsidRPr="00E6446B">
        <w:rPr>
          <w:rFonts w:eastAsia="Times New Roman" w:cstheme="minorHAnsi"/>
          <w:bCs/>
          <w:lang w:eastAsia="tr-TR"/>
        </w:rPr>
        <w:t>en az %5'nin DC 50 kW ve üzeri güçte ünite tipinde olması</w:t>
      </w:r>
      <w:r w:rsidRPr="00E6446B">
        <w:rPr>
          <w:rFonts w:eastAsia="Times New Roman" w:cstheme="minorHAnsi"/>
          <w:lang w:eastAsia="tr-TR"/>
        </w:rPr>
        <w:t xml:space="preserve">, ayrıca, hızlı şarj istasyonu ihtiyacına binaen </w:t>
      </w:r>
      <w:r w:rsidRPr="00E6446B">
        <w:rPr>
          <w:rFonts w:eastAsia="Times New Roman" w:cstheme="minorHAnsi"/>
          <w:bCs/>
          <w:lang w:eastAsia="tr-TR"/>
        </w:rPr>
        <w:t>Karayolları Genel Müdürlüğü sorumluluğunda yer alan otoyol ve devlet yollarında kurulan şarj ünitelerinin en az %50'sinin DC 50 kW ve üzeri güçte ünite tipinde olması</w:t>
      </w:r>
      <w:r w:rsidRPr="00E6446B">
        <w:rPr>
          <w:rFonts w:eastAsia="Times New Roman" w:cstheme="minorHAnsi"/>
          <w:lang w:eastAsia="tr-TR"/>
        </w:rPr>
        <w:t>,</w:t>
      </w:r>
    </w:p>
    <w:p w:rsidR="00DE1E2F" w:rsidRPr="00E6446B" w:rsidRDefault="00DE1E2F" w:rsidP="00DE1E2F">
      <w:pPr>
        <w:pStyle w:val="ListeParagraf"/>
        <w:spacing w:after="0"/>
        <w:rPr>
          <w:rFonts w:eastAsia="Times New Roman" w:cstheme="minorHAnsi"/>
          <w:lang w:eastAsia="tr-TR"/>
        </w:rPr>
      </w:pPr>
    </w:p>
    <w:p w:rsidR="00DE1E2F" w:rsidRDefault="00DE1E2F" w:rsidP="00DE1E2F">
      <w:pPr>
        <w:pStyle w:val="ListeParagraf"/>
        <w:numPr>
          <w:ilvl w:val="0"/>
          <w:numId w:val="46"/>
        </w:numPr>
        <w:spacing w:after="0" w:line="259" w:lineRule="auto"/>
        <w:rPr>
          <w:rFonts w:eastAsia="Times New Roman" w:cstheme="minorHAnsi"/>
          <w:lang w:eastAsia="tr-TR"/>
        </w:rPr>
      </w:pPr>
      <w:r w:rsidRPr="00E6446B">
        <w:rPr>
          <w:rFonts w:eastAsia="Times New Roman" w:cstheme="minorHAnsi"/>
          <w:lang w:eastAsia="tr-TR"/>
        </w:rPr>
        <w:t xml:space="preserve">Şarj hizmetinin ülke genelinde şarj ağı işletmecisinin kendisi tarafından ya da </w:t>
      </w:r>
      <w:r w:rsidRPr="00E6446B">
        <w:rPr>
          <w:rFonts w:eastAsia="Times New Roman" w:cstheme="minorHAnsi"/>
          <w:bCs/>
          <w:lang w:eastAsia="tr-TR"/>
        </w:rPr>
        <w:t xml:space="preserve">sertifika </w:t>
      </w:r>
      <w:r w:rsidRPr="00E6446B">
        <w:rPr>
          <w:rFonts w:eastAsia="Times New Roman" w:cstheme="minorHAnsi"/>
          <w:lang w:eastAsia="tr-TR"/>
        </w:rPr>
        <w:t xml:space="preserve">verdiği halka açık ve ticari faaliyet yürüten özel şarj istasyonlarınca yürütülebileceği, </w:t>
      </w:r>
    </w:p>
    <w:p w:rsidR="00DE1E2F" w:rsidRPr="00E6446B" w:rsidRDefault="00DE1E2F" w:rsidP="00DE1E2F">
      <w:pPr>
        <w:spacing w:after="0" w:line="259" w:lineRule="auto"/>
        <w:rPr>
          <w:rFonts w:eastAsia="Times New Roman" w:cstheme="minorHAnsi"/>
          <w:lang w:eastAsia="tr-TR"/>
        </w:rPr>
      </w:pPr>
    </w:p>
    <w:p w:rsidR="00DE1E2F" w:rsidRPr="00E6446B" w:rsidRDefault="00DE1E2F" w:rsidP="00DE1E2F">
      <w:pPr>
        <w:pStyle w:val="ListeParagraf"/>
        <w:numPr>
          <w:ilvl w:val="0"/>
          <w:numId w:val="46"/>
        </w:numPr>
        <w:spacing w:after="0" w:line="259" w:lineRule="auto"/>
      </w:pPr>
      <w:r w:rsidRPr="00E6446B">
        <w:rPr>
          <w:rFonts w:eastAsia="Times New Roman" w:cstheme="minorHAnsi"/>
          <w:lang w:eastAsia="tr-TR"/>
        </w:rPr>
        <w:t xml:space="preserve">Kurum tarafından tüm şarj ağı işletmecilerinin ve istasyonlarının teknik özelliklerinin, lokasyon bilgilerinin ve fiyatlarının kullanıcılar ve Kurum tarafından takip edilebileceği </w:t>
      </w:r>
      <w:r w:rsidRPr="00E6446B">
        <w:rPr>
          <w:rFonts w:eastAsia="Times New Roman" w:cstheme="minorHAnsi"/>
          <w:bCs/>
          <w:lang w:eastAsia="tr-TR"/>
        </w:rPr>
        <w:t xml:space="preserve">Serbest Erişim </w:t>
      </w:r>
      <w:r w:rsidRPr="00E6446B">
        <w:rPr>
          <w:rFonts w:eastAsia="Times New Roman" w:cstheme="minorHAnsi"/>
          <w:bCs/>
          <w:lang w:eastAsia="tr-TR"/>
        </w:rPr>
        <w:lastRenderedPageBreak/>
        <w:t>Platformu</w:t>
      </w:r>
      <w:r w:rsidRPr="00E6446B">
        <w:rPr>
          <w:rFonts w:eastAsia="Times New Roman" w:cstheme="minorHAnsi"/>
          <w:lang w:eastAsia="tr-TR"/>
        </w:rPr>
        <w:t xml:space="preserve"> hazırlanması, böylece Kurum ve elektrikli araç kullanıcıları açısından fiyatların anlık takibinin, şeffaflığının, rekabet şartlarının gözlemlenmesi gibi piyasanın işleyişi açısından önem arz edecek temel konuların takibinin yapılabileceği,</w:t>
      </w:r>
    </w:p>
    <w:p w:rsidR="00DE1E2F" w:rsidRPr="00E6446B" w:rsidRDefault="00DE1E2F" w:rsidP="00DE1E2F">
      <w:pPr>
        <w:pStyle w:val="ListeParagraf"/>
        <w:spacing w:after="0"/>
        <w:rPr>
          <w:rFonts w:eastAsia="Times New Roman" w:cstheme="minorHAnsi"/>
          <w:lang w:eastAsia="tr-TR"/>
        </w:rPr>
      </w:pPr>
    </w:p>
    <w:p w:rsidR="00DE1E2F" w:rsidRPr="00E6446B" w:rsidRDefault="00DE1E2F" w:rsidP="00DE1E2F">
      <w:pPr>
        <w:pStyle w:val="ListeParagraf"/>
        <w:numPr>
          <w:ilvl w:val="0"/>
          <w:numId w:val="46"/>
        </w:numPr>
        <w:spacing w:after="0" w:line="259" w:lineRule="auto"/>
      </w:pPr>
      <w:r w:rsidRPr="00E6446B">
        <w:rPr>
          <w:rFonts w:eastAsia="Times New Roman" w:cstheme="minorHAnsi"/>
          <w:lang w:eastAsia="tr-TR"/>
        </w:rPr>
        <w:t xml:space="preserve">Şarj hizmeti karşılığında sunulan elektrik enerjisinin hem elektrikli araç kullanıcıları hem de ilgili şebeke işletmecisi ve Kurum açısından kolaylıkla izlenebilirliğini ve kıyas edilebilirliğini sağlamaya yönelik olarak </w:t>
      </w:r>
      <w:r w:rsidRPr="00E6446B">
        <w:rPr>
          <w:rFonts w:eastAsia="Times New Roman" w:cstheme="minorHAnsi"/>
          <w:bCs/>
          <w:lang w:eastAsia="tr-TR"/>
        </w:rPr>
        <w:t>birim enerji (kWh) cinsinden</w:t>
      </w:r>
      <w:r w:rsidRPr="00E6446B">
        <w:rPr>
          <w:rFonts w:eastAsia="Times New Roman" w:cstheme="minorHAnsi"/>
          <w:lang w:eastAsia="tr-TR"/>
        </w:rPr>
        <w:t xml:space="preserve"> belirtilmesi yönteminin tercih edildiği</w:t>
      </w:r>
      <w:r>
        <w:rPr>
          <w:rFonts w:eastAsia="Times New Roman" w:cstheme="minorHAnsi"/>
          <w:lang w:eastAsia="tr-TR"/>
        </w:rPr>
        <w:t xml:space="preserve">, </w:t>
      </w:r>
      <w:r w:rsidRPr="00E6446B">
        <w:rPr>
          <w:rFonts w:eastAsia="Times New Roman" w:cstheme="minorHAnsi"/>
          <w:lang w:eastAsia="tr-TR"/>
        </w:rPr>
        <w:t xml:space="preserve">şarj hizmeti fiyatına esas elektrik enerjisinin elektrikli araç kullanıcıları açısından daha şeffaf ve daha kolay kıyaslanabilir olmasını sağlayan enerji edinim maliyetine bağlı şekilde belirleneceği, bu bedele yatırım ve işletme giderleri ile makul kar dışında ilave bir bedel eklenmeksizin </w:t>
      </w:r>
      <w:r w:rsidRPr="00E6446B">
        <w:rPr>
          <w:rFonts w:eastAsia="Times New Roman" w:cstheme="minorHAnsi"/>
          <w:bCs/>
          <w:lang w:eastAsia="tr-TR"/>
        </w:rPr>
        <w:t>fiyatın serbestçe belirlenebileceği</w:t>
      </w:r>
      <w:r w:rsidRPr="00E6446B">
        <w:rPr>
          <w:rFonts w:eastAsia="Times New Roman" w:cstheme="minorHAnsi"/>
          <w:lang w:eastAsia="tr-TR"/>
        </w:rPr>
        <w:t xml:space="preserve">, </w:t>
      </w:r>
    </w:p>
    <w:p w:rsidR="00DE1E2F" w:rsidRPr="00E6446B" w:rsidRDefault="00DE1E2F" w:rsidP="00DE1E2F">
      <w:pPr>
        <w:pStyle w:val="ListeParagraf"/>
        <w:spacing w:after="0"/>
        <w:rPr>
          <w:rFonts w:eastAsia="Times New Roman" w:cstheme="minorHAnsi"/>
          <w:lang w:eastAsia="tr-TR"/>
        </w:rPr>
      </w:pPr>
    </w:p>
    <w:p w:rsidR="00DE1E2F" w:rsidRPr="00E6446B" w:rsidRDefault="00DE1E2F" w:rsidP="00DE1E2F">
      <w:pPr>
        <w:pStyle w:val="ListeParagraf"/>
        <w:numPr>
          <w:ilvl w:val="0"/>
          <w:numId w:val="46"/>
        </w:numPr>
        <w:spacing w:after="0" w:line="259" w:lineRule="auto"/>
      </w:pPr>
      <w:r w:rsidRPr="00E6446B">
        <w:rPr>
          <w:rFonts w:eastAsia="Times New Roman" w:cstheme="minorHAnsi"/>
          <w:lang w:eastAsia="tr-TR"/>
        </w:rPr>
        <w:t xml:space="preserve">Şarj hizmetinin ticari olması, kendisinden kaynaklanmayan nedenler ve mücbir sebepler haricinde </w:t>
      </w:r>
      <w:r w:rsidRPr="00E6446B">
        <w:rPr>
          <w:rFonts w:eastAsia="Times New Roman" w:cstheme="minorHAnsi"/>
          <w:bCs/>
          <w:lang w:eastAsia="tr-TR"/>
        </w:rPr>
        <w:t>sürekli hizmet verilmesi</w:t>
      </w:r>
      <w:r w:rsidRPr="00E6446B">
        <w:rPr>
          <w:rFonts w:eastAsia="Times New Roman" w:cstheme="minorHAnsi"/>
          <w:lang w:eastAsia="tr-TR"/>
        </w:rPr>
        <w:t xml:space="preserve">, eşit durumdaki elektrikli araç kullanıcılarına ayrımcılık yapılmadan sunulması gibi özellikleri ile hizmet standartları, </w:t>
      </w:r>
    </w:p>
    <w:p w:rsidR="00DE1E2F" w:rsidRPr="00E6446B" w:rsidRDefault="00DE1E2F" w:rsidP="00DE1E2F">
      <w:pPr>
        <w:pStyle w:val="ListeParagraf"/>
        <w:spacing w:after="0"/>
        <w:rPr>
          <w:rFonts w:eastAsia="Times New Roman" w:cstheme="minorHAnsi"/>
          <w:lang w:eastAsia="tr-TR"/>
        </w:rPr>
      </w:pPr>
    </w:p>
    <w:p w:rsidR="00DE1E2F" w:rsidRPr="00E6446B" w:rsidRDefault="00DE1E2F" w:rsidP="00DE1E2F">
      <w:pPr>
        <w:pStyle w:val="ListeParagraf"/>
        <w:numPr>
          <w:ilvl w:val="0"/>
          <w:numId w:val="46"/>
        </w:numPr>
        <w:spacing w:after="0" w:line="259" w:lineRule="auto"/>
      </w:pPr>
      <w:r w:rsidRPr="00E6446B">
        <w:rPr>
          <w:rFonts w:eastAsia="Times New Roman" w:cstheme="minorHAnsi"/>
          <w:lang w:eastAsia="tr-TR"/>
        </w:rPr>
        <w:t xml:space="preserve">Şarj hizmeti fiyatının Kurum tarafından izleneceği, bu izleme için </w:t>
      </w:r>
      <w:r w:rsidRPr="00E6446B">
        <w:rPr>
          <w:rFonts w:eastAsia="Times New Roman" w:cstheme="minorHAnsi"/>
          <w:bCs/>
          <w:lang w:eastAsia="tr-TR"/>
        </w:rPr>
        <w:t xml:space="preserve">gerekli her türlü veri, bilgi, fiyat unsurlarının Kuruma sunulması </w:t>
      </w:r>
      <w:r w:rsidRPr="00E6446B">
        <w:rPr>
          <w:rFonts w:eastAsia="Times New Roman" w:cstheme="minorHAnsi"/>
          <w:lang w:eastAsia="tr-TR"/>
        </w:rPr>
        <w:t>yükümlülüğü ile şarj hizmeti fiyatına Kurum tarafından müdahale koşullarının belirlenmesi, şarj istasyonlarının kendi kullanacağı elektriği üretebilmesi ve depolayabilme imkanının sağlanması ve iletim veya dağıtım sistemi şebeke işletmecisi ile şarj ağı işletmecisi ve elektrikli araçlar arasında kurulacak iletişim sistemlerinin sağlıklı çalışabilmesi</w:t>
      </w:r>
    </w:p>
    <w:p w:rsidR="00DE1E2F" w:rsidRDefault="00DE1E2F" w:rsidP="00F91931">
      <w:pPr>
        <w:spacing w:before="120" w:after="120" w:line="360" w:lineRule="auto"/>
        <w:ind w:left="336"/>
        <w:rPr>
          <w:rFonts w:eastAsia="Times New Roman" w:cstheme="minorHAnsi"/>
          <w:lang w:eastAsia="tr-TR"/>
        </w:rPr>
      </w:pPr>
      <w:r>
        <w:rPr>
          <w:rFonts w:eastAsia="Times New Roman" w:cstheme="minorHAnsi"/>
          <w:lang w:eastAsia="tr-TR"/>
        </w:rPr>
        <w:t xml:space="preserve">hususlarında </w:t>
      </w:r>
      <w:r w:rsidRPr="00CE5333">
        <w:rPr>
          <w:rFonts w:eastAsia="Times New Roman" w:cstheme="minorHAnsi"/>
          <w:lang w:eastAsia="tr-TR"/>
        </w:rPr>
        <w:t>düzenlemeler yapılarak hüküm altına alınmıştır.</w:t>
      </w:r>
    </w:p>
    <w:p w:rsidR="00DE1E2F" w:rsidRPr="000079C1" w:rsidRDefault="00DE1E2F" w:rsidP="00F91931">
      <w:pPr>
        <w:pStyle w:val="ListeParagraf"/>
        <w:numPr>
          <w:ilvl w:val="0"/>
          <w:numId w:val="24"/>
        </w:numPr>
        <w:spacing w:before="120" w:after="120" w:line="259" w:lineRule="auto"/>
        <w:contextualSpacing w:val="0"/>
        <w:rPr>
          <w:rFonts w:ascii="Calibri" w:hAnsi="Calibri"/>
        </w:rPr>
      </w:pPr>
      <w:r>
        <w:rPr>
          <w:rFonts w:ascii="Calibri" w:hAnsi="Calibri"/>
        </w:rPr>
        <w:t>06</w:t>
      </w:r>
      <w:r w:rsidRPr="00B025C9">
        <w:rPr>
          <w:rFonts w:ascii="Calibri" w:hAnsi="Calibri"/>
        </w:rPr>
        <w:t>.</w:t>
      </w:r>
      <w:r>
        <w:rPr>
          <w:rFonts w:ascii="Calibri" w:hAnsi="Calibri"/>
        </w:rPr>
        <w:t>09</w:t>
      </w:r>
      <w:r w:rsidRPr="00B025C9">
        <w:rPr>
          <w:rFonts w:ascii="Calibri" w:hAnsi="Calibri"/>
        </w:rPr>
        <w:t>.2022 tarihli ve 3</w:t>
      </w:r>
      <w:r>
        <w:rPr>
          <w:rFonts w:ascii="Calibri" w:hAnsi="Calibri"/>
        </w:rPr>
        <w:t>1945</w:t>
      </w:r>
      <w:r w:rsidRPr="00B025C9">
        <w:rPr>
          <w:rFonts w:ascii="Calibri" w:hAnsi="Calibri"/>
        </w:rPr>
        <w:t xml:space="preserve"> sayılı Resmî </w:t>
      </w:r>
      <w:r w:rsidR="00274939">
        <w:rPr>
          <w:rFonts w:ascii="Calibri" w:hAnsi="Calibri"/>
        </w:rPr>
        <w:t>Gazetede</w:t>
      </w:r>
      <w:r w:rsidRPr="00B025C9">
        <w:rPr>
          <w:rFonts w:ascii="Calibri" w:hAnsi="Calibri"/>
        </w:rPr>
        <w:t xml:space="preserve"> yayımlanan Yönetmeli</w:t>
      </w:r>
      <w:r>
        <w:rPr>
          <w:rFonts w:ascii="Calibri" w:hAnsi="Calibri"/>
        </w:rPr>
        <w:t>k</w:t>
      </w:r>
      <w:r w:rsidRPr="00B025C9">
        <w:rPr>
          <w:rFonts w:ascii="Calibri" w:hAnsi="Calibri"/>
        </w:rPr>
        <w:t xml:space="preserve"> ile </w:t>
      </w:r>
      <w:r w:rsidRPr="000079C1">
        <w:rPr>
          <w:rFonts w:ascii="Calibri" w:hAnsi="Calibri"/>
          <w:b/>
          <w:bCs/>
        </w:rPr>
        <w:t xml:space="preserve">Şarj Hizmeti Yönetmeliğine </w:t>
      </w:r>
      <w:r w:rsidRPr="000079C1">
        <w:rPr>
          <w:rFonts w:ascii="Calibri" w:hAnsi="Calibri"/>
          <w:bCs/>
        </w:rPr>
        <w:t>aşağıdaki geçici madde eklenmiştir.</w:t>
      </w:r>
    </w:p>
    <w:p w:rsidR="00DE1E2F" w:rsidRDefault="00DE1E2F" w:rsidP="00DE1E2F">
      <w:pPr>
        <w:pStyle w:val="ListeParagraf"/>
        <w:rPr>
          <w:rFonts w:ascii="Calibri" w:hAnsi="Calibri"/>
          <w:b/>
          <w:bCs/>
        </w:rPr>
      </w:pPr>
    </w:p>
    <w:p w:rsidR="00DE1E2F" w:rsidRPr="000079C1" w:rsidRDefault="00DE1E2F" w:rsidP="00DE1E2F">
      <w:pPr>
        <w:pStyle w:val="ListeParagraf"/>
        <w:ind w:left="1418"/>
        <w:rPr>
          <w:rFonts w:ascii="Calibri" w:hAnsi="Calibri"/>
          <w:i/>
          <w:iCs/>
        </w:rPr>
      </w:pPr>
      <w:r w:rsidRPr="000079C1">
        <w:rPr>
          <w:rFonts w:ascii="Calibri" w:hAnsi="Calibri"/>
          <w:i/>
          <w:iCs/>
        </w:rPr>
        <w:t>“İşyeri açma ve çalışma ruhsatı</w:t>
      </w:r>
    </w:p>
    <w:p w:rsidR="00DE1E2F" w:rsidRDefault="00DE1E2F" w:rsidP="00DE1E2F">
      <w:pPr>
        <w:pStyle w:val="ListeParagraf"/>
        <w:ind w:left="1418"/>
        <w:rPr>
          <w:rFonts w:ascii="Calibri" w:hAnsi="Calibri"/>
          <w:i/>
          <w:iCs/>
        </w:rPr>
      </w:pPr>
      <w:r w:rsidRPr="000079C1">
        <w:rPr>
          <w:rFonts w:ascii="Calibri" w:hAnsi="Calibri"/>
          <w:i/>
          <w:iCs/>
        </w:rPr>
        <w:t>GEÇİCİ MADDE 2- (1) 17 nci madde uyarınca şarj ağı işletmecisi tarafından şarj ağına şarj istasyonu ekleme işlemi için gereken iş yeri açma ve çalışma ruhsatının 31/7/2023 tarihine kadar Kuruma sunulması zorunludur.”</w:t>
      </w:r>
    </w:p>
    <w:p w:rsidR="00DE1E2F" w:rsidRDefault="00DE1E2F" w:rsidP="00DE1E2F">
      <w:pPr>
        <w:pStyle w:val="ListeParagraf"/>
        <w:ind w:left="1418"/>
        <w:rPr>
          <w:i/>
        </w:rPr>
      </w:pPr>
    </w:p>
    <w:p w:rsidR="00DE1E2F" w:rsidRPr="005E050D" w:rsidRDefault="00DE1E2F" w:rsidP="00DE1E2F">
      <w:pPr>
        <w:pStyle w:val="ListeParagraf"/>
        <w:numPr>
          <w:ilvl w:val="0"/>
          <w:numId w:val="26"/>
        </w:numPr>
        <w:spacing w:after="0"/>
        <w:rPr>
          <w:rFonts w:ascii="Calibri" w:hAnsi="Calibri"/>
          <w:i/>
        </w:rPr>
      </w:pPr>
      <w:r>
        <w:rPr>
          <w:rFonts w:ascii="Calibri" w:hAnsi="Calibri"/>
          <w:bCs/>
        </w:rPr>
        <w:t>31</w:t>
      </w:r>
      <w:r w:rsidRPr="005B3935">
        <w:rPr>
          <w:rFonts w:ascii="Calibri" w:hAnsi="Calibri"/>
          <w:bCs/>
        </w:rPr>
        <w:t>.</w:t>
      </w:r>
      <w:r>
        <w:rPr>
          <w:rFonts w:ascii="Calibri" w:hAnsi="Calibri"/>
          <w:bCs/>
        </w:rPr>
        <w:t>12</w:t>
      </w:r>
      <w:r w:rsidRPr="005B3935">
        <w:rPr>
          <w:rFonts w:ascii="Calibri" w:hAnsi="Calibri"/>
          <w:bCs/>
        </w:rPr>
        <w:t>.202</w:t>
      </w:r>
      <w:r>
        <w:rPr>
          <w:rFonts w:ascii="Calibri" w:hAnsi="Calibri"/>
          <w:bCs/>
        </w:rPr>
        <w:t>2</w:t>
      </w:r>
      <w:r w:rsidRPr="005B3935">
        <w:rPr>
          <w:rFonts w:ascii="Calibri" w:hAnsi="Calibri"/>
          <w:bCs/>
        </w:rPr>
        <w:t xml:space="preserve"> tarihli ve </w:t>
      </w:r>
      <w:r>
        <w:rPr>
          <w:rFonts w:ascii="Calibri" w:hAnsi="Calibri"/>
          <w:bCs/>
        </w:rPr>
        <w:t>32060</w:t>
      </w:r>
      <w:r w:rsidRPr="005B3935">
        <w:rPr>
          <w:rFonts w:ascii="Calibri" w:hAnsi="Calibri"/>
          <w:bCs/>
        </w:rPr>
        <w:t xml:space="preserve"> </w:t>
      </w:r>
      <w:r>
        <w:rPr>
          <w:rFonts w:ascii="Calibri" w:hAnsi="Calibri"/>
          <w:bCs/>
        </w:rPr>
        <w:t xml:space="preserve">(5. Mükerrer) </w:t>
      </w:r>
      <w:r w:rsidRPr="005B3935">
        <w:rPr>
          <w:rFonts w:ascii="Calibri" w:hAnsi="Calibri"/>
          <w:bCs/>
        </w:rPr>
        <w:t xml:space="preserve">sayılı Resmî </w:t>
      </w:r>
      <w:r w:rsidR="00274939">
        <w:rPr>
          <w:rFonts w:ascii="Calibri" w:hAnsi="Calibri"/>
          <w:bCs/>
        </w:rPr>
        <w:t>Gazetede</w:t>
      </w:r>
      <w:r w:rsidRPr="005B3935">
        <w:rPr>
          <w:rFonts w:ascii="Calibri" w:hAnsi="Calibri"/>
          <w:bCs/>
        </w:rPr>
        <w:t xml:space="preserve"> yayımlanan</w:t>
      </w:r>
      <w:r>
        <w:rPr>
          <w:rFonts w:ascii="Calibri" w:hAnsi="Calibri"/>
          <w:bCs/>
        </w:rPr>
        <w:t xml:space="preserve"> </w:t>
      </w:r>
      <w:r w:rsidRPr="005B3935">
        <w:rPr>
          <w:rFonts w:ascii="Calibri" w:hAnsi="Calibri"/>
          <w:bCs/>
        </w:rPr>
        <w:t>Yönetmeli</w:t>
      </w:r>
      <w:r>
        <w:rPr>
          <w:rFonts w:ascii="Calibri" w:hAnsi="Calibri"/>
          <w:bCs/>
        </w:rPr>
        <w:t>k</w:t>
      </w:r>
      <w:r w:rsidRPr="005B3935">
        <w:rPr>
          <w:rFonts w:ascii="Calibri" w:hAnsi="Calibri"/>
          <w:bCs/>
        </w:rPr>
        <w:t xml:space="preserve"> </w:t>
      </w:r>
      <w:r>
        <w:rPr>
          <w:rFonts w:ascii="Calibri" w:hAnsi="Calibri"/>
          <w:bCs/>
        </w:rPr>
        <w:t>i</w:t>
      </w:r>
      <w:r w:rsidRPr="005B3935">
        <w:rPr>
          <w:rFonts w:ascii="Calibri" w:hAnsi="Calibri"/>
          <w:bCs/>
        </w:rPr>
        <w:t>le</w:t>
      </w:r>
      <w:r w:rsidRPr="005B3935">
        <w:rPr>
          <w:rFonts w:ascii="Calibri" w:hAnsi="Calibri"/>
          <w:b/>
          <w:bCs/>
        </w:rPr>
        <w:t xml:space="preserve"> </w:t>
      </w:r>
      <w:r w:rsidRPr="00AE43A5">
        <w:rPr>
          <w:rFonts w:ascii="Calibri" w:hAnsi="Calibri"/>
          <w:b/>
        </w:rPr>
        <w:t>Şarj Hizmeti Yönetmeliğine</w:t>
      </w:r>
      <w:r>
        <w:rPr>
          <w:rFonts w:ascii="Calibri" w:hAnsi="Calibri"/>
          <w:b/>
        </w:rPr>
        <w:t xml:space="preserve"> </w:t>
      </w:r>
      <w:r w:rsidRPr="00AE43A5">
        <w:rPr>
          <w:rFonts w:ascii="Calibri" w:hAnsi="Calibri"/>
          <w:bCs/>
        </w:rPr>
        <w:t>aşağıdaki geçici madde eklenmiştir.</w:t>
      </w:r>
    </w:p>
    <w:p w:rsidR="00DE1E2F" w:rsidRDefault="00DE1E2F" w:rsidP="00DE1E2F">
      <w:pPr>
        <w:pStyle w:val="ListeParagraf"/>
        <w:spacing w:after="0"/>
        <w:ind w:left="1440"/>
        <w:rPr>
          <w:rFonts w:ascii="Calibri" w:hAnsi="Calibri"/>
          <w:iCs/>
        </w:rPr>
      </w:pPr>
    </w:p>
    <w:p w:rsidR="00DE1E2F" w:rsidRPr="00AE43A5" w:rsidRDefault="00DE1E2F" w:rsidP="00DE1E2F">
      <w:pPr>
        <w:pStyle w:val="ListeParagraf"/>
        <w:spacing w:after="0"/>
        <w:ind w:left="1440"/>
        <w:rPr>
          <w:rFonts w:ascii="Calibri" w:hAnsi="Calibri"/>
          <w:i/>
        </w:rPr>
      </w:pPr>
      <w:r w:rsidRPr="00AE43A5">
        <w:rPr>
          <w:rFonts w:ascii="Calibri" w:hAnsi="Calibri"/>
          <w:i/>
        </w:rPr>
        <w:t xml:space="preserve"> “Şarj ağının oluşturulması</w:t>
      </w:r>
    </w:p>
    <w:p w:rsidR="00DE1E2F" w:rsidRDefault="00DE1E2F" w:rsidP="00DE1E2F">
      <w:pPr>
        <w:pStyle w:val="ListeParagraf"/>
        <w:spacing w:after="0"/>
        <w:ind w:left="1440"/>
        <w:rPr>
          <w:rFonts w:ascii="Calibri" w:hAnsi="Calibri"/>
          <w:i/>
        </w:rPr>
      </w:pPr>
      <w:r w:rsidRPr="00AE43A5">
        <w:rPr>
          <w:rFonts w:ascii="Calibri" w:hAnsi="Calibri"/>
          <w:i/>
        </w:rPr>
        <w:t>GEÇİCİ MADDE 3- (1) Bu maddenin yürürlüğe girdiği tarih itibarıyla mevcut şarj ağı işletmeci lisansı sahibi tüzel kişilere 15 inci maddenin ikinci fıkrası kapsamında şarj ağının oluşturulması için 30/6/2023 tarihine kadar süre verilir.”</w:t>
      </w:r>
    </w:p>
    <w:p w:rsidR="00DE1E2F" w:rsidRPr="007F076F" w:rsidRDefault="00DE1E2F" w:rsidP="00DE1E2F">
      <w:pPr>
        <w:pStyle w:val="Balk3"/>
        <w:numPr>
          <w:ilvl w:val="2"/>
          <w:numId w:val="11"/>
        </w:numPr>
        <w:spacing w:after="240"/>
        <w:rPr>
          <w:rFonts w:asciiTheme="minorHAnsi" w:hAnsiTheme="minorHAnsi" w:cstheme="minorHAnsi"/>
          <w:color w:val="auto"/>
        </w:rPr>
      </w:pPr>
      <w:bookmarkStart w:id="75" w:name="_Toc130290876"/>
      <w:bookmarkStart w:id="76" w:name="_Toc132713764"/>
      <w:r w:rsidRPr="005356D4">
        <w:rPr>
          <w:rFonts w:asciiTheme="minorHAnsi" w:hAnsiTheme="minorHAnsi" w:cstheme="minorHAnsi"/>
          <w:color w:val="auto"/>
        </w:rPr>
        <w:t>Kurul Kararları</w:t>
      </w:r>
      <w:bookmarkEnd w:id="75"/>
      <w:bookmarkEnd w:id="76"/>
    </w:p>
    <w:p w:rsidR="00DE1E2F" w:rsidRDefault="00DE1E2F" w:rsidP="00DE1E2F">
      <w:pPr>
        <w:pStyle w:val="ListeParagraf"/>
        <w:spacing w:after="0"/>
        <w:ind w:left="360"/>
        <w:rPr>
          <w:rFonts w:cstheme="minorHAnsi"/>
          <w:color w:val="000000" w:themeColor="text1"/>
        </w:rPr>
      </w:pPr>
      <w:r w:rsidRPr="00001C01">
        <w:rPr>
          <w:rFonts w:cstheme="minorHAnsi"/>
          <w:color w:val="000000" w:themeColor="text1"/>
        </w:rPr>
        <w:t xml:space="preserve">2022 yılında </w:t>
      </w:r>
      <w:r>
        <w:rPr>
          <w:rFonts w:cstheme="minorHAnsi"/>
          <w:color w:val="000000" w:themeColor="text1"/>
        </w:rPr>
        <w:t>şarj hizmeti</w:t>
      </w:r>
      <w:r w:rsidRPr="00001C01">
        <w:rPr>
          <w:rFonts w:cstheme="minorHAnsi"/>
          <w:color w:val="000000" w:themeColor="text1"/>
        </w:rPr>
        <w:t xml:space="preserve"> piyasasında düzenleyici işlem niteliğinde aşağıdaki Kurul Kararları ihdas edilmiştir:</w:t>
      </w:r>
    </w:p>
    <w:p w:rsidR="00DE1E2F" w:rsidRPr="00001C01" w:rsidRDefault="00DE1E2F" w:rsidP="00DE1E2F">
      <w:pPr>
        <w:pStyle w:val="ListeParagraf"/>
        <w:spacing w:after="0"/>
        <w:ind w:left="360"/>
        <w:rPr>
          <w:rFonts w:cstheme="minorHAnsi"/>
          <w:color w:val="000000" w:themeColor="text1"/>
        </w:rPr>
      </w:pPr>
    </w:p>
    <w:p w:rsidR="00DE1E2F" w:rsidRDefault="00DE1E2F" w:rsidP="00DE1E2F">
      <w:pPr>
        <w:pStyle w:val="ListeParagraf"/>
        <w:numPr>
          <w:ilvl w:val="0"/>
          <w:numId w:val="56"/>
        </w:numPr>
        <w:spacing w:after="160" w:line="259" w:lineRule="auto"/>
        <w:rPr>
          <w:rFonts w:ascii="Calibri" w:hAnsi="Calibri" w:cs="Calibri"/>
          <w:color w:val="000000"/>
        </w:rPr>
      </w:pPr>
      <w:r w:rsidRPr="0096477E">
        <w:rPr>
          <w:rFonts w:ascii="Calibri" w:hAnsi="Calibri" w:cs="Calibri"/>
          <w:color w:val="000000"/>
        </w:rPr>
        <w:t>0</w:t>
      </w:r>
      <w:r>
        <w:rPr>
          <w:rFonts w:ascii="Calibri" w:hAnsi="Calibri" w:cs="Calibri"/>
          <w:color w:val="000000"/>
        </w:rPr>
        <w:t>2</w:t>
      </w:r>
      <w:r w:rsidRPr="005B3935">
        <w:rPr>
          <w:rFonts w:ascii="Calibri" w:hAnsi="Calibri" w:cs="Calibri"/>
          <w:color w:val="000000"/>
        </w:rPr>
        <w:t>.</w:t>
      </w:r>
      <w:r w:rsidRPr="0096477E">
        <w:rPr>
          <w:rFonts w:ascii="Calibri" w:hAnsi="Calibri" w:cs="Calibri"/>
          <w:color w:val="000000"/>
        </w:rPr>
        <w:t>0</w:t>
      </w:r>
      <w:r>
        <w:rPr>
          <w:rFonts w:ascii="Calibri" w:hAnsi="Calibri" w:cs="Calibri"/>
          <w:color w:val="000000"/>
        </w:rPr>
        <w:t>4</w:t>
      </w:r>
      <w:r w:rsidRPr="005B3935">
        <w:rPr>
          <w:rFonts w:ascii="Calibri" w:hAnsi="Calibri" w:cs="Calibri"/>
          <w:color w:val="000000"/>
        </w:rPr>
        <w:t>.202</w:t>
      </w:r>
      <w:r w:rsidRPr="0096477E">
        <w:rPr>
          <w:rFonts w:ascii="Calibri" w:hAnsi="Calibri" w:cs="Calibri"/>
          <w:color w:val="000000"/>
        </w:rPr>
        <w:t>2</w:t>
      </w:r>
      <w:r w:rsidRPr="005B3935">
        <w:rPr>
          <w:rFonts w:ascii="Calibri" w:hAnsi="Calibri" w:cs="Calibri"/>
          <w:color w:val="000000"/>
        </w:rPr>
        <w:t xml:space="preserve"> tarihli ve 31</w:t>
      </w:r>
      <w:r w:rsidRPr="0096477E">
        <w:rPr>
          <w:rFonts w:ascii="Calibri" w:hAnsi="Calibri" w:cs="Calibri"/>
          <w:color w:val="000000"/>
        </w:rPr>
        <w:t>7</w:t>
      </w:r>
      <w:r>
        <w:rPr>
          <w:rFonts w:ascii="Calibri" w:hAnsi="Calibri" w:cs="Calibri"/>
          <w:color w:val="000000"/>
        </w:rPr>
        <w:t>9</w:t>
      </w:r>
      <w:r w:rsidRPr="0096477E">
        <w:rPr>
          <w:rFonts w:ascii="Calibri" w:hAnsi="Calibri" w:cs="Calibri"/>
          <w:color w:val="000000"/>
        </w:rPr>
        <w:t>7</w:t>
      </w:r>
      <w:r w:rsidRPr="005B3935">
        <w:rPr>
          <w:rFonts w:ascii="Calibri" w:hAnsi="Calibri" w:cs="Calibri"/>
          <w:color w:val="000000"/>
        </w:rPr>
        <w:t xml:space="preserve"> sayılı Resmî </w:t>
      </w:r>
      <w:r w:rsidR="00274939">
        <w:rPr>
          <w:rFonts w:ascii="Calibri" w:hAnsi="Calibri" w:cs="Calibri"/>
          <w:color w:val="000000"/>
        </w:rPr>
        <w:t>Gazetede</w:t>
      </w:r>
      <w:r w:rsidRPr="005B3935">
        <w:rPr>
          <w:rFonts w:ascii="Calibri" w:hAnsi="Calibri" w:cs="Calibri"/>
          <w:color w:val="000000"/>
        </w:rPr>
        <w:t xml:space="preserve"> yayımlanan </w:t>
      </w:r>
      <w:r>
        <w:rPr>
          <w:rFonts w:ascii="Calibri" w:hAnsi="Calibri" w:cs="Calibri"/>
          <w:color w:val="000000"/>
        </w:rPr>
        <w:t>31</w:t>
      </w:r>
      <w:r w:rsidRPr="005B3935">
        <w:rPr>
          <w:rFonts w:ascii="Calibri" w:hAnsi="Calibri" w:cs="Calibri"/>
          <w:color w:val="000000"/>
        </w:rPr>
        <w:t>.</w:t>
      </w:r>
      <w:r w:rsidRPr="0096477E">
        <w:rPr>
          <w:rFonts w:ascii="Calibri" w:hAnsi="Calibri" w:cs="Calibri"/>
          <w:color w:val="000000"/>
        </w:rPr>
        <w:t>0</w:t>
      </w:r>
      <w:r>
        <w:rPr>
          <w:rFonts w:ascii="Calibri" w:hAnsi="Calibri" w:cs="Calibri"/>
          <w:color w:val="000000"/>
        </w:rPr>
        <w:t>3</w:t>
      </w:r>
      <w:r w:rsidRPr="005B3935">
        <w:rPr>
          <w:rFonts w:ascii="Calibri" w:hAnsi="Calibri" w:cs="Calibri"/>
          <w:color w:val="000000"/>
        </w:rPr>
        <w:t>.202</w:t>
      </w:r>
      <w:r w:rsidRPr="0096477E">
        <w:rPr>
          <w:rFonts w:ascii="Calibri" w:hAnsi="Calibri" w:cs="Calibri"/>
          <w:color w:val="000000"/>
        </w:rPr>
        <w:t>2</w:t>
      </w:r>
      <w:r w:rsidRPr="005B3935">
        <w:rPr>
          <w:rFonts w:ascii="Calibri" w:hAnsi="Calibri" w:cs="Calibri"/>
          <w:color w:val="000000"/>
        </w:rPr>
        <w:t xml:space="preserve"> tarihli ve 10</w:t>
      </w:r>
      <w:r>
        <w:rPr>
          <w:rFonts w:ascii="Calibri" w:hAnsi="Calibri" w:cs="Calibri"/>
          <w:color w:val="000000"/>
        </w:rPr>
        <w:t xml:space="preserve">895 </w:t>
      </w:r>
      <w:r w:rsidRPr="005B3935">
        <w:rPr>
          <w:rFonts w:ascii="Calibri" w:hAnsi="Calibri" w:cs="Calibri"/>
          <w:color w:val="000000"/>
        </w:rPr>
        <w:t>sayılı Kurul Kararı ile</w:t>
      </w:r>
      <w:r>
        <w:rPr>
          <w:rFonts w:ascii="Calibri" w:hAnsi="Calibri" w:cs="Calibri"/>
          <w:color w:val="000000"/>
        </w:rPr>
        <w:t xml:space="preserve"> Ş</w:t>
      </w:r>
      <w:r w:rsidRPr="005C53A8">
        <w:rPr>
          <w:rFonts w:ascii="Calibri" w:hAnsi="Calibri" w:cs="Calibri"/>
          <w:color w:val="000000"/>
        </w:rPr>
        <w:t>arj ağı işletmeci lisansına ilişkin 2022 yılında uygulanacak olan lisans alma, lisans tadili ve lisans sureti çıkartma bedelleri aşağıdaki şekilde belirlenmiştir</w:t>
      </w:r>
      <w:r>
        <w:rPr>
          <w:rFonts w:ascii="Calibri" w:hAnsi="Calibri" w:cs="Calibri"/>
          <w:color w:val="000000"/>
        </w:rPr>
        <w:t>:</w:t>
      </w:r>
    </w:p>
    <w:tbl>
      <w:tblPr>
        <w:tblpPr w:leftFromText="141" w:rightFromText="141" w:vertAnchor="text" w:horzAnchor="margin" w:tblpXSpec="center" w:tblpY="287"/>
        <w:tblW w:w="5927" w:type="dxa"/>
        <w:tblBorders>
          <w:top w:val="single" w:sz="48" w:space="0" w:color="EAE6D6"/>
          <w:bottom w:val="single" w:sz="48" w:space="0" w:color="EAE6D6"/>
        </w:tblBorders>
        <w:shd w:val="clear" w:color="auto" w:fill="F4F2E9"/>
        <w:tblCellMar>
          <w:top w:w="15" w:type="dxa"/>
          <w:left w:w="15" w:type="dxa"/>
          <w:bottom w:w="15" w:type="dxa"/>
          <w:right w:w="15" w:type="dxa"/>
        </w:tblCellMar>
        <w:tblLook w:val="04A0" w:firstRow="1" w:lastRow="0" w:firstColumn="1" w:lastColumn="0" w:noHBand="0" w:noVBand="1"/>
      </w:tblPr>
      <w:tblGrid>
        <w:gridCol w:w="4231"/>
        <w:gridCol w:w="1696"/>
      </w:tblGrid>
      <w:tr w:rsidR="00DE1E2F" w:rsidRPr="00A94A40" w:rsidTr="00FF24CA">
        <w:trPr>
          <w:trHeight w:val="165"/>
        </w:trPr>
        <w:tc>
          <w:tcPr>
            <w:tcW w:w="0" w:type="auto"/>
            <w:tcBorders>
              <w:top w:val="single" w:sz="12" w:space="0" w:color="EAE6D6"/>
              <w:left w:val="single" w:sz="12" w:space="0" w:color="EAE6D6"/>
              <w:bottom w:val="single" w:sz="12" w:space="0" w:color="EAE6D6"/>
              <w:right w:val="single" w:sz="12" w:space="0" w:color="EAE6D6"/>
            </w:tcBorders>
            <w:shd w:val="clear" w:color="auto" w:fill="F4F2E9"/>
            <w:tcMar>
              <w:top w:w="30" w:type="dxa"/>
              <w:left w:w="75" w:type="dxa"/>
              <w:bottom w:w="30" w:type="dxa"/>
              <w:right w:w="75" w:type="dxa"/>
            </w:tcMar>
            <w:vAlign w:val="center"/>
            <w:hideMark/>
          </w:tcPr>
          <w:p w:rsidR="00DE1E2F" w:rsidRPr="00A94A40" w:rsidRDefault="00DE1E2F" w:rsidP="00FF24CA">
            <w:pPr>
              <w:spacing w:after="0" w:line="240" w:lineRule="auto"/>
              <w:jc w:val="center"/>
              <w:rPr>
                <w:rFonts w:ascii="Arial" w:eastAsia="Times New Roman" w:hAnsi="Arial" w:cs="Arial"/>
                <w:color w:val="484848"/>
                <w:lang w:eastAsia="tr-TR"/>
              </w:rPr>
            </w:pPr>
            <w:r w:rsidRPr="00A94A40">
              <w:rPr>
                <w:rFonts w:ascii="Arial" w:eastAsia="Times New Roman" w:hAnsi="Arial" w:cs="Arial"/>
                <w:color w:val="484848"/>
                <w:lang w:eastAsia="tr-TR"/>
              </w:rPr>
              <w:lastRenderedPageBreak/>
              <w:t>Bedel Türü</w:t>
            </w:r>
          </w:p>
        </w:tc>
        <w:tc>
          <w:tcPr>
            <w:tcW w:w="0" w:type="auto"/>
            <w:tcBorders>
              <w:top w:val="single" w:sz="12" w:space="0" w:color="EAE6D6"/>
              <w:left w:val="single" w:sz="12" w:space="0" w:color="EAE6D6"/>
              <w:bottom w:val="single" w:sz="12" w:space="0" w:color="EAE6D6"/>
              <w:right w:val="single" w:sz="12" w:space="0" w:color="EAE6D6"/>
            </w:tcBorders>
            <w:shd w:val="clear" w:color="auto" w:fill="F4F2E9"/>
            <w:tcMar>
              <w:top w:w="30" w:type="dxa"/>
              <w:left w:w="75" w:type="dxa"/>
              <w:bottom w:w="30" w:type="dxa"/>
              <w:right w:w="75" w:type="dxa"/>
            </w:tcMar>
            <w:vAlign w:val="center"/>
            <w:hideMark/>
          </w:tcPr>
          <w:p w:rsidR="00DE1E2F" w:rsidRPr="00A94A40" w:rsidRDefault="00DE1E2F" w:rsidP="00FF24CA">
            <w:pPr>
              <w:spacing w:after="0" w:line="240" w:lineRule="auto"/>
              <w:jc w:val="center"/>
              <w:rPr>
                <w:rFonts w:ascii="Arial" w:eastAsia="Times New Roman" w:hAnsi="Arial" w:cs="Arial"/>
                <w:color w:val="484848"/>
                <w:lang w:eastAsia="tr-TR"/>
              </w:rPr>
            </w:pPr>
            <w:r w:rsidRPr="00A94A40">
              <w:rPr>
                <w:rFonts w:ascii="Arial" w:eastAsia="Times New Roman" w:hAnsi="Arial" w:cs="Arial"/>
                <w:color w:val="484848"/>
                <w:lang w:eastAsia="tr-TR"/>
              </w:rPr>
              <w:t>Bedel (TL)</w:t>
            </w:r>
          </w:p>
        </w:tc>
      </w:tr>
      <w:tr w:rsidR="00DE1E2F" w:rsidRPr="00A94A40" w:rsidTr="00FF24CA">
        <w:trPr>
          <w:trHeight w:val="165"/>
        </w:trPr>
        <w:tc>
          <w:tcPr>
            <w:tcW w:w="0" w:type="auto"/>
            <w:tcBorders>
              <w:top w:val="single" w:sz="12" w:space="0" w:color="EAE6D6"/>
              <w:left w:val="single" w:sz="12" w:space="0" w:color="EAE6D6"/>
              <w:bottom w:val="single" w:sz="12" w:space="0" w:color="EAE6D6"/>
              <w:right w:val="single" w:sz="12" w:space="0" w:color="EAE6D6"/>
            </w:tcBorders>
            <w:shd w:val="clear" w:color="auto" w:fill="F4F2E9"/>
            <w:tcMar>
              <w:top w:w="30" w:type="dxa"/>
              <w:left w:w="75" w:type="dxa"/>
              <w:bottom w:w="30" w:type="dxa"/>
              <w:right w:w="75" w:type="dxa"/>
            </w:tcMar>
            <w:vAlign w:val="center"/>
            <w:hideMark/>
          </w:tcPr>
          <w:p w:rsidR="00DE1E2F" w:rsidRPr="00A94A40" w:rsidRDefault="00DE1E2F" w:rsidP="00FF24CA">
            <w:pPr>
              <w:spacing w:after="0" w:line="240" w:lineRule="auto"/>
              <w:jc w:val="center"/>
              <w:rPr>
                <w:rFonts w:ascii="Arial" w:eastAsia="Times New Roman" w:hAnsi="Arial" w:cs="Arial"/>
                <w:color w:val="484848"/>
                <w:lang w:eastAsia="tr-TR"/>
              </w:rPr>
            </w:pPr>
            <w:r w:rsidRPr="00A94A40">
              <w:rPr>
                <w:rFonts w:ascii="Arial" w:eastAsia="Times New Roman" w:hAnsi="Arial" w:cs="Arial"/>
                <w:color w:val="484848"/>
                <w:lang w:eastAsia="tr-TR"/>
              </w:rPr>
              <w:t>Lisans alma bedeli</w:t>
            </w:r>
          </w:p>
        </w:tc>
        <w:tc>
          <w:tcPr>
            <w:tcW w:w="0" w:type="auto"/>
            <w:tcBorders>
              <w:top w:val="single" w:sz="12" w:space="0" w:color="EAE6D6"/>
              <w:left w:val="single" w:sz="12" w:space="0" w:color="EAE6D6"/>
              <w:bottom w:val="single" w:sz="12" w:space="0" w:color="EAE6D6"/>
              <w:right w:val="single" w:sz="12" w:space="0" w:color="EAE6D6"/>
            </w:tcBorders>
            <w:shd w:val="clear" w:color="auto" w:fill="F4F2E9"/>
            <w:tcMar>
              <w:top w:w="30" w:type="dxa"/>
              <w:left w:w="75" w:type="dxa"/>
              <w:bottom w:w="30" w:type="dxa"/>
              <w:right w:w="75" w:type="dxa"/>
            </w:tcMar>
            <w:vAlign w:val="center"/>
            <w:hideMark/>
          </w:tcPr>
          <w:p w:rsidR="00DE1E2F" w:rsidRPr="00A94A40" w:rsidRDefault="00DE1E2F" w:rsidP="00FF24CA">
            <w:pPr>
              <w:spacing w:after="0" w:line="240" w:lineRule="auto"/>
              <w:jc w:val="center"/>
              <w:rPr>
                <w:rFonts w:ascii="Arial" w:eastAsia="Times New Roman" w:hAnsi="Arial" w:cs="Arial"/>
                <w:color w:val="484848"/>
                <w:lang w:eastAsia="tr-TR"/>
              </w:rPr>
            </w:pPr>
            <w:r w:rsidRPr="00A94A40">
              <w:rPr>
                <w:rFonts w:ascii="Arial" w:eastAsia="Times New Roman" w:hAnsi="Arial" w:cs="Arial"/>
                <w:color w:val="484848"/>
                <w:lang w:eastAsia="tr-TR"/>
              </w:rPr>
              <w:t>300.000</w:t>
            </w:r>
          </w:p>
        </w:tc>
      </w:tr>
      <w:tr w:rsidR="00DE1E2F" w:rsidRPr="00A94A40" w:rsidTr="00FF24CA">
        <w:trPr>
          <w:trHeight w:val="165"/>
        </w:trPr>
        <w:tc>
          <w:tcPr>
            <w:tcW w:w="0" w:type="auto"/>
            <w:tcBorders>
              <w:top w:val="single" w:sz="12" w:space="0" w:color="EAE6D6"/>
              <w:left w:val="single" w:sz="12" w:space="0" w:color="EAE6D6"/>
              <w:bottom w:val="single" w:sz="12" w:space="0" w:color="EAE6D6"/>
              <w:right w:val="single" w:sz="12" w:space="0" w:color="EAE6D6"/>
            </w:tcBorders>
            <w:shd w:val="clear" w:color="auto" w:fill="F4F2E9"/>
            <w:tcMar>
              <w:top w:w="30" w:type="dxa"/>
              <w:left w:w="75" w:type="dxa"/>
              <w:bottom w:w="30" w:type="dxa"/>
              <w:right w:w="75" w:type="dxa"/>
            </w:tcMar>
            <w:vAlign w:val="center"/>
            <w:hideMark/>
          </w:tcPr>
          <w:p w:rsidR="00DE1E2F" w:rsidRPr="00A94A40" w:rsidRDefault="00DE1E2F" w:rsidP="00FF24CA">
            <w:pPr>
              <w:spacing w:after="0" w:line="240" w:lineRule="auto"/>
              <w:jc w:val="center"/>
              <w:rPr>
                <w:rFonts w:ascii="Arial" w:eastAsia="Times New Roman" w:hAnsi="Arial" w:cs="Arial"/>
                <w:color w:val="484848"/>
                <w:lang w:eastAsia="tr-TR"/>
              </w:rPr>
            </w:pPr>
            <w:r w:rsidRPr="00A94A40">
              <w:rPr>
                <w:rFonts w:ascii="Arial" w:eastAsia="Times New Roman" w:hAnsi="Arial" w:cs="Arial"/>
                <w:color w:val="484848"/>
                <w:lang w:eastAsia="tr-TR"/>
              </w:rPr>
              <w:t>Lisans tadili bedeli</w:t>
            </w:r>
          </w:p>
        </w:tc>
        <w:tc>
          <w:tcPr>
            <w:tcW w:w="0" w:type="auto"/>
            <w:tcBorders>
              <w:top w:val="single" w:sz="12" w:space="0" w:color="EAE6D6"/>
              <w:left w:val="single" w:sz="12" w:space="0" w:color="EAE6D6"/>
              <w:bottom w:val="single" w:sz="12" w:space="0" w:color="EAE6D6"/>
              <w:right w:val="single" w:sz="12" w:space="0" w:color="EAE6D6"/>
            </w:tcBorders>
            <w:shd w:val="clear" w:color="auto" w:fill="F4F2E9"/>
            <w:tcMar>
              <w:top w:w="30" w:type="dxa"/>
              <w:left w:w="75" w:type="dxa"/>
              <w:bottom w:w="30" w:type="dxa"/>
              <w:right w:w="75" w:type="dxa"/>
            </w:tcMar>
            <w:vAlign w:val="center"/>
            <w:hideMark/>
          </w:tcPr>
          <w:p w:rsidR="00DE1E2F" w:rsidRPr="00A94A40" w:rsidRDefault="00DE1E2F" w:rsidP="00FF24CA">
            <w:pPr>
              <w:spacing w:after="0" w:line="240" w:lineRule="auto"/>
              <w:jc w:val="center"/>
              <w:rPr>
                <w:rFonts w:ascii="Arial" w:eastAsia="Times New Roman" w:hAnsi="Arial" w:cs="Arial"/>
                <w:color w:val="484848"/>
                <w:lang w:eastAsia="tr-TR"/>
              </w:rPr>
            </w:pPr>
            <w:r w:rsidRPr="00A94A40">
              <w:rPr>
                <w:rFonts w:ascii="Arial" w:eastAsia="Times New Roman" w:hAnsi="Arial" w:cs="Arial"/>
                <w:color w:val="484848"/>
                <w:lang w:eastAsia="tr-TR"/>
              </w:rPr>
              <w:t>14.000</w:t>
            </w:r>
          </w:p>
        </w:tc>
      </w:tr>
      <w:tr w:rsidR="00DE1E2F" w:rsidRPr="00A94A40" w:rsidTr="00FF24CA">
        <w:trPr>
          <w:trHeight w:val="165"/>
        </w:trPr>
        <w:tc>
          <w:tcPr>
            <w:tcW w:w="0" w:type="auto"/>
            <w:tcBorders>
              <w:top w:val="single" w:sz="12" w:space="0" w:color="EAE6D6"/>
              <w:left w:val="single" w:sz="12" w:space="0" w:color="EAE6D6"/>
              <w:bottom w:val="single" w:sz="12" w:space="0" w:color="EAE6D6"/>
              <w:right w:val="single" w:sz="12" w:space="0" w:color="EAE6D6"/>
            </w:tcBorders>
            <w:shd w:val="clear" w:color="auto" w:fill="F4F2E9"/>
            <w:tcMar>
              <w:top w:w="30" w:type="dxa"/>
              <w:left w:w="75" w:type="dxa"/>
              <w:bottom w:w="30" w:type="dxa"/>
              <w:right w:w="75" w:type="dxa"/>
            </w:tcMar>
            <w:vAlign w:val="center"/>
            <w:hideMark/>
          </w:tcPr>
          <w:p w:rsidR="00DE1E2F" w:rsidRPr="00A94A40" w:rsidRDefault="00DE1E2F" w:rsidP="00FF24CA">
            <w:pPr>
              <w:spacing w:after="0" w:line="240" w:lineRule="auto"/>
              <w:jc w:val="center"/>
              <w:rPr>
                <w:rFonts w:ascii="Arial" w:eastAsia="Times New Roman" w:hAnsi="Arial" w:cs="Arial"/>
                <w:color w:val="484848"/>
                <w:lang w:eastAsia="tr-TR"/>
              </w:rPr>
            </w:pPr>
            <w:r w:rsidRPr="00A94A40">
              <w:rPr>
                <w:rFonts w:ascii="Arial" w:eastAsia="Times New Roman" w:hAnsi="Arial" w:cs="Arial"/>
                <w:color w:val="484848"/>
                <w:lang w:eastAsia="tr-TR"/>
              </w:rPr>
              <w:t>Lisans sureti çıkartma bedeli</w:t>
            </w:r>
          </w:p>
        </w:tc>
        <w:tc>
          <w:tcPr>
            <w:tcW w:w="0" w:type="auto"/>
            <w:tcBorders>
              <w:top w:val="single" w:sz="12" w:space="0" w:color="EAE6D6"/>
              <w:left w:val="single" w:sz="12" w:space="0" w:color="EAE6D6"/>
              <w:bottom w:val="single" w:sz="12" w:space="0" w:color="EAE6D6"/>
              <w:right w:val="single" w:sz="12" w:space="0" w:color="EAE6D6"/>
            </w:tcBorders>
            <w:shd w:val="clear" w:color="auto" w:fill="F4F2E9"/>
            <w:tcMar>
              <w:top w:w="30" w:type="dxa"/>
              <w:left w:w="75" w:type="dxa"/>
              <w:bottom w:w="30" w:type="dxa"/>
              <w:right w:w="75" w:type="dxa"/>
            </w:tcMar>
            <w:vAlign w:val="center"/>
            <w:hideMark/>
          </w:tcPr>
          <w:p w:rsidR="00DE1E2F" w:rsidRPr="00A94A40" w:rsidRDefault="00DE1E2F" w:rsidP="00FF24CA">
            <w:pPr>
              <w:spacing w:after="0" w:line="240" w:lineRule="auto"/>
              <w:jc w:val="center"/>
              <w:rPr>
                <w:rFonts w:ascii="Arial" w:eastAsia="Times New Roman" w:hAnsi="Arial" w:cs="Arial"/>
                <w:color w:val="484848"/>
                <w:lang w:eastAsia="tr-TR"/>
              </w:rPr>
            </w:pPr>
            <w:r w:rsidRPr="00A94A40">
              <w:rPr>
                <w:rFonts w:ascii="Arial" w:eastAsia="Times New Roman" w:hAnsi="Arial" w:cs="Arial"/>
                <w:color w:val="484848"/>
                <w:lang w:eastAsia="tr-TR"/>
              </w:rPr>
              <w:t>3.000</w:t>
            </w:r>
          </w:p>
        </w:tc>
      </w:tr>
    </w:tbl>
    <w:p w:rsidR="00DE1E2F" w:rsidRPr="005C53A8" w:rsidRDefault="00DE1E2F" w:rsidP="00DE1E2F">
      <w:pPr>
        <w:pStyle w:val="ListeParagraf"/>
        <w:rPr>
          <w:rFonts w:ascii="Calibri" w:hAnsi="Calibri" w:cs="Calibri"/>
          <w:color w:val="000000"/>
        </w:rPr>
      </w:pPr>
    </w:p>
    <w:p w:rsidR="00DE1E2F" w:rsidRDefault="00DE1E2F" w:rsidP="00DE1E2F">
      <w:pPr>
        <w:pStyle w:val="ListeParagraf"/>
        <w:rPr>
          <w:rFonts w:ascii="Calibri" w:hAnsi="Calibri" w:cs="Calibri"/>
          <w:color w:val="000000"/>
        </w:rPr>
      </w:pPr>
    </w:p>
    <w:p w:rsidR="00DE1E2F" w:rsidRPr="005C53A8" w:rsidRDefault="00DE1E2F" w:rsidP="00DE1E2F"/>
    <w:p w:rsidR="00DE1E2F" w:rsidRDefault="00DE1E2F" w:rsidP="00DE1E2F">
      <w:pPr>
        <w:pStyle w:val="ListeParagraf"/>
        <w:spacing w:after="160" w:line="259" w:lineRule="auto"/>
        <w:rPr>
          <w:rFonts w:ascii="Calibri" w:hAnsi="Calibri" w:cs="Calibri"/>
          <w:color w:val="000000"/>
        </w:rPr>
      </w:pPr>
    </w:p>
    <w:p w:rsidR="00DE1E2F" w:rsidRPr="007221DD" w:rsidRDefault="00DE1E2F" w:rsidP="00DE1E2F"/>
    <w:p w:rsidR="00DE1E2F" w:rsidRDefault="00DE1E2F" w:rsidP="00DE1E2F">
      <w:pPr>
        <w:pStyle w:val="ListeParagraf"/>
        <w:numPr>
          <w:ilvl w:val="0"/>
          <w:numId w:val="24"/>
        </w:numPr>
        <w:spacing w:after="160" w:line="259" w:lineRule="auto"/>
        <w:rPr>
          <w:rFonts w:ascii="Calibri" w:hAnsi="Calibri" w:cs="Calibri"/>
          <w:color w:val="000000"/>
        </w:rPr>
      </w:pPr>
      <w:r w:rsidRPr="00D34E94">
        <w:rPr>
          <w:rFonts w:ascii="Calibri" w:hAnsi="Calibri" w:cs="Calibri"/>
          <w:color w:val="000000"/>
        </w:rPr>
        <w:t xml:space="preserve">02.04.2022 tarihli ve 31797 sayılı Resmî </w:t>
      </w:r>
      <w:r w:rsidR="00274939">
        <w:rPr>
          <w:rFonts w:ascii="Calibri" w:hAnsi="Calibri" w:cs="Calibri"/>
          <w:color w:val="000000"/>
        </w:rPr>
        <w:t>Gazetede</w:t>
      </w:r>
      <w:r w:rsidRPr="00D34E94">
        <w:rPr>
          <w:rFonts w:ascii="Calibri" w:hAnsi="Calibri" w:cs="Calibri"/>
          <w:color w:val="000000"/>
        </w:rPr>
        <w:t xml:space="preserve"> yayımlanan 17.03.2022 tarihli ve 10852 sayılı Kurul Kararı ile amaç ve kapsamı şarj ağı işletmeci lisansına ilişkin Şarj Hizmeti Yönetmeliğinde düzenlenen başvuru, sona erdirme, tadil işlemleri ile şarj ağının değiştirilmesine yönelik başvuruların elektronik ortamda yapılmasına ilişkin usul ve esasları düzenlemek olan </w:t>
      </w:r>
      <w:r w:rsidRPr="00D34E94">
        <w:rPr>
          <w:rFonts w:ascii="Calibri" w:hAnsi="Calibri" w:cs="Calibri"/>
          <w:b/>
          <w:color w:val="000000"/>
        </w:rPr>
        <w:t>“Şarj Ağı İşletmeci Lisansı İşlemleri ile İlgili Başvurulara İlişkin Usul ve Esaslar”</w:t>
      </w:r>
      <w:r w:rsidRPr="00D34E94">
        <w:rPr>
          <w:rFonts w:ascii="Calibri" w:hAnsi="Calibri" w:cs="Calibri"/>
          <w:color w:val="000000"/>
        </w:rPr>
        <w:t xml:space="preserve"> kabul edil</w:t>
      </w:r>
      <w:r>
        <w:rPr>
          <w:rFonts w:ascii="Calibri" w:hAnsi="Calibri" w:cs="Calibri"/>
          <w:color w:val="000000"/>
        </w:rPr>
        <w:t>miştir.</w:t>
      </w:r>
    </w:p>
    <w:p w:rsidR="00DE1E2F" w:rsidRPr="001B58A9" w:rsidRDefault="00DE1E2F" w:rsidP="00DE1E2F">
      <w:pPr>
        <w:pStyle w:val="ListeParagraf"/>
        <w:rPr>
          <w:rFonts w:ascii="Calibri" w:hAnsi="Calibri" w:cs="Calibri"/>
          <w:color w:val="000000"/>
        </w:rPr>
      </w:pPr>
    </w:p>
    <w:p w:rsidR="00DE1E2F" w:rsidRDefault="00DE1E2F" w:rsidP="00DE1E2F">
      <w:pPr>
        <w:pStyle w:val="ListeParagraf"/>
        <w:numPr>
          <w:ilvl w:val="0"/>
          <w:numId w:val="56"/>
        </w:numPr>
        <w:spacing w:after="160" w:line="259" w:lineRule="auto"/>
        <w:rPr>
          <w:rFonts w:ascii="Calibri" w:hAnsi="Calibri" w:cs="Calibri"/>
          <w:color w:val="000000"/>
        </w:rPr>
      </w:pPr>
      <w:r w:rsidRPr="0096477E">
        <w:rPr>
          <w:rFonts w:ascii="Calibri" w:hAnsi="Calibri" w:cs="Calibri"/>
          <w:color w:val="000000"/>
        </w:rPr>
        <w:t>0</w:t>
      </w:r>
      <w:r>
        <w:rPr>
          <w:rFonts w:ascii="Calibri" w:hAnsi="Calibri" w:cs="Calibri"/>
          <w:color w:val="000000"/>
        </w:rPr>
        <w:t>2</w:t>
      </w:r>
      <w:r w:rsidRPr="005B3935">
        <w:rPr>
          <w:rFonts w:ascii="Calibri" w:hAnsi="Calibri" w:cs="Calibri"/>
          <w:color w:val="000000"/>
        </w:rPr>
        <w:t>.</w:t>
      </w:r>
      <w:r w:rsidRPr="0096477E">
        <w:rPr>
          <w:rFonts w:ascii="Calibri" w:hAnsi="Calibri" w:cs="Calibri"/>
          <w:color w:val="000000"/>
        </w:rPr>
        <w:t>0</w:t>
      </w:r>
      <w:r>
        <w:rPr>
          <w:rFonts w:ascii="Calibri" w:hAnsi="Calibri" w:cs="Calibri"/>
          <w:color w:val="000000"/>
        </w:rPr>
        <w:t>4</w:t>
      </w:r>
      <w:r w:rsidRPr="005B3935">
        <w:rPr>
          <w:rFonts w:ascii="Calibri" w:hAnsi="Calibri" w:cs="Calibri"/>
          <w:color w:val="000000"/>
        </w:rPr>
        <w:t>.202</w:t>
      </w:r>
      <w:r w:rsidRPr="0096477E">
        <w:rPr>
          <w:rFonts w:ascii="Calibri" w:hAnsi="Calibri" w:cs="Calibri"/>
          <w:color w:val="000000"/>
        </w:rPr>
        <w:t>2</w:t>
      </w:r>
      <w:r w:rsidRPr="005B3935">
        <w:rPr>
          <w:rFonts w:ascii="Calibri" w:hAnsi="Calibri" w:cs="Calibri"/>
          <w:color w:val="000000"/>
        </w:rPr>
        <w:t xml:space="preserve"> tarihli ve 31</w:t>
      </w:r>
      <w:r w:rsidRPr="0096477E">
        <w:rPr>
          <w:rFonts w:ascii="Calibri" w:hAnsi="Calibri" w:cs="Calibri"/>
          <w:color w:val="000000"/>
        </w:rPr>
        <w:t>7</w:t>
      </w:r>
      <w:r>
        <w:rPr>
          <w:rFonts w:ascii="Calibri" w:hAnsi="Calibri" w:cs="Calibri"/>
          <w:color w:val="000000"/>
        </w:rPr>
        <w:t>9</w:t>
      </w:r>
      <w:r w:rsidRPr="0096477E">
        <w:rPr>
          <w:rFonts w:ascii="Calibri" w:hAnsi="Calibri" w:cs="Calibri"/>
          <w:color w:val="000000"/>
        </w:rPr>
        <w:t>7</w:t>
      </w:r>
      <w:r w:rsidRPr="005B3935">
        <w:rPr>
          <w:rFonts w:ascii="Calibri" w:hAnsi="Calibri" w:cs="Calibri"/>
          <w:color w:val="000000"/>
        </w:rPr>
        <w:t xml:space="preserve"> sayılı Resmî </w:t>
      </w:r>
      <w:r w:rsidR="00274939">
        <w:rPr>
          <w:rFonts w:ascii="Calibri" w:hAnsi="Calibri" w:cs="Calibri"/>
          <w:color w:val="000000"/>
        </w:rPr>
        <w:t>Gazetede</w:t>
      </w:r>
      <w:r w:rsidRPr="005B3935">
        <w:rPr>
          <w:rFonts w:ascii="Calibri" w:hAnsi="Calibri" w:cs="Calibri"/>
          <w:color w:val="000000"/>
        </w:rPr>
        <w:t xml:space="preserve"> yayımlanan </w:t>
      </w:r>
      <w:r>
        <w:rPr>
          <w:rFonts w:ascii="Calibri" w:hAnsi="Calibri" w:cs="Calibri"/>
          <w:color w:val="000000"/>
        </w:rPr>
        <w:t>17</w:t>
      </w:r>
      <w:r w:rsidRPr="005B3935">
        <w:rPr>
          <w:rFonts w:ascii="Calibri" w:hAnsi="Calibri" w:cs="Calibri"/>
          <w:color w:val="000000"/>
        </w:rPr>
        <w:t>.</w:t>
      </w:r>
      <w:r w:rsidRPr="0096477E">
        <w:rPr>
          <w:rFonts w:ascii="Calibri" w:hAnsi="Calibri" w:cs="Calibri"/>
          <w:color w:val="000000"/>
        </w:rPr>
        <w:t>0</w:t>
      </w:r>
      <w:r>
        <w:rPr>
          <w:rFonts w:ascii="Calibri" w:hAnsi="Calibri" w:cs="Calibri"/>
          <w:color w:val="000000"/>
        </w:rPr>
        <w:t>3</w:t>
      </w:r>
      <w:r w:rsidRPr="005B3935">
        <w:rPr>
          <w:rFonts w:ascii="Calibri" w:hAnsi="Calibri" w:cs="Calibri"/>
          <w:color w:val="000000"/>
        </w:rPr>
        <w:t>.202</w:t>
      </w:r>
      <w:r w:rsidRPr="0096477E">
        <w:rPr>
          <w:rFonts w:ascii="Calibri" w:hAnsi="Calibri" w:cs="Calibri"/>
          <w:color w:val="000000"/>
        </w:rPr>
        <w:t>2</w:t>
      </w:r>
      <w:r w:rsidRPr="005B3935">
        <w:rPr>
          <w:rFonts w:ascii="Calibri" w:hAnsi="Calibri" w:cs="Calibri"/>
          <w:color w:val="000000"/>
        </w:rPr>
        <w:t xml:space="preserve"> tarihli ve 10</w:t>
      </w:r>
      <w:r>
        <w:rPr>
          <w:rFonts w:ascii="Calibri" w:hAnsi="Calibri" w:cs="Calibri"/>
          <w:color w:val="000000"/>
        </w:rPr>
        <w:t xml:space="preserve">853 </w:t>
      </w:r>
      <w:r w:rsidRPr="005B3935">
        <w:rPr>
          <w:rFonts w:ascii="Calibri" w:hAnsi="Calibri" w:cs="Calibri"/>
          <w:color w:val="000000"/>
        </w:rPr>
        <w:t>sayılı Kurul Kararı ile</w:t>
      </w:r>
      <w:r>
        <w:rPr>
          <w:rFonts w:ascii="Calibri" w:hAnsi="Calibri" w:cs="Calibri"/>
          <w:color w:val="000000"/>
        </w:rPr>
        <w:t xml:space="preserve"> </w:t>
      </w:r>
      <w:r w:rsidRPr="005C3A80">
        <w:rPr>
          <w:rFonts w:ascii="Calibri" w:hAnsi="Calibri" w:cs="Calibri"/>
          <w:color w:val="000000"/>
        </w:rPr>
        <w:t xml:space="preserve">Şarj Hizmeti Yönetmeliği’nin 6 ncı maddesinin üçüncü fıkrası çerçevesinde şarj ağı işletmeci lisansı başvurusunda bulunacak tüzel kişiler için asgari sermaye tutarının </w:t>
      </w:r>
      <w:r w:rsidRPr="005C3A80">
        <w:rPr>
          <w:rFonts w:ascii="Calibri" w:hAnsi="Calibri" w:cs="Calibri"/>
          <w:i/>
          <w:color w:val="000000"/>
        </w:rPr>
        <w:t>“dört milyon beş yüz bin TL”</w:t>
      </w:r>
      <w:r w:rsidRPr="005C3A80">
        <w:rPr>
          <w:rFonts w:ascii="Calibri" w:hAnsi="Calibri" w:cs="Calibri"/>
          <w:color w:val="000000"/>
        </w:rPr>
        <w:t xml:space="preserve"> olarak belirlenmesine</w:t>
      </w:r>
      <w:r>
        <w:rPr>
          <w:rFonts w:ascii="Calibri" w:hAnsi="Calibri" w:cs="Calibri"/>
          <w:color w:val="000000"/>
        </w:rPr>
        <w:t xml:space="preserve"> </w:t>
      </w:r>
      <w:r w:rsidRPr="005C3A80">
        <w:rPr>
          <w:rFonts w:ascii="Calibri" w:hAnsi="Calibri" w:cs="Calibri"/>
          <w:color w:val="000000"/>
        </w:rPr>
        <w:t>karar verilmiştir.</w:t>
      </w:r>
    </w:p>
    <w:p w:rsidR="00DE1E2F" w:rsidRPr="00E6446B" w:rsidRDefault="00DE1E2F" w:rsidP="00DE1E2F">
      <w:pPr>
        <w:pStyle w:val="ListeParagraf"/>
        <w:spacing w:after="160" w:line="259" w:lineRule="auto"/>
        <w:rPr>
          <w:rFonts w:ascii="Calibri" w:hAnsi="Calibri" w:cs="Calibri"/>
          <w:color w:val="000000"/>
        </w:rPr>
      </w:pPr>
    </w:p>
    <w:p w:rsidR="00DE1E2F" w:rsidRPr="00E6446B" w:rsidRDefault="00DE1E2F" w:rsidP="00DE1E2F">
      <w:pPr>
        <w:pStyle w:val="ListeParagraf"/>
        <w:numPr>
          <w:ilvl w:val="0"/>
          <w:numId w:val="56"/>
        </w:numPr>
        <w:spacing w:after="160" w:line="259" w:lineRule="auto"/>
        <w:rPr>
          <w:rFonts w:ascii="Calibri" w:hAnsi="Calibri" w:cs="Calibri"/>
          <w:color w:val="000000"/>
        </w:rPr>
      </w:pPr>
      <w:r>
        <w:t xml:space="preserve">17.12.2022 tarihli ve 32046 sayılı </w:t>
      </w:r>
      <w:r w:rsidR="00DC783D">
        <w:t>Resmî</w:t>
      </w:r>
      <w:r>
        <w:t xml:space="preserve"> </w:t>
      </w:r>
      <w:r w:rsidR="00274939">
        <w:t>Gazetede</w:t>
      </w:r>
      <w:r>
        <w:t xml:space="preserve"> yayımlanan 15.12.2022 tarihli ve 11459 sayılı Kurul Kararı ile 4628 sayılı Enerji Piyasası Düzenleme Kurumunun Teşkilat ve Görevleri Hakkında Kanununun 5 inci maddesinin yedinci fıkrasının (i) bendi ve 6446 sayılı Elektrik Piyasası Kanunun Ek Madde 5  inci maddesinin dördüncü fıkrasının (a) bendi ile Şarj Hizmeti Yönetmeliğinin 11 inci maddesi uyarınca 2023 yılında  uygulanacak olan “Şarj Ağı İşletmeci Lisansına” ilişkin lisans alma, lisans tadili ve lisans sureti çıkartma bedelleri belirlenmiştir.</w:t>
      </w:r>
    </w:p>
    <w:p w:rsidR="00657DBF" w:rsidRDefault="001D2DA2" w:rsidP="00657DBF">
      <w:pPr>
        <w:pStyle w:val="Balk2"/>
        <w:numPr>
          <w:ilvl w:val="1"/>
          <w:numId w:val="11"/>
        </w:numPr>
        <w:rPr>
          <w:rFonts w:asciiTheme="minorHAnsi" w:hAnsiTheme="minorHAnsi"/>
          <w:color w:val="auto"/>
          <w:sz w:val="22"/>
          <w:szCs w:val="22"/>
        </w:rPr>
      </w:pPr>
      <w:bookmarkStart w:id="77" w:name="_Toc442431237"/>
      <w:bookmarkStart w:id="78" w:name="_Toc6684432"/>
      <w:bookmarkStart w:id="79" w:name="_Toc132713765"/>
      <w:r w:rsidRPr="00410B0D">
        <w:rPr>
          <w:rFonts w:asciiTheme="minorHAnsi" w:hAnsiTheme="minorHAnsi"/>
          <w:color w:val="auto"/>
          <w:sz w:val="22"/>
          <w:szCs w:val="22"/>
        </w:rPr>
        <w:t>Doğal Gaz Piyasası Mevzuatı</w:t>
      </w:r>
      <w:bookmarkEnd w:id="77"/>
      <w:bookmarkEnd w:id="78"/>
      <w:bookmarkEnd w:id="79"/>
    </w:p>
    <w:p w:rsidR="00657DBF" w:rsidRPr="00794A7D" w:rsidRDefault="00657DBF" w:rsidP="00657DBF">
      <w:pPr>
        <w:pStyle w:val="Balk3"/>
        <w:numPr>
          <w:ilvl w:val="2"/>
          <w:numId w:val="11"/>
        </w:numPr>
        <w:spacing w:after="240"/>
        <w:rPr>
          <w:rFonts w:asciiTheme="minorHAnsi" w:hAnsiTheme="minorHAnsi"/>
          <w:color w:val="auto"/>
        </w:rPr>
      </w:pPr>
      <w:bookmarkStart w:id="80" w:name="_Toc132713766"/>
      <w:r>
        <w:rPr>
          <w:rFonts w:asciiTheme="minorHAnsi" w:hAnsiTheme="minorHAnsi"/>
          <w:color w:val="auto"/>
        </w:rPr>
        <w:t>Kanun</w:t>
      </w:r>
      <w:bookmarkEnd w:id="80"/>
    </w:p>
    <w:p w:rsidR="00657DBF" w:rsidRDefault="00657DBF" w:rsidP="00657DBF">
      <w:pPr>
        <w:spacing w:after="240"/>
        <w:rPr>
          <w:lang w:eastAsia="tr-TR"/>
        </w:rPr>
      </w:pPr>
      <w:r w:rsidRPr="00410B0D">
        <w:rPr>
          <w:lang w:eastAsia="tr-TR"/>
        </w:rPr>
        <w:t>202</w:t>
      </w:r>
      <w:r>
        <w:rPr>
          <w:lang w:eastAsia="tr-TR"/>
        </w:rPr>
        <w:t>2</w:t>
      </w:r>
      <w:r w:rsidRPr="00410B0D">
        <w:rPr>
          <w:lang w:eastAsia="tr-TR"/>
        </w:rPr>
        <w:t xml:space="preserve"> yılı içerisinde, </w:t>
      </w:r>
      <w:r>
        <w:rPr>
          <w:lang w:eastAsia="tr-TR"/>
        </w:rPr>
        <w:t xml:space="preserve">doğal gaz piyasasında </w:t>
      </w:r>
      <w:r w:rsidRPr="00410B0D">
        <w:rPr>
          <w:lang w:eastAsia="tr-TR"/>
        </w:rPr>
        <w:t xml:space="preserve">aşağıdaki </w:t>
      </w:r>
      <w:r>
        <w:rPr>
          <w:lang w:eastAsia="tr-TR"/>
        </w:rPr>
        <w:t>Kanun çalışmaları</w:t>
      </w:r>
      <w:r w:rsidRPr="00410B0D">
        <w:rPr>
          <w:lang w:eastAsia="tr-TR"/>
        </w:rPr>
        <w:t xml:space="preserve"> yapılmıştır;</w:t>
      </w:r>
    </w:p>
    <w:p w:rsidR="00657DBF" w:rsidRPr="00657DBF" w:rsidRDefault="00657DBF" w:rsidP="006D548E">
      <w:pPr>
        <w:numPr>
          <w:ilvl w:val="0"/>
          <w:numId w:val="24"/>
        </w:numPr>
        <w:spacing w:before="120" w:after="120"/>
        <w:rPr>
          <w:rFonts w:ascii="Calibri" w:hAnsi="Calibri"/>
          <w:b/>
        </w:rPr>
      </w:pPr>
      <w:r w:rsidRPr="00657DBF">
        <w:rPr>
          <w:rFonts w:ascii="Calibri" w:hAnsi="Calibri"/>
          <w:bCs/>
        </w:rPr>
        <w:t xml:space="preserve">28.12.2022 tarihli ve 32057 sayılı Resmî </w:t>
      </w:r>
      <w:r w:rsidR="00274939">
        <w:rPr>
          <w:rFonts w:ascii="Calibri" w:hAnsi="Calibri"/>
          <w:bCs/>
        </w:rPr>
        <w:t>Gazetede</w:t>
      </w:r>
      <w:r w:rsidRPr="00657DBF">
        <w:rPr>
          <w:rFonts w:ascii="Calibri" w:hAnsi="Calibri"/>
          <w:bCs/>
        </w:rPr>
        <w:t xml:space="preserve"> yayımlanan 7350 sayılı Elektrik Piyasası Kanunu İle Bazı Kanunlarda </w:t>
      </w:r>
      <w:r>
        <w:rPr>
          <w:rFonts w:ascii="Calibri" w:hAnsi="Calibri"/>
          <w:bCs/>
        </w:rPr>
        <w:t>v</w:t>
      </w:r>
      <w:r w:rsidRPr="00657DBF">
        <w:rPr>
          <w:rFonts w:ascii="Calibri" w:hAnsi="Calibri"/>
          <w:bCs/>
        </w:rPr>
        <w:t>e 375 Sayılı Kanun Hükmünde Kararnamede Değişiklik</w:t>
      </w:r>
      <w:r>
        <w:rPr>
          <w:rFonts w:ascii="Calibri" w:hAnsi="Calibri"/>
          <w:bCs/>
        </w:rPr>
        <w:t xml:space="preserve"> </w:t>
      </w:r>
      <w:r w:rsidRPr="00657DBF">
        <w:rPr>
          <w:rFonts w:ascii="Calibri" w:hAnsi="Calibri"/>
          <w:bCs/>
        </w:rPr>
        <w:t>Yapılmasına Dair Kanun</w:t>
      </w:r>
      <w:r>
        <w:rPr>
          <w:rFonts w:ascii="Calibri" w:hAnsi="Calibri"/>
          <w:bCs/>
        </w:rPr>
        <w:t>una aşağıdaki geçici madde eklenmiştir.</w:t>
      </w:r>
    </w:p>
    <w:p w:rsidR="00657DBF" w:rsidRPr="00657DBF" w:rsidRDefault="00657DBF" w:rsidP="00657DBF">
      <w:pPr>
        <w:pStyle w:val="ListeParagraf"/>
        <w:ind w:left="1440"/>
        <w:rPr>
          <w:i/>
        </w:rPr>
      </w:pPr>
      <w:r w:rsidRPr="004E0CF3">
        <w:rPr>
          <w:i/>
        </w:rPr>
        <w:t xml:space="preserve"> “</w:t>
      </w:r>
      <w:r w:rsidRPr="00657DBF">
        <w:rPr>
          <w:i/>
        </w:rPr>
        <w:t>GEÇİCİ MADDE 7- BOTAŞ’ın, bu maddenin yürürlüğe girdiği tarih itibarıyla Ticaret Bakanlığına bağlı tahsil dairelerine vadesi geldiği halde ödenmemiş olan her türlü vergi, fon ve paylar, idari para cezaları ile bunlara bağlı gecikme zammı ve gecikme faizi borçları BOTAŞ’ın Hazineden 31/12/2022 tarihine kadar oluşan görevlendirme bedeli alacaklarına karşılık, merkezi yönetim bütçesinin gelir ve gider hesaplarıyla ilişkilendirilmeksizin mahsup suretiyle, Ticaret Bakanlığınca terkin edilir. Bu kapsamda mahsuba konu olacak borçlara bu maddenin yayımlandığı tarihten sonra feri alacak hesaplanmaz.</w:t>
      </w:r>
    </w:p>
    <w:p w:rsidR="00657DBF" w:rsidRPr="00657DBF" w:rsidRDefault="00657DBF" w:rsidP="00657DBF">
      <w:pPr>
        <w:pStyle w:val="ListeParagraf"/>
        <w:ind w:left="1440"/>
        <w:rPr>
          <w:i/>
        </w:rPr>
      </w:pPr>
      <w:r w:rsidRPr="00657DBF">
        <w:rPr>
          <w:i/>
        </w:rPr>
        <w:t>Bu madde kapsamında BOTAŞ’ın Hazineden olan görevlendirme bedeli alacağı tutarını tespit etmeye ve mahsup suretiyle yapılacak terkin işlemlerini belirlemeye Hazine ve Maliye Bakanı yetkilidir.”</w:t>
      </w:r>
    </w:p>
    <w:p w:rsidR="00657DBF" w:rsidRDefault="00657DBF" w:rsidP="00657DBF">
      <w:pPr>
        <w:pStyle w:val="ListeParagraf"/>
        <w:spacing w:after="0" w:line="240" w:lineRule="atLeast"/>
        <w:ind w:left="360"/>
        <w:rPr>
          <w:rFonts w:ascii="Times New Roman" w:eastAsia="Times New Roman" w:hAnsi="Times New Roman"/>
          <w:b/>
          <w:bCs/>
          <w:sz w:val="18"/>
          <w:szCs w:val="18"/>
          <w:lang w:eastAsia="tr-TR"/>
        </w:rPr>
      </w:pPr>
    </w:p>
    <w:p w:rsidR="00657DBF" w:rsidRPr="00657DBF" w:rsidRDefault="00657DBF" w:rsidP="00657DBF">
      <w:pPr>
        <w:pStyle w:val="ListeParagraf"/>
        <w:ind w:left="360"/>
      </w:pPr>
    </w:p>
    <w:p w:rsidR="00794A7D" w:rsidRPr="00794A7D" w:rsidRDefault="001D2DA2" w:rsidP="009067D4">
      <w:pPr>
        <w:pStyle w:val="Balk3"/>
        <w:numPr>
          <w:ilvl w:val="2"/>
          <w:numId w:val="11"/>
        </w:numPr>
        <w:spacing w:after="240"/>
        <w:rPr>
          <w:rFonts w:asciiTheme="minorHAnsi" w:hAnsiTheme="minorHAnsi"/>
          <w:color w:val="auto"/>
        </w:rPr>
      </w:pPr>
      <w:bookmarkStart w:id="81" w:name="_Toc442431239"/>
      <w:bookmarkStart w:id="82" w:name="_Toc514251616"/>
      <w:bookmarkStart w:id="83" w:name="_Toc6684434"/>
      <w:bookmarkStart w:id="84" w:name="_Toc132713767"/>
      <w:r w:rsidRPr="00410B0D">
        <w:rPr>
          <w:rFonts w:asciiTheme="minorHAnsi" w:hAnsiTheme="minorHAnsi"/>
          <w:color w:val="auto"/>
        </w:rPr>
        <w:lastRenderedPageBreak/>
        <w:t>Yönetmelikler</w:t>
      </w:r>
      <w:bookmarkEnd w:id="81"/>
      <w:bookmarkEnd w:id="82"/>
      <w:bookmarkEnd w:id="83"/>
      <w:bookmarkEnd w:id="84"/>
    </w:p>
    <w:p w:rsidR="009D550A" w:rsidRDefault="00794A7D" w:rsidP="001D2DA2">
      <w:pPr>
        <w:spacing w:after="0"/>
        <w:rPr>
          <w:color w:val="000000" w:themeColor="text1"/>
        </w:rPr>
      </w:pPr>
      <w:r w:rsidRPr="00410B0D">
        <w:rPr>
          <w:color w:val="000000" w:themeColor="text1"/>
        </w:rPr>
        <w:t>202</w:t>
      </w:r>
      <w:r w:rsidR="00211F18">
        <w:rPr>
          <w:color w:val="000000" w:themeColor="text1"/>
        </w:rPr>
        <w:t>2</w:t>
      </w:r>
      <w:r w:rsidRPr="00410B0D">
        <w:rPr>
          <w:color w:val="000000" w:themeColor="text1"/>
        </w:rPr>
        <w:t xml:space="preserve"> yılında </w:t>
      </w:r>
      <w:r>
        <w:rPr>
          <w:color w:val="000000" w:themeColor="text1"/>
        </w:rPr>
        <w:t>doğal gaz</w:t>
      </w:r>
      <w:r w:rsidRPr="00410B0D">
        <w:rPr>
          <w:color w:val="000000" w:themeColor="text1"/>
        </w:rPr>
        <w:t xml:space="preserve"> piyasasında aşağıda belirtilen Yönetmelik çalışmaları yapılmıştır:</w:t>
      </w:r>
    </w:p>
    <w:p w:rsidR="00794A7D" w:rsidRDefault="00794A7D" w:rsidP="001D2DA2">
      <w:pPr>
        <w:spacing w:after="0"/>
        <w:rPr>
          <w:color w:val="000000" w:themeColor="text1"/>
        </w:rPr>
      </w:pPr>
    </w:p>
    <w:p w:rsidR="00640915" w:rsidRPr="00C67976" w:rsidRDefault="00867BFD" w:rsidP="000A5A56">
      <w:pPr>
        <w:pStyle w:val="ListeParagraf"/>
        <w:numPr>
          <w:ilvl w:val="0"/>
          <w:numId w:val="58"/>
        </w:numPr>
        <w:spacing w:after="160" w:line="259" w:lineRule="auto"/>
      </w:pPr>
      <w:bookmarkStart w:id="85" w:name="_Hlk92222219"/>
      <w:r>
        <w:t>29</w:t>
      </w:r>
      <w:r w:rsidR="00640915" w:rsidRPr="00C67976">
        <w:t>.04.2022 tarihli ve 318</w:t>
      </w:r>
      <w:r>
        <w:t>24</w:t>
      </w:r>
      <w:r w:rsidR="00640915" w:rsidRPr="00C67976">
        <w:t xml:space="preserve"> sayılı Resmî </w:t>
      </w:r>
      <w:r w:rsidR="00274939">
        <w:t>Gazetede</w:t>
      </w:r>
      <w:r w:rsidR="00640915" w:rsidRPr="00C67976">
        <w:t xml:space="preserve"> yayımlanan Değişiklik Yönetmeliği ile </w:t>
      </w:r>
      <w:r w:rsidR="00640915" w:rsidRPr="00C67976">
        <w:rPr>
          <w:b/>
        </w:rPr>
        <w:t>Doğal Gaz Piyasası Sertifika Yönetmeliğinin</w:t>
      </w:r>
    </w:p>
    <w:p w:rsidR="00640915" w:rsidRPr="00C67976" w:rsidRDefault="00640915" w:rsidP="00640915">
      <w:pPr>
        <w:pStyle w:val="ListeParagraf"/>
      </w:pPr>
    </w:p>
    <w:p w:rsidR="00640915" w:rsidRDefault="00640915" w:rsidP="000A5A56">
      <w:pPr>
        <w:pStyle w:val="ListeParagraf"/>
        <w:numPr>
          <w:ilvl w:val="0"/>
          <w:numId w:val="59"/>
        </w:numPr>
        <w:spacing w:after="160" w:line="259" w:lineRule="auto"/>
      </w:pPr>
      <w:r w:rsidRPr="00C67976">
        <w:t>4 üncü maddesinin birinci fıkrasının (18) numaralı bendi aşağıdaki şekilde değiştirilmiş ve aynı fıkraya aşağıdaki bentler eklenmiştir.</w:t>
      </w:r>
    </w:p>
    <w:p w:rsidR="00640915" w:rsidRDefault="00640915" w:rsidP="00640915">
      <w:pPr>
        <w:pStyle w:val="ListeParagraf"/>
        <w:ind w:left="1440"/>
      </w:pPr>
    </w:p>
    <w:p w:rsidR="00640915" w:rsidRPr="00C67976" w:rsidRDefault="00640915" w:rsidP="00640915">
      <w:pPr>
        <w:pStyle w:val="ListeParagraf"/>
        <w:ind w:left="1440"/>
        <w:rPr>
          <w:i/>
        </w:rPr>
      </w:pPr>
      <w:r w:rsidRPr="00C67976">
        <w:rPr>
          <w:i/>
        </w:rPr>
        <w:t>“18) Lisans: Tüzel kişilere piyasa faaliyetinde bulunabilmeleri için Kanun uyarınca Kurul tarafından her bir piyasa faaliyeti için verilen izin belgesini,”</w:t>
      </w:r>
    </w:p>
    <w:p w:rsidR="00640915" w:rsidRPr="00C67976" w:rsidRDefault="00640915" w:rsidP="00640915">
      <w:pPr>
        <w:pStyle w:val="ListeParagraf"/>
        <w:ind w:left="1440"/>
        <w:rPr>
          <w:i/>
        </w:rPr>
      </w:pPr>
    </w:p>
    <w:p w:rsidR="00640915" w:rsidRPr="00C67976" w:rsidRDefault="00640915" w:rsidP="00640915">
      <w:pPr>
        <w:pStyle w:val="ListeParagraf"/>
        <w:ind w:left="1440"/>
        <w:rPr>
          <w:i/>
        </w:rPr>
      </w:pPr>
      <w:r w:rsidRPr="00C67976">
        <w:rPr>
          <w:i/>
        </w:rPr>
        <w:t>“32) İşyeri: Sertifika sahibinin sertifikası kapsamındaki faaliyetlerini yerine getirmesi için, dağıtım lisansı sahibi şirketin lisans bölgesi sınırları içinde, bina dış yüzeyinde, içinde bulunulan bölgede yetkili dağıtım şirketi tarafından tasarlanmış örnek tasarım esas alınarak sertifika sahibinin ticaret unvanı ile birlikte dağıtım şirketinin isim ve logosu ile dağıtım şirketinden alınan sertifika numarasının mevcut olduğu yeri,</w:t>
      </w:r>
    </w:p>
    <w:p w:rsidR="00640915" w:rsidRPr="00C67976" w:rsidRDefault="00640915" w:rsidP="00640915">
      <w:pPr>
        <w:pStyle w:val="ListeParagraf"/>
        <w:ind w:left="1440"/>
        <w:rPr>
          <w:i/>
        </w:rPr>
      </w:pPr>
    </w:p>
    <w:p w:rsidR="00640915" w:rsidRDefault="00640915" w:rsidP="00640915">
      <w:pPr>
        <w:pStyle w:val="ListeParagraf"/>
        <w:ind w:left="1440"/>
        <w:rPr>
          <w:i/>
        </w:rPr>
      </w:pPr>
      <w:r w:rsidRPr="00C67976">
        <w:rPr>
          <w:i/>
        </w:rPr>
        <w:t>33) Servis: Tesislerdeki ürünlere ilişkin yapım ve hizmet sertifikası sahibi gerçek ve tüzel kişiler tarafından üretici olarak veya başka bir üretici ya da ithalatçı firmanın yetkili servisi olarak verilen montaj, bakım ve onarım hizmetlerini,”</w:t>
      </w:r>
    </w:p>
    <w:p w:rsidR="00640915" w:rsidRDefault="00640915" w:rsidP="00640915">
      <w:pPr>
        <w:pStyle w:val="ListeParagraf"/>
        <w:ind w:left="1440"/>
        <w:rPr>
          <w:i/>
        </w:rPr>
      </w:pPr>
    </w:p>
    <w:p w:rsidR="00640915" w:rsidRDefault="00640915" w:rsidP="000A5A56">
      <w:pPr>
        <w:pStyle w:val="ListeParagraf"/>
        <w:numPr>
          <w:ilvl w:val="0"/>
          <w:numId w:val="59"/>
        </w:numPr>
        <w:spacing w:after="160" w:line="259" w:lineRule="auto"/>
      </w:pPr>
      <w:r w:rsidRPr="00C67976">
        <w:t>6 ncı maddesinin birinci fıkrası aşağıdaki şekilde değiştirilmiştir.</w:t>
      </w:r>
    </w:p>
    <w:p w:rsidR="00640915" w:rsidRDefault="00640915" w:rsidP="00640915">
      <w:pPr>
        <w:pStyle w:val="ListeParagraf"/>
        <w:ind w:left="1440"/>
      </w:pPr>
    </w:p>
    <w:p w:rsidR="00640915" w:rsidRDefault="00640915" w:rsidP="00640915">
      <w:pPr>
        <w:pStyle w:val="ListeParagraf"/>
        <w:ind w:left="1440"/>
        <w:rPr>
          <w:i/>
        </w:rPr>
      </w:pPr>
      <w:r w:rsidRPr="00C67976">
        <w:rPr>
          <w:i/>
        </w:rPr>
        <w:t xml:space="preserve">“Yetki belgesi, Kurum adına ve Kurum tarafından, iç tesisat ve servis hatları sertifikası vermek üzere, kamu veya özel şirketlerin yetkilendirilmesi amacıyla verilen belgedir. Yetki belgesi almak isteyen </w:t>
      </w:r>
      <w:r w:rsidR="00DC783D">
        <w:rPr>
          <w:i/>
        </w:rPr>
        <w:t>Resmî</w:t>
      </w:r>
      <w:r w:rsidRPr="00C67976">
        <w:rPr>
          <w:i/>
        </w:rPr>
        <w:t xml:space="preserve"> veya özel şirketler, Ek-13’te yer alan “Başvuru Dilekçesi” ve ilgili dilekçede belirtilen tüm bilgi ve belgeler ile birlikte Kuruma başvuruda bulunurlar. Kurum tarafından başvurusu uygun bulunan şirketlere yetki belgesi verilir. Dağıtım lisansı sahibi şirketlerin yetki belgesi alma zorunluluğu yoktur. Ancak dağıtım lisansı sahibi şirketler, yetki belgesi sahibi şirketlerle ilgili bu Yönetmelik ve ilgili tebliğ hükümlerine tabidir.”</w:t>
      </w:r>
    </w:p>
    <w:p w:rsidR="00640915" w:rsidRDefault="00640915" w:rsidP="00640915">
      <w:pPr>
        <w:pStyle w:val="ListeParagraf"/>
        <w:ind w:left="1440"/>
        <w:rPr>
          <w:i/>
        </w:rPr>
      </w:pPr>
    </w:p>
    <w:p w:rsidR="00640915" w:rsidRDefault="00640915" w:rsidP="000A5A56">
      <w:pPr>
        <w:pStyle w:val="ListeParagraf"/>
        <w:numPr>
          <w:ilvl w:val="0"/>
          <w:numId w:val="59"/>
        </w:numPr>
        <w:spacing w:after="160" w:line="259" w:lineRule="auto"/>
      </w:pPr>
      <w:r w:rsidRPr="001C1281">
        <w:t>9 uncu maddesinin üçüncü fıkrası aşağıdaki şekilde değiştirilmiştir.</w:t>
      </w:r>
    </w:p>
    <w:p w:rsidR="00640915" w:rsidRDefault="00640915" w:rsidP="00640915">
      <w:pPr>
        <w:pStyle w:val="ListeParagraf"/>
        <w:ind w:left="1440"/>
      </w:pPr>
    </w:p>
    <w:p w:rsidR="00640915" w:rsidRDefault="00640915" w:rsidP="00640915">
      <w:pPr>
        <w:pStyle w:val="ListeParagraf"/>
        <w:ind w:left="1440"/>
        <w:rPr>
          <w:i/>
        </w:rPr>
      </w:pPr>
      <w:r w:rsidRPr="001C1281">
        <w:rPr>
          <w:i/>
        </w:rPr>
        <w:t>“Kuruma yapılacak sertifika başvurularına altmış gün içinde cevap verilir. İlgili mevzuata uygun olarak yapılmadığı tespit edilen sertifika başvurularındaki eksiklik veya yanlışlıklara ilişkin birden fazla farklı konuda yapılabilecek bildirimlerin her biri bakımından tebliğ tarihinden itibaren otuz gün içinde, bildirilen eksiklik ve yanlışlıklar giderilmediği takdirde başvuru yapılmamış sayılır ve başvuru evrakı iade edilir.”</w:t>
      </w:r>
    </w:p>
    <w:p w:rsidR="00640915" w:rsidRDefault="00640915" w:rsidP="00640915">
      <w:pPr>
        <w:pStyle w:val="ListeParagraf"/>
        <w:ind w:left="1440"/>
        <w:rPr>
          <w:i/>
        </w:rPr>
      </w:pPr>
    </w:p>
    <w:p w:rsidR="00640915" w:rsidRDefault="00640915" w:rsidP="000A5A56">
      <w:pPr>
        <w:pStyle w:val="ListeParagraf"/>
        <w:numPr>
          <w:ilvl w:val="0"/>
          <w:numId w:val="59"/>
        </w:numPr>
        <w:spacing w:after="160" w:line="259" w:lineRule="auto"/>
      </w:pPr>
      <w:r w:rsidRPr="001C1281">
        <w:t>11 inci maddesinin birinci fıkrasına aşağıdaki bent eklenmiş, ikinci fıkrasının (h) bendi aşağıdaki şekilde değiştirilmiş ve aynı fıkraya aşağıdaki bentler eklenmiştir.</w:t>
      </w:r>
    </w:p>
    <w:p w:rsidR="00640915" w:rsidRPr="001C1281" w:rsidRDefault="00640915" w:rsidP="00640915">
      <w:pPr>
        <w:pStyle w:val="ListeParagraf"/>
        <w:ind w:left="1440"/>
        <w:rPr>
          <w:i/>
        </w:rPr>
      </w:pPr>
    </w:p>
    <w:p w:rsidR="00640915" w:rsidRPr="001C1281" w:rsidRDefault="00640915" w:rsidP="00640915">
      <w:pPr>
        <w:pStyle w:val="ListeParagraf"/>
        <w:ind w:left="1440"/>
        <w:rPr>
          <w:i/>
        </w:rPr>
      </w:pPr>
      <w:r w:rsidRPr="001C1281">
        <w:rPr>
          <w:i/>
        </w:rPr>
        <w:t xml:space="preserve">“h) Sertifika sahibi, sertifikası kapsamında gerçekleştirdiği iş ve işlemler esnasında bu maddenin ikinci fıkrasının (ğ) bendinde niteliği belirtilen personel ile sınırlı olmaksızın diğer mevzuatta </w:t>
      </w:r>
      <w:r w:rsidRPr="001C1281">
        <w:rPr>
          <w:i/>
        </w:rPr>
        <w:lastRenderedPageBreak/>
        <w:t>niteliği belirtilen personeli de istihdam etmekle yükümlüdür. Sertifika sahibinden hizmet alan lisans sahibi şirketler diğer mevzuatta niteliği belirtilen personelin takibinden sorumlu değildir, ancak yapım ve hizmet sertifikası sahibi firmalardan, yapılacak işin niteliğine göre gerekli personeli istihdam etmesini zorunlu tutabilir.”</w:t>
      </w:r>
    </w:p>
    <w:p w:rsidR="00640915" w:rsidRPr="001C1281" w:rsidRDefault="00640915" w:rsidP="00640915">
      <w:pPr>
        <w:pStyle w:val="ListeParagraf"/>
        <w:ind w:left="1440"/>
        <w:rPr>
          <w:i/>
        </w:rPr>
      </w:pPr>
    </w:p>
    <w:p w:rsidR="00640915" w:rsidRPr="001C1281" w:rsidRDefault="00640915" w:rsidP="00640915">
      <w:pPr>
        <w:pStyle w:val="ListeParagraf"/>
        <w:ind w:left="1440"/>
        <w:rPr>
          <w:i/>
        </w:rPr>
      </w:pPr>
      <w:r w:rsidRPr="001C1281">
        <w:rPr>
          <w:i/>
        </w:rPr>
        <w:t>“h) Sertifika sahibi, ayrılmış olan makina mühendisinin yanı sıra mesleki yeterlilik belgesi sahibinin, kaynakçı veya tesisatçının yerine yeni personel istihdam edinceye kadar faaliyete devam edemez. Yeni personel istihdam edildiğinde, faaliyetine devam etme izin talebini içeren başvuru dilekçesi ve ekinde yeni istihdam edilen personele ait dağıtım şirketince onaylı belge suretleri ve Ek-9’un 8 inci maddesinde belirtilen bilgi ve belgeler ile dağıtım şirketine başvuruda bulunur. Başvuru en geç beş gün içerisinde neticelendirilir.”</w:t>
      </w:r>
    </w:p>
    <w:p w:rsidR="00640915" w:rsidRPr="001C1281" w:rsidRDefault="00640915" w:rsidP="00640915">
      <w:pPr>
        <w:pStyle w:val="ListeParagraf"/>
        <w:ind w:left="1440"/>
        <w:rPr>
          <w:i/>
        </w:rPr>
      </w:pPr>
    </w:p>
    <w:p w:rsidR="00640915" w:rsidRPr="001C1281" w:rsidRDefault="00640915" w:rsidP="00640915">
      <w:pPr>
        <w:pStyle w:val="ListeParagraf"/>
        <w:ind w:left="1440"/>
        <w:rPr>
          <w:i/>
        </w:rPr>
      </w:pPr>
      <w:r w:rsidRPr="001C1281">
        <w:rPr>
          <w:i/>
        </w:rPr>
        <w:t>“n) Sertifika sahiplerinin ilgili dağıtım şirketlerine bildirecekleri tebligat adresinin işyeri adresi ile aynı adres olması zorunludur.</w:t>
      </w:r>
    </w:p>
    <w:p w:rsidR="00640915" w:rsidRPr="001C1281" w:rsidRDefault="00640915" w:rsidP="00640915">
      <w:pPr>
        <w:pStyle w:val="ListeParagraf"/>
        <w:ind w:left="1440"/>
        <w:rPr>
          <w:i/>
        </w:rPr>
      </w:pPr>
    </w:p>
    <w:p w:rsidR="00640915" w:rsidRPr="001C1281" w:rsidRDefault="00640915" w:rsidP="00640915">
      <w:pPr>
        <w:pStyle w:val="ListeParagraf"/>
        <w:ind w:left="1440"/>
        <w:rPr>
          <w:i/>
        </w:rPr>
      </w:pPr>
      <w:r w:rsidRPr="001C1281">
        <w:rPr>
          <w:i/>
        </w:rPr>
        <w:t>o) İç tesisat ve servis hatları sertifikası sahibi gerçek veya tüzel kişiler, söz konusu faaliyetlerinin yürütülmesini teminen bünyelerinde tam gün esasına göre çalışan en az bir makine mühendisi istihdam etmekle yükümlüdürler. Sertifikalı firmada mevcut makine mühendisinin firma sahibi, şirket ortağı veya çalışanı olup olmadığına bakılmaksızın tek bir makine mühendisinin mevcut olduğu hallerde mühendis aynı zamanda bu fıkranın (ğ) bendinde belirtilen belgelere sahip olsa bile bu amaçla çalışamaz. Birden fazla mühendisin mevcut olması durumunda mühendisler sadece tercih edecekleri bir alanda (mühendislik veya bu fıkranın (ğ) bendinde belirtilen belgelere sahip iş kolu) faaliyet gösterebilirler.  Sertifika sahibi, makine mühendisi haricinde bu Yönetmelikte belirtilen diğer personeli de tam gün esasına göre istihdam etmek zorundadır.</w:t>
      </w:r>
    </w:p>
    <w:p w:rsidR="00640915" w:rsidRPr="001C1281" w:rsidRDefault="00640915" w:rsidP="00640915">
      <w:pPr>
        <w:pStyle w:val="ListeParagraf"/>
        <w:ind w:left="1440"/>
        <w:rPr>
          <w:i/>
        </w:rPr>
      </w:pPr>
    </w:p>
    <w:p w:rsidR="00640915" w:rsidRPr="001C1281" w:rsidRDefault="00640915" w:rsidP="00640915">
      <w:pPr>
        <w:pStyle w:val="ListeParagraf"/>
        <w:ind w:left="1440"/>
        <w:rPr>
          <w:i/>
        </w:rPr>
      </w:pPr>
      <w:r w:rsidRPr="001C1281">
        <w:rPr>
          <w:i/>
        </w:rPr>
        <w:t>ö) İç tesisat ve servis hatları sertifikası sahibi gerçek veya tüzel kişiler, sahibi oldukları sertifikanın mevcut faaliyet konuları kapsamında gerçekleştirdikleri iş ve işlemler için bu Yönetmelik esasları kapsamında çalışması zorunlu olan personele ait aylık sigortalılık durumunu 90 (doksan) günü geçmeyecek şekilde dağıtım şirketinin belirlemiş olduğu periyotlarda ilgili dağıtım şirketine uygun iletişim kanallarıyla ibraz etmekle ve dağıtım şirketlerinin bu şekilde belirleyeceği baz proje sayısına ilişkin planlamalarına uymakla yükümlüdürler.</w:t>
      </w:r>
    </w:p>
    <w:p w:rsidR="00640915" w:rsidRPr="001C1281" w:rsidRDefault="00640915" w:rsidP="00640915">
      <w:pPr>
        <w:pStyle w:val="ListeParagraf"/>
        <w:ind w:left="1440"/>
        <w:rPr>
          <w:i/>
        </w:rPr>
      </w:pPr>
    </w:p>
    <w:p w:rsidR="00640915" w:rsidRPr="001C1281" w:rsidRDefault="00640915" w:rsidP="00640915">
      <w:pPr>
        <w:pStyle w:val="ListeParagraf"/>
        <w:ind w:left="1440"/>
        <w:rPr>
          <w:i/>
        </w:rPr>
      </w:pPr>
      <w:r w:rsidRPr="001C1281">
        <w:rPr>
          <w:i/>
        </w:rPr>
        <w:t>p) Dağıtım şirketi, bu fıkranın (ğ) bendinde nitelikleri belirtilen çalışanların tamamı veya bir kısmının, dağıtım bölgesinde bulunan tüm sertifika sahibi firmalara eşit uygulama yapmak kaydıyla, Mesleki Yeterlilik Belgesi sahibi olmasını talep edebilir.</w:t>
      </w:r>
    </w:p>
    <w:p w:rsidR="00640915" w:rsidRPr="001C1281" w:rsidRDefault="00640915" w:rsidP="00640915">
      <w:pPr>
        <w:pStyle w:val="ListeParagraf"/>
        <w:ind w:left="1440"/>
        <w:rPr>
          <w:i/>
        </w:rPr>
      </w:pPr>
    </w:p>
    <w:p w:rsidR="00640915" w:rsidRDefault="00640915" w:rsidP="00640915">
      <w:pPr>
        <w:pStyle w:val="ListeParagraf"/>
        <w:ind w:left="1440"/>
        <w:rPr>
          <w:i/>
        </w:rPr>
      </w:pPr>
      <w:r w:rsidRPr="001C1281">
        <w:rPr>
          <w:i/>
        </w:rPr>
        <w:t>r) Sertifika sahibinin işyerinde, sertifika kapsamındaki faaliyetleri yerine getirebilmek için tüketiciler ve dağıtım şirketi yetkilileri ile fiziki olarak yüz yüze görüşülmesine ve diğer teknolojik iletişim araçları ile bilgi alışverişi yapılabilmesine olanak sağlanması, fiziki iletişimin sağlanmasına yönelik tam gün esaslı mühendis olarak çalışan personel hariç en az bir kişinin istihdam edilmesi ve sabit telefon hattının bulunması, işyerinin bulunduğu binanın dış yüzeyinde içinde bulunduğu bölgede yetkili dağıtım şirketi tarafından tasarlanmış örnek tasarım esas alınarak sertifika sahibinin ticaret unvanı ile birlikte dağıtım şirketinin isim ve logosu ile dağıtım şirketinden alınan sertifika numarasının mevcut olması zorunludur.”</w:t>
      </w:r>
    </w:p>
    <w:p w:rsidR="00640915" w:rsidRDefault="00640915" w:rsidP="00640915">
      <w:pPr>
        <w:pStyle w:val="ListeParagraf"/>
        <w:ind w:left="1440"/>
        <w:rPr>
          <w:i/>
        </w:rPr>
      </w:pPr>
    </w:p>
    <w:p w:rsidR="00640915" w:rsidRDefault="00640915" w:rsidP="000A5A56">
      <w:pPr>
        <w:pStyle w:val="ListeParagraf"/>
        <w:numPr>
          <w:ilvl w:val="0"/>
          <w:numId w:val="59"/>
        </w:numPr>
        <w:spacing w:after="160" w:line="259" w:lineRule="auto"/>
      </w:pPr>
      <w:r w:rsidRPr="001C1281">
        <w:lastRenderedPageBreak/>
        <w:t xml:space="preserve">12 nci maddesinin başlığı </w:t>
      </w:r>
      <w:r w:rsidRPr="001C1281">
        <w:rPr>
          <w:i/>
        </w:rPr>
        <w:t>“Dağıtım şirketleri ve yetki belgesi sahibi şirketlerin hak ve yükümlülükleri”</w:t>
      </w:r>
      <w:r w:rsidRPr="001C1281">
        <w:t xml:space="preserve"> şeklinde değiştirilmiş, aynı maddenin birinci fıkrasına aşağıdaki bent eklenmiş, ikinci fıkrasına aşağıdaki cümle eklenmiş ve aynı maddeye aşağıdaki fıkra eklenmiştir.</w:t>
      </w:r>
    </w:p>
    <w:p w:rsidR="00640915" w:rsidRDefault="00640915" w:rsidP="00640915">
      <w:pPr>
        <w:pStyle w:val="ListeParagraf"/>
        <w:ind w:left="1440"/>
      </w:pPr>
    </w:p>
    <w:p w:rsidR="00640915" w:rsidRPr="001C1281" w:rsidRDefault="00640915" w:rsidP="00640915">
      <w:pPr>
        <w:pStyle w:val="ListeParagraf"/>
        <w:ind w:left="1440"/>
        <w:rPr>
          <w:i/>
        </w:rPr>
      </w:pPr>
      <w:r w:rsidRPr="001C1281">
        <w:rPr>
          <w:i/>
        </w:rPr>
        <w:t>“i)Yetki belgesi sahibi tarafından, iç tesisat ve servis hatları sertifikasının Proje ile Yapım, Bakım ve Onarım faaliyetlerinin ayrıştırılmadan tek bir faaliyet konusu olarak verilmesi şeklinde uygulama yapılır. Bu bendin yürürlüğe girdiği tarihten sonra münferiden proje faaliyet konusunda iç tesisat ve servis hatları sertifikası verilmez. Ancak sertifika sahibi; iç tesisatını yapmaksızın sadece, doğal gaz yakıt sistemli olarak projelendirilerek inşa edilmek üzere inşaat ruhsatı alınmış binalarda, ihtiyaç halinde ilgili dağıtım şirketine onayı için ibraz edilmesi gereken ön proje hazırlama konusunda da faaliyette bulunabilir. Bu şekilde hazırlanarak onay işlemi tamamlanmış projelerin yapım işlerini tamamlamak zorunda değildir. Bu projelere ait tesisatların yapımı aşamasında aynı sertifika sahibi veya başka sertifika sahipleri proje ve yapım faaliyetinde bulunabilir.”</w:t>
      </w:r>
    </w:p>
    <w:p w:rsidR="00640915" w:rsidRPr="001C1281" w:rsidRDefault="00640915" w:rsidP="00640915">
      <w:pPr>
        <w:pStyle w:val="ListeParagraf"/>
        <w:ind w:left="1440"/>
        <w:rPr>
          <w:i/>
        </w:rPr>
      </w:pPr>
    </w:p>
    <w:p w:rsidR="00640915" w:rsidRPr="001C1281" w:rsidRDefault="00640915" w:rsidP="00640915">
      <w:pPr>
        <w:pStyle w:val="ListeParagraf"/>
        <w:ind w:left="1440"/>
        <w:rPr>
          <w:i/>
        </w:rPr>
      </w:pPr>
      <w:r w:rsidRPr="001C1281">
        <w:rPr>
          <w:i/>
        </w:rPr>
        <w:t>“Dağıtım lisansı sahibi, lisansı kapsamında gerçekleştirdiği iş ve işlemler esnasında diğer mevzuatta niteliği belirtilen personeli de istihdam etmekle yükümlüdür.”</w:t>
      </w:r>
    </w:p>
    <w:p w:rsidR="00640915" w:rsidRPr="001C1281" w:rsidRDefault="00640915" w:rsidP="00640915">
      <w:pPr>
        <w:pStyle w:val="ListeParagraf"/>
        <w:ind w:left="1440"/>
        <w:rPr>
          <w:i/>
        </w:rPr>
      </w:pPr>
    </w:p>
    <w:p w:rsidR="00640915" w:rsidRDefault="00640915" w:rsidP="00640915">
      <w:pPr>
        <w:pStyle w:val="ListeParagraf"/>
        <w:ind w:left="1440"/>
        <w:rPr>
          <w:i/>
        </w:rPr>
      </w:pPr>
      <w:r w:rsidRPr="001C1281">
        <w:rPr>
          <w:i/>
        </w:rPr>
        <w:t>“Dağıtım şirketi, Ek-9’da belirtildiği şekilde bir sertifikalı firma bünyesinde istihdam edilmesi gereken asgari çalışan sayısı ve ilgili çalışanların sigortalı çalışma gün sayılarını esas alarak iç tesisat ve servis hatları sertifikasına konu işler ile ilgili olarak; işin niteliği, ilk yapım ya da tadilat projesi olup olmadığı, aynı gün ve/veya sonraki günler tesisat işi yapılacak yerlerin birbirine yakınlığı gibi unsurlar ile birlikte dağıtım faaliyetinde bulunulan lisans kapsamındaki bölgeye münhasır özellikler ve konuya ilişkin ilgili üçüncü tarafların da görüşleri ile birlikte yetkilendirdiği sertifikalı firmalardan, bir sonraki 90 (doksan) günü geçmeyecek şekilde belirlediği periyotta kabul edeceği azami sayıdaki projelere yönelik planlama yapar. Yapılan planlamada, eşit taraflar arasında ayrım yapılmaması ve objektif kriterler esas alınması ilkesi gözetilir ve planlama kriterleri ilgili dağıtım şirketinin internet sayfasında yayımlanır. Kurul gerekli hallerde dağıtım şirketinden planlamanın değiştirilmesini isteyebilir veya bu konuda genel nitelikli düzenleme yapabilir. Yukarıda belirtildiği şekilde hesaplanan baz proje sayısı dikkate alınarak, sertifikalı firma bünyesinde halihazırda istihdam edilen ve belgeleri dağıtım şirketine ibraz edilmiş olan çalışan sayısı ve ilgili çalışanların sigortalı çalışma gün sayılarını esas alarak dağıtım şirketi, sertifikalı firmalar ile ilgili olarak, bir sonraki periyotta kabul edeceği en fazla proje sayısını belirler.”</w:t>
      </w:r>
    </w:p>
    <w:p w:rsidR="00640915" w:rsidRDefault="00640915" w:rsidP="00640915">
      <w:pPr>
        <w:pStyle w:val="ListeParagraf"/>
        <w:ind w:left="1440"/>
        <w:rPr>
          <w:i/>
        </w:rPr>
      </w:pPr>
    </w:p>
    <w:p w:rsidR="00640915" w:rsidRDefault="00640915" w:rsidP="000A5A56">
      <w:pPr>
        <w:pStyle w:val="ListeParagraf"/>
        <w:numPr>
          <w:ilvl w:val="0"/>
          <w:numId w:val="59"/>
        </w:numPr>
        <w:spacing w:after="160" w:line="259" w:lineRule="auto"/>
      </w:pPr>
      <w:r w:rsidRPr="001C1281">
        <w:t>15 inci maddesinin ikinci fıkrasına aşağıdaki cümle eklenmiş ve dördüncü fıkrası aşağıdaki şekilde değiştirilmiştir.</w:t>
      </w:r>
    </w:p>
    <w:p w:rsidR="00640915" w:rsidRDefault="00640915" w:rsidP="00640915">
      <w:pPr>
        <w:pStyle w:val="ListeParagraf"/>
        <w:ind w:left="1440"/>
      </w:pPr>
    </w:p>
    <w:p w:rsidR="00640915" w:rsidRPr="001C1281" w:rsidRDefault="00640915" w:rsidP="00640915">
      <w:pPr>
        <w:pStyle w:val="ListeParagraf"/>
        <w:ind w:left="1440"/>
        <w:rPr>
          <w:i/>
        </w:rPr>
      </w:pPr>
      <w:r w:rsidRPr="001C1281">
        <w:rPr>
          <w:i/>
        </w:rPr>
        <w:t>“Sertifika tadil başvuruları en geç altmış gün içinde değerlendirilir.”</w:t>
      </w:r>
    </w:p>
    <w:p w:rsidR="00640915" w:rsidRPr="001C1281" w:rsidRDefault="00640915" w:rsidP="00640915">
      <w:pPr>
        <w:pStyle w:val="ListeParagraf"/>
        <w:ind w:left="1440"/>
        <w:rPr>
          <w:i/>
        </w:rPr>
      </w:pPr>
    </w:p>
    <w:p w:rsidR="00640915" w:rsidRDefault="00640915" w:rsidP="00640915">
      <w:pPr>
        <w:pStyle w:val="ListeParagraf"/>
        <w:ind w:left="1440"/>
        <w:rPr>
          <w:i/>
        </w:rPr>
      </w:pPr>
      <w:r w:rsidRPr="001C1281">
        <w:rPr>
          <w:i/>
        </w:rPr>
        <w:t>“İlgili mevzuata uygun olarak yapılmadığı tespit edilen sertifika tadil başvurularındaki eksiklik veya yanlışlıklara ilişkin birden fazla farklı konuda yapılabilecek bildirimlerin her biri bakımından başvuru sahibine tebliğ edildiği tarihten itibaren otuz gün içerisinde, bildirilen eksiklik ve yanlışlıklar giderilmediği takdirde tadil başvurusu yapılmamış sayılır ve başvuru evrakı ile sertifika tadil bedeli iade edilir.”</w:t>
      </w:r>
    </w:p>
    <w:p w:rsidR="00640915" w:rsidRDefault="00640915" w:rsidP="000A5A56">
      <w:pPr>
        <w:pStyle w:val="ListeParagraf"/>
        <w:numPr>
          <w:ilvl w:val="0"/>
          <w:numId w:val="59"/>
        </w:numPr>
        <w:spacing w:after="160" w:line="259" w:lineRule="auto"/>
      </w:pPr>
      <w:r w:rsidRPr="001C1281">
        <w:lastRenderedPageBreak/>
        <w:t>15/A maddesinin birinci fıkrasına aşağıdaki cümleler eklenmiş ve dördüncü fıkrası aşağıdaki şekilde değiştirilmiştir.</w:t>
      </w:r>
    </w:p>
    <w:p w:rsidR="00640915" w:rsidRDefault="00640915" w:rsidP="00640915">
      <w:pPr>
        <w:pStyle w:val="ListeParagraf"/>
        <w:ind w:left="1440"/>
      </w:pPr>
    </w:p>
    <w:p w:rsidR="00640915" w:rsidRPr="001C1281" w:rsidRDefault="00640915" w:rsidP="00640915">
      <w:pPr>
        <w:pStyle w:val="ListeParagraf"/>
        <w:ind w:left="1440"/>
        <w:rPr>
          <w:i/>
        </w:rPr>
      </w:pPr>
      <w:r w:rsidRPr="001C1281">
        <w:rPr>
          <w:i/>
        </w:rPr>
        <w:t>“Vize bitiş tarihinden en erken altmış gün önce, yapım ve hizmet sertifikaları için Kuruma, iç tesisat ve servis hatları sertifikaları için ilgili dağıtım şirketi/yetki belgesi sahibi şirkete başvuruda bulunulabilir. Bu süreden önce yapılan vize başvuruları değerlendirmeye alınmaz ve başvuru dosyası ile yatırılmış ise vize bedeli iade edilerek süresi içinde başvuru yapılması gerektiği sertifika sahibine bildirilir.”</w:t>
      </w:r>
    </w:p>
    <w:p w:rsidR="00640915" w:rsidRPr="001C1281" w:rsidRDefault="00640915" w:rsidP="00640915">
      <w:pPr>
        <w:pStyle w:val="ListeParagraf"/>
        <w:ind w:left="1440"/>
        <w:rPr>
          <w:i/>
        </w:rPr>
      </w:pPr>
    </w:p>
    <w:p w:rsidR="00640915" w:rsidRDefault="00640915" w:rsidP="00640915">
      <w:pPr>
        <w:pStyle w:val="ListeParagraf"/>
        <w:ind w:left="1440"/>
        <w:rPr>
          <w:i/>
        </w:rPr>
      </w:pPr>
      <w:r w:rsidRPr="001C1281">
        <w:rPr>
          <w:i/>
        </w:rPr>
        <w:t>“İlgili mevzuata uygun olarak yapılmadığı tespit edilen vize başvurularındaki eksiklik veya yanlışlıklara ilişkin birden fazla farklı konuda yapılabilecek bildirimlerin her biri bakımından tebliğ tarihinden itibaren otuz gün içinde, bildirilen eksiklik ve yanlışlıklar giderilmediği takdirde başvuru yapılmamış sayılır ve başvuru evrakı ile vize bedeli iade edilir.”</w:t>
      </w:r>
    </w:p>
    <w:p w:rsidR="00640915" w:rsidRPr="001C1281" w:rsidRDefault="00640915" w:rsidP="00640915">
      <w:pPr>
        <w:pStyle w:val="ListeParagraf"/>
        <w:ind w:left="1440"/>
      </w:pPr>
    </w:p>
    <w:p w:rsidR="00640915" w:rsidRDefault="00640915" w:rsidP="000A5A56">
      <w:pPr>
        <w:pStyle w:val="ListeParagraf"/>
        <w:numPr>
          <w:ilvl w:val="0"/>
          <w:numId w:val="59"/>
        </w:numPr>
        <w:spacing w:after="160" w:line="259" w:lineRule="auto"/>
      </w:pPr>
      <w:r w:rsidRPr="001C1281">
        <w:t>16 ncı maddesinin dördüncü fıkrası aşağıdaki şekilde değiştirilmiştir.</w:t>
      </w:r>
    </w:p>
    <w:p w:rsidR="00640915" w:rsidRDefault="00640915" w:rsidP="00640915">
      <w:pPr>
        <w:pStyle w:val="ListeParagraf"/>
        <w:ind w:left="1440"/>
      </w:pPr>
    </w:p>
    <w:p w:rsidR="00640915" w:rsidRDefault="00640915" w:rsidP="00640915">
      <w:pPr>
        <w:pStyle w:val="ListeParagraf"/>
        <w:ind w:left="1440"/>
        <w:rPr>
          <w:i/>
        </w:rPr>
      </w:pPr>
      <w:r w:rsidRPr="001C1281">
        <w:rPr>
          <w:i/>
        </w:rPr>
        <w:t>“Yenileme başvurusu ile ilgili olarak tespit edilen eksiklik veya yanlışlıklara ilişkin birden fazla farklı konuda yapılabilecek bildirimlerin her biri bakımından tebliğ tarihinden itibaren otuz gün içinde, bildirilen eksiklik ve yanlışlıklar giderilmediği takdirde yenileme başvurusu yapılmamış sayılır ve başvuru evrakı ile yenileme bedeli iade edilir.”</w:t>
      </w:r>
    </w:p>
    <w:p w:rsidR="00640915" w:rsidRDefault="00640915" w:rsidP="00640915">
      <w:pPr>
        <w:pStyle w:val="ListeParagraf"/>
        <w:ind w:left="1440"/>
        <w:rPr>
          <w:i/>
        </w:rPr>
      </w:pPr>
    </w:p>
    <w:p w:rsidR="00640915" w:rsidRPr="001C1281" w:rsidRDefault="00640915" w:rsidP="000A5A56">
      <w:pPr>
        <w:pStyle w:val="ListeParagraf"/>
        <w:numPr>
          <w:ilvl w:val="0"/>
          <w:numId w:val="59"/>
        </w:numPr>
        <w:spacing w:after="160" w:line="259" w:lineRule="auto"/>
      </w:pPr>
      <w:r w:rsidRPr="001C1281">
        <w:t>17 nci maddesinin birinci fıkrası aşağıdaki şekilde değiştirilmiştir.</w:t>
      </w:r>
    </w:p>
    <w:p w:rsidR="00640915" w:rsidRDefault="00640915" w:rsidP="00640915">
      <w:pPr>
        <w:pStyle w:val="ListeParagraf"/>
        <w:ind w:left="1440"/>
        <w:rPr>
          <w:i/>
        </w:rPr>
      </w:pPr>
    </w:p>
    <w:p w:rsidR="00640915" w:rsidRDefault="00640915" w:rsidP="00640915">
      <w:pPr>
        <w:pStyle w:val="ListeParagraf"/>
        <w:ind w:left="1440"/>
        <w:rPr>
          <w:i/>
        </w:rPr>
      </w:pPr>
      <w:r w:rsidRPr="001C1281">
        <w:rPr>
          <w:i/>
        </w:rPr>
        <w:t>“Sertifikalar; sürelerinin bitiminde veya sertifika sahibi hakkındaki iflas kararının kesinleşmesi ya da ticari faaliyetinin sona ermesi halinde kendiliğinden sona erer. Sertifika sahibi gerçek kişinin vefatı, ticari faaliyetinin sona ermesi şeklinde değerlendirilir. Sertifika sahibinin sertifikadan vazgeçmek istemesi halinde sertifika sona erme onayı, ilgisine göre Başkan veya sertifikayı veren dağıtım şirketi ya da yetki belgesi sahibi şirket tarafından verilir. Sertifikalı gerçek kişinin faaliyette bulunmadığının bağlı olduğu Vergi Dairesi tarafından düzenlenmiş belge ile; sertifikalı tüzel kişinin faaliyette bulunmadığının bağlı olduğu Vergi Dairesi ve Ticaret Sicili Müdürlüğü tarafından düzenlenmiş belgeler ile tevsik edilmesi durumunda, ticari faaliyetin sona erdiği tarih itibarıyla veya iflas kararının kesinleştiği tarih itibarıyla sertifikanın sona ermiş olduğu, yine ilgisine göre yapım ve hizmet sertifikası için Başkan onayı, iç tesisat ve servis hatları sertifikası için ise sertifikayı veren dağıtım şirketi ya da yetki belgesi sahibi şirketin onayı ile belirlenir.”</w:t>
      </w:r>
    </w:p>
    <w:p w:rsidR="00640915" w:rsidRDefault="00640915" w:rsidP="00640915">
      <w:pPr>
        <w:pStyle w:val="ListeParagraf"/>
        <w:ind w:left="1440"/>
        <w:rPr>
          <w:i/>
        </w:rPr>
      </w:pPr>
    </w:p>
    <w:p w:rsidR="00640915" w:rsidRPr="001C1281" w:rsidRDefault="00640915" w:rsidP="000A5A56">
      <w:pPr>
        <w:pStyle w:val="ListeParagraf"/>
        <w:numPr>
          <w:ilvl w:val="0"/>
          <w:numId w:val="59"/>
        </w:numPr>
        <w:spacing w:after="160" w:line="259" w:lineRule="auto"/>
      </w:pPr>
      <w:r w:rsidRPr="001C1281">
        <w:t>18 inci maddesinin beşinci fıkrasına aşağıdaki cümle eklenmiş ve aynı maddeye aşağıdaki fıkra eklenmiştir.</w:t>
      </w:r>
    </w:p>
    <w:p w:rsidR="00640915" w:rsidRPr="001C1281" w:rsidRDefault="00640915" w:rsidP="00640915">
      <w:pPr>
        <w:pStyle w:val="ListeParagraf"/>
        <w:ind w:left="1440"/>
        <w:rPr>
          <w:i/>
        </w:rPr>
      </w:pPr>
    </w:p>
    <w:p w:rsidR="00640915" w:rsidRPr="001C1281" w:rsidRDefault="00640915" w:rsidP="00640915">
      <w:pPr>
        <w:pStyle w:val="ListeParagraf"/>
        <w:ind w:left="1440"/>
        <w:rPr>
          <w:i/>
        </w:rPr>
      </w:pPr>
      <w:r w:rsidRPr="001C1281">
        <w:rPr>
          <w:i/>
        </w:rPr>
        <w:t>“Ancak, bu maddenin ikinci fıkrası kapsamına giren fiiller için yürütülen soruşturma sonucunda Kurul, sertifika iptaline yönelik karar almasa da fiilde sorumluluğu olan çalışana veya bu çalışanın da sahibi/ortağı olduğu kişilere bir yıl süreyle yeni sertifika verilmemesine ve bir yıl süreyle söz konusu kişilerin başka bir sertifikalı firmada çalışamamasına karar verebilir.”</w:t>
      </w:r>
    </w:p>
    <w:p w:rsidR="00640915" w:rsidRPr="001C1281" w:rsidRDefault="00640915" w:rsidP="00640915">
      <w:pPr>
        <w:pStyle w:val="ListeParagraf"/>
        <w:ind w:left="1440"/>
        <w:rPr>
          <w:i/>
        </w:rPr>
      </w:pPr>
    </w:p>
    <w:p w:rsidR="00640915" w:rsidRDefault="00640915" w:rsidP="00640915">
      <w:pPr>
        <w:pStyle w:val="ListeParagraf"/>
        <w:ind w:left="1440"/>
        <w:rPr>
          <w:i/>
        </w:rPr>
      </w:pPr>
      <w:r w:rsidRPr="001C1281">
        <w:rPr>
          <w:i/>
        </w:rPr>
        <w:t xml:space="preserve">“İç tesisat ve servis hatları sertifikası bu maddenin ikinci fıkrası kapsamında iptal edilen kişinin, bu Yönetmelik hükümlerine aykırılık teşkil etmeyecek şekilde farklı dağıtım bölgesi/bölgelerinde </w:t>
      </w:r>
      <w:r w:rsidRPr="001C1281">
        <w:rPr>
          <w:i/>
        </w:rPr>
        <w:lastRenderedPageBreak/>
        <w:t>faaliyette bulunmak üzere ilgili dağıtım şirketi/şirketleri tarafından verilmiş başka sertifikalarının da olması halinde;  sertifika süresi bitinceye kadar  mevcut  sertifika/ sertifikaları kapsamında faaliyette bulunabilir ve mevcut sertifika/sertifikaları yenilenebilir, ancak hangi dağıtım bölgesi içerisinde faaliyet göstermek istediğine bakılmaksızın bir yıl süreyle yeni sertifika verilemez. Bu durumda da bu maddenin beşinci ve altıncı fıkra hükümleri uygulanır. Sertifika iptaline konu fiilde sorumluluğu olan ve bu Yönetmelik kapsamında belgesi sunulan çalışanlar ve/veya firma sahibi/ortaklar aynı firmanın diğer sertifikaları kapsamında faaliyette bulunmak üzere istihdam edilemezler.”</w:t>
      </w:r>
    </w:p>
    <w:p w:rsidR="00640915" w:rsidRDefault="00640915" w:rsidP="00640915">
      <w:pPr>
        <w:pStyle w:val="ListeParagraf"/>
        <w:ind w:left="1440"/>
        <w:rPr>
          <w:i/>
        </w:rPr>
      </w:pPr>
    </w:p>
    <w:p w:rsidR="00640915" w:rsidRDefault="00640915" w:rsidP="000A5A56">
      <w:pPr>
        <w:pStyle w:val="ListeParagraf"/>
        <w:numPr>
          <w:ilvl w:val="0"/>
          <w:numId w:val="59"/>
        </w:numPr>
        <w:spacing w:after="160" w:line="259" w:lineRule="auto"/>
      </w:pPr>
      <w:r w:rsidRPr="001C1281">
        <w:t xml:space="preserve">19 uncu maddesinin birinci fıkrasının (l) bendinde yer alan </w:t>
      </w:r>
      <w:r w:rsidRPr="001C1281">
        <w:rPr>
          <w:i/>
        </w:rPr>
        <w:t>“üç”</w:t>
      </w:r>
      <w:r w:rsidRPr="001C1281">
        <w:t xml:space="preserve"> ibaresi </w:t>
      </w:r>
      <w:r w:rsidRPr="001C1281">
        <w:rPr>
          <w:i/>
        </w:rPr>
        <w:t>“iki”</w:t>
      </w:r>
      <w:r w:rsidRPr="001C1281">
        <w:t xml:space="preserve"> şeklinde değiştirilmiştir.</w:t>
      </w:r>
    </w:p>
    <w:p w:rsidR="00640915" w:rsidRDefault="00640915" w:rsidP="00640915">
      <w:pPr>
        <w:pStyle w:val="ListeParagraf"/>
        <w:ind w:left="1440"/>
      </w:pPr>
    </w:p>
    <w:p w:rsidR="00640915" w:rsidRDefault="00640915" w:rsidP="000A5A56">
      <w:pPr>
        <w:pStyle w:val="ListeParagraf"/>
        <w:numPr>
          <w:ilvl w:val="0"/>
          <w:numId w:val="59"/>
        </w:numPr>
        <w:spacing w:after="160" w:line="259" w:lineRule="auto"/>
      </w:pPr>
      <w:r>
        <w:t>İ</w:t>
      </w:r>
      <w:r w:rsidRPr="001C1281">
        <w:t xml:space="preserve">kinci kısım ikinci bölüm başlığı </w:t>
      </w:r>
      <w:r w:rsidRPr="001C1281">
        <w:rPr>
          <w:i/>
        </w:rPr>
        <w:t>“Gizlilik, Denetim ve Şikayetler, Yaptırımlar, Devir Yasağı ve Bildirimler, Yetki Durdurma, Mücbir Sebepler”</w:t>
      </w:r>
      <w:r w:rsidRPr="001C1281">
        <w:t xml:space="preserve"> şeklinde değiştirilmiştir.</w:t>
      </w:r>
    </w:p>
    <w:p w:rsidR="00640915" w:rsidRDefault="00640915" w:rsidP="00640915">
      <w:pPr>
        <w:pStyle w:val="ListeParagraf"/>
      </w:pPr>
    </w:p>
    <w:p w:rsidR="00640915" w:rsidRDefault="00640915" w:rsidP="000A5A56">
      <w:pPr>
        <w:pStyle w:val="ListeParagraf"/>
        <w:numPr>
          <w:ilvl w:val="0"/>
          <w:numId w:val="59"/>
        </w:numPr>
        <w:spacing w:after="160" w:line="259" w:lineRule="auto"/>
      </w:pPr>
      <w:r>
        <w:t>24 üncü maddesinden sonra gelmek üzere aşağıdaki maddeler eklenmiştir.</w:t>
      </w:r>
    </w:p>
    <w:p w:rsidR="00640915" w:rsidRDefault="00640915" w:rsidP="00640915">
      <w:pPr>
        <w:pStyle w:val="ListeParagraf"/>
        <w:ind w:left="1440"/>
      </w:pPr>
    </w:p>
    <w:p w:rsidR="00640915" w:rsidRPr="001C1281" w:rsidRDefault="00640915" w:rsidP="00640915">
      <w:pPr>
        <w:pStyle w:val="ListeParagraf"/>
        <w:ind w:left="1440"/>
        <w:rPr>
          <w:i/>
        </w:rPr>
      </w:pPr>
      <w:r w:rsidRPr="001C1281">
        <w:rPr>
          <w:i/>
        </w:rPr>
        <w:t>“Yetki durdurma</w:t>
      </w:r>
    </w:p>
    <w:p w:rsidR="00640915" w:rsidRPr="001C1281" w:rsidRDefault="00640915" w:rsidP="00640915">
      <w:pPr>
        <w:pStyle w:val="ListeParagraf"/>
        <w:ind w:left="1440"/>
        <w:rPr>
          <w:i/>
        </w:rPr>
      </w:pPr>
    </w:p>
    <w:p w:rsidR="00640915" w:rsidRPr="001C1281" w:rsidRDefault="00640915" w:rsidP="00640915">
      <w:pPr>
        <w:pStyle w:val="ListeParagraf"/>
        <w:ind w:left="1440"/>
        <w:rPr>
          <w:i/>
        </w:rPr>
      </w:pPr>
      <w:r w:rsidRPr="001C1281">
        <w:rPr>
          <w:i/>
        </w:rPr>
        <w:t>Madde 24/A- İç tesisat ve servis hatları sertifikası kapsamında gerçekleştirilen faaliyetler kapsamında,</w:t>
      </w:r>
    </w:p>
    <w:p w:rsidR="00640915" w:rsidRPr="001C1281" w:rsidRDefault="00640915" w:rsidP="00640915">
      <w:pPr>
        <w:pStyle w:val="ListeParagraf"/>
        <w:ind w:left="1440"/>
        <w:rPr>
          <w:i/>
        </w:rPr>
      </w:pPr>
    </w:p>
    <w:p w:rsidR="00640915" w:rsidRPr="001C1281" w:rsidRDefault="00640915" w:rsidP="00640915">
      <w:pPr>
        <w:pStyle w:val="ListeParagraf"/>
        <w:ind w:left="1440"/>
        <w:rPr>
          <w:i/>
        </w:rPr>
      </w:pPr>
      <w:r w:rsidRPr="001C1281">
        <w:rPr>
          <w:i/>
        </w:rPr>
        <w:t>a) Dağıtım şirketi tarafından sertifikalı firmaya yapılan yazılı bildirimin; adreste bulunamama ya da adres değişikliği gibi nedenler ile tebliğ edilememesi,</w:t>
      </w:r>
    </w:p>
    <w:p w:rsidR="00640915" w:rsidRPr="001C1281" w:rsidRDefault="00640915" w:rsidP="00640915">
      <w:pPr>
        <w:pStyle w:val="ListeParagraf"/>
        <w:ind w:left="1440"/>
        <w:rPr>
          <w:i/>
        </w:rPr>
      </w:pPr>
    </w:p>
    <w:p w:rsidR="00640915" w:rsidRPr="001C1281" w:rsidRDefault="00640915" w:rsidP="00640915">
      <w:pPr>
        <w:pStyle w:val="ListeParagraf"/>
        <w:ind w:left="1440"/>
        <w:rPr>
          <w:i/>
        </w:rPr>
      </w:pPr>
      <w:r w:rsidRPr="001C1281">
        <w:rPr>
          <w:i/>
        </w:rPr>
        <w:t>b) Dağıtım şirketi tarafından söz konusu işyerine fiili olarak yapılan birden fazla kontrol/ziyaretlerde işyerinin kapalı olması,</w:t>
      </w:r>
    </w:p>
    <w:p w:rsidR="00640915" w:rsidRPr="001C1281" w:rsidRDefault="00640915" w:rsidP="00640915">
      <w:pPr>
        <w:pStyle w:val="ListeParagraf"/>
        <w:ind w:left="1440"/>
        <w:rPr>
          <w:i/>
        </w:rPr>
      </w:pPr>
    </w:p>
    <w:p w:rsidR="00640915" w:rsidRPr="001C1281" w:rsidRDefault="00640915" w:rsidP="00640915">
      <w:pPr>
        <w:pStyle w:val="ListeParagraf"/>
        <w:ind w:left="1440"/>
        <w:rPr>
          <w:i/>
        </w:rPr>
      </w:pPr>
      <w:r w:rsidRPr="001C1281">
        <w:rPr>
          <w:i/>
        </w:rPr>
        <w:t>c) İç tesisat ve servis hatları sertifikası sahibi firmanın vizesiz şekilde faaliyette bulunduğunun tespit edilmesi,</w:t>
      </w:r>
    </w:p>
    <w:p w:rsidR="00640915" w:rsidRPr="001C1281" w:rsidRDefault="00640915" w:rsidP="00640915">
      <w:pPr>
        <w:pStyle w:val="ListeParagraf"/>
        <w:ind w:left="1440"/>
        <w:rPr>
          <w:i/>
        </w:rPr>
      </w:pPr>
    </w:p>
    <w:p w:rsidR="00640915" w:rsidRPr="001C1281" w:rsidRDefault="00640915" w:rsidP="00640915">
      <w:pPr>
        <w:pStyle w:val="ListeParagraf"/>
        <w:ind w:left="1440"/>
        <w:rPr>
          <w:i/>
        </w:rPr>
      </w:pPr>
      <w:r w:rsidRPr="001C1281">
        <w:rPr>
          <w:i/>
        </w:rPr>
        <w:t>ç) Sertifikalı firmanın bu Yönetmelik esasları kapsamında istihdam etmek zorunda olduğu tam gün esaslı çalışması zorunlu olan personele ait aylık sigorta dökümünü dağıtım şirketinin belirlediği periyotlar içerisinde ilgili dağıtım şirketine ibraz etmemesi,</w:t>
      </w:r>
    </w:p>
    <w:p w:rsidR="00640915" w:rsidRPr="001C1281" w:rsidRDefault="00640915" w:rsidP="00640915">
      <w:pPr>
        <w:pStyle w:val="ListeParagraf"/>
        <w:ind w:left="1440"/>
        <w:rPr>
          <w:i/>
        </w:rPr>
      </w:pPr>
    </w:p>
    <w:p w:rsidR="00640915" w:rsidRPr="001C1281" w:rsidRDefault="00640915" w:rsidP="00640915">
      <w:pPr>
        <w:pStyle w:val="ListeParagraf"/>
        <w:ind w:left="1440"/>
        <w:rPr>
          <w:i/>
        </w:rPr>
      </w:pPr>
      <w:r w:rsidRPr="001C1281">
        <w:rPr>
          <w:i/>
        </w:rPr>
        <w:t>d) Dağıtım şirketi tarafından istenen bilgi ve belgelerin on beş (15) gün içinde sunulmaması,</w:t>
      </w:r>
    </w:p>
    <w:p w:rsidR="00640915" w:rsidRPr="001C1281" w:rsidRDefault="00640915" w:rsidP="00640915">
      <w:pPr>
        <w:pStyle w:val="ListeParagraf"/>
        <w:ind w:left="1440"/>
        <w:rPr>
          <w:i/>
        </w:rPr>
      </w:pPr>
    </w:p>
    <w:p w:rsidR="00640915" w:rsidRPr="001C1281" w:rsidRDefault="00640915" w:rsidP="00640915">
      <w:pPr>
        <w:pStyle w:val="ListeParagraf"/>
        <w:ind w:left="1440"/>
        <w:rPr>
          <w:i/>
        </w:rPr>
      </w:pPr>
      <w:r w:rsidRPr="001C1281">
        <w:rPr>
          <w:i/>
        </w:rPr>
        <w:t>e) Sertifikalı firmanın 11 inci maddenin (r) bendindeki şartları sağlamaması,</w:t>
      </w:r>
    </w:p>
    <w:p w:rsidR="00640915" w:rsidRPr="001C1281" w:rsidRDefault="00640915" w:rsidP="00640915">
      <w:pPr>
        <w:pStyle w:val="ListeParagraf"/>
        <w:ind w:left="1440"/>
        <w:rPr>
          <w:i/>
        </w:rPr>
      </w:pPr>
    </w:p>
    <w:p w:rsidR="00640915" w:rsidRPr="001C1281" w:rsidRDefault="00640915" w:rsidP="00640915">
      <w:pPr>
        <w:pStyle w:val="ListeParagraf"/>
        <w:ind w:left="1440"/>
        <w:rPr>
          <w:i/>
        </w:rPr>
      </w:pPr>
      <w:r w:rsidRPr="001C1281">
        <w:rPr>
          <w:i/>
        </w:rPr>
        <w:t xml:space="preserve">hallerinde dağıtım şirketi, konuya ilişkin gerekli bilgi/belgeleri temin ederek ve/veya tespitlerini tutanak altına alarak, sertifikalı firmanın yeni başvuru dosyalarını ilgili mevzuata aykırılığın ortadan kalkmasına yönelik bilgi ve belgelerin kendisine ibraz edilip varsa gerekli işlemleri tesis etmesine kadar kabul etmez. Yukarıda belirtilen hallerde yeni başvuru dosyası kabul edilmeyerek yetkisi durdurulan sertifika sahibinin, dağıtım şirketinin internet sayfasının ilgili bölümüne yetkisinin durdurulduğuna ilişkin tarih ve saat içeren ibare konulur. Dağıtım şirketi, yetkileri </w:t>
      </w:r>
      <w:r w:rsidRPr="001C1281">
        <w:rPr>
          <w:i/>
        </w:rPr>
        <w:lastRenderedPageBreak/>
        <w:t>durdurulan veya açılan sertifika sahibine yazılı olarak, ayrıca kısa mesaj (SMS) veya e-posta yoluyla gerekçeli bildirim yapar ve bu bildirime ilişkin bilgi ve belgeleri talep edilmesi halinde Kuruma sunar. Yapılacak bildirimde yetkinin durdurulduğu veya açıldığı tarihler net bir biçimde belirtilir.</w:t>
      </w:r>
    </w:p>
    <w:p w:rsidR="00640915" w:rsidRPr="001C1281" w:rsidRDefault="00640915" w:rsidP="00640915">
      <w:pPr>
        <w:pStyle w:val="ListeParagraf"/>
        <w:ind w:left="1440"/>
        <w:rPr>
          <w:i/>
        </w:rPr>
      </w:pPr>
    </w:p>
    <w:p w:rsidR="00640915" w:rsidRPr="001C1281" w:rsidRDefault="00640915" w:rsidP="00640915">
      <w:pPr>
        <w:pStyle w:val="ListeParagraf"/>
        <w:ind w:left="1440"/>
        <w:rPr>
          <w:i/>
        </w:rPr>
      </w:pPr>
      <w:r w:rsidRPr="001C1281">
        <w:rPr>
          <w:i/>
        </w:rPr>
        <w:t>Yukarıda belirtilen fiillerden birinin aynı sertifika sahibi tarafından bir takvim yılında üç defadan fazla gerçekleştirilmesi ve/veya sertifika süresi boyunca iki defa vizesiz faaliyette bulunulduğunun tespit edilmesi halinde dağıtım şirketi ilgili bilgi ve belgelerle birlikte konunun ilgili mevzuat ihlali kapsamında incelenmesi için Kuruma bildirimde bulunur. Yeni başvuru dosyası sunması engellenen sertifika sahibi, dağıtım şirketi tarafından önceden onaylanmış projelerin henüz tamamlanmamış imalatı ve gaz açma işlerini, ilgili dağıtım şirketinin nezaretinde devam ettirir.</w:t>
      </w:r>
    </w:p>
    <w:p w:rsidR="00640915" w:rsidRPr="001C1281" w:rsidRDefault="00640915" w:rsidP="00640915">
      <w:pPr>
        <w:pStyle w:val="ListeParagraf"/>
        <w:ind w:left="1440"/>
        <w:rPr>
          <w:i/>
        </w:rPr>
      </w:pPr>
    </w:p>
    <w:p w:rsidR="00640915" w:rsidRPr="001C1281" w:rsidRDefault="00640915" w:rsidP="00640915">
      <w:pPr>
        <w:pStyle w:val="ListeParagraf"/>
        <w:ind w:left="1440"/>
        <w:rPr>
          <w:i/>
        </w:rPr>
      </w:pPr>
      <w:r w:rsidRPr="001C1281">
        <w:rPr>
          <w:i/>
        </w:rPr>
        <w:t>Sertifika alma/tadil/vize başvurusunda belgesi sunulan personelin, başka bir dağıtım lisansına konu bölgede faaliyet göstermek üzere sahip olunan sertifika kapsamında ilgili dağıtım şirketine ibraz edildiğinin tespit edilmesi halinde, sertifikalardan birisi sona ermeden veya başka personelin diğer sertifika kapsamında faaliyette bulunulabilmesi için istihdam edildiği tespit edilmeden hiçbir şekilde faaliyette bulunulamaz. İlgili dağıtım şirketleri tarafından bu maddenin birinci ve ikinci fıkraları hükümleri uygulanır.</w:t>
      </w:r>
    </w:p>
    <w:p w:rsidR="00640915" w:rsidRPr="001C1281" w:rsidRDefault="00640915" w:rsidP="00640915">
      <w:pPr>
        <w:pStyle w:val="ListeParagraf"/>
        <w:ind w:left="1440"/>
        <w:rPr>
          <w:i/>
        </w:rPr>
      </w:pPr>
    </w:p>
    <w:p w:rsidR="00640915" w:rsidRPr="001C1281" w:rsidRDefault="00640915" w:rsidP="00640915">
      <w:pPr>
        <w:pStyle w:val="ListeParagraf"/>
        <w:ind w:left="1440"/>
        <w:rPr>
          <w:i/>
        </w:rPr>
      </w:pPr>
      <w:r w:rsidRPr="001C1281">
        <w:rPr>
          <w:i/>
        </w:rPr>
        <w:t>Dağıtım şirketi tarafından, bu maddede belirtilmeyen ancak sertifikalı firmalarca yürütülen iş ve işlemlerin; sistem güvenliği ve tüketici memnuniyetini engelleyici nitelikte olması nedeniyle, ilgili mevzuata aykırılığın ortadan kalkmasına kadarki süreçte sertifikalı firmanın yetkilerinin durdurulmasına sebebiyet verecek kadar aciliyet oluşturduğu şeklinde değerlendirmede bulunulması halinde, gerekçeleri ile birlikte Kuruma başvuru yapılır.  Kurum tarafından uygun bulunması halinde ilgili sertifikalı firma hakkında bu maddenin birinci ve ikinci fıkraları hükümleri uygulanır. Kurul, sertifika sahiplerinin yetki durdurulmasına neden olacak hususlarda ilave düzenlemeler yapabilir.</w:t>
      </w:r>
    </w:p>
    <w:p w:rsidR="00640915" w:rsidRPr="001C1281" w:rsidRDefault="00640915" w:rsidP="00640915">
      <w:pPr>
        <w:pStyle w:val="ListeParagraf"/>
        <w:ind w:left="1440"/>
        <w:rPr>
          <w:i/>
        </w:rPr>
      </w:pPr>
    </w:p>
    <w:p w:rsidR="00640915" w:rsidRPr="001C1281" w:rsidRDefault="00640915" w:rsidP="00640915">
      <w:pPr>
        <w:pStyle w:val="ListeParagraf"/>
        <w:ind w:left="1440"/>
        <w:rPr>
          <w:i/>
        </w:rPr>
      </w:pPr>
      <w:r w:rsidRPr="001C1281">
        <w:rPr>
          <w:i/>
        </w:rPr>
        <w:t>Mücbir sebepler</w:t>
      </w:r>
    </w:p>
    <w:p w:rsidR="00640915" w:rsidRPr="001C1281" w:rsidRDefault="00640915" w:rsidP="00640915">
      <w:pPr>
        <w:pStyle w:val="ListeParagraf"/>
        <w:ind w:left="1440"/>
        <w:rPr>
          <w:i/>
        </w:rPr>
      </w:pPr>
    </w:p>
    <w:p w:rsidR="00640915" w:rsidRPr="001C1281" w:rsidRDefault="00640915" w:rsidP="00640915">
      <w:pPr>
        <w:pStyle w:val="ListeParagraf"/>
        <w:ind w:left="1440"/>
        <w:rPr>
          <w:i/>
        </w:rPr>
      </w:pPr>
      <w:r w:rsidRPr="001C1281">
        <w:rPr>
          <w:i/>
        </w:rPr>
        <w:t>Madde 24/B- Bir olayın mücbir sebep hali sayılabilmesi için; olaydan etkilenen tarafın gerekli özen ve dikkati göstermiş ve önlemleri almış olmasına karşın önlenemeyecek, kaçınılamayacak veya giderilemeyecek olması ve bu durumun etkilenen tarafın ilgili mevzuat kapsamındaki yükümlülüklerini yerine getirmesini engellemesi gerekir.</w:t>
      </w:r>
    </w:p>
    <w:p w:rsidR="00640915" w:rsidRPr="001C1281" w:rsidRDefault="00640915" w:rsidP="00640915">
      <w:pPr>
        <w:pStyle w:val="ListeParagraf"/>
        <w:ind w:left="1440"/>
        <w:rPr>
          <w:i/>
        </w:rPr>
      </w:pPr>
    </w:p>
    <w:p w:rsidR="00640915" w:rsidRPr="001C1281" w:rsidRDefault="00640915" w:rsidP="00640915">
      <w:pPr>
        <w:pStyle w:val="ListeParagraf"/>
        <w:ind w:left="1440"/>
        <w:rPr>
          <w:i/>
        </w:rPr>
      </w:pPr>
      <w:r w:rsidRPr="001C1281">
        <w:rPr>
          <w:i/>
        </w:rPr>
        <w:t>Mücbir sebeplerin gerçekleşmesi halinde, mücbir sebeplerin etkileri giderilinceye kadar, sertifika sahibi kişinin ilgili mevzuattan kaynaklanan yükümlülükleri etkilendikleri oranda Kurum/dağıtım şirketinin değerlendirmesi sonucu ertelenebilir. Söz konusu yükümlülüklerin yerine getirilemeyeceğinin anlaşıldığı hallerde, Kurum/dağıtım şirketi tüzel kişinin yükümlülüğünün kaldırılmasına da karar verebilir. Yükümlülüklerin ertelenmesi veya kaldırılması kararının verilebilmesi için, sertifika sahibi tüzel kişinin mücbir sebebin başlama tarihini, mahiyetini, yükümlülüklerine olan etkilerini ve mümkün olması halinde etkilerin tahmini giderilme süresini içeren başvurusunu, mücbir sebebin başlama tarihinden itibaren on beş gün içerisinde Kuruma/dağıtım şirketine yazılı olarak bildirmesi zorunludur.</w:t>
      </w:r>
    </w:p>
    <w:p w:rsidR="00640915" w:rsidRPr="001C1281" w:rsidRDefault="00640915" w:rsidP="00640915">
      <w:pPr>
        <w:pStyle w:val="ListeParagraf"/>
        <w:ind w:left="1440"/>
        <w:rPr>
          <w:i/>
        </w:rPr>
      </w:pPr>
    </w:p>
    <w:p w:rsidR="00640915" w:rsidRDefault="00640915" w:rsidP="00640915">
      <w:pPr>
        <w:pStyle w:val="ListeParagraf"/>
        <w:ind w:left="1440"/>
        <w:rPr>
          <w:i/>
        </w:rPr>
      </w:pPr>
      <w:r w:rsidRPr="001C1281">
        <w:rPr>
          <w:i/>
        </w:rPr>
        <w:t>Mücbir sebep halleri ve/veya Kurum tarafından belirlenen durumlarda, sertifika başvurusunda bulunan kişiler ile mevcut sertifika sahipleri, bu Yönetmelik hükümleri kapsamında Kuruma/dağıtım şirketine ibraz etmekle yükümlü oldukları belgelerin fotokopisini de sunabilirler. Ancak, mevcut sertifikaların süresi sona erinceye kadarki süreçte Kurum ya da dağıtım şirketince talep edilmesi halinde fotokopisini sundukları belgenin aslı ya da onaylı suretlerini Kurum ya da dağıtım şirketinin talep ettiği tarihten itibaren 60 gün içinde ibraz etmekle yükümlüdürler.”</w:t>
      </w:r>
    </w:p>
    <w:p w:rsidR="00640915" w:rsidRDefault="00640915" w:rsidP="00640915">
      <w:pPr>
        <w:pStyle w:val="ListeParagraf"/>
        <w:ind w:left="1440"/>
        <w:rPr>
          <w:i/>
        </w:rPr>
      </w:pPr>
    </w:p>
    <w:p w:rsidR="00640915" w:rsidRPr="001C1281" w:rsidRDefault="00640915" w:rsidP="000A5A56">
      <w:pPr>
        <w:pStyle w:val="ListeParagraf"/>
        <w:numPr>
          <w:ilvl w:val="0"/>
          <w:numId w:val="59"/>
        </w:numPr>
        <w:spacing w:after="160" w:line="259" w:lineRule="auto"/>
      </w:pPr>
      <w:r w:rsidRPr="001C1281">
        <w:t>Aşağıdaki geçici madde eklenmiştir.</w:t>
      </w:r>
    </w:p>
    <w:p w:rsidR="00640915" w:rsidRPr="001C1281" w:rsidRDefault="00640915" w:rsidP="00640915">
      <w:pPr>
        <w:pStyle w:val="ListeParagraf"/>
        <w:ind w:left="1440"/>
        <w:rPr>
          <w:i/>
        </w:rPr>
      </w:pPr>
    </w:p>
    <w:p w:rsidR="00640915" w:rsidRPr="001C1281" w:rsidRDefault="00640915" w:rsidP="00640915">
      <w:pPr>
        <w:pStyle w:val="ListeParagraf"/>
        <w:ind w:left="1440"/>
        <w:rPr>
          <w:i/>
        </w:rPr>
      </w:pPr>
      <w:r w:rsidRPr="001C1281">
        <w:rPr>
          <w:i/>
        </w:rPr>
        <w:t>“Sertifikaların tadil süreleri</w:t>
      </w:r>
    </w:p>
    <w:p w:rsidR="00640915" w:rsidRPr="001C1281" w:rsidRDefault="00640915" w:rsidP="00640915">
      <w:pPr>
        <w:pStyle w:val="ListeParagraf"/>
        <w:ind w:left="1440"/>
        <w:rPr>
          <w:i/>
        </w:rPr>
      </w:pPr>
    </w:p>
    <w:p w:rsidR="00640915" w:rsidRDefault="00640915" w:rsidP="00640915">
      <w:pPr>
        <w:pStyle w:val="ListeParagraf"/>
        <w:ind w:left="1440"/>
        <w:rPr>
          <w:i/>
        </w:rPr>
      </w:pPr>
      <w:r w:rsidRPr="001C1281">
        <w:rPr>
          <w:i/>
        </w:rPr>
        <w:t>Geçici Madde 13- Bu maddenin yürürlüğe girdiği tarihten itibaren,  iç tesisat ve servis hatları sertifikasının, proje ile yapım, bakım ve onarım faaliyetlerinin ayrıştırılmadan tek bir faaliyet konusu olarak verilmesi şeklinde uygulama yapılacağından; bu maddenin yürürlüğe girdiği tarihten itibaren üç ay içerisinde iç tesisat proje ile iç tesisat yapım, bakım ve onarım faaliyet konularında ayrı ayrı yetkilendirilen sertifika sahipleri, mevcut sertifikalarının bedel alınmaksızın tadil edilmesini teminen gerekli bilgi/belgeler ile dağıtım şirketine başvuruda bulunmakla yükümlüdürler. Söz konusu üç aylık sürenin sonuna kadar tadil başvurusunda bulunmayan veya başvuru yapmış olsa dahi ilgili dağıtım şirketince sertifikası, bu Yönetmelik hükümleri çerçevesinde yapılacak inceleme sonucunda tadil edilmeyen mevcut sertifika sahipleri iç tesisat proje, yapım, bakım, onarım faaliyetlerinde bulunamaz. Dağıtım şirketi, bölgesindeki tüm sertifikalı firmalara başvuru süresini ve istenecek bilgi/belgeleri yazılı olarak tebliğ eder ve bu bilgileri internet sayfasında duyurur.”</w:t>
      </w:r>
    </w:p>
    <w:p w:rsidR="00640915" w:rsidRDefault="00640915" w:rsidP="00640915">
      <w:pPr>
        <w:pStyle w:val="ListeParagraf"/>
        <w:ind w:left="1440"/>
        <w:rPr>
          <w:i/>
        </w:rPr>
      </w:pPr>
    </w:p>
    <w:p w:rsidR="00640915" w:rsidRDefault="00640915" w:rsidP="000A5A56">
      <w:pPr>
        <w:pStyle w:val="ListeParagraf"/>
        <w:numPr>
          <w:ilvl w:val="0"/>
          <w:numId w:val="59"/>
        </w:numPr>
        <w:spacing w:after="160" w:line="259" w:lineRule="auto"/>
      </w:pPr>
      <w:r w:rsidRPr="001C1281">
        <w:t>Yönetmeliğin ekinde yer alan EK-1, EK-3, EK-4, EK-5, EK-6, EK-7 ve EK-9 ekteki şekilde değiştirilmiştir.</w:t>
      </w:r>
    </w:p>
    <w:p w:rsidR="00640915" w:rsidRDefault="00640915" w:rsidP="00640915">
      <w:pPr>
        <w:pStyle w:val="ListeParagraf"/>
        <w:ind w:left="1440"/>
      </w:pPr>
    </w:p>
    <w:p w:rsidR="00640915" w:rsidRDefault="00640915" w:rsidP="000A5A56">
      <w:pPr>
        <w:pStyle w:val="ListeParagraf"/>
        <w:numPr>
          <w:ilvl w:val="0"/>
          <w:numId w:val="59"/>
        </w:numPr>
        <w:spacing w:after="160" w:line="259" w:lineRule="auto"/>
      </w:pPr>
      <w:r>
        <w:t xml:space="preserve">26 ncı maddesi aşağıdaki şekilde yeniden düzenlenmiştir.               </w:t>
      </w:r>
    </w:p>
    <w:p w:rsidR="00640915" w:rsidRDefault="00640915" w:rsidP="00640915">
      <w:pPr>
        <w:pStyle w:val="ListeParagraf"/>
        <w:ind w:left="1440"/>
      </w:pPr>
    </w:p>
    <w:p w:rsidR="00B33EB6" w:rsidRDefault="00640915" w:rsidP="005167D9">
      <w:pPr>
        <w:pStyle w:val="ListeParagraf"/>
        <w:ind w:left="1440"/>
        <w:rPr>
          <w:i/>
        </w:rPr>
      </w:pPr>
      <w:r w:rsidRPr="001C1281">
        <w:rPr>
          <w:i/>
        </w:rPr>
        <w:t>“Madde 26- Bu Yönetmelik hükümlerini Enerji Piyasası Düzenleme Kurumu Başkanı yürütür.</w:t>
      </w:r>
    </w:p>
    <w:p w:rsidR="00867BFD" w:rsidRDefault="00867BFD" w:rsidP="005167D9">
      <w:pPr>
        <w:pStyle w:val="ListeParagraf"/>
        <w:ind w:left="1440"/>
        <w:rPr>
          <w:i/>
        </w:rPr>
      </w:pPr>
    </w:p>
    <w:p w:rsidR="005167D9" w:rsidRPr="00C67976" w:rsidRDefault="005167D9" w:rsidP="000A5A56">
      <w:pPr>
        <w:pStyle w:val="ListeParagraf"/>
        <w:numPr>
          <w:ilvl w:val="0"/>
          <w:numId w:val="58"/>
        </w:numPr>
        <w:spacing w:after="160" w:line="259" w:lineRule="auto"/>
      </w:pPr>
      <w:r>
        <w:t>14</w:t>
      </w:r>
      <w:r w:rsidRPr="00C67976">
        <w:t>.0</w:t>
      </w:r>
      <w:r>
        <w:t>5</w:t>
      </w:r>
      <w:r w:rsidRPr="00C67976">
        <w:t>.2022 tarihli ve 318</w:t>
      </w:r>
      <w:r>
        <w:t>35</w:t>
      </w:r>
      <w:r w:rsidRPr="00C67976">
        <w:t xml:space="preserve"> sayılı Resmî </w:t>
      </w:r>
      <w:r w:rsidR="00274939">
        <w:t>Gazetede</w:t>
      </w:r>
      <w:r w:rsidRPr="00C67976">
        <w:t xml:space="preserve"> yayımlanan Değişiklik Yönetmeliği ile </w:t>
      </w:r>
      <w:r w:rsidRPr="005167D9">
        <w:rPr>
          <w:b/>
        </w:rPr>
        <w:t>Doğal Gaz Piyasası Dağıtım Ve Müşteri Hizmetleri</w:t>
      </w:r>
      <w:r w:rsidRPr="00C67976">
        <w:rPr>
          <w:b/>
        </w:rPr>
        <w:t xml:space="preserve"> Yönetmeliğinin</w:t>
      </w:r>
    </w:p>
    <w:p w:rsidR="005167D9" w:rsidRPr="00C67976" w:rsidRDefault="005167D9" w:rsidP="005167D9">
      <w:pPr>
        <w:pStyle w:val="ListeParagraf"/>
      </w:pPr>
    </w:p>
    <w:p w:rsidR="005167D9" w:rsidRDefault="005167D9" w:rsidP="000A5A56">
      <w:pPr>
        <w:pStyle w:val="ListeParagraf"/>
        <w:numPr>
          <w:ilvl w:val="0"/>
          <w:numId w:val="59"/>
        </w:numPr>
        <w:spacing w:after="160" w:line="259" w:lineRule="auto"/>
      </w:pPr>
      <w:r w:rsidRPr="005167D9">
        <w:t>4 üncü maddesinin birinci fıkrasının (25), (26), (27) ve (28) numaralı bentleri aşağıdaki şekilde değiştirilmiş ve aynı fıkraya aşağıdaki bentler eklenmiştir.</w:t>
      </w:r>
    </w:p>
    <w:p w:rsidR="005167D9" w:rsidRDefault="005167D9" w:rsidP="005167D9">
      <w:pPr>
        <w:pStyle w:val="ListeParagraf"/>
        <w:ind w:left="1440"/>
      </w:pPr>
    </w:p>
    <w:p w:rsidR="005167D9" w:rsidRDefault="005167D9" w:rsidP="005167D9">
      <w:pPr>
        <w:pStyle w:val="ListeParagraf"/>
        <w:ind w:left="1440"/>
        <w:rPr>
          <w:i/>
        </w:rPr>
      </w:pPr>
      <w:r w:rsidRPr="005167D9">
        <w:rPr>
          <w:i/>
        </w:rPr>
        <w:t>“25) Otomatik hacim düzeltici (Hacim dönüştürme cihazı): Sayaçtan ölçülen doğal gazın hacmini; standart şartlar ile doğal gazın basıncı, sıcaklığı ve özelliklerine göre düzelterek gösteren ölçüm cihazını,</w:t>
      </w:r>
    </w:p>
    <w:p w:rsidR="00EC613F" w:rsidRPr="005167D9" w:rsidRDefault="00EC613F" w:rsidP="005167D9">
      <w:pPr>
        <w:pStyle w:val="ListeParagraf"/>
        <w:ind w:left="1440"/>
        <w:rPr>
          <w:i/>
        </w:rPr>
      </w:pPr>
    </w:p>
    <w:p w:rsidR="005167D9" w:rsidRDefault="005167D9" w:rsidP="005167D9">
      <w:pPr>
        <w:pStyle w:val="ListeParagraf"/>
        <w:ind w:left="1440"/>
        <w:rPr>
          <w:i/>
        </w:rPr>
      </w:pPr>
      <w:r w:rsidRPr="005167D9">
        <w:rPr>
          <w:i/>
        </w:rPr>
        <w:t>26) Ölçü Aletleri Mevzuatı: 11/1/1989 tarihli ve 3516 sayılı Ölçüler ve Ayar Kanunu ile 5/3/2020 tarihli ve 7223 sayılı Ürün Güvenliği ve Teknik Düzenlemeler Kanunu ve bu Kanunlara dayanılarak çıkarılan düzenlemeleri,</w:t>
      </w:r>
    </w:p>
    <w:p w:rsidR="00EC613F" w:rsidRPr="005167D9" w:rsidRDefault="00EC613F" w:rsidP="005167D9">
      <w:pPr>
        <w:pStyle w:val="ListeParagraf"/>
        <w:ind w:left="1440"/>
        <w:rPr>
          <w:i/>
        </w:rPr>
      </w:pPr>
    </w:p>
    <w:p w:rsidR="005167D9" w:rsidRDefault="005167D9" w:rsidP="005167D9">
      <w:pPr>
        <w:pStyle w:val="ListeParagraf"/>
        <w:ind w:left="1440"/>
        <w:rPr>
          <w:i/>
        </w:rPr>
      </w:pPr>
      <w:r w:rsidRPr="005167D9">
        <w:rPr>
          <w:i/>
        </w:rPr>
        <w:t>27) Ön ödemeli sayaç: Müşterinin bedelini daha önceden ödediği miktarda veya tutarda doğal gaz kullanımına imkân veren, Ölçü Aletleri Mevzuatına göre piyasaya arz edilen ve dağıtım şirketinin sistemine uyum sağlayan sayacı veya ön ödemeli sayaç dönüşüm kiti vasıtasıyla dönüştürülen mekanik sayacı,</w:t>
      </w:r>
    </w:p>
    <w:p w:rsidR="00EC613F" w:rsidRPr="005167D9" w:rsidRDefault="00EC613F" w:rsidP="005167D9">
      <w:pPr>
        <w:pStyle w:val="ListeParagraf"/>
        <w:ind w:left="1440"/>
        <w:rPr>
          <w:i/>
        </w:rPr>
      </w:pPr>
    </w:p>
    <w:p w:rsidR="005167D9" w:rsidRDefault="005167D9" w:rsidP="005167D9">
      <w:pPr>
        <w:pStyle w:val="ListeParagraf"/>
        <w:ind w:left="1440"/>
        <w:rPr>
          <w:i/>
        </w:rPr>
      </w:pPr>
      <w:r w:rsidRPr="005167D9">
        <w:rPr>
          <w:i/>
        </w:rPr>
        <w:t>28) Sayaç: Müşterilerin doğal gaz tüketimini ölçen Ölçü Aletleri Mevzuatına göre piyasaya arz edilmiş ve dağıtım şirketinin sistemine uyum sağlayan sayacı,”</w:t>
      </w:r>
    </w:p>
    <w:p w:rsidR="00EC613F" w:rsidRPr="005167D9" w:rsidRDefault="00EC613F" w:rsidP="005167D9">
      <w:pPr>
        <w:pStyle w:val="ListeParagraf"/>
        <w:ind w:left="1440"/>
        <w:rPr>
          <w:i/>
        </w:rPr>
      </w:pPr>
    </w:p>
    <w:p w:rsidR="005167D9" w:rsidRPr="005167D9" w:rsidRDefault="005167D9" w:rsidP="005167D9">
      <w:pPr>
        <w:pStyle w:val="ListeParagraf"/>
        <w:ind w:left="1440"/>
        <w:rPr>
          <w:i/>
        </w:rPr>
      </w:pPr>
      <w:r w:rsidRPr="005167D9">
        <w:rPr>
          <w:i/>
        </w:rPr>
        <w:t>“45) Ön proje: Doğal gaz yakıt sistemli olarak inşa edilmek üzere inşaat ruhsatı almış binalar için ilgili dağıtım şirketine ibraz edilen ve onaylanan projeyi,</w:t>
      </w:r>
    </w:p>
    <w:p w:rsidR="005167D9" w:rsidRDefault="005167D9" w:rsidP="005167D9">
      <w:pPr>
        <w:pStyle w:val="ListeParagraf"/>
        <w:ind w:left="1440"/>
        <w:rPr>
          <w:i/>
        </w:rPr>
      </w:pPr>
      <w:r w:rsidRPr="005167D9">
        <w:rPr>
          <w:i/>
        </w:rPr>
        <w:t>46) Mesafeli sözleşme: 7/11/2013 tarihli ve 6502 sayılı Tüketicinin Korunması Hakkında Kanun ve anılan Kanun uyarınca çıkarılan mevzuat kapsamında uzaktan iletişim araçlarının kullanılması suretiyle kurulan sözleşmeyi,</w:t>
      </w:r>
    </w:p>
    <w:p w:rsidR="00EC613F" w:rsidRPr="005167D9" w:rsidRDefault="00EC613F" w:rsidP="005167D9">
      <w:pPr>
        <w:pStyle w:val="ListeParagraf"/>
        <w:ind w:left="1440"/>
        <w:rPr>
          <w:i/>
        </w:rPr>
      </w:pPr>
    </w:p>
    <w:p w:rsidR="005167D9" w:rsidRDefault="005167D9" w:rsidP="005167D9">
      <w:pPr>
        <w:pStyle w:val="ListeParagraf"/>
        <w:ind w:left="1440"/>
        <w:rPr>
          <w:i/>
        </w:rPr>
      </w:pPr>
      <w:r w:rsidRPr="005167D9">
        <w:rPr>
          <w:i/>
        </w:rPr>
        <w:t>47) Ön ödemeli sayaç dönüşüm kiti: Mekanik sayacı ön ödemeli sayaca dönüştürmek amacıyla haricen monte edilen cihazı,”</w:t>
      </w:r>
    </w:p>
    <w:p w:rsidR="005167D9" w:rsidRDefault="005167D9" w:rsidP="005167D9">
      <w:pPr>
        <w:pStyle w:val="ListeParagraf"/>
        <w:ind w:left="1440"/>
        <w:rPr>
          <w:i/>
        </w:rPr>
      </w:pPr>
    </w:p>
    <w:p w:rsidR="005167D9" w:rsidRDefault="00EC613F" w:rsidP="000A5A56">
      <w:pPr>
        <w:pStyle w:val="ListeParagraf"/>
        <w:numPr>
          <w:ilvl w:val="0"/>
          <w:numId w:val="59"/>
        </w:numPr>
        <w:spacing w:after="160" w:line="259" w:lineRule="auto"/>
      </w:pPr>
      <w:r w:rsidRPr="00EC613F">
        <w:t xml:space="preserve">29 uncu maddesi </w:t>
      </w:r>
      <w:r w:rsidR="005167D9" w:rsidRPr="00C67976">
        <w:t>aşağıdaki şekilde değiştirilmiştir.</w:t>
      </w:r>
    </w:p>
    <w:p w:rsidR="005167D9" w:rsidRDefault="005167D9" w:rsidP="005167D9">
      <w:pPr>
        <w:pStyle w:val="ListeParagraf"/>
        <w:ind w:left="1440"/>
      </w:pPr>
    </w:p>
    <w:p w:rsidR="005167D9" w:rsidRDefault="00EC613F" w:rsidP="005167D9">
      <w:pPr>
        <w:pStyle w:val="ListeParagraf"/>
        <w:ind w:left="1440"/>
        <w:rPr>
          <w:i/>
        </w:rPr>
      </w:pPr>
      <w:r w:rsidRPr="00EC613F">
        <w:rPr>
          <w:i/>
        </w:rPr>
        <w:t xml:space="preserve">“Madde 29- Dağıtım şirketleri, yatırım faaliyetleri sürecinde ilgili mevzuata göre düzenlenen yıllık bilanço ve gelir tablosuyla, gerek görülen diğer ek mali tabloları, 27/5/2014 tarihli ve 29012 sayılı Resmî </w:t>
      </w:r>
      <w:r w:rsidR="00274939">
        <w:rPr>
          <w:i/>
        </w:rPr>
        <w:t>Gazetede</w:t>
      </w:r>
      <w:r w:rsidRPr="00EC613F">
        <w:rPr>
          <w:i/>
        </w:rPr>
        <w:t xml:space="preserve"> yayımlanan Enerji Piyasası Bildirim Yönetmeliği hükümleri kapsamında Kuruma sunmakla yükümlüdür.”</w:t>
      </w:r>
    </w:p>
    <w:p w:rsidR="00EC613F" w:rsidRDefault="00EC613F" w:rsidP="005167D9">
      <w:pPr>
        <w:pStyle w:val="ListeParagraf"/>
        <w:ind w:left="1440"/>
        <w:rPr>
          <w:i/>
        </w:rPr>
      </w:pPr>
    </w:p>
    <w:p w:rsidR="00EC613F" w:rsidRDefault="00EC613F" w:rsidP="000A5A56">
      <w:pPr>
        <w:pStyle w:val="ListeParagraf"/>
        <w:numPr>
          <w:ilvl w:val="0"/>
          <w:numId w:val="59"/>
        </w:numPr>
        <w:spacing w:after="160" w:line="259" w:lineRule="auto"/>
      </w:pPr>
      <w:r w:rsidRPr="00EC613F">
        <w:t xml:space="preserve">36 ncı maddesi </w:t>
      </w:r>
      <w:r w:rsidRPr="00C67976">
        <w:t>aşağıdaki şekilde değiştirilmiştir.</w:t>
      </w:r>
    </w:p>
    <w:p w:rsidR="00EC613F" w:rsidRDefault="00EC613F" w:rsidP="00EC613F">
      <w:pPr>
        <w:pStyle w:val="ListeParagraf"/>
        <w:ind w:left="1440"/>
      </w:pPr>
    </w:p>
    <w:p w:rsidR="00EC613F" w:rsidRPr="00EC613F" w:rsidRDefault="00EC613F" w:rsidP="00EC613F">
      <w:pPr>
        <w:pStyle w:val="ListeParagraf"/>
        <w:ind w:left="1440"/>
        <w:rPr>
          <w:i/>
        </w:rPr>
      </w:pPr>
      <w:r w:rsidRPr="00EC613F">
        <w:rPr>
          <w:i/>
        </w:rPr>
        <w:t>“Madde 36- Dağıtım şirketi, sorumluluk alanında bulunan tüketicileri talep etmeleri halinde, dağıtım şebekesine bağlamakla yükümlüdür. Ancak bağlantı yapma yükümlülüğü, dağıtım şirketinin tasarrufu altındaki sistemin bağlantı yapmaya imkân veren kapasitede olmasına ve bağlantının teknik ve ekonomik olarak mümkün olması yanında talep sahibinin ilgili ve diğer mevzuatta öngörülen işlemleri yapmasına bağlıdır. Dağıtım şirketinin, sorumluluk alanı dışına bağlantı yapabilmesi Kurum izni ile mümkündür.</w:t>
      </w:r>
    </w:p>
    <w:p w:rsidR="00EC613F" w:rsidRPr="00EC613F" w:rsidRDefault="00EC613F" w:rsidP="00EC613F">
      <w:pPr>
        <w:pStyle w:val="ListeParagraf"/>
        <w:ind w:left="1440"/>
        <w:rPr>
          <w:i/>
        </w:rPr>
      </w:pPr>
      <w:r w:rsidRPr="00EC613F">
        <w:rPr>
          <w:i/>
        </w:rPr>
        <w:t>Dağıtım şirketine yapılacak bağlantı talepleri; bağımsız bölüm maliki, binanın veya tesisin sahibi ya da bunların yetkili temsilcilerince yapılır. Dağıtım şirketi, bağlantı talebini en geç on beş gün içinde değerlendirir ve talebi uygun bulması durumunda bağlantının gerçekleştirilmesi için gereken işlemleri yapar, uygun bulmaması halinde ise gerekçelerini yazılı olarak talep sahibine bildirir. Diğer mevzuattan kaynaklanan belgelerin geçerli ve doğru olarak mevzuata uygun şekilde tesliminden bağlantı başvurusunda bulunan talep sahibi sorumludur. Bağlantı anlaşmasında sorumluluğun talep sahibinde olduğu belirtilir. Talebi uygun bulunan talep sahibi ile bağlantı anlaşması imzalanır veya mesafeli sözleşme yapılır.</w:t>
      </w:r>
    </w:p>
    <w:p w:rsidR="00EC613F" w:rsidRPr="00EC613F" w:rsidRDefault="00EC613F" w:rsidP="00EC613F">
      <w:pPr>
        <w:pStyle w:val="ListeParagraf"/>
        <w:ind w:left="1440"/>
        <w:rPr>
          <w:i/>
        </w:rPr>
      </w:pPr>
      <w:r w:rsidRPr="00EC613F">
        <w:rPr>
          <w:i/>
        </w:rPr>
        <w:t xml:space="preserve">Bağlantı hattı, servis hattı ve sayacın mülkiyetinin dağıtım şirketine devriyle ilgili hususlar talep sahibi ile dağıtım şirketi arasında yapılacak bağlantı anlaşmalarında yer alır. Birden fazla bağımsız bölümün bulunduğu yapılarda ilk yapılan bağlantı anlaşması sonrasında ilgili adresten gelen bağlantı talepleri için yapılacak bağlantı anlaşmalarında bağlantı bedeli ve sayacın </w:t>
      </w:r>
      <w:r w:rsidRPr="00EC613F">
        <w:rPr>
          <w:i/>
        </w:rPr>
        <w:lastRenderedPageBreak/>
        <w:t>devriyle ilgili hususlar dışında ilk bağlantı anlaşması kapsamında tesis edilen bağlantıya dair hususlar yer almayabilir. Her bağımsız bölümün bağlantı bedeli, bölüme ait bağlantı anlaşma başvurusu sırasında başvuru sahibinden, merkezi ısıtma sistemi bağlantı anlaşma başvurusu esnasında her bir bağımsız bölüm adına yapı yönetiminden tahsil edilir.</w:t>
      </w:r>
    </w:p>
    <w:p w:rsidR="00EC613F" w:rsidRPr="00EC613F" w:rsidRDefault="00EC613F" w:rsidP="00EC613F">
      <w:pPr>
        <w:pStyle w:val="ListeParagraf"/>
        <w:ind w:left="1440"/>
        <w:rPr>
          <w:i/>
        </w:rPr>
      </w:pPr>
      <w:r w:rsidRPr="00EC613F">
        <w:rPr>
          <w:i/>
        </w:rPr>
        <w:t>Bağlantı anlaşmalarının yapılması esnasında dağıtım şirketi tarafından tüm başvuru sahiplerine, iç tesisatın yapımı için anlaşacakları sertifikalı firmalar ile yapacakları sözleşmelerde işin geciktirilmesi, eksik yapılması ya da hiç yapılmaması durumlarında tarafların mağdur olmaması için özel hukuk yoluna başvurabileceklerine ilişkin, açıklayıcı bilgilendirme yapılır.</w:t>
      </w:r>
    </w:p>
    <w:p w:rsidR="00EC613F" w:rsidRPr="00EC613F" w:rsidRDefault="00EC613F" w:rsidP="00EC613F">
      <w:pPr>
        <w:pStyle w:val="ListeParagraf"/>
        <w:ind w:left="1440"/>
        <w:rPr>
          <w:i/>
        </w:rPr>
      </w:pPr>
      <w:r w:rsidRPr="00EC613F">
        <w:rPr>
          <w:i/>
        </w:rPr>
        <w:t>Abone bağlantı bedeli, bağlantı anlaşmasının yapılması sırasında bir defaya mahsus olmak üzere tahsil edilir ve servis hattının imalatına başlandıktan sonra bu bedelin iadesi yapılamaz. Servis hattının yapımına başlanmamış ise talep sahibinin başvurusu ile 5 (beş) iş günü içerisinde abone bağlantı bedeli iade edilir. Aynı adresle ilgili daha önce bağlantı bedeli alınmış ise bu bedel tekrar alınamaz. Servis hattı yapımına ilişkin, ilgili kurum ve kuruluşlara yapılacak izin başvuruları, abone bağlantı bedelinin tahsilinden itibaren en geç 5 (beş) iş günü içerisinde tamamlanır. İlgili mercilerin başvuruyu belli tarihlerde kabul ettiği durumlarda dağıtım şirketi gecikmeden sorumlu tutulmaz. Servis hattı, abone bağlantı bedelinin tahsilinden itibaren en geç 30 (otuz) gün içerisinde tamamlanır, ancak talep sahibinin kabul etmesi kaydıyla bu süre doksan güne kadar uzatılabilir. Gerekli izinlerin alınamaması sebebiyle 90 (doksan) gün içerisinde servis hattının tamamlanamayacak olması halinde, süre bitiminden itibaren 5 (beş) iş günü içerisinde abone bağlantı bedeli iade edilir. Başvuru sahibinin abone bağlantı bedelinin iade edilmesini istemediğine dair yazılı başvuru yapması halinde talep edene kadar iade yapılmaz. Bağlantı bedelinin iadesinde güvence bedelinin iadesinde uygulanan güncelleme yöntemi geçerlidir. İlgili merciler tarafından kazı izinlerinin verildiği tarihte sürenin bitimine 30 (otuz) günden daha az süre kalmış ise tüketiciye bilgi verilerek servis hattı 30 (otuz) gün içerisinde tamamlanır.</w:t>
      </w:r>
    </w:p>
    <w:p w:rsidR="00EC613F" w:rsidRPr="00EC613F" w:rsidRDefault="00EC613F" w:rsidP="00EC613F">
      <w:pPr>
        <w:pStyle w:val="ListeParagraf"/>
        <w:ind w:left="1440"/>
        <w:rPr>
          <w:i/>
        </w:rPr>
      </w:pPr>
      <w:r w:rsidRPr="00EC613F">
        <w:rPr>
          <w:i/>
        </w:rPr>
        <w:t>Abone bağlantı bedelinin taksitli olmasını talep eden müşterilere abone bağlantı bedeli kredi kartına en az 3 (üç) eşit taksit yapılır. Bu fıkra kapsamındaki ödemeler hakkında kredi kartlarına ilişkin yürürlükte olan ilgili mevzuat hükümleri uygulanır ve oluşan finansman maliyetleri tarife kapsamında dikkate alınmaz.</w:t>
      </w:r>
    </w:p>
    <w:p w:rsidR="00EC613F" w:rsidRPr="00EC613F" w:rsidRDefault="00EC613F" w:rsidP="00EC613F">
      <w:pPr>
        <w:pStyle w:val="ListeParagraf"/>
        <w:ind w:left="1440"/>
        <w:rPr>
          <w:i/>
        </w:rPr>
      </w:pPr>
      <w:r w:rsidRPr="00EC613F">
        <w:rPr>
          <w:i/>
        </w:rPr>
        <w:t>Yapı veya tesiste değişiklik yapılması sonucunda ortaya çıkabilecek maliyetler ilgili mevzuata göre mülk sahibi gerçek veya tüzel kişi tarafından karşılanır.</w:t>
      </w:r>
    </w:p>
    <w:p w:rsidR="00EC613F" w:rsidRPr="00EC613F" w:rsidRDefault="00EC613F" w:rsidP="00EC613F">
      <w:pPr>
        <w:pStyle w:val="ListeParagraf"/>
        <w:ind w:left="1440"/>
        <w:rPr>
          <w:i/>
        </w:rPr>
      </w:pPr>
      <w:r w:rsidRPr="00EC613F">
        <w:rPr>
          <w:i/>
        </w:rPr>
        <w:t>Serbest tüketicilerin bağlantı bedelinin hesaplanmasında abonelerin bağlantı bedeli hesap yönteminin kullanılması, sadece aynı binada yer almaları ve tüm bina bağlantısının tek bir bağlantı hattı veya servis hattı ile sağlanmasının zorunlu olması durumunda mümkündür.</w:t>
      </w:r>
    </w:p>
    <w:p w:rsidR="00EC613F" w:rsidRPr="00EC613F" w:rsidRDefault="00EC613F" w:rsidP="00EC613F">
      <w:pPr>
        <w:pStyle w:val="ListeParagraf"/>
        <w:ind w:left="1440"/>
        <w:rPr>
          <w:i/>
        </w:rPr>
      </w:pPr>
      <w:r w:rsidRPr="00EC613F">
        <w:rPr>
          <w:i/>
        </w:rPr>
        <w:t>Aynı yerleşkede serbest tüketiciler ve abonelerin bir arada bulunması durumunda şebekeye bağlantısı ayrı olarak yapılması zorunlu olan tüketiciler ile aynı yerleşkede bulunup yerleşke içi hatlarla tüketicilerin bina hat girişlerinin ayrıştığı durumlarda serbest tüketiciler ve abonelerin bağlantı bedelleri ilgili mevzuatta belirtilen kendi usullerince hesaplanır.</w:t>
      </w:r>
    </w:p>
    <w:p w:rsidR="00EC613F" w:rsidRPr="00EC613F" w:rsidRDefault="00EC613F" w:rsidP="00EC613F">
      <w:pPr>
        <w:pStyle w:val="ListeParagraf"/>
        <w:ind w:left="1440"/>
        <w:rPr>
          <w:i/>
        </w:rPr>
      </w:pPr>
      <w:r w:rsidRPr="00EC613F">
        <w:rPr>
          <w:i/>
        </w:rPr>
        <w:t>Bağlantı talebi reddedilen talep sahibi, dağıtım şirketinin kararının kendisine ulaştığı tarihten itibaren altmış gün içinde Kuruma yazılı olarak başvurarak bağlantının teknik ve ekonomik olarak mümkün olup olmadığının tespitini isteyebilir. Bağlantı talebine ilişkin teknik ve ekonomik değerlendirme ancak dağıtım şebekesinin ulaştığı cadde veya sokaklarda yapılabilir. Kurul, dağıtım şirketinin konu hakkındaki savunmasını aldıktan sonra, bu maddede belirtilen esasların ihlal edildiğinin tespit edilmesi halinde, dağıtım şirketi Kurulun bu konuda vereceği karara uymak zorundadır. Kurulun bağlantı talebinin teknik ve ekonomik olmadığına karar vermesi halinde talep sahibinin maliyetleri üstlenmesi kaydıyla bağlantı tesis edilir.</w:t>
      </w:r>
    </w:p>
    <w:p w:rsidR="00EC613F" w:rsidRPr="00EC613F" w:rsidRDefault="00EC613F" w:rsidP="00EC613F">
      <w:pPr>
        <w:pStyle w:val="ListeParagraf"/>
        <w:ind w:left="1440"/>
        <w:rPr>
          <w:i/>
        </w:rPr>
      </w:pPr>
      <w:r w:rsidRPr="00EC613F">
        <w:rPr>
          <w:i/>
        </w:rPr>
        <w:lastRenderedPageBreak/>
        <w:t>Serbest tüketicilerin bağlantı hattı, bedeli kendilerine ait olmak üzere, dağıtım şirketinin uygun göreceği yerden şebekeye bağlanacak şekilde, serbest tüketicinin seçimine bağlı olarak dağıtım şirketine veya sertifika sahibi kişilere aşağıdaki esaslar çerçevesinde yaptırılır:</w:t>
      </w:r>
    </w:p>
    <w:p w:rsidR="00EC613F" w:rsidRPr="00EC613F" w:rsidRDefault="00EC613F" w:rsidP="00EC613F">
      <w:pPr>
        <w:pStyle w:val="ListeParagraf"/>
        <w:ind w:left="1440"/>
        <w:rPr>
          <w:i/>
        </w:rPr>
      </w:pPr>
      <w:r w:rsidRPr="00EC613F">
        <w:rPr>
          <w:i/>
        </w:rPr>
        <w:t>a) Serbest tüketiciler tarafından dağıtım şirketine veya sertifika sahibi kişilere yaptırılan bağlantı hattının mülkiyeti dağıtım şirketine bağlantı anlaşması kapsamında bilabedel devredilir ve dağıtım şebekesi olarak kabul edilir. Serbest tüketicinin bu fıkrada düzenlenen hak ve yükümlülüklerine bağlantı anlaşmasında yer verilir.</w:t>
      </w:r>
    </w:p>
    <w:p w:rsidR="00EC613F" w:rsidRPr="00EC613F" w:rsidRDefault="00EC613F" w:rsidP="00EC613F">
      <w:pPr>
        <w:pStyle w:val="ListeParagraf"/>
        <w:ind w:left="1440"/>
        <w:rPr>
          <w:i/>
        </w:rPr>
      </w:pPr>
      <w:r w:rsidRPr="00EC613F">
        <w:rPr>
          <w:i/>
        </w:rPr>
        <w:t>b) Serbest tüketiciler, bağlantı hattı taleplerinde, gelecek tüketim öngörüleri de dahil olmak üzere tüketim ihtiyacını yazılı olarak dağıtım şirketine bildirir ve bağlantı hattı ile ilgili tüm çalışmalarda serbest tüketicilerin bildirdiği tüketim ihtiyacı esas alınır. Bağlantı hattının, sertifika sahibi firmalara yaptırılmak istenmesi durumunda dağıtım şebekesine bağlantı noktası, hat güzergâhı, boru çapı ve uzunluğu, ilgili ekipmanları ile hat imalatına yönelik diğer nitelikleri belirlemeye dağıtım şirketi yetkilidir. Dağıtım şirketleri tarafından rekabeti engelleyici davranışlarda bulunulamaz ve başvuru sırasında bağlantı hattının sertifika sahiplerine de yaptırılabileceği konusunda ilgili serbest tüketiciye gerekli bilgilendirmeler dağıtım şirketince yapılır. Serbest tüketicinin bağlantı hattını sertifika sahibine yaptırmak istemesi durumunda; sertifika sahibinin belirlediği bağlantı hattı bedeli, dağıtım şirketinin ilgili bağlantı hattı için belirlediği bedelden yüksek olamaz. Dağıtım şirketinin belirlediği bağlantı hattı bedeli, ilgili tarife yılı yatırım harcaması maliyetleriyle uyumlu olmalıdır.</w:t>
      </w:r>
    </w:p>
    <w:p w:rsidR="00EC613F" w:rsidRPr="00EC613F" w:rsidRDefault="00EC613F" w:rsidP="00EC613F">
      <w:pPr>
        <w:pStyle w:val="ListeParagraf"/>
        <w:ind w:left="1440"/>
        <w:rPr>
          <w:i/>
        </w:rPr>
      </w:pPr>
      <w:r w:rsidRPr="00EC613F">
        <w:rPr>
          <w:i/>
        </w:rPr>
        <w:t>c) Dağıtım şirketinin geleceğe yönelik bölgesel tüketim ve yatırım öngörüleri çerçevesinde serbest tüketici için belirlenen bağlantı hattı kapasitesinden daha yüksek kapasitede yatırım yapılacak olması halinde; ileride bu hatta ilave yapılacak her türlü ilk bağlantıda ya da ilave bağlantı yapılmaması halinde en geç üç yıl içerisinde, serbest tüketicinin tüketim ihtiyacının üzerinde imal edilmiş olan bağlantı hattının bedeli, yıpranma süresi dikkate alınmaksızın dağıtım şirketi tarafından ilgili serbest tüketiciye ödenir.</w:t>
      </w:r>
    </w:p>
    <w:p w:rsidR="00EC613F" w:rsidRPr="00EC613F" w:rsidRDefault="00EC613F" w:rsidP="00EC613F">
      <w:pPr>
        <w:pStyle w:val="ListeParagraf"/>
        <w:ind w:left="1440"/>
        <w:rPr>
          <w:i/>
        </w:rPr>
      </w:pPr>
      <w:r w:rsidRPr="00EC613F">
        <w:rPr>
          <w:i/>
        </w:rPr>
        <w:t>d) Bu fıkranın yürürlüğe girdiği tarihten önce imalatı yapılmış olan hatlara bağlantı yapılacak olması halinde, serbest tüketicilerin tüketim ihtiyacı üzerinde katlandıkları maliyetler, bir defaya mahsus olmak üzere dağıtım şirketi tarafından ilgili serbest tüketicilere ödenir.</w:t>
      </w:r>
    </w:p>
    <w:p w:rsidR="00EC613F" w:rsidRPr="00EC613F" w:rsidRDefault="00EC613F" w:rsidP="00EC613F">
      <w:pPr>
        <w:pStyle w:val="ListeParagraf"/>
        <w:ind w:left="1440"/>
        <w:rPr>
          <w:i/>
        </w:rPr>
      </w:pPr>
      <w:r w:rsidRPr="00EC613F">
        <w:rPr>
          <w:i/>
        </w:rPr>
        <w:t>e) Bu fıkra kapsamında ilgili serbest tüketicilere ödenecek bedeller; defter değeri üzerinden bağlantı hattının tamamlanma tarihi dikkate alınarak öncelikle varsa ödenmiş katılım payları düşüldükten sonra kalan bedel üzerinden her yıl %10 oranında yıpranma payı düşülerek hesaplanır. Bu hesaplama kapsamındaki maliyetler ve katılım payları TÜFE dikkate alınarak güncellenir. Hesaplanacak bedel en fazla bir yıl içerisinde ilgili serbest tüketiciye ödenir ve bu süre için yıpranma payı düşülmez.</w:t>
      </w:r>
    </w:p>
    <w:p w:rsidR="00EC613F" w:rsidRPr="00EC613F" w:rsidRDefault="00EC613F" w:rsidP="00EC613F">
      <w:pPr>
        <w:pStyle w:val="ListeParagraf"/>
        <w:ind w:left="1440"/>
        <w:rPr>
          <w:i/>
        </w:rPr>
      </w:pPr>
      <w:r w:rsidRPr="00EC613F">
        <w:rPr>
          <w:i/>
        </w:rPr>
        <w:t>Bağlantı ve servis hatlarının test ve kontrolü dağıtım şirketince tamamlanır ve işletmeye alınır.</w:t>
      </w:r>
    </w:p>
    <w:p w:rsidR="00EC613F" w:rsidRPr="00EC613F" w:rsidRDefault="00EC613F" w:rsidP="00EC613F">
      <w:pPr>
        <w:pStyle w:val="ListeParagraf"/>
        <w:ind w:left="1440"/>
        <w:rPr>
          <w:i/>
        </w:rPr>
      </w:pPr>
      <w:r w:rsidRPr="00EC613F">
        <w:rPr>
          <w:i/>
        </w:rPr>
        <w:t>Dağıtım şirketi, işlettiği tüm servis ve bağlantı hatlarının bakım, onarım ve iyileştirilmesinden sorumludur. Dağıtım şirketi bu kapsamdaki işlemler için bir bedel alamaz.</w:t>
      </w:r>
    </w:p>
    <w:p w:rsidR="00EC613F" w:rsidRDefault="00EC613F" w:rsidP="00EC613F">
      <w:pPr>
        <w:pStyle w:val="ListeParagraf"/>
        <w:ind w:left="1440"/>
        <w:rPr>
          <w:i/>
        </w:rPr>
      </w:pPr>
      <w:r w:rsidRPr="00EC613F">
        <w:rPr>
          <w:i/>
        </w:rPr>
        <w:t>Doğal gaz bağlantısı yapılmış bir adreste mevcut servis hattı değişmeksizin, müşterinin isteğiyle servis kutusunun sökülmesi ve/veya yeniden takılması durumunda dağıtım şirketi tarafından ilgili müşteriye servis kutusu söküm bedeli yansıtılır. Bu bedel Kurul tarafından belirlenir.”</w:t>
      </w:r>
    </w:p>
    <w:p w:rsidR="00EC613F" w:rsidRDefault="00EC613F" w:rsidP="00EC613F">
      <w:pPr>
        <w:pStyle w:val="ListeParagraf"/>
        <w:ind w:left="1440"/>
        <w:rPr>
          <w:i/>
        </w:rPr>
      </w:pPr>
    </w:p>
    <w:p w:rsidR="00EC613F" w:rsidRDefault="00EC613F" w:rsidP="000A5A56">
      <w:pPr>
        <w:pStyle w:val="ListeParagraf"/>
        <w:numPr>
          <w:ilvl w:val="0"/>
          <w:numId w:val="59"/>
        </w:numPr>
        <w:spacing w:after="160" w:line="259" w:lineRule="auto"/>
      </w:pPr>
      <w:r w:rsidRPr="00EC613F">
        <w:t>3</w:t>
      </w:r>
      <w:r>
        <w:t>7</w:t>
      </w:r>
      <w:r w:rsidRPr="00EC613F">
        <w:t xml:space="preserve"> nc</w:t>
      </w:r>
      <w:r>
        <w:t>i</w:t>
      </w:r>
      <w:r w:rsidRPr="00EC613F">
        <w:t xml:space="preserve"> maddesi </w:t>
      </w:r>
      <w:r w:rsidRPr="00C67976">
        <w:t>aşağıdaki şekilde değiştirilmiştir.</w:t>
      </w:r>
    </w:p>
    <w:p w:rsidR="00EC613F" w:rsidRDefault="00EC613F" w:rsidP="00EC613F">
      <w:pPr>
        <w:pStyle w:val="ListeParagraf"/>
        <w:ind w:left="1440"/>
      </w:pPr>
    </w:p>
    <w:p w:rsidR="00EC613F" w:rsidRPr="00EC613F" w:rsidRDefault="00EC613F" w:rsidP="00EC613F">
      <w:pPr>
        <w:pStyle w:val="ListeParagraf"/>
        <w:ind w:left="1440"/>
        <w:rPr>
          <w:i/>
        </w:rPr>
      </w:pPr>
      <w:r w:rsidRPr="00EC613F">
        <w:rPr>
          <w:i/>
        </w:rPr>
        <w:t xml:space="preserve">“Madde 37- İç tesisatların projelendirilmesi ve yapımı, bağımsız bölüm maliki, binanın veya tesisin sahibi ya da bunların yetkili temsilcileri tarafından sertifika sahiplerine yaptırılır. Sertifika </w:t>
      </w:r>
      <w:r w:rsidRPr="00EC613F">
        <w:rPr>
          <w:i/>
        </w:rPr>
        <w:lastRenderedPageBreak/>
        <w:t>sahibi firma ile başvuru sahipleri arasında yapılacak işin kapsamı ve koşullarını belirleyen bir sözleşme imzalanır. İlgili mevzuat çerçevesinde dağıtım şirketi tarafından belirlenen asgari hükümleri içeren örnek sözleşme ve sigorta poliçesi dağıtım şirketinin internet sitesinde yayımlanır. Ön proje dosyaları hariç, bu sözleşmenin bir kopyası, ilgili sigorta poliçesi ve sertifikalı firmanın tesisatın imalatını yapacağı tarih aralığı ile imalatı yapacak personel bilgisi sertifika sahibinin projenin onayı için dağıtım şirketine vereceği müracaat dosyasında veya dijital onay sisteminde yer alır. Sunulan tarih aralığı veya personel bilgisinde değişiklik olması halinde 3 (üç) iş günü içerisinde dağıtım şirketine bilgi verilir. Dağıtım şirketi veya projeyi yapan firma dışında dağıtım şirketi adına çalışan sertifika sahipleri projeyi kendilerine teslim edilen tarihi takiben aboneler için 5 (beş) iş günü içerisinde kontrol eder. Kontrol sonucu uygun projeler onaylanır, uygun olmayan projeler ise projelerin reddedilme sebepleri ilgili sertifika sahibine dijital platform kullanıldığı durumlarda aynı gün, aksi takdirde 2 (iki) gün içerisinde bildirilir. İç tesisat ve/veya dönüşüm projesinin onaya sunulmasından önce iç tesisatı yapacak olan firma sözleşme kapsamındaki tüm yükümlülüklerini içerecek şekilde Kurul tarafından belirlenen sigortalamaya ilişkin sorumluluklarını yerine getirir. Sigortanın bu maddede yer alan iç tesisatın imalat süresini ve devreye alınması işleminden başlamak üzere bir yıl boyunca yapılan iç tesisat ile ilgili çıkabilecek tüm sorunları kapsaması zorunludur. Sigorta poliçesinin gerekli şartları kapsamaması halinde dağıtım şirketi tarafından müşteri ve ilgili firma bilgilendirilir ve poliçe düzeltilene kadar iç tesisat projesi onaylanmaz. Ayrıca, dağıtım şirketince proje onayı yapılmadan sertifikalı firma tarafından iç tesisat imalatına başlanamaz ve dağıtım şirketince onaylanan projelerde yapılacak tüm değişiklikler proje tadilatı olarak değerlendirilir.</w:t>
      </w:r>
    </w:p>
    <w:p w:rsidR="00EC613F" w:rsidRPr="00EC613F" w:rsidRDefault="00EC613F" w:rsidP="00EC613F">
      <w:pPr>
        <w:pStyle w:val="ListeParagraf"/>
        <w:ind w:left="1440"/>
        <w:rPr>
          <w:i/>
        </w:rPr>
      </w:pPr>
      <w:r w:rsidRPr="00EC613F">
        <w:rPr>
          <w:i/>
        </w:rPr>
        <w:t>Sertifikalı firmanın müşteri ile imzaladığı sözleşme hükümleri içerisindeki taahhütlerinin sigorta poliçesinde belirtilen mücbir sebepler hariç olmak üzere herhangi bir nedenle sözleşme süresi içinde tamamlanamaması halinde yürütülecek işlemler ve doğal gaz iç tesisat onayı ve işletmeye alınması konusunda sertifika sahibi ile dağıtım şirketlerinin takip edeceği usul ve esaslar Kurul tarafından belirlenir.</w:t>
      </w:r>
    </w:p>
    <w:p w:rsidR="00EC613F" w:rsidRPr="00EC613F" w:rsidRDefault="00EC613F" w:rsidP="00EC613F">
      <w:pPr>
        <w:pStyle w:val="ListeParagraf"/>
        <w:ind w:left="1440"/>
        <w:rPr>
          <w:i/>
        </w:rPr>
      </w:pPr>
      <w:r w:rsidRPr="00EC613F">
        <w:rPr>
          <w:i/>
        </w:rPr>
        <w:t>Dağıtım şirketi, yaptırılan iç tesisatı ilgili mevzuat hükümlerine göre, tesisatın kontrol ve onayı için kendisine yapılan müracaat tarihinden itibaren en geç 7 (yedi) iş günü içinde kendi teknik personeline veya iç tesisatı yapan firma dışında kendi adına çalışan sertifika sahiplerine kontrol ettirir ve uygun bulması halinde onaylar. Uygun bulmaması halinde ise, tespit edilen hata ve eksiklikler giderildikten sonra, kontrol ve testlere ilişkin işlemler yeniden yapılır. İç tesisatın ilgili mevzuat ve standartlara uygun olarak yapılmasından ve test edilmesinden sertifika sahibi, kontrolünden ise dağıtım şirketi sorumludur. Dağıtım şirketi iç tesisat yapım süreçlerinde karşılaşılabilecek sorunları engelleyici uyarı ve bilgilendirmeleri yapar.</w:t>
      </w:r>
    </w:p>
    <w:p w:rsidR="00EC613F" w:rsidRPr="00EC613F" w:rsidRDefault="00EC613F" w:rsidP="00EC613F">
      <w:pPr>
        <w:pStyle w:val="ListeParagraf"/>
        <w:ind w:left="1440"/>
        <w:rPr>
          <w:i/>
        </w:rPr>
      </w:pPr>
      <w:r w:rsidRPr="00EC613F">
        <w:rPr>
          <w:i/>
        </w:rPr>
        <w:t>İç tesisata gaz verilmesi; ilk abonelik sözleşmesinin imzalanmasından sonra yakıcı cihazların tesis edilmiş olması şartıyla, dağıtım şirketi yetkilisi veya tesisatın kontrolü için yetkilendirdiği sertifikalı firma yetkilisi, iç tesisatın yapım ve/veya montajından sorumlu olan sertifikalı firma yetkilisi ve müşterinin birlikte imzaladığı tesisatın imalatını yapan usta bilgisinin de yer aldığı bir tutanakla kayıt altına alınır.</w:t>
      </w:r>
    </w:p>
    <w:p w:rsidR="00EC613F" w:rsidRPr="00EC613F" w:rsidRDefault="00EC613F" w:rsidP="00EC613F">
      <w:pPr>
        <w:pStyle w:val="ListeParagraf"/>
        <w:ind w:left="1440"/>
        <w:rPr>
          <w:i/>
        </w:rPr>
      </w:pPr>
      <w:r w:rsidRPr="00EC613F">
        <w:rPr>
          <w:i/>
        </w:rPr>
        <w:t>İç tesisata gaz verilmesi öncesinde sertifikalı firma tarafından imalatı yapılan tesisata ilişkin teknik rapor hazırlanır ve bu rapor tesisatın kontrol edilmesi esnasında müşteriye teslim edilir. Bu raporda asgari olarak tesisatın yapılmasında yetkili mühendis, tesisatı yapan usta/ustalar, kullanılan malzeme, tesisatın basınç sınıfı bilgileri yer alır. Tesisata gaz verildikten sonra yakıcı cihaz değişimi de dahil olmak üzere proje tadilatı gerektiren tüm işlemlerde devreye alma dağıtım şirketinin tüm iç tesisatı kontrolü ile tesisata uygunluk vermesinden sonra sağlanır.</w:t>
      </w:r>
    </w:p>
    <w:p w:rsidR="00EC613F" w:rsidRPr="00EC613F" w:rsidRDefault="00EC613F" w:rsidP="00EC613F">
      <w:pPr>
        <w:pStyle w:val="ListeParagraf"/>
        <w:ind w:left="1440"/>
        <w:rPr>
          <w:i/>
        </w:rPr>
      </w:pPr>
      <w:r w:rsidRPr="00EC613F">
        <w:rPr>
          <w:i/>
        </w:rPr>
        <w:lastRenderedPageBreak/>
        <w:t>Yakıcı cihaz değişikliklerinde; dağıtım şirketine daha önce sunulan proje kapsamında cihazın tipinde, yerleşiminde veya kapasitesinde değişiklik olmaması halinde dağıtım şirketleri tarafından hazırlanan yakıcı cihaz değişim formunun cihaz değişimini yapan firma tarafından doldurulması ve dağıtım şirketi yetkilisinin kontrolü şartıyla proje tadilatı olmadan değişim yapılabilir. Yakıcı cihaz devreye alma işlemi dağıtım şirketi yetkilisinin tesisat kontrolü ile sağlanır. Yakıcı cihaz değişim formunun bir nüshası müşteriye bırakılır. Dağıtım şirketi tarafından müşterinin tesisatına ilişkin bilgiler güncellenir.</w:t>
      </w:r>
    </w:p>
    <w:p w:rsidR="00EC613F" w:rsidRPr="00EC613F" w:rsidRDefault="00EC613F" w:rsidP="00EC613F">
      <w:pPr>
        <w:pStyle w:val="ListeParagraf"/>
        <w:ind w:left="1440"/>
        <w:rPr>
          <w:i/>
        </w:rPr>
      </w:pPr>
      <w:r w:rsidRPr="00EC613F">
        <w:rPr>
          <w:i/>
        </w:rPr>
        <w:t>Doğal gaz yakıt sistemli olarak projelendirilerek inşa edilecek binalarda, diğer mevzuat gereğince ilgili dağıtım şirketine onayı için ibraz edilen proje dağıtım şirketi tarafından ön proje olarak kabul edilir ve gerekli kontroller yapılarak onaylanır. Bu aşamada dağıtım şirketi, binanın inşası sürecinde doğal gaz iç tesisatının standartlara uygun yapılmasını teminen bilgilendirme yapar. Ancak, ön projenin onaylanması sonrasında tesisatın sertifikalı firma tarafından imalatına başlanmadan önce imalatı yapacak olan sertifikalı firmanın dağıtım şirketine bu maddenin birinci fıkrasında belirtilen müracaat dosyasını sunması gerekir. Sunulacak dosya içerisinde daha önce kabulü yapılmış ön projede herhangi bir değişiklik bulunmasa dahi proje onay için tekrar sunulur.</w:t>
      </w:r>
    </w:p>
    <w:p w:rsidR="00EC613F" w:rsidRPr="00EC613F" w:rsidRDefault="00EC613F" w:rsidP="00EC613F">
      <w:pPr>
        <w:pStyle w:val="ListeParagraf"/>
        <w:ind w:left="1440"/>
        <w:rPr>
          <w:i/>
        </w:rPr>
      </w:pPr>
      <w:r w:rsidRPr="00EC613F">
        <w:rPr>
          <w:i/>
        </w:rPr>
        <w:t>Herhangi bir nedenle müşteri ile sertifikalı firma arasındaki sözleşmenin iptali halinde, sözleşme iptalinden itibaren en geç 5 (beş) iş günü içerisinde sertifikalı firma dağıtım şirketine iptal edilen sözleşme, iç tesisat numarası, iptal gerekçesi hakkında bilgi verir ve herhangi bir ekipman teslim almışsa dağıtım şirketine teslim eder. Dağıtım şirketi iptal edilen sözleşme ile ilgili olarak müşteri ile iletişime geçer ve konu hakkında bilgi verir. Ayrıca, proje onay sürecinde olup başvuru tarihinden itibaren üzerinden 5 (beş) yıl geçen iç tesisat projeleri dağıtım şirketi tarafından iptal edilir ve projeyi sunan firmaya bilgi verilir.</w:t>
      </w:r>
    </w:p>
    <w:p w:rsidR="00EC613F" w:rsidRPr="00EC613F" w:rsidRDefault="00EC613F" w:rsidP="00EC613F">
      <w:pPr>
        <w:pStyle w:val="ListeParagraf"/>
        <w:ind w:left="1440"/>
        <w:rPr>
          <w:i/>
        </w:rPr>
      </w:pPr>
      <w:r w:rsidRPr="00EC613F">
        <w:rPr>
          <w:i/>
        </w:rPr>
        <w:t>Dağıtım şirketleri tüketicilerin proje sunum, onay ve gaz açım işlemlerine ait süreçleri internet sitelerinde takip edebilmesine olanak sağlayacak bir sistemi internet siteleri bünyesinde kurar. Ayrıca, dağıtım şirketleri kendi dağıtım bölgelerinde faaliyet göstermekte olan sertifikalı firmaların sunduğu proje sayısı, ilk kontrolde proje onay sayısı, ilk kontrolde proje onay yüzdesi, kontrol edilen tesisat sayısı, ilk kontrolde onay sayısı, ilk kontrolde onay yüzdesi olmak üzere 6 (altı) kalem üzerinden sertifikalı firmaların son 6 (altı) aylık performans değerlendirme tablosunu yayımlar. Konut ve endüstriyel tesisatlar için ayrı ayrı oluşturulan tabloya yeni sertifika alan firmalar azami 15 (on beş) iş günü içerisinde eklenir. Bu tablo her 6 (altı) ayda bir yenilenir.</w:t>
      </w:r>
    </w:p>
    <w:p w:rsidR="00EC613F" w:rsidRDefault="00EC613F" w:rsidP="00EC613F">
      <w:pPr>
        <w:pStyle w:val="ListeParagraf"/>
        <w:ind w:left="1440"/>
        <w:rPr>
          <w:i/>
        </w:rPr>
      </w:pPr>
      <w:r w:rsidRPr="00EC613F">
        <w:rPr>
          <w:i/>
        </w:rPr>
        <w:t>Bu madde kapsamında ilgili dağıtım şirketinin alacağı tüm bedeller Kurul tarafından belirlenir.”</w:t>
      </w:r>
    </w:p>
    <w:p w:rsidR="00EC613F" w:rsidRDefault="00EC613F" w:rsidP="00EC613F">
      <w:pPr>
        <w:pStyle w:val="ListeParagraf"/>
        <w:ind w:left="1440"/>
        <w:rPr>
          <w:i/>
        </w:rPr>
      </w:pPr>
    </w:p>
    <w:p w:rsidR="00EC613F" w:rsidRDefault="00EC613F" w:rsidP="000A5A56">
      <w:pPr>
        <w:pStyle w:val="ListeParagraf"/>
        <w:numPr>
          <w:ilvl w:val="0"/>
          <w:numId w:val="59"/>
        </w:numPr>
        <w:spacing w:after="160" w:line="259" w:lineRule="auto"/>
      </w:pPr>
      <w:r w:rsidRPr="00EC613F">
        <w:t>3</w:t>
      </w:r>
      <w:r>
        <w:t>8</w:t>
      </w:r>
      <w:r w:rsidRPr="00EC613F">
        <w:t xml:space="preserve"> </w:t>
      </w:r>
      <w:r>
        <w:t>i</w:t>
      </w:r>
      <w:r w:rsidRPr="00EC613F">
        <w:t>nc</w:t>
      </w:r>
      <w:r>
        <w:t>i</w:t>
      </w:r>
      <w:r w:rsidRPr="00EC613F">
        <w:t xml:space="preserve"> maddesi </w:t>
      </w:r>
      <w:r w:rsidRPr="00C67976">
        <w:t>aşağıdaki şekilde değiştirilmiştir.</w:t>
      </w:r>
    </w:p>
    <w:p w:rsidR="00EC613F" w:rsidRDefault="00EC613F" w:rsidP="00EC613F">
      <w:pPr>
        <w:pStyle w:val="ListeParagraf"/>
        <w:ind w:left="1440"/>
      </w:pPr>
    </w:p>
    <w:p w:rsidR="00EC613F" w:rsidRPr="00EC613F" w:rsidRDefault="00EC613F" w:rsidP="00EC613F">
      <w:pPr>
        <w:pStyle w:val="ListeParagraf"/>
        <w:ind w:left="1440"/>
        <w:rPr>
          <w:i/>
        </w:rPr>
      </w:pPr>
      <w:r w:rsidRPr="00EC613F">
        <w:rPr>
          <w:i/>
        </w:rPr>
        <w:t xml:space="preserve">“Madde 38- İlk abonelik esnasında yapılacak abonelik sözleşmesi; iç tesisat proje onayını müteakip ilgili ve diğer mevzuat kapsamında gerekli belgelerin dağıtım şirketine ibrazı ve ilgili mevzuat çerçevesinde belirlenmiş güvence bedelinin tahakkuku ve/veya tahsili ile imzalanır veya mesafeli sözleşme yapılır. Abonelik sözleşmesi, doğal gazı fiilen kullanacak olan gerçek veya tüzel kişi veya bunların yetkili temsilcileriyle yapılır. İlk abonelikte 37 nci madde çerçevesinde abonenin doğal gazı kullanıma açılır. İlk abonelikten sonra aynı adreste yapılacak tüm yeni abonelik işlemlerinde ise; doğal gazın kullanıma açılması iç tesisatın dağıtım şirketi veya kendi adına çalışan sertifikalı şirketlerce abonelik sözleşmesinin yapılmasından itibaren 5 (beş) gün içinde kontrol edilmesinden sonra yapılır. Yapılacak kontrol neticesinde, tesisatın uygun bulunmaması halinde, dağıtım şirketinin tespitleri doğrultusunda tesisata ilişkin eksiklikler ilgisine göre </w:t>
      </w:r>
      <w:r w:rsidRPr="00EC613F">
        <w:rPr>
          <w:i/>
        </w:rPr>
        <w:lastRenderedPageBreak/>
        <w:t>sertifikalı firmalar ve/veya müşteriler tarafından giderilerek tesisat mevzuata uygun hale getirilir. Bu durumda tesisatı uygun hale getiren sertifikalı firma ve/veya müşteri tarafından dağıtım şirketine yapılacak başvurudan sonra tesisat 5 (beş) iş günü içinde kontrol edilir ve doğal gaz kullanıma açılır. Tüzel kişilere ait vergi kimlik numaraları Gelir İdaresi Başkanlığından e-vergi levhası sorgulaması yoluyla, ticaret sicil bilgileri ise ilgili Ticaret Sicil Müdürlüğünden ticaret sicil sorgulaması yoluyla teyit edilir.</w:t>
      </w:r>
    </w:p>
    <w:p w:rsidR="00EC613F" w:rsidRPr="00EC613F" w:rsidRDefault="00EC613F" w:rsidP="00EC613F">
      <w:pPr>
        <w:pStyle w:val="ListeParagraf"/>
        <w:ind w:left="1440"/>
        <w:rPr>
          <w:i/>
        </w:rPr>
      </w:pPr>
      <w:r w:rsidRPr="00EC613F">
        <w:rPr>
          <w:i/>
        </w:rPr>
        <w:t>Dağıtım şirketi tarafından sözleşmesiz olarak doğal gaz kullanıldığının ve fiili olarak tüketimi gerçekleştiren kişinin somut belgeler ile tespit edildiği durumlarda, tüm mali yükümlülükler ilgili kişiye tahakkuk ettirilir. Adreste ikamet etmekte olan doğal gaz kullanıcılarının değişimi, ödeme yöntemine bağlı sayaç tipi değişimi veya vergi numarası gibi sözleşmede yer alan esas unsurlardan birinin değişimi halinde yeni sözleşme imzalanır.</w:t>
      </w:r>
    </w:p>
    <w:p w:rsidR="00EC613F" w:rsidRPr="00EC613F" w:rsidRDefault="00EC613F" w:rsidP="00EC613F">
      <w:pPr>
        <w:pStyle w:val="ListeParagraf"/>
        <w:ind w:left="1440"/>
        <w:rPr>
          <w:i/>
        </w:rPr>
      </w:pPr>
      <w:r w:rsidRPr="00EC613F">
        <w:rPr>
          <w:i/>
        </w:rPr>
        <w:t>Dağıtım şirketi tarafından, sözleşmenin yapılması esnasında, uygulanacak fiyatlandırma esasları ve sözleşme hükümleri ile güvenli gaz kullanımı, acil durumlar ve tüketicinin telefon ve e-posta bilgilerini güncel tutacağı, dağıtım şirketi sisteminde kayıtlı telefona ve/veya e-posta adresine yapılacak bildirimlerin geçerli sayılacağı hakkında bilgileri kapsayan bir doküman talep sahibine teslim edilir veya iletilir. Dağıtım şirketi müşterilerini konut, ticari, sanayi ve benzeri olmak üzere gruplandırır ve bu müşteri grupları ile mevzuat hükümlerine aykırı olmamak koşuluyla standart tip sözleşme yapar. Yapılacak tüm standart tip sözleşmelerin birer örneği dağıtım şirketinin internet sitesinde yayımlanır.</w:t>
      </w:r>
    </w:p>
    <w:p w:rsidR="00EC613F" w:rsidRPr="00EC613F" w:rsidRDefault="00EC613F" w:rsidP="00EC613F">
      <w:pPr>
        <w:pStyle w:val="ListeParagraf"/>
        <w:ind w:left="1440"/>
        <w:rPr>
          <w:i/>
        </w:rPr>
      </w:pPr>
      <w:r w:rsidRPr="00EC613F">
        <w:rPr>
          <w:i/>
        </w:rPr>
        <w:t>Abonenin vefatı halinde diğer mirasçılardan herhangi bir itiraz gelmediği takdirde, vefat eden abonenin eşi, dağıtım şirketinde mevcut bulunan güvence bedeli aktarılarak ve ilave bir güvence bedeli alınmaksızın abone yapılır.</w:t>
      </w:r>
    </w:p>
    <w:p w:rsidR="00EC613F" w:rsidRPr="00EC613F" w:rsidRDefault="00EC613F" w:rsidP="00EC613F">
      <w:pPr>
        <w:pStyle w:val="ListeParagraf"/>
        <w:ind w:left="1440"/>
        <w:rPr>
          <w:i/>
        </w:rPr>
      </w:pPr>
      <w:r w:rsidRPr="00EC613F">
        <w:rPr>
          <w:i/>
        </w:rPr>
        <w:t>Taşıma hizmeti sözleşmesi; dağıtım şirketinin tedarikçilerle, teslim hizmeti sözleşmesi ise dağıtım şirketinin serbest tüketici ve tedarikçilerle doğal gazın devir teslimi için yaptığı sözleşmelerdir. Bu sözleşmelerde ilgili mevzuat çerçevesinde taraflarca serbestçe belirlenen hükümler yer alır. Sözleşme metinleri üzerinde mutabık kalınamadığı durumlarda Kurul tarafından belirlenen sözleşme metinleri imzalanır. Serbest tüketiciler ile tedarikçiler arasında imzalanacak sözleşmelerin süreleri taraflar arasında serbestçe belirlenir.</w:t>
      </w:r>
    </w:p>
    <w:p w:rsidR="00EC613F" w:rsidRPr="00EC613F" w:rsidRDefault="00EC613F" w:rsidP="00EC613F">
      <w:pPr>
        <w:pStyle w:val="ListeParagraf"/>
        <w:ind w:left="1440"/>
        <w:rPr>
          <w:i/>
        </w:rPr>
      </w:pPr>
      <w:r w:rsidRPr="00EC613F">
        <w:rPr>
          <w:i/>
        </w:rPr>
        <w:t>Tüketiciler dağıtım şirketlerine bildirdikleri mobil, sabit ve elektronik iletişim kanallarını ve gerek görülmesi halinde vergi numarasını güncel tutar. Dağıtım şirketlerinin sistemlerinde kayıtlı mobil, sabit ve/veya elektronik iletişim kanallarına yaptığı bildirimler geçerli sayılır.</w:t>
      </w:r>
    </w:p>
    <w:p w:rsidR="00EC613F" w:rsidRDefault="00EC613F" w:rsidP="00EC613F">
      <w:pPr>
        <w:pStyle w:val="ListeParagraf"/>
        <w:ind w:left="1440"/>
        <w:rPr>
          <w:i/>
        </w:rPr>
      </w:pPr>
      <w:r w:rsidRPr="00EC613F">
        <w:rPr>
          <w:i/>
        </w:rPr>
        <w:t>Dağıtım şirketi ile tüketiciler arasında yapılacak sözleşmelerde, ilgili mevzuata aykırı hükümler yer alamaz.”</w:t>
      </w:r>
    </w:p>
    <w:p w:rsidR="00EC613F" w:rsidRDefault="00EC613F" w:rsidP="00EC613F">
      <w:pPr>
        <w:pStyle w:val="ListeParagraf"/>
        <w:ind w:left="1440"/>
        <w:rPr>
          <w:i/>
        </w:rPr>
      </w:pPr>
    </w:p>
    <w:p w:rsidR="00EC613F" w:rsidRDefault="00EC613F" w:rsidP="000A5A56">
      <w:pPr>
        <w:pStyle w:val="ListeParagraf"/>
        <w:numPr>
          <w:ilvl w:val="0"/>
          <w:numId w:val="59"/>
        </w:numPr>
        <w:spacing w:after="160" w:line="259" w:lineRule="auto"/>
      </w:pPr>
      <w:r w:rsidRPr="00EC613F">
        <w:t>3</w:t>
      </w:r>
      <w:r>
        <w:t>9</w:t>
      </w:r>
      <w:r w:rsidRPr="00EC613F">
        <w:t xml:space="preserve"> </w:t>
      </w:r>
      <w:r>
        <w:t>uncu</w:t>
      </w:r>
      <w:r w:rsidRPr="00EC613F">
        <w:t xml:space="preserve"> maddesi </w:t>
      </w:r>
      <w:r w:rsidRPr="00C67976">
        <w:t>aşağıdaki şekilde değiştirilmiştir.</w:t>
      </w:r>
    </w:p>
    <w:p w:rsidR="00EC613F" w:rsidRDefault="00EC613F" w:rsidP="00EC613F">
      <w:pPr>
        <w:pStyle w:val="ListeParagraf"/>
        <w:ind w:left="1440"/>
      </w:pPr>
    </w:p>
    <w:p w:rsidR="00EC613F" w:rsidRPr="00EC613F" w:rsidRDefault="00EC613F" w:rsidP="00EC613F">
      <w:pPr>
        <w:pStyle w:val="ListeParagraf"/>
        <w:ind w:left="1440"/>
        <w:rPr>
          <w:i/>
        </w:rPr>
      </w:pPr>
      <w:r w:rsidRPr="00EC613F">
        <w:rPr>
          <w:i/>
        </w:rPr>
        <w:t>“Madde 39- Dağıtım şirketi, alacaklarını garanti altına alabilmek amacıyla, mekanik sayaç kullanan abonelerden, abonelerin tercihlerine göre nakit veya kredi kartına, peşin ya da taksitli olarak bir defaya mahsus olmak üzere güvence bedeli tahsil edebilir. Ancak ön ödemeli sayaç kullanan abonelerden güvence bedeli alınmaz. Herhangi bir gerekçe ile abonelik esnasında güvence bedeli alınmamış ise daha sonra aynı adres için yeni sözleşme yapılana kadar bu bedel talep edilemez. Güvence bedelinin taksitli olmasını talep eden müşterilere tercihlerine göre güvence bedeli ödemesi için vade farksız en az 6 (altı) eşit taksit yapılır. Bu fıkra kapsamındaki bedellerin faturaya yansıtılması yerine kredi kartı kullanılarak ödenmesi halinde, kredi kartlarına ilişkin yürürlükte olan ilgili mevzuat hükümleri uygulanır.</w:t>
      </w:r>
    </w:p>
    <w:p w:rsidR="00EC613F" w:rsidRPr="00EC613F" w:rsidRDefault="00EC613F" w:rsidP="00EC613F">
      <w:pPr>
        <w:pStyle w:val="ListeParagraf"/>
        <w:ind w:left="1440"/>
        <w:rPr>
          <w:i/>
        </w:rPr>
      </w:pPr>
      <w:r w:rsidRPr="00EC613F">
        <w:rPr>
          <w:i/>
        </w:rPr>
        <w:lastRenderedPageBreak/>
        <w:t>Güvence bedeli, doğal gazı fiilen kullanmak üzere sözleşme yapan kişilerden veya bunların yetkili temsilcilerinden alınır.</w:t>
      </w:r>
    </w:p>
    <w:p w:rsidR="00EC613F" w:rsidRPr="00EC613F" w:rsidRDefault="00EC613F" w:rsidP="00EC613F">
      <w:pPr>
        <w:pStyle w:val="ListeParagraf"/>
        <w:ind w:left="1440"/>
        <w:rPr>
          <w:i/>
        </w:rPr>
      </w:pPr>
      <w:r w:rsidRPr="00EC613F">
        <w:rPr>
          <w:i/>
        </w:rPr>
        <w:t>Güvence bedelleri ile bunların hesaplanmasına ilişkin usul ve esaslar Kurul tarafından belirlenir.</w:t>
      </w:r>
    </w:p>
    <w:p w:rsidR="00EC613F" w:rsidRPr="00EC613F" w:rsidRDefault="00EC613F" w:rsidP="00EC613F">
      <w:pPr>
        <w:pStyle w:val="ListeParagraf"/>
        <w:ind w:left="1440"/>
        <w:rPr>
          <w:i/>
        </w:rPr>
      </w:pPr>
      <w:r w:rsidRPr="00EC613F">
        <w:rPr>
          <w:i/>
        </w:rPr>
        <w:t>Abonelik sözleşmesi sona eren abonenin dağıtım şirketinde bulunan güvence bedeli, tüm borçların ödenmiş olması ve nakit olarak alınan güvence bedellerinin ise ilgili mevzuat çerçevesinde güncelleştirilmesi kaydıyla, abonelik sözleşmesinin sona ermesine ilişkin talep tarihinden itibaren en geç on beş gün içerisinde aboneye veya onun yetkili temsilcisine iade edilir.</w:t>
      </w:r>
    </w:p>
    <w:p w:rsidR="00EC613F" w:rsidRDefault="00EC613F" w:rsidP="00EC613F">
      <w:pPr>
        <w:pStyle w:val="ListeParagraf"/>
        <w:ind w:left="1440"/>
        <w:rPr>
          <w:i/>
        </w:rPr>
      </w:pPr>
      <w:r w:rsidRPr="00EC613F">
        <w:rPr>
          <w:i/>
        </w:rPr>
        <w:t>Serbest tüketiciler güvence bedeli olarak nakit yerine banka kesin teminat mektubu da verebilir. Serbest tüketicilerden güvence bedeli alınıp alınmayacağı ve koşulları imzalanacak sözleşmeler kapsamında ilgili mevzuata aykırı olmamak kaydıyla serbestçe belirlenir.”</w:t>
      </w:r>
    </w:p>
    <w:p w:rsidR="00EC613F" w:rsidRDefault="00EC613F" w:rsidP="00EC613F">
      <w:pPr>
        <w:pStyle w:val="ListeParagraf"/>
        <w:ind w:left="1440"/>
        <w:rPr>
          <w:i/>
        </w:rPr>
      </w:pPr>
    </w:p>
    <w:p w:rsidR="00EC613F" w:rsidRDefault="00EC613F" w:rsidP="000A5A56">
      <w:pPr>
        <w:pStyle w:val="ListeParagraf"/>
        <w:numPr>
          <w:ilvl w:val="0"/>
          <w:numId w:val="59"/>
        </w:numPr>
        <w:spacing w:after="160" w:line="259" w:lineRule="auto"/>
      </w:pPr>
      <w:r>
        <w:t>40</w:t>
      </w:r>
      <w:r w:rsidRPr="00EC613F">
        <w:t xml:space="preserve"> </w:t>
      </w:r>
      <w:r>
        <w:t>ıncı</w:t>
      </w:r>
      <w:r w:rsidRPr="00EC613F">
        <w:t xml:space="preserve"> maddesi</w:t>
      </w:r>
      <w:r>
        <w:t xml:space="preserve">nin </w:t>
      </w:r>
      <w:r w:rsidRPr="00EC613F">
        <w:t xml:space="preserve">birinci ve ikinci fıkraları </w:t>
      </w:r>
      <w:r w:rsidRPr="00C67976">
        <w:t>aşağıdaki şekilde değiştirilmiştir.</w:t>
      </w:r>
    </w:p>
    <w:p w:rsidR="00EC613F" w:rsidRDefault="00EC613F" w:rsidP="00EC613F">
      <w:pPr>
        <w:pStyle w:val="ListeParagraf"/>
        <w:ind w:left="1440"/>
      </w:pPr>
    </w:p>
    <w:p w:rsidR="00EC613F" w:rsidRPr="00EC613F" w:rsidRDefault="00EC613F" w:rsidP="00EC613F">
      <w:pPr>
        <w:pStyle w:val="ListeParagraf"/>
        <w:ind w:left="1440"/>
        <w:rPr>
          <w:i/>
        </w:rPr>
      </w:pPr>
      <w:r w:rsidRPr="00EC613F">
        <w:rPr>
          <w:i/>
        </w:rPr>
        <w:t>“Sayaçlar, dağıtım şirketinin mülkiyetinde olup abone bağlantı bedeli dışında hiçbir bedel alınmadan dağıtım şirketince temin edilerek sisteme dahil edilir. Sayaçların muayenesi ile tamir ve ayar işlemleri Ölçü Aletleri Mevzuatı kapsamında yapılır.</w:t>
      </w:r>
    </w:p>
    <w:p w:rsidR="00EC613F" w:rsidRDefault="00EC613F" w:rsidP="00EC613F">
      <w:pPr>
        <w:pStyle w:val="ListeParagraf"/>
        <w:ind w:left="1440"/>
        <w:rPr>
          <w:i/>
        </w:rPr>
      </w:pPr>
      <w:r w:rsidRPr="00EC613F">
        <w:rPr>
          <w:i/>
        </w:rPr>
        <w:t>Sayaçların takılması, sökülmesi, değiştirilmesi, kontrolü ve benzeri her türlü işlem dağıtım şirketi tarafından yapılır veya yaptırılır. Sayaçlar hiçbir koşulda tüketicilere teslim edilmez. Bununla birlikte sayacın sertifikalı firmalar tarafından tesis edileceği durumlarda, sayaçlar müşteri sözleşmesinin imzalanması sonrasında sertifikalı firmalar tarafından dağıtım şirketinden tutanakla teslim alınır. Abone sayaçlarında meydana gelen ve gaz arzının sürdürülmesini engelleyen tüm arıza ve sorunlar dağıtım şirketine arıza bildirimi yapıldıktan sonra 24 (yirmi dört) saati geçmeyecek şekilde en kısa sürede giderilir. Müşteri, sayaca hiçbir şekilde müdahale etmemekle ve sayacı dağıtım şirketinin erişimini engellemeyecek şekilde korumakla yükümlüdür. Sayaçlara dışarıdan yapılan müdahale sonucu oluşacak zarar ve ziyan müşteri tarafından karşılanır. Bu durumda dağıtım şirketi tarafından hazırlanacak müdahale/hasar raporu ve yerinde tutulacak tutanak esas alınır.”</w:t>
      </w:r>
    </w:p>
    <w:p w:rsidR="00EC613F" w:rsidRDefault="00EC613F" w:rsidP="00EC613F">
      <w:pPr>
        <w:pStyle w:val="ListeParagraf"/>
        <w:ind w:left="1440"/>
        <w:rPr>
          <w:i/>
        </w:rPr>
      </w:pPr>
    </w:p>
    <w:p w:rsidR="00EC613F" w:rsidRDefault="00EC613F" w:rsidP="000A5A56">
      <w:pPr>
        <w:pStyle w:val="ListeParagraf"/>
        <w:numPr>
          <w:ilvl w:val="0"/>
          <w:numId w:val="59"/>
        </w:numPr>
        <w:spacing w:after="160" w:line="259" w:lineRule="auto"/>
      </w:pPr>
      <w:r w:rsidRPr="00EC613F">
        <w:t>41 inci maddesine aşağıdaki fıkralar eklenmiştir.</w:t>
      </w:r>
    </w:p>
    <w:p w:rsidR="00EC613F" w:rsidRDefault="00EC613F" w:rsidP="00EC613F">
      <w:pPr>
        <w:pStyle w:val="ListeParagraf"/>
        <w:ind w:left="1440"/>
      </w:pPr>
    </w:p>
    <w:p w:rsidR="00EC613F" w:rsidRPr="00EC613F" w:rsidRDefault="00EC613F" w:rsidP="00EC613F">
      <w:pPr>
        <w:pStyle w:val="ListeParagraf"/>
        <w:ind w:left="1440"/>
        <w:rPr>
          <w:i/>
        </w:rPr>
      </w:pPr>
      <w:r w:rsidRPr="00EC613F">
        <w:rPr>
          <w:i/>
        </w:rPr>
        <w:t>“Müşteri tüketimlerinin saatlik takibinin yapılabildiği, bir veya birden çok cihazın tek bir sayaç ile ölçümü yapılan tesislerde, sayaçların ölçüm kapasiteleri altında çekiş yapıldığının tespiti ve tüketicilere bildirilmesi halinde, sayaçların asgari ölçüm kapasiteleri dikkate alınarak ölçüm miktarlarında düzeltme yapılır. Düzeltme sonucu ortaya çıkan bedel müşteri tarafından ödenir. Bu durumlarda tüketiciye ölçüm sistemi hakkında dağıtım şirketi tarafından bilgilendirme yapılır. Tüketicinin tercihine bağlı olarak ve maliyetinin tüketici tarafından karşılanması kaydıyla ölçüm kapasitesi veya hassasiyeti uygun sayaç tesis edilir.</w:t>
      </w:r>
    </w:p>
    <w:p w:rsidR="00EC613F" w:rsidRDefault="00EC613F" w:rsidP="00EC613F">
      <w:pPr>
        <w:pStyle w:val="ListeParagraf"/>
        <w:ind w:left="1440"/>
        <w:rPr>
          <w:i/>
        </w:rPr>
      </w:pPr>
      <w:r w:rsidRPr="00EC613F">
        <w:rPr>
          <w:i/>
        </w:rPr>
        <w:t>Faturalandırmaya esas olarak kullanılan veriler isteyen tüketicilerin erişebileceği ve asgari olarak geriye dönük son 5 (beş) yılı kapsayacak şekilde dağıtım şirketlerinin internet sitesinde yayımlanır.”</w:t>
      </w:r>
    </w:p>
    <w:p w:rsidR="00EC613F" w:rsidRDefault="00EC613F" w:rsidP="00EC613F">
      <w:pPr>
        <w:pStyle w:val="ListeParagraf"/>
        <w:ind w:left="1440"/>
        <w:rPr>
          <w:i/>
        </w:rPr>
      </w:pPr>
    </w:p>
    <w:p w:rsidR="00EC613F" w:rsidRDefault="00EC613F" w:rsidP="000A5A56">
      <w:pPr>
        <w:pStyle w:val="ListeParagraf"/>
        <w:numPr>
          <w:ilvl w:val="0"/>
          <w:numId w:val="59"/>
        </w:numPr>
        <w:spacing w:after="160" w:line="259" w:lineRule="auto"/>
      </w:pPr>
      <w:r w:rsidRPr="00EC613F">
        <w:t>42 nci maddesinin birinci fıkrasının (a), (b) ve (c) bentleri aşağıdaki şekilde değiştirilmiştir.</w:t>
      </w:r>
    </w:p>
    <w:p w:rsidR="00EC613F" w:rsidRDefault="00EC613F" w:rsidP="00EC613F">
      <w:pPr>
        <w:pStyle w:val="ListeParagraf"/>
        <w:ind w:left="1440"/>
      </w:pPr>
    </w:p>
    <w:p w:rsidR="00EC613F" w:rsidRPr="00EC613F" w:rsidRDefault="00EC613F" w:rsidP="00EC613F">
      <w:pPr>
        <w:pStyle w:val="ListeParagraf"/>
        <w:ind w:left="1440"/>
        <w:rPr>
          <w:i/>
        </w:rPr>
      </w:pPr>
      <w:r w:rsidRPr="00EC613F">
        <w:rPr>
          <w:i/>
        </w:rPr>
        <w:t xml:space="preserve">“a) Serbest tüketicilerin kullanmakta oldukları ölçüm ekipmanlarının herhangi bir nedenle devre dışı kalması veya arızalanması halinde, bu ekipmanların devre dışı kaldığı süredeki tüketim </w:t>
      </w:r>
      <w:r w:rsidRPr="00EC613F">
        <w:rPr>
          <w:i/>
        </w:rPr>
        <w:lastRenderedPageBreak/>
        <w:t>miktarlarının hesaplanmasında öncelikle taraflar arasında imzalanmış olan sözleşme hükümleri çerçevesinde işlem yürütülür. Ancak sözleşmede belirlenmiş bir yöntem bulunmaması halinde üretim kapasitesindeki değişimler de dikkate alınarak sırasıyla;</w:t>
      </w:r>
    </w:p>
    <w:p w:rsidR="00EC613F" w:rsidRPr="00EC613F" w:rsidRDefault="00EC613F" w:rsidP="00EC613F">
      <w:pPr>
        <w:pStyle w:val="ListeParagraf"/>
        <w:ind w:left="1440"/>
        <w:rPr>
          <w:i/>
        </w:rPr>
      </w:pPr>
      <w:r w:rsidRPr="00EC613F">
        <w:rPr>
          <w:i/>
        </w:rPr>
        <w:t>1- Teçhiz edilmiş ise kontrol amaçlı ölçüm ekipmanları,</w:t>
      </w:r>
    </w:p>
    <w:p w:rsidR="00EC613F" w:rsidRPr="00EC613F" w:rsidRDefault="00EC613F" w:rsidP="00EC613F">
      <w:pPr>
        <w:pStyle w:val="ListeParagraf"/>
        <w:ind w:left="1440"/>
        <w:rPr>
          <w:i/>
        </w:rPr>
      </w:pPr>
      <w:r w:rsidRPr="00EC613F">
        <w:rPr>
          <w:i/>
        </w:rPr>
        <w:t>2- Sayacın akredite kuruluşlarca test ve kontrolü sonucunda belirlenen ölçüm toleransı dışındaki sapma yüzdesi,</w:t>
      </w:r>
    </w:p>
    <w:p w:rsidR="00EC613F" w:rsidRPr="00EC613F" w:rsidRDefault="00EC613F" w:rsidP="00EC613F">
      <w:pPr>
        <w:pStyle w:val="ListeParagraf"/>
        <w:ind w:left="1440"/>
        <w:rPr>
          <w:i/>
        </w:rPr>
      </w:pPr>
      <w:r w:rsidRPr="00EC613F">
        <w:rPr>
          <w:i/>
        </w:rPr>
        <w:t>3- Gaz mühendisliği teknolojisi doğrultusunda manuel olarak yapılabilecek hesaplamalar,</w:t>
      </w:r>
    </w:p>
    <w:p w:rsidR="00EC613F" w:rsidRPr="00EC613F" w:rsidRDefault="00EC613F" w:rsidP="00EC613F">
      <w:pPr>
        <w:pStyle w:val="ListeParagraf"/>
        <w:ind w:left="1440"/>
        <w:rPr>
          <w:i/>
        </w:rPr>
      </w:pPr>
      <w:r w:rsidRPr="00EC613F">
        <w:rPr>
          <w:i/>
        </w:rPr>
        <w:t>4- Geçmiş dönem benzer şartlardaki doğal gaz kullanım miktarlarının ortalaması,</w:t>
      </w:r>
    </w:p>
    <w:p w:rsidR="00EC613F" w:rsidRPr="00EC613F" w:rsidRDefault="00EC613F" w:rsidP="00EC613F">
      <w:pPr>
        <w:pStyle w:val="ListeParagraf"/>
        <w:ind w:left="1440"/>
        <w:rPr>
          <w:i/>
        </w:rPr>
      </w:pPr>
      <w:r w:rsidRPr="00EC613F">
        <w:rPr>
          <w:i/>
        </w:rPr>
        <w:t>5- Tespit edilebilmesi durumunda arıza öncesi ve arıza sonrası benzer şartlardaki en yakın döneme ait tüketim ortalamaları,</w:t>
      </w:r>
    </w:p>
    <w:p w:rsidR="00EC613F" w:rsidRPr="00EC613F" w:rsidRDefault="00EC613F" w:rsidP="00EC613F">
      <w:pPr>
        <w:pStyle w:val="ListeParagraf"/>
        <w:ind w:left="1440"/>
        <w:rPr>
          <w:i/>
        </w:rPr>
      </w:pPr>
      <w:r w:rsidRPr="00EC613F">
        <w:rPr>
          <w:i/>
        </w:rPr>
        <w:t>ile işlem yapılır. Doğal gazı sadece ısınma amaçlı kullanan serbest tüketicilere ise (b) bendi hükümleri uyarınca işlem yapılır.</w:t>
      </w:r>
    </w:p>
    <w:p w:rsidR="00EC613F" w:rsidRPr="00EC613F" w:rsidRDefault="00EC613F" w:rsidP="00EC613F">
      <w:pPr>
        <w:pStyle w:val="ListeParagraf"/>
        <w:ind w:left="1440"/>
        <w:rPr>
          <w:i/>
        </w:rPr>
      </w:pPr>
      <w:r w:rsidRPr="00EC613F">
        <w:rPr>
          <w:i/>
        </w:rPr>
        <w:t>b) Aboneler için ise; son iki yılın aynı aylarına, aylık değer tespit edilememesi halinde çeyrek dönemlerine rastlayan doğal gaz kullanım miktarlarının ortalaması esas alınır. Bu ortalama, benzer tüketim eğilimine sahip diğer müşteriler emsal alınmak suretiyle hesaplanan aynı dönemdeki tüketimlerin ortalaması ile kıyaslanır. Müşterinin tüketim ortalamasının; emsal alınan müşterilerin ortalamasından fazla olması halinde, emsal alınan müşterilerin tüketim ortalaması, az olması halinde ise, müşterinin kendi tüketim ortalaması esas alınarak sayacın ölçüm yapmadığı veya yanlış ölçüm yaptığı dönem tüketimleri hesaplanır ve tahakkuk ettirilir. Müşteriye ilişkin geçmiş yıla ait veri olmaması durumunda, hesaplamalar, benzer tüketim eğilimine sahip diğer müşterilere ilişkin veriler dikkate alınarak yapılır.</w:t>
      </w:r>
    </w:p>
    <w:p w:rsidR="00EC613F" w:rsidRDefault="00EC613F" w:rsidP="00EC613F">
      <w:pPr>
        <w:pStyle w:val="ListeParagraf"/>
        <w:ind w:left="1440"/>
        <w:rPr>
          <w:i/>
        </w:rPr>
      </w:pPr>
      <w:r w:rsidRPr="00EC613F">
        <w:rPr>
          <w:i/>
        </w:rPr>
        <w:t>c) Sayacın ölçüm yapamadığı veya yanlış ölçüm yaptığı süre; iç tesisatın işletmeye alınması, iç tesisatın kontrol edilmesi, sayaç muayenesi, sayaç açma-kapama, sayaç değiştirme, sayaç sökme-takma ve abonelik sözleşmesi imzalanması işlemlerinden en son yapılan işlem tarihi ile sayacın ölçüm yapmadığı veya yanlış ölçüm yaptığının tespit edildiği tarih arasındaki süre veya bu süreler bir yıldan uzun ise son bir yıllık süredir. Faturaya itiraz durumunda, tüketicinin itiraza konu dönemdeki elektrik ve su faturaları dikkate alınarak düzeltme yapılabilir.”</w:t>
      </w:r>
    </w:p>
    <w:p w:rsidR="00EC613F" w:rsidRDefault="00EC613F" w:rsidP="00EC613F">
      <w:pPr>
        <w:pStyle w:val="ListeParagraf"/>
        <w:ind w:left="1440"/>
        <w:rPr>
          <w:i/>
        </w:rPr>
      </w:pPr>
    </w:p>
    <w:p w:rsidR="00EC613F" w:rsidRDefault="00EC613F" w:rsidP="000A5A56">
      <w:pPr>
        <w:pStyle w:val="ListeParagraf"/>
        <w:numPr>
          <w:ilvl w:val="0"/>
          <w:numId w:val="59"/>
        </w:numPr>
        <w:spacing w:after="160" w:line="259" w:lineRule="auto"/>
      </w:pPr>
      <w:r w:rsidRPr="00EC613F">
        <w:t>43 üncü maddesinin birinci ve dördüncü fıkraları aşağıdaki şekilde değiştirilmiştir.</w:t>
      </w:r>
    </w:p>
    <w:p w:rsidR="00EC613F" w:rsidRDefault="00EC613F" w:rsidP="00EC613F">
      <w:pPr>
        <w:pStyle w:val="ListeParagraf"/>
        <w:ind w:left="1440"/>
      </w:pPr>
    </w:p>
    <w:p w:rsidR="00EC613F" w:rsidRPr="00EC613F" w:rsidRDefault="00EC613F" w:rsidP="00EC613F">
      <w:pPr>
        <w:pStyle w:val="ListeParagraf"/>
        <w:ind w:left="1440"/>
        <w:rPr>
          <w:i/>
        </w:rPr>
      </w:pPr>
      <w:r w:rsidRPr="00EC613F">
        <w:rPr>
          <w:i/>
        </w:rPr>
        <w:t>“Dağıtım şirketi, sayaçların sağlıklı işleyişini bir yılı geçmemek kaydıyla düzenli olarak kontrol eder. Sayacın 3516 sayılı Kanun hükümleri doğrultusunda dağıtım şirketi tarafından, her türlü ayar ve bakımı için periyodik olarak muayene ettirilmesi esastır. Ölçü Aletleri Mevzuatı hükümleri doğrultusunda; sayaçların muayenesinin, gerektiğinde ise tamir ve ayarının yaptırılması ve izin verilen hata sınırları içinde çalışmasının sağlanması dağıtım şirketinin sorumluluğundadır.”</w:t>
      </w:r>
    </w:p>
    <w:p w:rsidR="00EC613F" w:rsidRDefault="00EC613F" w:rsidP="00EC613F">
      <w:pPr>
        <w:pStyle w:val="ListeParagraf"/>
        <w:ind w:left="1440"/>
        <w:rPr>
          <w:i/>
        </w:rPr>
      </w:pPr>
      <w:r w:rsidRPr="00EC613F">
        <w:rPr>
          <w:i/>
        </w:rPr>
        <w:t>“Müşterinin adresinde bulunmadığı durumlarda sayaçla ilgili olarak, dağıtım şirketi tarafından herhangi bir işlem yapılmış ise müşteri adresine bildirim bırakılır ve müşterinin sistemde kayıtlı telefonuna kısa mesaj ile bilgi verilir. Müşteri, gerekiyorsa bildirim ile birlikte dağıtım şirketine müracaat eder.”</w:t>
      </w:r>
    </w:p>
    <w:p w:rsidR="00EC613F" w:rsidRDefault="00EC613F" w:rsidP="00EC613F">
      <w:pPr>
        <w:pStyle w:val="ListeParagraf"/>
        <w:ind w:left="1440"/>
        <w:rPr>
          <w:i/>
        </w:rPr>
      </w:pPr>
    </w:p>
    <w:p w:rsidR="00EC613F" w:rsidRDefault="00EC613F" w:rsidP="000A5A56">
      <w:pPr>
        <w:pStyle w:val="ListeParagraf"/>
        <w:numPr>
          <w:ilvl w:val="0"/>
          <w:numId w:val="59"/>
        </w:numPr>
        <w:spacing w:after="160" w:line="259" w:lineRule="auto"/>
      </w:pPr>
      <w:r w:rsidRPr="00EC613F">
        <w:t>44 üncü maddesi aşağıdaki şekilde değiştirilmiştir.</w:t>
      </w:r>
    </w:p>
    <w:p w:rsidR="00EC613F" w:rsidRDefault="00EC613F" w:rsidP="00EC613F">
      <w:pPr>
        <w:pStyle w:val="ListeParagraf"/>
        <w:ind w:left="1440"/>
      </w:pPr>
    </w:p>
    <w:p w:rsidR="00EC613F" w:rsidRPr="00EC613F" w:rsidRDefault="00EC613F" w:rsidP="00EC613F">
      <w:pPr>
        <w:pStyle w:val="ListeParagraf"/>
        <w:ind w:left="1440"/>
        <w:rPr>
          <w:i/>
        </w:rPr>
      </w:pPr>
      <w:r w:rsidRPr="00EC613F">
        <w:rPr>
          <w:i/>
        </w:rPr>
        <w:t>“Madde 44- Dağıtım şirketince;</w:t>
      </w:r>
    </w:p>
    <w:p w:rsidR="00EC613F" w:rsidRPr="00EC613F" w:rsidRDefault="00EC613F" w:rsidP="00EC613F">
      <w:pPr>
        <w:pStyle w:val="ListeParagraf"/>
        <w:ind w:left="1440"/>
        <w:rPr>
          <w:i/>
        </w:rPr>
      </w:pPr>
      <w:r w:rsidRPr="00EC613F">
        <w:rPr>
          <w:i/>
        </w:rPr>
        <w:t>a) Müşterinin belli bir süre için doğal gazı kullanmak istememesi halinde o döneme kadar tükettiği doğal gazın bedelini ödemesi şartıyla üç gün içinde,</w:t>
      </w:r>
    </w:p>
    <w:p w:rsidR="00EC613F" w:rsidRPr="00EC613F" w:rsidRDefault="00EC613F" w:rsidP="00EC613F">
      <w:pPr>
        <w:pStyle w:val="ListeParagraf"/>
        <w:ind w:left="1440"/>
        <w:rPr>
          <w:i/>
        </w:rPr>
      </w:pPr>
      <w:r w:rsidRPr="00EC613F">
        <w:rPr>
          <w:i/>
        </w:rPr>
        <w:lastRenderedPageBreak/>
        <w:t>b) Müşterinin; faturasının son ödeme tarihinden itibaren on beş gün içerisinde ödenmemesi halinde fatura borcundan dolayı doğal gaz kesintisi yapılacağının en az 3 (üç) iş günü önceden kısa mesaj, telefon, e-posta, adrese ihbarname, fatura altında bildirim ve benzeri yöntemlerden en az ikisi yoluyla haber verilmesi kaydıyla,</w:t>
      </w:r>
    </w:p>
    <w:p w:rsidR="00EC613F" w:rsidRPr="00EC613F" w:rsidRDefault="00EC613F" w:rsidP="00EC613F">
      <w:pPr>
        <w:pStyle w:val="ListeParagraf"/>
        <w:ind w:left="1440"/>
        <w:rPr>
          <w:i/>
        </w:rPr>
      </w:pPr>
      <w:r w:rsidRPr="00EC613F">
        <w:rPr>
          <w:i/>
        </w:rPr>
        <w:t>c) Mahkeme veya Kurul Kararına istinaden ya da kaçak veya usulsüz doğal gaz kullanıldığının tespiti halinde,</w:t>
      </w:r>
    </w:p>
    <w:p w:rsidR="00EC613F" w:rsidRPr="00EC613F" w:rsidRDefault="00EC613F" w:rsidP="00EC613F">
      <w:pPr>
        <w:pStyle w:val="ListeParagraf"/>
        <w:ind w:left="1440"/>
        <w:rPr>
          <w:i/>
        </w:rPr>
      </w:pPr>
      <w:r w:rsidRPr="00EC613F">
        <w:rPr>
          <w:i/>
        </w:rPr>
        <w:t>d) Müşteriden kaynaklanan nedenlerle sayacın en az iki fatura dönemi okunamamasından dolayı dağıtım şirketince bırakılan bildirime üç iş günü içinde cevap verilmemesi halinde,</w:t>
      </w:r>
    </w:p>
    <w:p w:rsidR="00EC613F" w:rsidRPr="00EC613F" w:rsidRDefault="00EC613F" w:rsidP="00EC613F">
      <w:pPr>
        <w:pStyle w:val="ListeParagraf"/>
        <w:ind w:left="1440"/>
        <w:rPr>
          <w:i/>
        </w:rPr>
      </w:pPr>
      <w:r w:rsidRPr="00EC613F">
        <w:rPr>
          <w:i/>
        </w:rPr>
        <w:t>e) 63 üncü maddedeki hallerde,</w:t>
      </w:r>
    </w:p>
    <w:p w:rsidR="00EC613F" w:rsidRPr="00EC613F" w:rsidRDefault="00EC613F" w:rsidP="00EC613F">
      <w:pPr>
        <w:pStyle w:val="ListeParagraf"/>
        <w:ind w:left="1440"/>
        <w:rPr>
          <w:i/>
        </w:rPr>
      </w:pPr>
      <w:r w:rsidRPr="00EC613F">
        <w:rPr>
          <w:i/>
        </w:rPr>
        <w:t>f) Bina kolon tesisatında tadilat gerekmesi durumunda,</w:t>
      </w:r>
    </w:p>
    <w:p w:rsidR="00EC613F" w:rsidRPr="00EC613F" w:rsidRDefault="00EC613F" w:rsidP="00EC613F">
      <w:pPr>
        <w:pStyle w:val="ListeParagraf"/>
        <w:ind w:left="1440"/>
        <w:rPr>
          <w:i/>
        </w:rPr>
      </w:pPr>
      <w:r w:rsidRPr="00EC613F">
        <w:rPr>
          <w:i/>
        </w:rPr>
        <w:t>g) Üst üste üç faturalandırma döneminde tüketiciden kaynaklanan nedenlerle ulaşılamayan sayaçlar için dağıtım şirketince aboneye yapılan bildirim neticesinde durumun belgelendirilmesi şartıyla, üç gün içinde sayacın ulaşılabilir duruma getirilmemesi durumunda,</w:t>
      </w:r>
    </w:p>
    <w:p w:rsidR="00EC613F" w:rsidRPr="00EC613F" w:rsidRDefault="00EC613F" w:rsidP="00EC613F">
      <w:pPr>
        <w:pStyle w:val="ListeParagraf"/>
        <w:ind w:left="1440"/>
        <w:rPr>
          <w:i/>
        </w:rPr>
      </w:pPr>
      <w:r w:rsidRPr="00EC613F">
        <w:rPr>
          <w:i/>
        </w:rPr>
        <w:t>h) Periyodik kontrollerde müşteriden kaynaklanan nedenlerden dolayı üç defa arka arkaya iç tesisatın kontrolünün yapılamaması durumunda,</w:t>
      </w:r>
    </w:p>
    <w:p w:rsidR="00EC613F" w:rsidRPr="00EC613F" w:rsidRDefault="00EC613F" w:rsidP="00EC613F">
      <w:pPr>
        <w:pStyle w:val="ListeParagraf"/>
        <w:ind w:left="1440"/>
        <w:rPr>
          <w:i/>
        </w:rPr>
      </w:pPr>
      <w:r w:rsidRPr="00EC613F">
        <w:rPr>
          <w:i/>
        </w:rPr>
        <w:t>ı) Yıllık sayaç kontrollerinde veya dağıtım şirketi tarafından gerçekleştirilen saha kontrollerinde müşteriden kaynaklanan nedenlerden dolayı bildirim bırakılması şartıyla üç defa arka arkaya sayacın kontrolünün yapılamaması durumunda,</w:t>
      </w:r>
    </w:p>
    <w:p w:rsidR="00EC613F" w:rsidRPr="00EC613F" w:rsidRDefault="00EC613F" w:rsidP="00EC613F">
      <w:pPr>
        <w:pStyle w:val="ListeParagraf"/>
        <w:ind w:left="1440"/>
        <w:rPr>
          <w:i/>
        </w:rPr>
      </w:pPr>
      <w:r w:rsidRPr="00EC613F">
        <w:rPr>
          <w:i/>
        </w:rPr>
        <w:t>i) Güvence bedelinin taksitlendirilmesi halinde, taksitlerden herhangi birinin son ödeme tarihinden itibaren on beş gün içerisinde ödenmemesi durumunda, doğal gaz kesintisi yapılacağının en az 3 (üç) iş günü önceden kısa mesaj, telefon, e-posta, ihbarname, fatura altında bildirim ve benzeri yöntemlerden en az ikisi yoluyla haber verilmesi suretiyle,</w:t>
      </w:r>
    </w:p>
    <w:p w:rsidR="00EC613F" w:rsidRPr="00EC613F" w:rsidRDefault="00EC613F" w:rsidP="00EC613F">
      <w:pPr>
        <w:pStyle w:val="ListeParagraf"/>
        <w:ind w:left="1440"/>
        <w:rPr>
          <w:i/>
        </w:rPr>
      </w:pPr>
      <w:r w:rsidRPr="00EC613F">
        <w:rPr>
          <w:i/>
        </w:rPr>
        <w:t>j) İlgili mevzuat gereğince, haberleşme sistemi veya otomatik hacim düzeltici tesis edilmesine veya güvence bedeli uygulamaları konusunda belirlenen güncellemeye ilişkin yükümlülüklerin yerine getirilmemesi halinde ilgili serbest tüketiciye doğal gaz arzının durdurulacağına dair gerekli bildirimlerin 1 (bir) ay önceden yapılmış olması kaydıyla,</w:t>
      </w:r>
    </w:p>
    <w:p w:rsidR="00EC613F" w:rsidRPr="00EC613F" w:rsidRDefault="00EC613F" w:rsidP="00EC613F">
      <w:pPr>
        <w:pStyle w:val="ListeParagraf"/>
        <w:ind w:left="1440"/>
        <w:rPr>
          <w:i/>
        </w:rPr>
      </w:pPr>
      <w:r w:rsidRPr="00EC613F">
        <w:rPr>
          <w:i/>
        </w:rPr>
        <w:t>k) Diğer mevzuattan kaynaklanan zorunlu hallerde,</w:t>
      </w:r>
    </w:p>
    <w:p w:rsidR="00EC613F" w:rsidRPr="00EC613F" w:rsidRDefault="00EC613F" w:rsidP="00EC613F">
      <w:pPr>
        <w:pStyle w:val="ListeParagraf"/>
        <w:ind w:left="1440"/>
        <w:rPr>
          <w:i/>
        </w:rPr>
      </w:pPr>
      <w:r w:rsidRPr="00EC613F">
        <w:rPr>
          <w:i/>
        </w:rPr>
        <w:t>doğal gaz kesilerek hizmet durdurulur ve bu hususlar müşteri sözleşmesinde belirtilir. Hizmeti durdurulan sayaçların okuması da 48 inci madde hükümleri kapsamında yapılır.</w:t>
      </w:r>
    </w:p>
    <w:p w:rsidR="00EC613F" w:rsidRPr="00EC613F" w:rsidRDefault="00EC613F" w:rsidP="00EC613F">
      <w:pPr>
        <w:pStyle w:val="ListeParagraf"/>
        <w:ind w:left="1440"/>
        <w:rPr>
          <w:i/>
        </w:rPr>
      </w:pPr>
      <w:r w:rsidRPr="00EC613F">
        <w:rPr>
          <w:i/>
        </w:rPr>
        <w:t>Birinci fıkranın (b) bendinde belirtilen ödenmemiş faturalara esas tüketim miktarının hesaplanan karşılığının G4 sayaçlar için belirlenen sayaç açma-kapama bedelinin 3 (üç) katını geçmemesi halinde gaz arzı durdurulamaz. Ancak faturanın 3 (üç) ay ödenmemesi halinde miktara bakılmaksızın (b) bendinde belirtilen yöntemle gerekli bildirimlerin yapılması kaydıyla doğal gaz kesilerek hizmet durdurulabilir. Ayrıca;</w:t>
      </w:r>
    </w:p>
    <w:p w:rsidR="00EC613F" w:rsidRPr="00EC613F" w:rsidRDefault="00EC613F" w:rsidP="00EC613F">
      <w:pPr>
        <w:pStyle w:val="ListeParagraf"/>
        <w:ind w:left="1440"/>
        <w:rPr>
          <w:i/>
        </w:rPr>
      </w:pPr>
      <w:r w:rsidRPr="00EC613F">
        <w:rPr>
          <w:i/>
        </w:rPr>
        <w:t>1) 65 yaş üstü tüketicilerin,</w:t>
      </w:r>
    </w:p>
    <w:p w:rsidR="00EC613F" w:rsidRPr="00EC613F" w:rsidRDefault="00EC613F" w:rsidP="00EC613F">
      <w:pPr>
        <w:pStyle w:val="ListeParagraf"/>
        <w:ind w:left="1440"/>
        <w:rPr>
          <w:i/>
        </w:rPr>
      </w:pPr>
      <w:r w:rsidRPr="00EC613F">
        <w:rPr>
          <w:i/>
        </w:rPr>
        <w:t>2) Hayati risk taşıyacak şekilde sürekli cihaza bağlı olarak yaşayan ve raporları dağıtım şirketine ibraz edilen bireylerin ikamet ettikleri adreslerdeki tüketicilerin,</w:t>
      </w:r>
    </w:p>
    <w:p w:rsidR="00EC613F" w:rsidRPr="00EC613F" w:rsidRDefault="00EC613F" w:rsidP="00EC613F">
      <w:pPr>
        <w:pStyle w:val="ListeParagraf"/>
        <w:ind w:left="1440"/>
        <w:rPr>
          <w:i/>
        </w:rPr>
      </w:pPr>
      <w:r w:rsidRPr="00EC613F">
        <w:rPr>
          <w:i/>
        </w:rPr>
        <w:t>3) Diğer mevzuattaki kriterleri taşıyan şehit aileleri ve muharip/malul gazi tüketicilerin,</w:t>
      </w:r>
    </w:p>
    <w:p w:rsidR="00EC613F" w:rsidRPr="00EC613F" w:rsidRDefault="00EC613F" w:rsidP="00EC613F">
      <w:pPr>
        <w:pStyle w:val="ListeParagraf"/>
        <w:ind w:left="1440"/>
        <w:rPr>
          <w:i/>
        </w:rPr>
      </w:pPr>
      <w:r w:rsidRPr="00EC613F">
        <w:rPr>
          <w:i/>
        </w:rPr>
        <w:t>bir aboneliğine ait faturanın en az üç dönem ödenmemesi ve dağıtım şirketi tarafından (b) bendinde belirtilen yöntemle gerekli bildirimlerin yapılması kaydıyla gaz arzı durdurulabilir. Borcun ödenmesine ilişkin taksitlendirme talep edilmesi halinde dağıtım şirketi tarafından 4 (dört) eşit taksit yapılır.</w:t>
      </w:r>
    </w:p>
    <w:p w:rsidR="00EC613F" w:rsidRPr="00EC613F" w:rsidRDefault="00EC613F" w:rsidP="00EC613F">
      <w:pPr>
        <w:pStyle w:val="ListeParagraf"/>
        <w:ind w:left="1440"/>
        <w:rPr>
          <w:i/>
        </w:rPr>
      </w:pPr>
      <w:r w:rsidRPr="00EC613F">
        <w:rPr>
          <w:i/>
        </w:rPr>
        <w:t xml:space="preserve">Birinci fıkranın (c) ve (e) bentleri hariç, doğal gaz hizmet kesintileri mesai saatleri içinde ve </w:t>
      </w:r>
      <w:r w:rsidR="00DC783D">
        <w:rPr>
          <w:i/>
        </w:rPr>
        <w:t>Resmî</w:t>
      </w:r>
      <w:r w:rsidRPr="00EC613F">
        <w:rPr>
          <w:i/>
        </w:rPr>
        <w:t xml:space="preserve"> tatil günleri dışında yapılır. Konut müşterileri için cuma günleri ve </w:t>
      </w:r>
      <w:r w:rsidR="00DC783D">
        <w:rPr>
          <w:i/>
        </w:rPr>
        <w:t>Resmî</w:t>
      </w:r>
      <w:r w:rsidRPr="00EC613F">
        <w:rPr>
          <w:i/>
        </w:rPr>
        <w:t xml:space="preserve"> tatillerin başladığı günden önceki gün kesinti yapılamaz. Ayrıca yukarıda belirtilen hizmet kesintileri ile ilgili olarak </w:t>
      </w:r>
      <w:r w:rsidRPr="00EC613F">
        <w:rPr>
          <w:i/>
        </w:rPr>
        <w:lastRenderedPageBreak/>
        <w:t>gönderilecek bildirim açık ve kolay anlaşılabilir bir şekilde düzenlenir, içeriğinde hizmet durdurma tarihi ve gerekçesi ile bu konuda daha fazla bilgi alınabilmesi için dağıtım şirketinin telefon numaraları yer alır.</w:t>
      </w:r>
    </w:p>
    <w:p w:rsidR="00EC613F" w:rsidRDefault="00EC613F" w:rsidP="00EC613F">
      <w:pPr>
        <w:pStyle w:val="ListeParagraf"/>
        <w:ind w:left="1440"/>
        <w:rPr>
          <w:i/>
        </w:rPr>
      </w:pPr>
      <w:r w:rsidRPr="00EC613F">
        <w:rPr>
          <w:i/>
        </w:rPr>
        <w:t>Doğal gaz hizmet kesintisi yapıldığında, tüketicinin adresine hizmetin durdurulduğuna dair gerekçeli bildirim bırakılır. Ayrıca, tüketici telefonuna kısa mesaj ile bildirim gönderilir.”</w:t>
      </w:r>
    </w:p>
    <w:p w:rsidR="00EC613F" w:rsidRDefault="00EC613F" w:rsidP="00EC613F">
      <w:pPr>
        <w:pStyle w:val="ListeParagraf"/>
        <w:ind w:left="1440"/>
        <w:rPr>
          <w:i/>
        </w:rPr>
      </w:pPr>
    </w:p>
    <w:p w:rsidR="00EC613F" w:rsidRDefault="00EC613F" w:rsidP="000A5A56">
      <w:pPr>
        <w:pStyle w:val="ListeParagraf"/>
        <w:numPr>
          <w:ilvl w:val="0"/>
          <w:numId w:val="59"/>
        </w:numPr>
        <w:spacing w:after="160" w:line="259" w:lineRule="auto"/>
      </w:pPr>
      <w:r w:rsidRPr="00EC613F">
        <w:t>45 inci maddesi aşağıdaki şekilde değiştirilmiştir.</w:t>
      </w:r>
    </w:p>
    <w:p w:rsidR="00EC613F" w:rsidRDefault="00EC613F" w:rsidP="00EC613F">
      <w:pPr>
        <w:pStyle w:val="ListeParagraf"/>
        <w:ind w:left="1440"/>
      </w:pPr>
    </w:p>
    <w:p w:rsidR="00EC613F" w:rsidRDefault="00DA4C59" w:rsidP="00EC613F">
      <w:pPr>
        <w:pStyle w:val="ListeParagraf"/>
        <w:ind w:left="1440"/>
        <w:rPr>
          <w:i/>
        </w:rPr>
      </w:pPr>
      <w:r w:rsidRPr="00DA4C59">
        <w:rPr>
          <w:i/>
        </w:rPr>
        <w:t>“Madde 45- Doğal gazı kesilen müşterinin, yükümlülüklerini yerine getirmesi ve dağıtım şirketine başvurusu üzerine, 44 üncü maddenin birinci fıkrasının (c) ve (e) bentleri hariç müşteriye 24 (yirmi dört) saati geçmeyecek şekilde en kısa sürede yeniden doğal gaz verilir. 44 üncü maddenin birinci fıkrasının (c) ve (e) bentlerinde tanımlanan durumlarda ise, bu süre söz konusu durumun ortadan kalkmasından itibaren başlar. Ancak, gerekiyorsa iç tesisatın kontrol ve testlerine ilişkin işlemler bu süre içinde yeniden yapılır. Doğal gazı 44 üncü maddenin birinci fıkrasının (a), (e), (f), (h), (ı) ve (k) bentleri hariç diğer hükümlerine göre kesilen müşteriden, ilgili yıl için Kurul tarafından belirlenen sayaç açma kapama bedeli alınır.”</w:t>
      </w:r>
    </w:p>
    <w:p w:rsidR="00DA4C59" w:rsidRDefault="00DA4C59" w:rsidP="00EC613F">
      <w:pPr>
        <w:pStyle w:val="ListeParagraf"/>
        <w:ind w:left="1440"/>
        <w:rPr>
          <w:i/>
        </w:rPr>
      </w:pPr>
    </w:p>
    <w:p w:rsidR="00DA4C59" w:rsidRDefault="00DA4C59" w:rsidP="000A5A56">
      <w:pPr>
        <w:pStyle w:val="ListeParagraf"/>
        <w:numPr>
          <w:ilvl w:val="0"/>
          <w:numId w:val="59"/>
        </w:numPr>
        <w:spacing w:after="160" w:line="259" w:lineRule="auto"/>
      </w:pPr>
      <w:r w:rsidRPr="00DA4C59">
        <w:t>46 ncı maddesi aşağıdaki şekilde değiştirilmiştir.</w:t>
      </w:r>
    </w:p>
    <w:p w:rsidR="00DA4C59" w:rsidRDefault="00DA4C59" w:rsidP="00DA4C59">
      <w:pPr>
        <w:pStyle w:val="ListeParagraf"/>
        <w:ind w:left="1440"/>
      </w:pPr>
    </w:p>
    <w:p w:rsidR="00DA4C59" w:rsidRPr="00DA4C59" w:rsidRDefault="00DA4C59" w:rsidP="00DA4C59">
      <w:pPr>
        <w:pStyle w:val="ListeParagraf"/>
        <w:ind w:left="1440"/>
        <w:rPr>
          <w:i/>
        </w:rPr>
      </w:pPr>
      <w:r w:rsidRPr="00DA4C59">
        <w:rPr>
          <w:i/>
        </w:rPr>
        <w:t>“Madde 46- Müşteri sözleşmesi;</w:t>
      </w:r>
    </w:p>
    <w:p w:rsidR="00DA4C59" w:rsidRPr="00DA4C59" w:rsidRDefault="00DA4C59" w:rsidP="00DA4C59">
      <w:pPr>
        <w:pStyle w:val="ListeParagraf"/>
        <w:ind w:left="1440"/>
        <w:rPr>
          <w:i/>
        </w:rPr>
      </w:pPr>
      <w:r w:rsidRPr="00DA4C59">
        <w:rPr>
          <w:i/>
        </w:rPr>
        <w:t>a) Müşterinin veya müşteri nam ve hesabına yetkili temsilcisinin dağıtım şirketine başvurusu üzerine,</w:t>
      </w:r>
    </w:p>
    <w:p w:rsidR="00DA4C59" w:rsidRPr="00DA4C59" w:rsidRDefault="00DA4C59" w:rsidP="00DA4C59">
      <w:pPr>
        <w:pStyle w:val="ListeParagraf"/>
        <w:ind w:left="1440"/>
        <w:rPr>
          <w:i/>
        </w:rPr>
      </w:pPr>
      <w:r w:rsidRPr="00DA4C59">
        <w:rPr>
          <w:i/>
        </w:rPr>
        <w:t>b) Müşterinin dağıtım şirketine olan borcunu son ödeme tarihinden itibaren üç ay süre ile ödememesi halinde,</w:t>
      </w:r>
    </w:p>
    <w:p w:rsidR="00DA4C59" w:rsidRPr="00DA4C59" w:rsidRDefault="00DA4C59" w:rsidP="00DA4C59">
      <w:pPr>
        <w:pStyle w:val="ListeParagraf"/>
        <w:ind w:left="1440"/>
        <w:rPr>
          <w:i/>
        </w:rPr>
      </w:pPr>
      <w:r w:rsidRPr="00DA4C59">
        <w:rPr>
          <w:i/>
        </w:rPr>
        <w:t>c) Müşterinin vefatının tespiti halinde,</w:t>
      </w:r>
    </w:p>
    <w:p w:rsidR="00DA4C59" w:rsidRPr="00DA4C59" w:rsidRDefault="00DA4C59" w:rsidP="00DA4C59">
      <w:pPr>
        <w:pStyle w:val="ListeParagraf"/>
        <w:ind w:left="1440"/>
        <w:rPr>
          <w:i/>
        </w:rPr>
      </w:pPr>
      <w:r w:rsidRPr="00DA4C59">
        <w:rPr>
          <w:i/>
        </w:rPr>
        <w:t>d) Müşterinin tüzel kişiliğinin sona ermesi halinde,</w:t>
      </w:r>
    </w:p>
    <w:p w:rsidR="00DA4C59" w:rsidRPr="00DA4C59" w:rsidRDefault="00DA4C59" w:rsidP="00DA4C59">
      <w:pPr>
        <w:pStyle w:val="ListeParagraf"/>
        <w:ind w:left="1440"/>
        <w:rPr>
          <w:i/>
        </w:rPr>
      </w:pPr>
      <w:r w:rsidRPr="00DA4C59">
        <w:rPr>
          <w:i/>
        </w:rPr>
        <w:t>e) Müşterinin, sözleşmesini sona erdirmeksizin sözleşmeye konu adresten ayrıldığının tespit edilmesi durumunda,</w:t>
      </w:r>
    </w:p>
    <w:p w:rsidR="00DA4C59" w:rsidRPr="00DA4C59" w:rsidRDefault="00DA4C59" w:rsidP="00DA4C59">
      <w:pPr>
        <w:pStyle w:val="ListeParagraf"/>
        <w:ind w:left="1440"/>
        <w:rPr>
          <w:i/>
        </w:rPr>
      </w:pPr>
      <w:r w:rsidRPr="00DA4C59">
        <w:rPr>
          <w:i/>
        </w:rPr>
        <w:t>f) Dağıtım şirketi tarafından güvence bedelinin taksitlendirilmesi halinde, herhangi bir taksitin üç ay süre ile ödenmemesi durumunda,</w:t>
      </w:r>
    </w:p>
    <w:p w:rsidR="00DA4C59" w:rsidRPr="00DA4C59" w:rsidRDefault="00DA4C59" w:rsidP="00DA4C59">
      <w:pPr>
        <w:pStyle w:val="ListeParagraf"/>
        <w:ind w:left="1440"/>
        <w:rPr>
          <w:i/>
        </w:rPr>
      </w:pPr>
      <w:r w:rsidRPr="00DA4C59">
        <w:rPr>
          <w:i/>
        </w:rPr>
        <w:t>g) 1 (bir) yıl içerisinde 3 (üç) defa usulsüz doğal gaz kullanımı tespit edilmesi durumunda,</w:t>
      </w:r>
    </w:p>
    <w:p w:rsidR="00DA4C59" w:rsidRPr="00DA4C59" w:rsidRDefault="00DA4C59" w:rsidP="00DA4C59">
      <w:pPr>
        <w:pStyle w:val="ListeParagraf"/>
        <w:ind w:left="1440"/>
        <w:rPr>
          <w:i/>
        </w:rPr>
      </w:pPr>
      <w:r w:rsidRPr="00DA4C59">
        <w:rPr>
          <w:i/>
        </w:rPr>
        <w:t>dağıtım şirketince en geç 3 (üç) iş günü içinde sona erdirilir. Ancak 44 üncü maddenin ikinci fıkrası kapsamındaki tüketiciler için bu fıkranın (b) bendinde belirtilen süre 6 (altı) ay olarak uygulanır.</w:t>
      </w:r>
    </w:p>
    <w:p w:rsidR="00DA4C59" w:rsidRPr="00DA4C59" w:rsidRDefault="00DA4C59" w:rsidP="00DA4C59">
      <w:pPr>
        <w:pStyle w:val="ListeParagraf"/>
        <w:ind w:left="1440"/>
        <w:rPr>
          <w:i/>
        </w:rPr>
      </w:pPr>
      <w:r w:rsidRPr="00DA4C59">
        <w:rPr>
          <w:i/>
        </w:rPr>
        <w:t>Hesap tasfiyesinden sonra on yıl içinde geri alınmayan müşteri alacakları ilgili yıl sonunda irat kaydedilmek üzere dağıtım şirketi tarafından ilgili il defterdarlığı vasıtasıyla Hazineye aktarılır.</w:t>
      </w:r>
    </w:p>
    <w:p w:rsidR="00DA4C59" w:rsidRPr="00DA4C59" w:rsidRDefault="00DA4C59" w:rsidP="00DA4C59">
      <w:pPr>
        <w:pStyle w:val="ListeParagraf"/>
        <w:ind w:left="1440"/>
        <w:rPr>
          <w:i/>
        </w:rPr>
      </w:pPr>
      <w:r w:rsidRPr="00DA4C59">
        <w:rPr>
          <w:i/>
        </w:rPr>
        <w:t>Sözleşmesi sona erdirilen veya erdirilecek olan müşterinin kapama vanası uygun aparat ile kapatılır ve doğal gaz arzı durdurulur. Müşteri sayacının kapama anındaki son ölçüm değeri bir tutanakla tespit edilir, fotoğrafı çekilerek arşivlenir, tespit edilen bu değer üzerinden tahakkuk işlemi yapılır ve varsa müşterinin diğer borçları ve alacakları hesaplanarak müşteri hesabı tasfiye edilir.</w:t>
      </w:r>
    </w:p>
    <w:p w:rsidR="00DA4C59" w:rsidRPr="00DA4C59" w:rsidRDefault="00DA4C59" w:rsidP="00DA4C59">
      <w:pPr>
        <w:pStyle w:val="ListeParagraf"/>
        <w:ind w:left="1440"/>
        <w:rPr>
          <w:i/>
        </w:rPr>
      </w:pPr>
      <w:r w:rsidRPr="00DA4C59">
        <w:rPr>
          <w:i/>
        </w:rPr>
        <w:t>Müşterinin alacağı varsa, abonelik sözleşmesinin müşteri tarafından sona ermesine ilişkin talep tarihinden veya dağıtım şirketi tarafından resen sona erdirildiği tarihten itibaren en geç 15 (on beş) gün içerisinde müşteriye veya onun yetkili temsilcisine ödenir.</w:t>
      </w:r>
    </w:p>
    <w:p w:rsidR="00DA4C59" w:rsidRDefault="00DA4C59" w:rsidP="00DA4C59">
      <w:pPr>
        <w:pStyle w:val="ListeParagraf"/>
        <w:ind w:left="1440"/>
        <w:rPr>
          <w:i/>
        </w:rPr>
      </w:pPr>
      <w:r w:rsidRPr="00DA4C59">
        <w:rPr>
          <w:i/>
        </w:rPr>
        <w:t xml:space="preserve">Abonenin, sözleşmesini sona erdirmeksizin ikamet ettiği adresten ayrılması durumunda, söz konusu adrese taşınan gerçek ve tüzel kişi ile yeni bir abonelik sözleşmesi yapılır. Ayrıca aynı </w:t>
      </w:r>
      <w:r w:rsidRPr="00DA4C59">
        <w:rPr>
          <w:i/>
        </w:rPr>
        <w:lastRenderedPageBreak/>
        <w:t>adreste başka abonelerin daha önceki dönemlere ilişkin tüketimlerinden kaynaklanan borçları yeni abonenin üstlenmesi talep edilemez.”</w:t>
      </w:r>
    </w:p>
    <w:p w:rsidR="00DA4C59" w:rsidRDefault="00DA4C59" w:rsidP="00DA4C59">
      <w:pPr>
        <w:pStyle w:val="ListeParagraf"/>
        <w:ind w:left="1440"/>
        <w:rPr>
          <w:i/>
        </w:rPr>
      </w:pPr>
    </w:p>
    <w:p w:rsidR="00DA4C59" w:rsidRDefault="00DA4C59" w:rsidP="000A5A56">
      <w:pPr>
        <w:pStyle w:val="ListeParagraf"/>
        <w:numPr>
          <w:ilvl w:val="0"/>
          <w:numId w:val="59"/>
        </w:numPr>
        <w:spacing w:after="160" w:line="259" w:lineRule="auto"/>
      </w:pPr>
      <w:r w:rsidRPr="00DA4C59">
        <w:t>47 nci maddesi başlığıyla birlikte aşağıdaki şekilde değiştirilmiştir.</w:t>
      </w:r>
    </w:p>
    <w:p w:rsidR="00DA4C59" w:rsidRDefault="00DA4C59" w:rsidP="00DA4C59">
      <w:pPr>
        <w:pStyle w:val="ListeParagraf"/>
        <w:ind w:left="1440"/>
      </w:pPr>
    </w:p>
    <w:p w:rsidR="00DA4C59" w:rsidRPr="00DA4C59" w:rsidRDefault="00DA4C59" w:rsidP="00DA4C59">
      <w:pPr>
        <w:pStyle w:val="ListeParagraf"/>
        <w:ind w:left="1440"/>
        <w:rPr>
          <w:i/>
        </w:rPr>
      </w:pPr>
      <w:r w:rsidRPr="00DA4C59">
        <w:rPr>
          <w:i/>
        </w:rPr>
        <w:t>“Müşteri şikâyetleri, bilgilendirme ve diğer hizmetler</w:t>
      </w:r>
    </w:p>
    <w:p w:rsidR="00DA4C59" w:rsidRPr="00DA4C59" w:rsidRDefault="00DA4C59" w:rsidP="00DA4C59">
      <w:pPr>
        <w:pStyle w:val="ListeParagraf"/>
        <w:ind w:left="1440"/>
        <w:rPr>
          <w:i/>
        </w:rPr>
      </w:pPr>
      <w:r w:rsidRPr="00DA4C59">
        <w:rPr>
          <w:i/>
        </w:rPr>
        <w:t>Madde 47- Müşteri, doğal gaz kullanımı ile ilgili her türlü şikâyetini dağıtım şirketinin müşteri hizmetleri birimine yapar. Müşteri şikâyetini şahsen, yazılı olarak, telefonla, faksla veya internet aracılığıyla yapabilir. Dağıtım şirketi, şikâyetleri, başvuru tarihinden itibaren şikâyetin niteliğine göre en geç on beş gün içinde müşterinin talebi dikkate alınarak başvurunun yapıldığı usul ile cevaplar ve/veya gerekli işlemleri yapar. Müşteri şikâyetleri ve yapılan işlemler dağıtım şirketi tarafından kayıt altına alınır ve talep halinde Kuruma iletilir.</w:t>
      </w:r>
    </w:p>
    <w:p w:rsidR="00DA4C59" w:rsidRPr="00DA4C59" w:rsidRDefault="00DA4C59" w:rsidP="00DA4C59">
      <w:pPr>
        <w:pStyle w:val="ListeParagraf"/>
        <w:ind w:left="1440"/>
        <w:rPr>
          <w:i/>
        </w:rPr>
      </w:pPr>
      <w:r w:rsidRPr="00DA4C59">
        <w:rPr>
          <w:i/>
        </w:rPr>
        <w:t>Dağıtım şirketleri tarafından, tüketicilere yönelik yirmi dört saat kesintisiz hizmet verecek şekilde çağrı merkezi kurulur. Dağıtım şirketleri tüketicilere yönelik çağrı hizmetleri ile ilgili olarak hizmet alımı yapabilirler. Dağıtım şirketlerinin faaliyet konuları ile ilgili olarak itiraz, şikâyet ve taleplere ilişkin bilgilendirme ve yönlendirme konularında kullanıcılara yardımcı olmak üzere kuracakları çağrı merkezinde yapılan görüşmeler sesli kayıt altına alınır. Çağrı merkezi, arayan kişinin operatöre kolay ulaşabilmesine imkân vermelidir. Çağrı merkezine yapılan aramalar ve çağrı merkezi tarafından yapılan geri aramalara ilişkin çağrı merkezi sistemi üzerinde yapılan tüm işlemler kayıt altına alınır. Cevap ve bilgilendirme için yapılacak geri dönüşler arayan kişinin talebine uygun olarak e-posta, telefon veya kısa mesaj yoluyla ya da yazılı olarak yapılır. Ayrıca, çağrı merkezi aramalarına ilişkin tüm işlem kayıtları ve ses kayıtları ile çağrı merkezi sisteminin işleyişini etkileyen yetkilendirme, ayarlama, güncelleme, menü ağacı değişiklikleri, anons değişiklikleri gibi işlemlere ilişkin kayıtlar asgari 1 (bir) yıl çağrı merkezi sisteminde doğrudan erişilebilir biçimde ve ilave olarak asgari 5 (beş) yıl da yedekleme ünitelerinde saklanır.</w:t>
      </w:r>
    </w:p>
    <w:p w:rsidR="00DA4C59" w:rsidRPr="00DA4C59" w:rsidRDefault="00DA4C59" w:rsidP="00DA4C59">
      <w:pPr>
        <w:pStyle w:val="ListeParagraf"/>
        <w:ind w:left="1440"/>
        <w:rPr>
          <w:i/>
        </w:rPr>
      </w:pPr>
      <w:r w:rsidRPr="00DA4C59">
        <w:rPr>
          <w:i/>
        </w:rPr>
        <w:t>Dağıtım şirketleri internet sitelerinde tüketicilerin şikâyetlerini iletebilecekleri, kolay erişim sağlanabilen, yapılan başvuruların tüketiciler tarafından takip edilmesine olanak sağlayan ve tüketici tarafından şikâyete konu belgeyi yüklemeye imkân veren bir “Şikâyet Başvuru Sistemi” oluşturur. Bu kapsamda oluşturulan kayıtlar 24/3/2016 tarihli ve 6698 sayılı Kişisel Verilerin Korunması Kanunu kapsamında gerekli önlemler alınarak 5 (beş) yıl süreyle muhafaza edilir.</w:t>
      </w:r>
    </w:p>
    <w:p w:rsidR="00DA4C59" w:rsidRPr="00DA4C59" w:rsidRDefault="00DA4C59" w:rsidP="00DA4C59">
      <w:pPr>
        <w:pStyle w:val="ListeParagraf"/>
        <w:ind w:left="1440"/>
        <w:rPr>
          <w:i/>
        </w:rPr>
      </w:pPr>
      <w:r w:rsidRPr="00DA4C59">
        <w:rPr>
          <w:i/>
        </w:rPr>
        <w:t>Dağıtım şirketleri, tüketicilerin dağıtım şirketlerine bildirdikleri mobil, sabit ve elektronik iletişim bilgilerini ve fatura bildirim tercihlerini güncellemelerine imkân verecek bir sistem kurar. Dağıtım şirketinin kurduğu bu sistemde müşteriler tarafından değiştirilen bilgilerin güncelliği, doğruluğu ve sorumluluğu müşteriye aittir. Bu sistem tahmini fatura hesabı ile asgari son 3 (üç) yıla ilişkin tüketimlerin sorgulanmasına imkân sağlamalı ve sistemde tüketicinin geriye dönük faturaya esas bilgileri bulunmalıdır. Dağıtım şirketleri ihtiyaç görülecek diğer bilgilere de bu sistemde yer verir.</w:t>
      </w:r>
    </w:p>
    <w:p w:rsidR="00DA4C59" w:rsidRPr="00DA4C59" w:rsidRDefault="00DA4C59" w:rsidP="00DA4C59">
      <w:pPr>
        <w:pStyle w:val="ListeParagraf"/>
        <w:ind w:left="1440"/>
        <w:rPr>
          <w:i/>
        </w:rPr>
      </w:pPr>
      <w:r w:rsidRPr="00DA4C59">
        <w:rPr>
          <w:i/>
        </w:rPr>
        <w:t>Dağıtım şirketleri, tüketicilerin yeterli, güvenli, sürekli ve kolay bir şekilde hizmet almalarını ve hizmet seçeneklerini öğrenmelerini teminen, gerekli bilgilendirme faaliyetini yerine getirmekle yükümlüdür.</w:t>
      </w:r>
    </w:p>
    <w:p w:rsidR="00DA4C59" w:rsidRPr="00DA4C59" w:rsidRDefault="00DA4C59" w:rsidP="00DA4C59">
      <w:pPr>
        <w:pStyle w:val="ListeParagraf"/>
        <w:ind w:left="1440"/>
        <w:rPr>
          <w:i/>
        </w:rPr>
      </w:pPr>
      <w:r w:rsidRPr="00DA4C59">
        <w:rPr>
          <w:i/>
        </w:rPr>
        <w:t>Tüketicilerin bilgilendirilmesi görevi ilgili dağıtım şirketi tarafından uygun kanallar vasıtasıyla yürütülür. Dağıtım şirketleri tarafından tüketicilere ücretsiz olarak broşür, katalog gibi araçlar dağıtılabilir ve/veya e-posta veya kısa mesaj gönderilebilir. Bu madde kapsamında yapılacak bilgilendirmeler, ayrıca internet sitesi üzerinden de kolayca ulaşılabilecek bir biçimde yayımlanır.</w:t>
      </w:r>
    </w:p>
    <w:p w:rsidR="00DA4C59" w:rsidRPr="00DA4C59" w:rsidRDefault="00DA4C59" w:rsidP="00DA4C59">
      <w:pPr>
        <w:pStyle w:val="ListeParagraf"/>
        <w:ind w:left="1440"/>
        <w:rPr>
          <w:i/>
        </w:rPr>
      </w:pPr>
      <w:r w:rsidRPr="00DA4C59">
        <w:rPr>
          <w:i/>
        </w:rPr>
        <w:lastRenderedPageBreak/>
        <w:t>Dağıtım şirketi tarafından tüketicilerin yaptıkları başvurular göz önünde bulundurularak internet sitesinde “Sıkça Sorulan Sorular” kısmı oluşturulur. Ayrıca dağıtım şirketinin internet sitesinde tüketim faturalarının, güvence bedelinin ve abone bağlantı bedelinin hesaplanabileceği modüller oluşturulur.</w:t>
      </w:r>
    </w:p>
    <w:p w:rsidR="00DA4C59" w:rsidRPr="00DA4C59" w:rsidRDefault="00DA4C59" w:rsidP="00DA4C59">
      <w:pPr>
        <w:pStyle w:val="ListeParagraf"/>
        <w:ind w:left="1440"/>
        <w:rPr>
          <w:i/>
        </w:rPr>
      </w:pPr>
      <w:r w:rsidRPr="00DA4C59">
        <w:rPr>
          <w:i/>
        </w:rPr>
        <w:t>Dağıtım şirketlerinin müşteri hizmetleri merkezlerinde engelli ve 65 yaş üstü vatandaşların erişiminin kolaylaştırılması için rampa, uygun gişe, kapı ve tutunma çubukları gibi gerekli düzenlemeler yapılır. 65 yaş üstü vatandaşlar ile raporlarını dağıtım şirketine ibraz eden engelli vatandaşların çağrı merkezine ulaşımlarında öncelik tanınır ve taleplerinin karşılanmasında gerekli özen gösterilir. Dağıtım şirketi, engelli raporunun kendisine ibrazından sonra en geç 3 (üç) gün içerisinde öncelik verilmesi için gereken işlemleri tamamlar.</w:t>
      </w:r>
    </w:p>
    <w:p w:rsidR="00DA4C59" w:rsidRDefault="00DA4C59" w:rsidP="00DA4C59">
      <w:pPr>
        <w:pStyle w:val="ListeParagraf"/>
        <w:ind w:left="1440"/>
        <w:rPr>
          <w:i/>
        </w:rPr>
      </w:pPr>
      <w:r w:rsidRPr="00DA4C59">
        <w:rPr>
          <w:i/>
        </w:rPr>
        <w:t>Tüketicilerin kişisel kusurları haricinde oluşan ve Kurul tarafından belirlenecek kapsamda, lisans ve sertifika sahiplerinin uygulamalarından kaynaklanan tüketici mağduriyetlerinin tazminine ilişkin usul ve esaslar Kurul tarafından belirlenir.”</w:t>
      </w:r>
    </w:p>
    <w:p w:rsidR="00DA4C59" w:rsidRDefault="00DA4C59" w:rsidP="00DA4C59">
      <w:pPr>
        <w:pStyle w:val="ListeParagraf"/>
        <w:ind w:left="1440"/>
        <w:rPr>
          <w:i/>
        </w:rPr>
      </w:pPr>
    </w:p>
    <w:p w:rsidR="00DA4C59" w:rsidRDefault="00DA4C59" w:rsidP="000A5A56">
      <w:pPr>
        <w:pStyle w:val="ListeParagraf"/>
        <w:numPr>
          <w:ilvl w:val="0"/>
          <w:numId w:val="59"/>
        </w:numPr>
        <w:spacing w:after="160" w:line="259" w:lineRule="auto"/>
      </w:pPr>
      <w:r w:rsidRPr="00DA4C59">
        <w:t>48 inci maddesi aşağıdaki şekilde değiştirilmiştir.</w:t>
      </w:r>
    </w:p>
    <w:p w:rsidR="00DA4C59" w:rsidRDefault="00DA4C59" w:rsidP="00DA4C59">
      <w:pPr>
        <w:pStyle w:val="ListeParagraf"/>
        <w:ind w:left="1440"/>
      </w:pPr>
    </w:p>
    <w:p w:rsidR="00DA4C59" w:rsidRPr="00DA4C59" w:rsidRDefault="00DA4C59" w:rsidP="00DA4C59">
      <w:pPr>
        <w:pStyle w:val="ListeParagraf"/>
        <w:ind w:left="1440"/>
        <w:rPr>
          <w:i/>
        </w:rPr>
      </w:pPr>
      <w:r w:rsidRPr="00DA4C59">
        <w:rPr>
          <w:i/>
        </w:rPr>
        <w:t>“Madde 48- Dağıtım şirketi, tüketicilerin sayaç endekslerini müşteri bazında bir önceki okuma tarihine göre artı-eksi beş günden fazla sapma olmayacak şekilde, aylık okur veya okutur. Abonenin sayaç okuma tarihlerinin değiştirilmesini talep etmesi ve talebin dağıtım şirketince uygun bulunması, ilk faturalama, sayaç değişimi veya borcundan dolayı ara tahakkuk çıkarılması hallerinde bu kriter bir defaya mahsus olarak aranmaz. Uzaktan okuma imkânı bulunan tüketicilerin sayaçları ise ilgili mevzuat hükümleri çerçevesinde her ayın sonunda okunur ve tüketim bilgileri tüketicilere e-posta ile iletilir.</w:t>
      </w:r>
    </w:p>
    <w:p w:rsidR="00DA4C59" w:rsidRPr="00DA4C59" w:rsidRDefault="00DA4C59" w:rsidP="00DA4C59">
      <w:pPr>
        <w:pStyle w:val="ListeParagraf"/>
        <w:ind w:left="1440"/>
        <w:rPr>
          <w:i/>
        </w:rPr>
      </w:pPr>
      <w:r w:rsidRPr="00DA4C59">
        <w:rPr>
          <w:i/>
        </w:rPr>
        <w:t>Herhangi bir gerekçe ile tüketicilerin ilk okuma ve son okuma arasındaki fatura okuma süresinin bu maddenin birinci fıkrasında belirtilen sürenin altında kalması halinde fatura ödeme süresi asgari 25 (yirmi beş) gün olarak uygulanır. Bununla birlikte ilk okuma ve son okuma arasındaki fatura okuma süresi bu maddenin birinci fıkrasında belirtilen sürenin üzerinde olması halinde tüketim tutarı tüketiciye en az 2 (iki) fatura döneminde tahakkuk ettirilir ve tahakkuk ettirilen tutarlara vade farkı uygulanmaz.</w:t>
      </w:r>
    </w:p>
    <w:p w:rsidR="00DA4C59" w:rsidRPr="00DA4C59" w:rsidRDefault="00DA4C59" w:rsidP="00DA4C59">
      <w:pPr>
        <w:pStyle w:val="ListeParagraf"/>
        <w:ind w:left="1440"/>
        <w:rPr>
          <w:i/>
        </w:rPr>
      </w:pPr>
      <w:r w:rsidRPr="00DA4C59">
        <w:rPr>
          <w:i/>
        </w:rPr>
        <w:t>Dağıtım şirketi, doğal gaz satış miktarını son okuma tarihindeki ile bir önceki okuma tarihi arasındaki iki endeksin farkını alarak bu Yönetmeliğin 41 inci maddesine göre hesaplar ve tahakkuk bu değer üzerinden yapılır. Ancak, dağıtım şirketi, 50 (elli) metreküpe ulaşmayan aylık tüketimleri o dönem için faturalandırmama hakkına sahiptir. Doğal gaz kullanım faturaları metreküp ve kWh enerji miktarı bazında müşteriye fatura edilir. Tüketim faturalarında okuma periyotlarına göre hesaplanacak gün bazında ağırlıklı ortalama perakende satış fiyatı kullanılarak tahakkuk yapılır.</w:t>
      </w:r>
    </w:p>
    <w:p w:rsidR="00DA4C59" w:rsidRPr="00DA4C59" w:rsidRDefault="00DA4C59" w:rsidP="00DA4C59">
      <w:pPr>
        <w:pStyle w:val="ListeParagraf"/>
        <w:ind w:left="1440"/>
        <w:rPr>
          <w:i/>
        </w:rPr>
      </w:pPr>
      <w:r w:rsidRPr="00DA4C59">
        <w:rPr>
          <w:i/>
        </w:rPr>
        <w:t>Doğal gaz tüketim faturalarında doğal gaz kullanımı ile ilgili olmayan herhangi bir bedel yer alamaz. Faturalarda yer alabilecek hususlar Kurul tarafından belirlenebilir.</w:t>
      </w:r>
    </w:p>
    <w:p w:rsidR="00DA4C59" w:rsidRPr="00DA4C59" w:rsidRDefault="00DA4C59" w:rsidP="00DA4C59">
      <w:pPr>
        <w:pStyle w:val="ListeParagraf"/>
        <w:ind w:left="1440"/>
        <w:rPr>
          <w:i/>
        </w:rPr>
      </w:pPr>
      <w:r w:rsidRPr="00DA4C59">
        <w:rPr>
          <w:i/>
        </w:rPr>
        <w:t>Dağıtım şirketi faturayı, son ödeme tarihinden en az 10 (on) gün önce müşteri adresine bırakır veya fatura tüketici tercihlerine göre faks, e-posta, e-fatura, e-arşiv fatura gibi kanallar ile iletilebilir. Ancak ödeme süresi her halükarda 5 (beş) iş gününden az olamaz.</w:t>
      </w:r>
    </w:p>
    <w:p w:rsidR="00DA4C59" w:rsidRPr="00DA4C59" w:rsidRDefault="00DA4C59" w:rsidP="00DA4C59">
      <w:pPr>
        <w:pStyle w:val="ListeParagraf"/>
        <w:ind w:left="1440"/>
        <w:rPr>
          <w:i/>
        </w:rPr>
      </w:pPr>
      <w:r w:rsidRPr="00DA4C59">
        <w:rPr>
          <w:i/>
        </w:rPr>
        <w:t xml:space="preserve">Dağıtım şirketinin tercihi halinde 15 Mayıs – 15 Ekim arasındaki dönemde konut ve ısınma amaçlı tüketiciler için sayaç okumaları azami 2 (iki) ayda bir yapılabilir. Ayrıca bu durumdaki tüketiciler için önceki ve sonraki dönem faturalarında bu maddenin birinci fıkrasında belirtilen sürelere </w:t>
      </w:r>
      <w:r w:rsidRPr="00DA4C59">
        <w:rPr>
          <w:i/>
        </w:rPr>
        <w:lastRenderedPageBreak/>
        <w:t>uygun faturalandırma yapılır. Bu uygulamayı yapan şirketler tarafından uygun kanallar vasıtasıyla tüketicilere gerekli bilgilendirmeler yapılır.</w:t>
      </w:r>
    </w:p>
    <w:p w:rsidR="00DA4C59" w:rsidRPr="00DA4C59" w:rsidRDefault="00DA4C59" w:rsidP="00DA4C59">
      <w:pPr>
        <w:pStyle w:val="ListeParagraf"/>
        <w:ind w:left="1440"/>
        <w:rPr>
          <w:i/>
        </w:rPr>
      </w:pPr>
      <w:r w:rsidRPr="00DA4C59">
        <w:rPr>
          <w:i/>
        </w:rPr>
        <w:t>Doğal gaz dağıtım şirketlerinin tercihlerine bağlı olarak; aynı adreste geriye dönük en az 12 (on iki) aylık tüketimleri olan ve talepte bulunan müşteriler için sabit aylık ödeme sistemine geçilebilir. Dağıtım şirketleri aylık okumaları bu maddenin birinci fıkrasında belirlenen şekilde yapar ve tüketim bilgilerini müşterilere iletir. Müşteri ile dağıtım şirketi arasında mahsuplaşma dönemi yıllık olarak belirlenir. Belirlenen dönem sonunda gerçekleşen toplam ödeme tutarı ile toplam tüketilen miktar karşılığı tutar üzerinden mahsuplaşma yapılır. Mahsuplaşmada enflasyon güncellemesi dikkate alınır. Sabit aylık ödeme miktarının ilk belirlenmesinde müşterinin son bir yıl içindeki tüketimlerinin aylık ortalaması dikkate alınır. Sabit aylık ödeme miktarı her mahsuplaşma dönemi sonunda gerçekleşen tüketim miktarlarına göre güncellenir. Müşteri istediği zaman sabit aylık ödeme sistemini dağıtım şirketi ile mahsuplaşarak sonlandırabilir. Bu uygulamayı yapacak olan dağıtım şirketi Kuruma uygulama yöntemi ile ilgili olarak bildirim yapar.</w:t>
      </w:r>
    </w:p>
    <w:p w:rsidR="00DA4C59" w:rsidRPr="00DA4C59" w:rsidRDefault="00DA4C59" w:rsidP="00DA4C59">
      <w:pPr>
        <w:pStyle w:val="ListeParagraf"/>
        <w:ind w:left="1440"/>
        <w:rPr>
          <w:i/>
        </w:rPr>
      </w:pPr>
      <w:r w:rsidRPr="00DA4C59">
        <w:rPr>
          <w:i/>
        </w:rPr>
        <w:t>Sayacın okunamaması durumunda dağıtım şirketi tarafından müşteri adresine bırakılacak veya müşterinin dağıtım şirketinde kayıtlı olan iletişim kanallarına bildirilecek endeks bildirim belgesi en geç 3 (üç) gün içerisinde müşteri tarafından doldurulup dağıtım şirketine ulaştırılır veya dağıtım şirketinin uygun göreceği mobil, sabit veya elektronik iletişim kanalları ile endeks bilgisini dağıtım şirketine bildirir. Müşterinin kusuru dışında sayaç endeksinin belirlenememiş olması durumunda fatura bedeli, sayacın okunamadığı aylardaki perakende satış fiyatlarının, düzeltme katsayısının ve üst ısıl değerin ortalaması alınarak hesaplanan değerler ile hesaplanır ve okunamayan ay sayısı kadar taksitlendirilir.</w:t>
      </w:r>
    </w:p>
    <w:p w:rsidR="00DA4C59" w:rsidRPr="00DA4C59" w:rsidRDefault="00DA4C59" w:rsidP="00DA4C59">
      <w:pPr>
        <w:pStyle w:val="ListeParagraf"/>
        <w:ind w:left="1440"/>
        <w:rPr>
          <w:i/>
        </w:rPr>
      </w:pPr>
      <w:r w:rsidRPr="00DA4C59">
        <w:rPr>
          <w:i/>
        </w:rPr>
        <w:t>Dağıtım şirketi, ön ödemeli sayaç kullananlar için kolaylıkla ulaşılabilecek ve şehir yerleşiminin yoğun olduğu yerlerde yeterli sayıda bedelsiz işlem yapacak doğal gaz yükleme merkezleri kurar veya bu kapsamda hizmet alır. Ayrıca tüketici tercihine bağlı olarak hizmet bedeli karşılığı işlem yapan yükleme imkânı sağlayan merkezlerle anlaşabilir veya yükleme imkânı sağlayan cihazlar tesis edebilir.</w:t>
      </w:r>
    </w:p>
    <w:p w:rsidR="00DA4C59" w:rsidRDefault="00DA4C59" w:rsidP="00DA4C59">
      <w:pPr>
        <w:pStyle w:val="ListeParagraf"/>
        <w:ind w:left="1440"/>
        <w:rPr>
          <w:i/>
        </w:rPr>
      </w:pPr>
      <w:r w:rsidRPr="00DA4C59">
        <w:rPr>
          <w:i/>
        </w:rPr>
        <w:t>Doğal gaz yükleme merkezleri, hafta içi günlerde asgari 08.30-18.30 saatleri arasında hizmet verir. Acil durumlar göz önünde bulundurularak bu saatler dışında nöbetçi doğal gaz yükleme merkezlerinin hizmet vermesi sağlanır.”</w:t>
      </w:r>
    </w:p>
    <w:p w:rsidR="00DA4C59" w:rsidRDefault="00DA4C59" w:rsidP="00DA4C59">
      <w:pPr>
        <w:pStyle w:val="ListeParagraf"/>
        <w:ind w:left="1440"/>
        <w:rPr>
          <w:i/>
        </w:rPr>
      </w:pPr>
    </w:p>
    <w:p w:rsidR="00DA4C59" w:rsidRDefault="00DA4C59" w:rsidP="000A5A56">
      <w:pPr>
        <w:pStyle w:val="ListeParagraf"/>
        <w:numPr>
          <w:ilvl w:val="0"/>
          <w:numId w:val="59"/>
        </w:numPr>
        <w:spacing w:after="160" w:line="259" w:lineRule="auto"/>
      </w:pPr>
      <w:r w:rsidRPr="00DA4C59">
        <w:t>49 uncu maddesi aşağıdaki şekilde değiştirilmiştir.</w:t>
      </w:r>
    </w:p>
    <w:p w:rsidR="00DA4C59" w:rsidRDefault="00DA4C59" w:rsidP="00DA4C59">
      <w:pPr>
        <w:pStyle w:val="ListeParagraf"/>
        <w:ind w:left="1440"/>
      </w:pPr>
    </w:p>
    <w:p w:rsidR="00DA4C59" w:rsidRPr="00DA4C59" w:rsidRDefault="00DA4C59" w:rsidP="00DA4C59">
      <w:pPr>
        <w:pStyle w:val="ListeParagraf"/>
        <w:ind w:left="1440"/>
        <w:rPr>
          <w:i/>
        </w:rPr>
      </w:pPr>
      <w:r w:rsidRPr="00DA4C59">
        <w:rPr>
          <w:i/>
        </w:rPr>
        <w:t>“Madde 49- Faturada belirtilen doğal gaz tüketim bedeli, faturada yazılı bulunan yerlere belirtilen ödeme günleri içinde ödenir. Zamanında ödenmeyen faturaya konu tüketim bedeline gecikme zammı/bedeli dağıtım şirketi tarafından gecikmeye konu fatura ile birlikte peşin olarak veya bir sonraki faturaya eklenerek tahsil edilir. Son ödeme tarihinden sonra yapılan ödemeler için sözleşmede belirtilen gecikme zammı oranı günlük olarak uygulanır. Serbest tüketiciler için faturanın son ödeme tarihi ve gecikme zammı oranı taraflarca sözleşmede belirlenir. Gecikme zammı oranı, 21/7/1953 tarihli ve 6183 sayılı Amme Alacaklarının Tahsil Usulü Hakkında Kanunun 51 inci maddesine göre belirlenen gecikme zammı oranını aşamaz.</w:t>
      </w:r>
    </w:p>
    <w:p w:rsidR="00DA4C59" w:rsidRPr="00DA4C59" w:rsidRDefault="00DA4C59" w:rsidP="00DA4C59">
      <w:pPr>
        <w:pStyle w:val="ListeParagraf"/>
        <w:ind w:left="1440"/>
        <w:rPr>
          <w:i/>
        </w:rPr>
      </w:pPr>
      <w:r w:rsidRPr="00DA4C59">
        <w:rPr>
          <w:i/>
        </w:rPr>
        <w:t xml:space="preserve">Dağıtım şirketi şebeke büyüklüğü ve tüketici sayısına uygun olarak dağıtım bölgesi içerisinde yeterli sayıda bedelsiz işlem yapacak ödeme merkezi kurar veya bedelsiz ödeme yapılabilecek ödeme merkezleri ile anlaşır. Bedelsiz ödeme yapılabilecek tüm merkezlere ilişkin bilgiyi internet sitesinde ve faturanın arka yüzünde yayımlar. Tüketiciler kendi tercihleri ile hizmet bedeli karşılığı </w:t>
      </w:r>
      <w:r w:rsidRPr="00DA4C59">
        <w:rPr>
          <w:i/>
        </w:rPr>
        <w:lastRenderedPageBreak/>
        <w:t>hizmet veren kuruluşlara ödeme yapabilir ancak, dağıtım şirketleri ödeme merkezleri arasındaki rekabeti engelleyici hiçbir faaliyette bulunamaz.</w:t>
      </w:r>
    </w:p>
    <w:p w:rsidR="00DA4C59" w:rsidRPr="00DA4C59" w:rsidRDefault="00DA4C59" w:rsidP="00DA4C59">
      <w:pPr>
        <w:pStyle w:val="ListeParagraf"/>
        <w:ind w:left="1440"/>
        <w:rPr>
          <w:i/>
        </w:rPr>
      </w:pPr>
      <w:r w:rsidRPr="00DA4C59">
        <w:rPr>
          <w:i/>
        </w:rPr>
        <w:t>Dağıtım şirketleri Kurulun uygun görmesi ve tüketicilerin rızasının alınması kaydıyla alternatif okuma, tahakkuk ve ödeme yöntemleri uygulayabilir. Ancak bu ödeme yöntemleri için tüketiciler mecbur tutulamaz.</w:t>
      </w:r>
    </w:p>
    <w:p w:rsidR="00DA4C59" w:rsidRDefault="00DA4C59" w:rsidP="00DA4C59">
      <w:pPr>
        <w:pStyle w:val="ListeParagraf"/>
        <w:ind w:left="1440"/>
        <w:rPr>
          <w:i/>
        </w:rPr>
      </w:pPr>
      <w:r w:rsidRPr="00DA4C59">
        <w:rPr>
          <w:i/>
        </w:rPr>
        <w:t>Fatura bedelinin zamanında ödenmemesi nedeniyle doğal gazı kesilen müşteri, ödemediği fatura bedelini, gecikme zammı ve sayaç açma-kapama masraflarıyla birlikte ödeyerek yeniden doğal gaz verilmesini dağıtım şirketinden talep edebilir. Bu durumda dağıtım şirketi, müşterinin talebini 45 inci madde hükümlerine göre yerine getirir. Dağıtım şirketi açma-kapama bedelini sayacın açılmasından sonraki ilk faturada tahsil edebilir.”</w:t>
      </w:r>
    </w:p>
    <w:p w:rsidR="00DA4C59" w:rsidRDefault="00DA4C59" w:rsidP="00DA4C59">
      <w:pPr>
        <w:pStyle w:val="ListeParagraf"/>
        <w:ind w:left="1440"/>
        <w:rPr>
          <w:i/>
        </w:rPr>
      </w:pPr>
    </w:p>
    <w:p w:rsidR="00DA4C59" w:rsidRDefault="00DA4C59" w:rsidP="000A5A56">
      <w:pPr>
        <w:pStyle w:val="ListeParagraf"/>
        <w:numPr>
          <w:ilvl w:val="0"/>
          <w:numId w:val="59"/>
        </w:numPr>
        <w:spacing w:after="160" w:line="259" w:lineRule="auto"/>
      </w:pPr>
      <w:r w:rsidRPr="00DA4C59">
        <w:t>50 nci maddesinin birinci fıkrasında yer alan “son ödeme tarihine kadar” ibaresi “1 (bir) yıl içerisinde” olarak, aynı maddenin üçüncü fıkrasında yer alan “beş” ibaresi “5 (beş)” olarak değiştirilmiştir.</w:t>
      </w:r>
    </w:p>
    <w:p w:rsidR="00DA4C59" w:rsidRDefault="00DA4C59" w:rsidP="00DA4C59">
      <w:pPr>
        <w:pStyle w:val="ListeParagraf"/>
        <w:spacing w:after="160" w:line="259" w:lineRule="auto"/>
        <w:ind w:left="1440"/>
      </w:pPr>
    </w:p>
    <w:p w:rsidR="00DA4C59" w:rsidRDefault="00DA4C59" w:rsidP="000A5A56">
      <w:pPr>
        <w:pStyle w:val="ListeParagraf"/>
        <w:numPr>
          <w:ilvl w:val="0"/>
          <w:numId w:val="59"/>
        </w:numPr>
        <w:spacing w:after="160" w:line="259" w:lineRule="auto"/>
      </w:pPr>
      <w:r>
        <w:t>51 inci maddesinin birinci fıkrasının sonuna aşağıdaki cümle eklenmiş, aynı maddenin ikinci fıkrasında yer alan “beş” ibaresi “5 (beş)” olarak değiştirilmiştir.</w:t>
      </w:r>
    </w:p>
    <w:p w:rsidR="00DA4C59" w:rsidRDefault="00DA4C59" w:rsidP="00DA4C59">
      <w:pPr>
        <w:pStyle w:val="ListeParagraf"/>
        <w:spacing w:after="160" w:line="259" w:lineRule="auto"/>
        <w:ind w:left="1440"/>
      </w:pPr>
    </w:p>
    <w:p w:rsidR="00DA4C59" w:rsidRDefault="00DA4C59" w:rsidP="00DA4C59">
      <w:pPr>
        <w:pStyle w:val="ListeParagraf"/>
        <w:ind w:left="1440"/>
        <w:rPr>
          <w:i/>
        </w:rPr>
      </w:pPr>
      <w:r w:rsidRPr="00DA4C59">
        <w:rPr>
          <w:i/>
        </w:rPr>
        <w:t>“Bu fıkra için belirlenen süre geriye dönük olarak 1 (bir) yılı aşamaz.”</w:t>
      </w:r>
    </w:p>
    <w:p w:rsidR="00DA4C59" w:rsidRDefault="00DA4C59" w:rsidP="00DA4C59">
      <w:pPr>
        <w:pStyle w:val="ListeParagraf"/>
        <w:ind w:left="1440"/>
        <w:rPr>
          <w:i/>
        </w:rPr>
      </w:pPr>
    </w:p>
    <w:p w:rsidR="00DA4C59" w:rsidRDefault="00DA4C59" w:rsidP="000A5A56">
      <w:pPr>
        <w:pStyle w:val="ListeParagraf"/>
        <w:numPr>
          <w:ilvl w:val="0"/>
          <w:numId w:val="59"/>
        </w:numPr>
        <w:spacing w:after="160" w:line="259" w:lineRule="auto"/>
      </w:pPr>
      <w:r w:rsidRPr="00DA4C59">
        <w:t>52 nci maddesi aşağıdaki şekilde değiştirilmiştir.</w:t>
      </w:r>
    </w:p>
    <w:p w:rsidR="00DA4C59" w:rsidRDefault="00DA4C59" w:rsidP="00DA4C59">
      <w:pPr>
        <w:pStyle w:val="ListeParagraf"/>
        <w:spacing w:after="160" w:line="259" w:lineRule="auto"/>
        <w:ind w:left="1440"/>
      </w:pPr>
    </w:p>
    <w:p w:rsidR="00DA4C59" w:rsidRPr="00DA4C59" w:rsidRDefault="00DA4C59" w:rsidP="00DA4C59">
      <w:pPr>
        <w:pStyle w:val="ListeParagraf"/>
        <w:ind w:left="1440"/>
        <w:rPr>
          <w:i/>
        </w:rPr>
      </w:pPr>
      <w:r w:rsidRPr="00DA4C59">
        <w:rPr>
          <w:i/>
        </w:rPr>
        <w:t>“Madde 52- Dağıtım veya ölçüm sistemine ya da tesisata herhangi bir şekilde müdahale edilerek tüketimin doğru tespit edilmesini engellemek suretiyle, tüketimin eksik veya hatalı ölçülerek ya da hiç ölçülmeden veya yasal şekilde tesis edilmiş sayaçtan geçirilmeden mevzuata aykırı bir şekilde tüketilmesi, kaçak doğal gaz kullanımı olarak kabul edilir. Kaçak doğal gaz kullanımının tespit edilmesinde, dağıtım şirketinin tespitini doğru bulgu ve belgelere dayandırması ve tüketici haklarının ihlal edilmemesi esastır.</w:t>
      </w:r>
    </w:p>
    <w:p w:rsidR="00DA4C59" w:rsidRPr="00DA4C59" w:rsidRDefault="00DA4C59" w:rsidP="00DA4C59">
      <w:pPr>
        <w:pStyle w:val="ListeParagraf"/>
        <w:ind w:left="1440"/>
        <w:rPr>
          <w:i/>
        </w:rPr>
      </w:pPr>
      <w:r w:rsidRPr="00DA4C59">
        <w:rPr>
          <w:i/>
        </w:rPr>
        <w:t>Kaçak doğal gaz kullanıldığının tespit edilmesi halinde, dağıtım şirketi tarafından fotoğraf, video ve benzeri uygun kayıt araçlarıyla görüntü alınarak tutanak düzenlenir ve arşivlenir. Dağıtım şirketi tarafından kaçak kullanımın engellenmesi için gereken önlemler alınır.</w:t>
      </w:r>
    </w:p>
    <w:p w:rsidR="00DA4C59" w:rsidRDefault="00DA4C59" w:rsidP="00DA4C59">
      <w:pPr>
        <w:pStyle w:val="ListeParagraf"/>
        <w:ind w:left="1440"/>
        <w:rPr>
          <w:i/>
        </w:rPr>
      </w:pPr>
      <w:r w:rsidRPr="00DA4C59">
        <w:rPr>
          <w:i/>
        </w:rPr>
        <w:t>Kaçak doğal gaz kullanımının tespiti halinde, ölçüm ve kontrol sonuçlarına göre düzenlenen belgelere dayanılarak hesaplanmak suretiyle kullanım süresi ve bu süre içerisinde tüketilen doğal gaz miktarı dikkate alınarak dağıtım şirketi tarafından bu fiili işleyene veya yararlanana tahakkuk ettirilecek bedel içerisine, sebep olunan zarar ve ziyan, hesaplama ile elde edilen doğal gaz miktarı karşılığı bedel ve hesaplanan bu miktarın 2 (iki) katı karşılığı kaçak kullanım bedeli yansıtılır. Kaçak kullanımın aynı tüketici tarafından iki yıl içerisinde tekrarı halinde her bir tekrarda kaçak kullanım bedeli katsayısı bir öncekinin 2 (iki) katı olarak uygulanır.”</w:t>
      </w:r>
    </w:p>
    <w:p w:rsidR="00DA4C59" w:rsidRDefault="00DA4C59" w:rsidP="00DA4C59">
      <w:pPr>
        <w:pStyle w:val="ListeParagraf"/>
        <w:ind w:left="1440"/>
        <w:rPr>
          <w:i/>
        </w:rPr>
      </w:pPr>
    </w:p>
    <w:p w:rsidR="00DA4C59" w:rsidRDefault="00DA4C59" w:rsidP="000A5A56">
      <w:pPr>
        <w:pStyle w:val="ListeParagraf"/>
        <w:numPr>
          <w:ilvl w:val="0"/>
          <w:numId w:val="59"/>
        </w:numPr>
        <w:spacing w:after="160" w:line="259" w:lineRule="auto"/>
      </w:pPr>
      <w:r w:rsidRPr="00DA4C59">
        <w:t>53 üncü maddesinin ikinci fıkrasının sonuna aşağıdaki cümleler eklenmiş, dördüncü fıkrası aşağıdaki şekilde değiştirilmiş ve aynı maddeye aşağıdaki fıkra eklenmiştir.</w:t>
      </w:r>
    </w:p>
    <w:p w:rsidR="00DA4C59" w:rsidRDefault="00DA4C59" w:rsidP="00DA4C59">
      <w:pPr>
        <w:pStyle w:val="ListeParagraf"/>
        <w:spacing w:after="160" w:line="259" w:lineRule="auto"/>
        <w:ind w:left="1440"/>
      </w:pPr>
    </w:p>
    <w:p w:rsidR="00DA4C59" w:rsidRPr="00DA4C59" w:rsidRDefault="00DA4C59" w:rsidP="00DA4C59">
      <w:pPr>
        <w:pStyle w:val="ListeParagraf"/>
        <w:ind w:left="1440"/>
        <w:rPr>
          <w:i/>
        </w:rPr>
      </w:pPr>
      <w:r w:rsidRPr="00DA4C59">
        <w:rPr>
          <w:i/>
        </w:rPr>
        <w:t xml:space="preserve">“Ayrıca, sözleşme sahibinin her türlü hukuki ve mali sorumluluğu üstlendiğine dair dağıtım şirketine yazılı bir taahhütname vermesi kaydıyla aynı adreste yaşayan birinci dereceye kadar alt soy ve üst soy ile eş için kendi adına sözleşme yapmadan yapılan kullanımlar usulsüz kullanım </w:t>
      </w:r>
      <w:r w:rsidRPr="00DA4C59">
        <w:rPr>
          <w:i/>
        </w:rPr>
        <w:lastRenderedPageBreak/>
        <w:t>sayılmaz. Bu durumlarda fiili kullanıcının bilgileri dağıtım şirketi tarafından kayıt altına alınarak sistemlerinde gerekli güncellemeler yapılır.”</w:t>
      </w:r>
    </w:p>
    <w:p w:rsidR="00DA4C59" w:rsidRPr="00DA4C59" w:rsidRDefault="00DA4C59" w:rsidP="00DA4C59">
      <w:pPr>
        <w:pStyle w:val="ListeParagraf"/>
        <w:ind w:left="1440"/>
        <w:rPr>
          <w:i/>
        </w:rPr>
      </w:pPr>
      <w:r w:rsidRPr="00DA4C59">
        <w:rPr>
          <w:i/>
        </w:rPr>
        <w:t>“Birinci fıkranın (d) bendindeki hallerde, onaysız yapılan tadilat neticesinde tesisata ilave cihaz eklenmesi ile tüm yakıcı cihazların toplam kapasitesinin kullanılan sayacın ölçüm aralığını aşması halinde durumun tüketiciye bildirilmesi kaydıyla, yapılan tadilat tarihinden itibaren tüm tüketim faturaları kullanılan tüm yakıcı cihazların toplam kapasitesi esas alınarak bulunan yeni değer ile adreste bulunan sayacın azami ölçüm kapasitesi arasındaki farka göre tahakkuk ettirilir. Tadilat tarihinin üzerinden 1 (bir) yıldan çok süre geçmesi halinde son 1 (bir) yıllık süre üzerinden işlem yapılır.”</w:t>
      </w:r>
    </w:p>
    <w:p w:rsidR="00DA4C59" w:rsidRDefault="00DA4C59" w:rsidP="00DA4C59">
      <w:pPr>
        <w:pStyle w:val="ListeParagraf"/>
        <w:ind w:left="1440"/>
        <w:rPr>
          <w:i/>
        </w:rPr>
      </w:pPr>
      <w:r w:rsidRPr="00DA4C59">
        <w:rPr>
          <w:i/>
        </w:rPr>
        <w:t>“Usulsüz kullanım tespiti durumunda fiili kullanıcıya Kurul tarafından belirlenen usulsüz kullanım bedeli yansıtılır.”</w:t>
      </w:r>
    </w:p>
    <w:p w:rsidR="00DA4C59" w:rsidRDefault="00DA4C59" w:rsidP="00DA4C59">
      <w:pPr>
        <w:pStyle w:val="ListeParagraf"/>
        <w:ind w:left="1440"/>
        <w:rPr>
          <w:i/>
        </w:rPr>
      </w:pPr>
    </w:p>
    <w:p w:rsidR="00DA4C59" w:rsidRDefault="00DA4C59" w:rsidP="000A5A56">
      <w:pPr>
        <w:pStyle w:val="ListeParagraf"/>
        <w:numPr>
          <w:ilvl w:val="0"/>
          <w:numId w:val="59"/>
        </w:numPr>
        <w:spacing w:after="160" w:line="259" w:lineRule="auto"/>
      </w:pPr>
      <w:r w:rsidRPr="00DA4C59">
        <w:t>54 üncü maddesi aşağıdaki şekilde değiştirilmiştir.</w:t>
      </w:r>
    </w:p>
    <w:p w:rsidR="00DA4C59" w:rsidRDefault="00DA4C59" w:rsidP="00DA4C59">
      <w:pPr>
        <w:pStyle w:val="ListeParagraf"/>
        <w:spacing w:after="160" w:line="259" w:lineRule="auto"/>
        <w:ind w:left="1440"/>
      </w:pPr>
    </w:p>
    <w:p w:rsidR="00DA4C59" w:rsidRPr="00DA4C59" w:rsidRDefault="00DA4C59" w:rsidP="00DA4C59">
      <w:pPr>
        <w:pStyle w:val="ListeParagraf"/>
        <w:ind w:left="1440"/>
        <w:rPr>
          <w:i/>
        </w:rPr>
      </w:pPr>
      <w:r w:rsidRPr="00DA4C59">
        <w:rPr>
          <w:i/>
        </w:rPr>
        <w:t>“Madde 54- Kaçak ve usulsüz doğal gaz kullanımına ilişkin olarak;</w:t>
      </w:r>
    </w:p>
    <w:p w:rsidR="00DA4C59" w:rsidRPr="00DA4C59" w:rsidRDefault="00DA4C59" w:rsidP="00DA4C59">
      <w:pPr>
        <w:pStyle w:val="ListeParagraf"/>
        <w:ind w:left="1440"/>
        <w:rPr>
          <w:i/>
        </w:rPr>
      </w:pPr>
      <w:r w:rsidRPr="00DA4C59">
        <w:rPr>
          <w:i/>
        </w:rPr>
        <w:t>a) Tespit,</w:t>
      </w:r>
    </w:p>
    <w:p w:rsidR="00DA4C59" w:rsidRPr="00DA4C59" w:rsidRDefault="00DA4C59" w:rsidP="00DA4C59">
      <w:pPr>
        <w:pStyle w:val="ListeParagraf"/>
        <w:ind w:left="1440"/>
        <w:rPr>
          <w:i/>
        </w:rPr>
      </w:pPr>
      <w:r w:rsidRPr="00DA4C59">
        <w:rPr>
          <w:i/>
        </w:rPr>
        <w:t>b) Süre,</w:t>
      </w:r>
    </w:p>
    <w:p w:rsidR="00DA4C59" w:rsidRPr="00DA4C59" w:rsidRDefault="00DA4C59" w:rsidP="00DA4C59">
      <w:pPr>
        <w:pStyle w:val="ListeParagraf"/>
        <w:ind w:left="1440"/>
        <w:rPr>
          <w:i/>
        </w:rPr>
      </w:pPr>
      <w:r w:rsidRPr="00DA4C59">
        <w:rPr>
          <w:i/>
        </w:rPr>
        <w:t>c) Tüketim miktarı hesaplama,</w:t>
      </w:r>
    </w:p>
    <w:p w:rsidR="00DA4C59" w:rsidRPr="00DA4C59" w:rsidRDefault="00DA4C59" w:rsidP="00DA4C59">
      <w:pPr>
        <w:pStyle w:val="ListeParagraf"/>
        <w:ind w:left="1440"/>
        <w:rPr>
          <w:i/>
        </w:rPr>
      </w:pPr>
      <w:r w:rsidRPr="00DA4C59">
        <w:rPr>
          <w:i/>
        </w:rPr>
        <w:t>d) Tahakkuk,</w:t>
      </w:r>
    </w:p>
    <w:p w:rsidR="00DA4C59" w:rsidRPr="00DA4C59" w:rsidRDefault="00DA4C59" w:rsidP="00DA4C59">
      <w:pPr>
        <w:pStyle w:val="ListeParagraf"/>
        <w:ind w:left="1440"/>
        <w:rPr>
          <w:i/>
        </w:rPr>
      </w:pPr>
      <w:r w:rsidRPr="00DA4C59">
        <w:rPr>
          <w:i/>
        </w:rPr>
        <w:t>e) Ödeme,</w:t>
      </w:r>
    </w:p>
    <w:p w:rsidR="00DA4C59" w:rsidRDefault="00DA4C59" w:rsidP="00DA4C59">
      <w:pPr>
        <w:pStyle w:val="ListeParagraf"/>
        <w:ind w:left="1440"/>
        <w:rPr>
          <w:i/>
        </w:rPr>
      </w:pPr>
      <w:r w:rsidRPr="00DA4C59">
        <w:rPr>
          <w:i/>
        </w:rPr>
        <w:t>yöntemleri ile diğer usul ve esaslar Kurul tarafından belirlenir.”</w:t>
      </w:r>
    </w:p>
    <w:p w:rsidR="00DA4C59" w:rsidRDefault="00DA4C59" w:rsidP="00DA4C59">
      <w:pPr>
        <w:pStyle w:val="ListeParagraf"/>
        <w:ind w:left="1440"/>
        <w:rPr>
          <w:i/>
        </w:rPr>
      </w:pPr>
    </w:p>
    <w:p w:rsidR="00DA4C59" w:rsidRDefault="00DA4C59" w:rsidP="000A5A56">
      <w:pPr>
        <w:pStyle w:val="ListeParagraf"/>
        <w:numPr>
          <w:ilvl w:val="0"/>
          <w:numId w:val="59"/>
        </w:numPr>
        <w:spacing w:after="160" w:line="259" w:lineRule="auto"/>
      </w:pPr>
      <w:r w:rsidRPr="00DA4C59">
        <w:t>55 inci maddesinin birinci fıkrasının (b), (c), (i) ve (o) bentleri aşağıdaki şekilde değiştirilmiş, aynı fıkraya aşağıdaki bentler eklenmiştir.</w:t>
      </w:r>
    </w:p>
    <w:p w:rsidR="00DA4C59" w:rsidRDefault="00DA4C59" w:rsidP="00DA4C59">
      <w:pPr>
        <w:pStyle w:val="ListeParagraf"/>
        <w:spacing w:after="160" w:line="259" w:lineRule="auto"/>
        <w:ind w:left="1440"/>
      </w:pPr>
    </w:p>
    <w:p w:rsidR="00DA4C59" w:rsidRPr="00DA4C59" w:rsidRDefault="00DA4C59" w:rsidP="00DA4C59">
      <w:pPr>
        <w:pStyle w:val="ListeParagraf"/>
        <w:ind w:left="1440"/>
        <w:rPr>
          <w:i/>
        </w:rPr>
      </w:pPr>
      <w:r w:rsidRPr="00DA4C59">
        <w:rPr>
          <w:i/>
        </w:rPr>
        <w:t>“b) Sorumluluk alanında talebe uygun kapasiteyi sağlar, değişen doğal gaz talebine ve şehrin imar planlarının gerektirdiği nüfus yoğunluğuna göre mevcut şebekeyi genişletir, iyileştirir veya yeni şebeke yatırımı planlanmasını yapar ve uygular, yıllık yatırım planlamalarını ilgili yılın ilk çeyreği sonuna kadar hazırlar ve talep edilmesi halinde yatırım planlamaları hakkında doğru bilgilendirme yapar.</w:t>
      </w:r>
    </w:p>
    <w:p w:rsidR="00DA4C59" w:rsidRPr="00DA4C59" w:rsidRDefault="00DA4C59" w:rsidP="00DA4C59">
      <w:pPr>
        <w:pStyle w:val="ListeParagraf"/>
        <w:ind w:left="1440"/>
        <w:rPr>
          <w:i/>
        </w:rPr>
      </w:pPr>
      <w:r w:rsidRPr="00DA4C59">
        <w:rPr>
          <w:i/>
        </w:rPr>
        <w:t>c) Yerel itfaiye ve güvenlik kuruluşlarını doğal gaz ve uygulamaları konusunda eğitir ve bunlarla uyum içinde çalışır, talep halinde söz konusu kuruluşların tatbikatlarına katılır.”</w:t>
      </w:r>
    </w:p>
    <w:p w:rsidR="00DA4C59" w:rsidRPr="00DA4C59" w:rsidRDefault="00DA4C59" w:rsidP="00DA4C59">
      <w:pPr>
        <w:pStyle w:val="ListeParagraf"/>
        <w:ind w:left="1440"/>
        <w:rPr>
          <w:i/>
        </w:rPr>
      </w:pPr>
      <w:r w:rsidRPr="00DA4C59">
        <w:rPr>
          <w:i/>
        </w:rPr>
        <w:t>“i) Müşterilerini belirli bir marka ya da şirkete yönlendiremez, rekabeti bozucu uygulamalar yapamaz.”</w:t>
      </w:r>
    </w:p>
    <w:p w:rsidR="00DA4C59" w:rsidRPr="00DA4C59" w:rsidRDefault="00DA4C59" w:rsidP="00DA4C59">
      <w:pPr>
        <w:pStyle w:val="ListeParagraf"/>
        <w:ind w:left="1440"/>
        <w:rPr>
          <w:i/>
        </w:rPr>
      </w:pPr>
      <w:r w:rsidRPr="00DA4C59">
        <w:rPr>
          <w:i/>
        </w:rPr>
        <w:t>“o) Dağıtım bölgesinde müşterisi olan tedarikçilere iletim şebekesi üzerinden verilen hizmetler ve iletim şebekesinin işletimi için gerekli olan verileri, iletim şirketinin talebi ve Kurumun onayı ile belirlenen zaman aralıklarında ve kapsamda vermekle yükümlüdür.”</w:t>
      </w:r>
    </w:p>
    <w:p w:rsidR="00DA4C59" w:rsidRPr="00DA4C59" w:rsidRDefault="00DA4C59" w:rsidP="00DA4C59">
      <w:pPr>
        <w:pStyle w:val="ListeParagraf"/>
        <w:ind w:left="1440"/>
        <w:rPr>
          <w:i/>
        </w:rPr>
      </w:pPr>
      <w:r w:rsidRPr="00DA4C59">
        <w:rPr>
          <w:i/>
        </w:rPr>
        <w:t>“p) Kurum tarafından talep edildiği takdirde veya gerekli görülen hallerde bu Yönetmelik kapsamındaki hizmetleri elektronik ortamda ve e-Devlet üzerinden sunar.</w:t>
      </w:r>
    </w:p>
    <w:p w:rsidR="00DA4C59" w:rsidRPr="00DA4C59" w:rsidRDefault="00DA4C59" w:rsidP="00DA4C59">
      <w:pPr>
        <w:pStyle w:val="ListeParagraf"/>
        <w:ind w:left="1440"/>
        <w:rPr>
          <w:i/>
        </w:rPr>
      </w:pPr>
      <w:r w:rsidRPr="00DA4C59">
        <w:rPr>
          <w:i/>
        </w:rPr>
        <w:t>r) Dağıtım şebekesine ilişkin deplase işlemleri sebebiyle oluşan maliyetlerin gerektiğinde tarife hesaplamalarında dikkate alınmasına ilişkin kriterler Kurul tarafından belirlenir.</w:t>
      </w:r>
    </w:p>
    <w:p w:rsidR="00DA4C59" w:rsidRDefault="00DA4C59" w:rsidP="00DA4C59">
      <w:pPr>
        <w:pStyle w:val="ListeParagraf"/>
        <w:ind w:left="1440"/>
        <w:rPr>
          <w:i/>
        </w:rPr>
      </w:pPr>
      <w:r w:rsidRPr="00DA4C59">
        <w:rPr>
          <w:i/>
        </w:rPr>
        <w:t>s) Acil müdahale hizmetleri için hizmet alamaz. Bunun haricinde hizmet alınamayacak diğer hususlar Kurul tarafından belirlenir.”</w:t>
      </w:r>
    </w:p>
    <w:p w:rsidR="00DA4C59" w:rsidRDefault="00DA4C59" w:rsidP="00DA4C59">
      <w:pPr>
        <w:pStyle w:val="ListeParagraf"/>
        <w:ind w:left="1440"/>
        <w:rPr>
          <w:i/>
        </w:rPr>
      </w:pPr>
    </w:p>
    <w:p w:rsidR="00DA4C59" w:rsidRDefault="00DA4C59" w:rsidP="000A5A56">
      <w:pPr>
        <w:pStyle w:val="ListeParagraf"/>
        <w:numPr>
          <w:ilvl w:val="0"/>
          <w:numId w:val="59"/>
        </w:numPr>
        <w:spacing w:after="160" w:line="259" w:lineRule="auto"/>
      </w:pPr>
      <w:r w:rsidRPr="00DA4C59">
        <w:lastRenderedPageBreak/>
        <w:t>57 nci maddesinin birinci fıkrasının (d) bendi aşağıdaki şekilde değiştirilmiş ve aynı fıkraya aşağıdaki bentler eklenmiştir.</w:t>
      </w:r>
    </w:p>
    <w:p w:rsidR="00DA4C59" w:rsidRDefault="00DA4C59" w:rsidP="00DA4C59">
      <w:pPr>
        <w:pStyle w:val="ListeParagraf"/>
        <w:spacing w:after="160" w:line="259" w:lineRule="auto"/>
        <w:ind w:left="1440"/>
      </w:pPr>
    </w:p>
    <w:p w:rsidR="00DA4C59" w:rsidRPr="00DA4C59" w:rsidRDefault="00DA4C59" w:rsidP="00DA4C59">
      <w:pPr>
        <w:pStyle w:val="ListeParagraf"/>
        <w:ind w:left="1440"/>
        <w:rPr>
          <w:i/>
        </w:rPr>
      </w:pPr>
      <w:r w:rsidRPr="00DA4C59">
        <w:rPr>
          <w:i/>
        </w:rPr>
        <w:t>“d) Yıllık ve beş yıllık bakım programları oluşturarak periyodik bakım ve yedek parça stokunu planlar. Bu planlara uygun bakımları yaparak raporlarını tutar ve talep halinde Kuruma verir,”</w:t>
      </w:r>
    </w:p>
    <w:p w:rsidR="00DA4C59" w:rsidRPr="00DA4C59" w:rsidRDefault="00DA4C59" w:rsidP="00DA4C59">
      <w:pPr>
        <w:pStyle w:val="ListeParagraf"/>
        <w:ind w:left="1440"/>
        <w:rPr>
          <w:i/>
        </w:rPr>
      </w:pPr>
      <w:r w:rsidRPr="00DA4C59">
        <w:rPr>
          <w:i/>
        </w:rPr>
        <w:t>“f) Tüketicilere güvenli ve kesintisiz gaz arzının sağlanmasını teminen, dağıtım şebekesinin ve şebeke işletmeciliğinde kullanılan ekipmanların yerinde fiziki kontrollerini ve bakım onarımını ilgili mevzuat, standartlar ve üretici firma tavsiyelerine uygun olarak dağıtım bölgesinin özelliklerine göre planlar ve uygular.</w:t>
      </w:r>
    </w:p>
    <w:p w:rsidR="00DA4C59" w:rsidRDefault="00DA4C59" w:rsidP="00DA4C59">
      <w:pPr>
        <w:pStyle w:val="ListeParagraf"/>
        <w:ind w:left="1440"/>
        <w:rPr>
          <w:i/>
        </w:rPr>
      </w:pPr>
      <w:r w:rsidRPr="00DA4C59">
        <w:rPr>
          <w:i/>
        </w:rPr>
        <w:t>g) Dağıtım şebekesinde oluşan büyük çapta hasar ve gaz kesintilerinde, dağıtım şirketi şebeke içerisinde gerekli doğal gaz akışları ile alakalı operasyonları yapar ve alternatif gaz arzı imkânlarını da değerlendirerek iletim şirketi ve Kuruma bilgi verir.”</w:t>
      </w:r>
    </w:p>
    <w:p w:rsidR="00DA4C59" w:rsidRDefault="00DA4C59" w:rsidP="00DA4C59">
      <w:pPr>
        <w:pStyle w:val="ListeParagraf"/>
        <w:ind w:left="1440"/>
        <w:rPr>
          <w:i/>
        </w:rPr>
      </w:pPr>
    </w:p>
    <w:p w:rsidR="00DA4C59" w:rsidRDefault="00DA4C59" w:rsidP="000A5A56">
      <w:pPr>
        <w:pStyle w:val="ListeParagraf"/>
        <w:numPr>
          <w:ilvl w:val="0"/>
          <w:numId w:val="59"/>
        </w:numPr>
        <w:spacing w:after="160" w:line="259" w:lineRule="auto"/>
      </w:pPr>
      <w:r w:rsidRPr="00DA4C59">
        <w:t>60 ıncı maddesinin birinci fıkrası aşağıdaki şekilde değiştirilmiştir.</w:t>
      </w:r>
    </w:p>
    <w:p w:rsidR="00DA4C59" w:rsidRDefault="00DA4C59" w:rsidP="00DA4C59">
      <w:pPr>
        <w:pStyle w:val="ListeParagraf"/>
        <w:spacing w:after="160" w:line="259" w:lineRule="auto"/>
        <w:ind w:left="1440"/>
      </w:pPr>
    </w:p>
    <w:p w:rsidR="00DA4C59" w:rsidRDefault="00DA4C59" w:rsidP="00DA4C59">
      <w:pPr>
        <w:pStyle w:val="ListeParagraf"/>
        <w:ind w:left="1440"/>
        <w:rPr>
          <w:i/>
        </w:rPr>
      </w:pPr>
      <w:r w:rsidRPr="00DA4C59">
        <w:rPr>
          <w:i/>
        </w:rPr>
        <w:t>“Dağıtım şirketi, güvenlik açısından olası kaçakların tespiti ve bunun için gerekli tedbirlerin alınması amacıyla asgari yılda iki defa olmak üzere kaçak kontrolü yapar ve sonuçlarını kayıt altına alır. Kaçak tarama sonucunda gereği halinde şebekeye müdahale edilir.”</w:t>
      </w:r>
    </w:p>
    <w:p w:rsidR="00DA4C59" w:rsidRDefault="00DA4C59" w:rsidP="00DA4C59">
      <w:pPr>
        <w:pStyle w:val="ListeParagraf"/>
        <w:ind w:left="1440"/>
        <w:rPr>
          <w:i/>
        </w:rPr>
      </w:pPr>
    </w:p>
    <w:p w:rsidR="00DA4C59" w:rsidRDefault="00DA4C59" w:rsidP="000A5A56">
      <w:pPr>
        <w:pStyle w:val="ListeParagraf"/>
        <w:numPr>
          <w:ilvl w:val="0"/>
          <w:numId w:val="59"/>
        </w:numPr>
        <w:spacing w:after="160" w:line="259" w:lineRule="auto"/>
      </w:pPr>
      <w:r w:rsidRPr="00DA4C59">
        <w:t>61 inci maddesinin üçüncü, dördüncü, beşinci ve sekizinci fıkraları aşağıdaki şekilde değiştirilmiştir.</w:t>
      </w:r>
    </w:p>
    <w:p w:rsidR="00DA4C59" w:rsidRDefault="00DA4C59" w:rsidP="00DA4C59">
      <w:pPr>
        <w:pStyle w:val="ListeParagraf"/>
        <w:spacing w:after="160" w:line="259" w:lineRule="auto"/>
        <w:ind w:left="1440"/>
      </w:pPr>
    </w:p>
    <w:p w:rsidR="00DA4C59" w:rsidRPr="00DA4C59" w:rsidRDefault="00DA4C59" w:rsidP="00DA4C59">
      <w:pPr>
        <w:pStyle w:val="ListeParagraf"/>
        <w:ind w:left="1440"/>
        <w:rPr>
          <w:i/>
        </w:rPr>
      </w:pPr>
      <w:r w:rsidRPr="00DA4C59">
        <w:rPr>
          <w:i/>
        </w:rPr>
        <w:t>“Dağıtım şirketi, ihbarları kayıt edecek personeli ve kullanılacak acil müdahale araçlarından en az birini personeli ile birlikte yirmi dört saat hazır durumda tutar. Acil müdahale gerektiren ihbarlara, abone sayısı beş binin altında olan ve şehir merkezi ile en yakın işletme merkezine karayolu mesafesi on beş km üstünde olan genişleme yoluyla dağıtım bölgesine dahil edilen yerleşim yerleri için en geç 30 (otuz) dakika içinde, dağıtım bölgesindeki diğer yerleşim yerleri için ise en geç 15 (on beş) dakika içinde ulaşacak organizasyonu yapar. Arıza sayısı ve sıklığına bağlı olarak yeterli sayıda bakım-onarım personelinin iş başında olmasını sağlar.</w:t>
      </w:r>
    </w:p>
    <w:p w:rsidR="00DA4C59" w:rsidRPr="00DA4C59" w:rsidRDefault="00DA4C59" w:rsidP="00DA4C59">
      <w:pPr>
        <w:pStyle w:val="ListeParagraf"/>
        <w:ind w:left="1440"/>
        <w:rPr>
          <w:i/>
        </w:rPr>
      </w:pPr>
      <w:r w:rsidRPr="00DA4C59">
        <w:rPr>
          <w:i/>
        </w:rPr>
        <w:t>Dağıtım şirketi, acil müdahale personelini dağıtım şebekesine ilişkin asgari olarak arıza ve hasar tespiti ile onarımı, alet, cihaz ve ekipmanların kullanımı, iş emniyeti tedbirleri, tespit edilemeyen veya giderilemeyen arıza ve hasar hallerinde uygulanacak usuller konusunda eğitir veya eğitim almasını sağlar. Bu konularda mesleki yeterlilik belgesi olmayan personel, acil müdahale faaliyetlerinde çalıştırılamaz.</w:t>
      </w:r>
    </w:p>
    <w:p w:rsidR="00DA4C59" w:rsidRPr="00DA4C59" w:rsidRDefault="00DA4C59" w:rsidP="00DA4C59">
      <w:pPr>
        <w:pStyle w:val="ListeParagraf"/>
        <w:ind w:left="1440"/>
        <w:rPr>
          <w:i/>
        </w:rPr>
      </w:pPr>
      <w:r w:rsidRPr="00DA4C59">
        <w:rPr>
          <w:i/>
        </w:rPr>
        <w:t>Acil müdahale merkezi; ihbarda bulunan kişileri, ihbar konusu olay karşısında nasıl davranacakları ve acil müdahale ekibinin kaç dakika içinde olay yerine ulaşabileceği gibi hususlarda bilgilendirir. Gerektiğinde güvenlik, itfaiye, acil sağlık merkezleri ve ilgili lisans sahibi ve/veya kuruluşlar ile bağlantı kurar.”</w:t>
      </w:r>
    </w:p>
    <w:p w:rsidR="00DA4C59" w:rsidRDefault="00DA4C59" w:rsidP="00DA4C59">
      <w:pPr>
        <w:pStyle w:val="ListeParagraf"/>
        <w:ind w:left="1440"/>
        <w:rPr>
          <w:i/>
        </w:rPr>
      </w:pPr>
      <w:r w:rsidRPr="00DA4C59">
        <w:rPr>
          <w:i/>
        </w:rPr>
        <w:t>“Acil müdahale hizmetleri ücretsiz verilir. Ancak, dağıtım şebekesine üçüncü şahıslar veya diğer altyapı kuruluşları tarafından hasar verilmesi durumunda, meydana gelen zarar, hasar veren tarafından karşılanır. Bununla birlikte, acil müdahale sonucunda iç tesisatta yapılacak tamir ve tadilat müşterinin sorumluluğundadır.”</w:t>
      </w:r>
    </w:p>
    <w:p w:rsidR="00DA4C59" w:rsidRDefault="00DA4C59" w:rsidP="00DA4C59">
      <w:pPr>
        <w:pStyle w:val="ListeParagraf"/>
        <w:ind w:left="1440"/>
        <w:rPr>
          <w:i/>
        </w:rPr>
      </w:pPr>
    </w:p>
    <w:p w:rsidR="00DA4C59" w:rsidRDefault="00356CFB" w:rsidP="000A5A56">
      <w:pPr>
        <w:pStyle w:val="ListeParagraf"/>
        <w:numPr>
          <w:ilvl w:val="0"/>
          <w:numId w:val="59"/>
        </w:numPr>
        <w:spacing w:after="160" w:line="259" w:lineRule="auto"/>
      </w:pPr>
      <w:r w:rsidRPr="00356CFB">
        <w:t>66 ncı maddesi aşağıdaki şekilde değiştirilmiştir.</w:t>
      </w:r>
    </w:p>
    <w:p w:rsidR="00DA4C59" w:rsidRDefault="00DA4C59" w:rsidP="00DA4C59">
      <w:pPr>
        <w:pStyle w:val="ListeParagraf"/>
        <w:spacing w:after="160" w:line="259" w:lineRule="auto"/>
        <w:ind w:left="1440"/>
      </w:pPr>
    </w:p>
    <w:p w:rsidR="00DA4C59" w:rsidRDefault="00356CFB" w:rsidP="00DA4C59">
      <w:pPr>
        <w:pStyle w:val="ListeParagraf"/>
        <w:ind w:left="1440"/>
        <w:rPr>
          <w:i/>
        </w:rPr>
      </w:pPr>
      <w:r w:rsidRPr="00356CFB">
        <w:rPr>
          <w:i/>
        </w:rPr>
        <w:lastRenderedPageBreak/>
        <w:t>“Madde 66- Tüketim miktarı Kurul tarafından belirlenen miktarın üzerinde olan serbest tüketiciler, tedarikçi seçme hakkını kullanan serbest tüketiciler ve Kurul tarafından belirlenecek diğer serbest tüketiciler dağıtım şirketinin bildirim tarihinden itibaren en geç 30 (otuz) gün içerisinde sevkiyat kontrol merkezi ile haberleşme sistemlerini dağıtım şirketinin belirlediği kriterler çerçevesinde bedeli kendilerine ait olmak üzere tesis eder. Serbest tüketicinin haberleşme sistemini bildirim tarihinden itibaren 30 (otuz) gün içerisinde tesis etmemesi halinde haberleşme sistemi dağıtım şirketi tarafından tesis edilerek serbest tüketiciye fatura edilir. Serbest tüketicilerin diğer mevzuata göre ekonomik ömrünü doldurmuş otomatik hacim düzelticileri ve haberleşme imkânı sağlayacak sistemleri ile ilgili olarak bu maddedeki usul ile yenileme yapılır. Tesis edilen bu sistemlerin işletimi, ilgili standartlara uygunluğu ve siber güvenlik yükümlülükleri dağıtım şirketinin sorumluluğunda olup tüm bakım, onarım, haberleşme ve işletme masrafları dağıtım şirketi tarafından karşılanır.”</w:t>
      </w:r>
    </w:p>
    <w:p w:rsidR="00DA4C59" w:rsidRDefault="00DA4C59" w:rsidP="00DA4C59">
      <w:pPr>
        <w:pStyle w:val="ListeParagraf"/>
        <w:ind w:left="1440"/>
        <w:rPr>
          <w:i/>
        </w:rPr>
      </w:pPr>
    </w:p>
    <w:p w:rsidR="00356CFB" w:rsidRDefault="00356CFB" w:rsidP="000A5A56">
      <w:pPr>
        <w:pStyle w:val="ListeParagraf"/>
        <w:numPr>
          <w:ilvl w:val="0"/>
          <w:numId w:val="59"/>
        </w:numPr>
        <w:spacing w:after="160" w:line="259" w:lineRule="auto"/>
      </w:pPr>
      <w:r w:rsidRPr="00356CFB">
        <w:t>67 nci maddesinin birinci fıkrası aşağıdaki şekilde değiştirilmiştir.</w:t>
      </w:r>
    </w:p>
    <w:p w:rsidR="00356CFB" w:rsidRDefault="00356CFB" w:rsidP="00356CFB">
      <w:pPr>
        <w:pStyle w:val="ListeParagraf"/>
        <w:spacing w:after="160" w:line="259" w:lineRule="auto"/>
        <w:ind w:left="1440"/>
      </w:pPr>
    </w:p>
    <w:p w:rsidR="00356CFB" w:rsidRDefault="00356CFB" w:rsidP="00356CFB">
      <w:pPr>
        <w:pStyle w:val="ListeParagraf"/>
        <w:ind w:left="1440"/>
        <w:rPr>
          <w:i/>
        </w:rPr>
      </w:pPr>
      <w:r w:rsidRPr="00356CFB">
        <w:rPr>
          <w:i/>
        </w:rPr>
        <w:t>“Dağıtım şirketi, dengeli ve emniyetli doğal gaz akışının temini için boru hatlarında, şehir içi bölge istasyonlarında ve vanalarda en fazla on beş günlük periyotlarda basınç kontrolleri yapar ve bu kontrollere ilişkin raporları muhafaza eder.”</w:t>
      </w:r>
    </w:p>
    <w:p w:rsidR="00356CFB" w:rsidRDefault="00356CFB" w:rsidP="00356CFB">
      <w:pPr>
        <w:pStyle w:val="ListeParagraf"/>
        <w:ind w:left="1440"/>
        <w:rPr>
          <w:i/>
        </w:rPr>
      </w:pPr>
    </w:p>
    <w:p w:rsidR="00356CFB" w:rsidRDefault="00356CFB" w:rsidP="000A5A56">
      <w:pPr>
        <w:pStyle w:val="ListeParagraf"/>
        <w:numPr>
          <w:ilvl w:val="0"/>
          <w:numId w:val="59"/>
        </w:numPr>
        <w:spacing w:after="160" w:line="259" w:lineRule="auto"/>
      </w:pPr>
      <w:r w:rsidRPr="00356CFB">
        <w:t>68 inci maddesi aşağıdaki şekilde değiştirilmiştir.</w:t>
      </w:r>
    </w:p>
    <w:p w:rsidR="00356CFB" w:rsidRDefault="00356CFB" w:rsidP="00356CFB">
      <w:pPr>
        <w:pStyle w:val="ListeParagraf"/>
        <w:spacing w:after="160" w:line="259" w:lineRule="auto"/>
        <w:ind w:left="1440"/>
      </w:pPr>
    </w:p>
    <w:p w:rsidR="00356CFB" w:rsidRDefault="00356CFB" w:rsidP="00356CFB">
      <w:pPr>
        <w:pStyle w:val="ListeParagraf"/>
        <w:ind w:left="1440"/>
        <w:rPr>
          <w:i/>
        </w:rPr>
      </w:pPr>
      <w:r w:rsidRPr="00356CFB">
        <w:rPr>
          <w:i/>
        </w:rPr>
        <w:t>“Madde 68- Dağıtım şirketi, sayaçların muayenesi ile tamir ve ayar işlemlerini, Ölçü Aletleri Mevzuatına göre yapar veya yaptırır. Sayaçların mevzuatta belirtilen periyotlara ve üretici firmaların tavsiyelerine uygun olarak kalibrasyonunu yapar, rapor tutar ve muhafaza eder. Doğal gaz de</w:t>
      </w:r>
      <w:r w:rsidR="00E04C95">
        <w:rPr>
          <w:i/>
        </w:rPr>
        <w:t>t</w:t>
      </w:r>
      <w:r w:rsidRPr="00356CFB">
        <w:rPr>
          <w:i/>
        </w:rPr>
        <w:t>ektörlerinin, üretici firmaların tavsiyelerine uygun periyotlarda kalibrasyonunun yapılmasını sağlar. Ayrıca ölçüm sisteminde kullanılmakta olan diğer ekipmanın kalibrasyonu da ilgili mevzuat, standartlar, eğer ilgili mevzuat ve standart yok ise üretici tavsiyelerine göre yapılır.”</w:t>
      </w:r>
    </w:p>
    <w:p w:rsidR="00356CFB" w:rsidRDefault="00356CFB" w:rsidP="00356CFB">
      <w:pPr>
        <w:pStyle w:val="ListeParagraf"/>
        <w:ind w:left="1440"/>
        <w:rPr>
          <w:i/>
        </w:rPr>
      </w:pPr>
    </w:p>
    <w:p w:rsidR="00356CFB" w:rsidRDefault="00356CFB" w:rsidP="000A5A56">
      <w:pPr>
        <w:pStyle w:val="ListeParagraf"/>
        <w:numPr>
          <w:ilvl w:val="0"/>
          <w:numId w:val="59"/>
        </w:numPr>
        <w:spacing w:after="160" w:line="259" w:lineRule="auto"/>
      </w:pPr>
      <w:r w:rsidRPr="00356CFB">
        <w:t>70 inci maddesine aşağıdaki fıkra eklenmiştir.</w:t>
      </w:r>
    </w:p>
    <w:p w:rsidR="00356CFB" w:rsidRDefault="00356CFB" w:rsidP="00356CFB">
      <w:pPr>
        <w:pStyle w:val="ListeParagraf"/>
        <w:spacing w:after="160" w:line="259" w:lineRule="auto"/>
        <w:ind w:left="1440"/>
      </w:pPr>
    </w:p>
    <w:p w:rsidR="00356CFB" w:rsidRDefault="00356CFB" w:rsidP="00356CFB">
      <w:pPr>
        <w:pStyle w:val="ListeParagraf"/>
        <w:ind w:left="1440"/>
        <w:rPr>
          <w:i/>
        </w:rPr>
      </w:pPr>
      <w:r w:rsidRPr="00356CFB">
        <w:rPr>
          <w:i/>
        </w:rPr>
        <w:t>“4646 sayılı Kanunun 4 üncü maddesi uyarınca doğal gaz dağıtım şirketlerinin dağıtım bölgelerine ilave edilecek yeni genişleme bölgelerinde yerleşim yeri belediyesince doğal gaz dağıtım şirketine yatırım yapılması talebinde bulunulması halinde; ilgili dağıtım şirketinden teminat, kontrollük hizmet bedeli, kaplama bedeli, zemin/alan tahrip bedeli, hafriyat döküm bedeli ve benzeri adlarla herhangi bir bedel alınmaz ve altyapı kazı alanının üst kaplamaları ilgili belediye tarafından bedelsiz olarak yapılır.”</w:t>
      </w:r>
    </w:p>
    <w:p w:rsidR="00356CFB" w:rsidRDefault="00356CFB" w:rsidP="00356CFB">
      <w:pPr>
        <w:pStyle w:val="ListeParagraf"/>
        <w:ind w:left="1440"/>
        <w:rPr>
          <w:i/>
        </w:rPr>
      </w:pPr>
    </w:p>
    <w:p w:rsidR="00356CFB" w:rsidRDefault="00356CFB" w:rsidP="000A5A56">
      <w:pPr>
        <w:pStyle w:val="ListeParagraf"/>
        <w:numPr>
          <w:ilvl w:val="0"/>
          <w:numId w:val="59"/>
        </w:numPr>
        <w:spacing w:after="160" w:line="259" w:lineRule="auto"/>
      </w:pPr>
      <w:r w:rsidRPr="00356CFB">
        <w:t>Aşağıdaki</w:t>
      </w:r>
      <w:r>
        <w:t xml:space="preserve"> </w:t>
      </w:r>
      <w:r w:rsidRPr="00356CFB">
        <w:t>geçici madde eklenmiştir.</w:t>
      </w:r>
    </w:p>
    <w:p w:rsidR="00356CFB" w:rsidRDefault="00356CFB" w:rsidP="00356CFB">
      <w:pPr>
        <w:pStyle w:val="ListeParagraf"/>
        <w:spacing w:after="160" w:line="259" w:lineRule="auto"/>
        <w:ind w:left="1440"/>
      </w:pPr>
    </w:p>
    <w:p w:rsidR="00356CFB" w:rsidRDefault="00356CFB" w:rsidP="00356CFB">
      <w:pPr>
        <w:pStyle w:val="ListeParagraf"/>
        <w:ind w:left="1440"/>
        <w:rPr>
          <w:i/>
        </w:rPr>
      </w:pPr>
      <w:r w:rsidRPr="00356CFB">
        <w:rPr>
          <w:i/>
        </w:rPr>
        <w:t>“Geçici Madde 11- Dağıtım şirketleri, bu maddeyi ihdas eden Yönetmelik hükümleri uyarınca altyapılarında ve/veya sistemlerinde yapılması gereken işlemleri bu maddenin yürürlüğe girdiği tarihten itibaren 6 (altı) ay içerisinde tamamlamakla yükümlüdür.”</w:t>
      </w:r>
    </w:p>
    <w:p w:rsidR="00356CFB" w:rsidRDefault="00356CFB" w:rsidP="00356CFB">
      <w:pPr>
        <w:pStyle w:val="ListeParagraf"/>
        <w:ind w:left="1440"/>
        <w:rPr>
          <w:i/>
        </w:rPr>
      </w:pPr>
    </w:p>
    <w:p w:rsidR="00D734B9" w:rsidRPr="00C67976" w:rsidRDefault="00D734B9" w:rsidP="000A5A56">
      <w:pPr>
        <w:pStyle w:val="ListeParagraf"/>
        <w:numPr>
          <w:ilvl w:val="0"/>
          <w:numId w:val="58"/>
        </w:numPr>
        <w:spacing w:after="160" w:line="259" w:lineRule="auto"/>
      </w:pPr>
      <w:r w:rsidRPr="00C67976">
        <w:lastRenderedPageBreak/>
        <w:t>0</w:t>
      </w:r>
      <w:r>
        <w:t>1</w:t>
      </w:r>
      <w:r w:rsidRPr="00C67976">
        <w:t>.0</w:t>
      </w:r>
      <w:r>
        <w:t>7</w:t>
      </w:r>
      <w:r w:rsidRPr="00C67976">
        <w:t>.2022 tarihli ve 318</w:t>
      </w:r>
      <w:r>
        <w:t>8</w:t>
      </w:r>
      <w:r w:rsidRPr="00C67976">
        <w:t xml:space="preserve">3 sayılı Resmî </w:t>
      </w:r>
      <w:r w:rsidR="00274939">
        <w:t>Gazetede</w:t>
      </w:r>
      <w:r w:rsidRPr="00C67976">
        <w:t xml:space="preserve"> yayımlanan Değişiklik Yönetmeliği ile </w:t>
      </w:r>
      <w:r w:rsidRPr="00C67976">
        <w:rPr>
          <w:b/>
        </w:rPr>
        <w:t>Doğal Gaz Piyasası Sertifika Yönetmeliğinin</w:t>
      </w:r>
      <w:r>
        <w:rPr>
          <w:b/>
        </w:rPr>
        <w:t xml:space="preserve"> </w:t>
      </w:r>
      <w:r w:rsidRPr="005167D9">
        <w:t>EK-10 ve EK-12’si değiştirilmiştir.</w:t>
      </w:r>
    </w:p>
    <w:p w:rsidR="00D734B9" w:rsidRDefault="00D734B9" w:rsidP="00356CFB">
      <w:pPr>
        <w:pStyle w:val="ListeParagraf"/>
        <w:ind w:left="1440"/>
        <w:rPr>
          <w:i/>
        </w:rPr>
      </w:pPr>
    </w:p>
    <w:p w:rsidR="00356CFB" w:rsidRPr="00C67976" w:rsidRDefault="00356CFB" w:rsidP="000A5A56">
      <w:pPr>
        <w:pStyle w:val="ListeParagraf"/>
        <w:numPr>
          <w:ilvl w:val="0"/>
          <w:numId w:val="58"/>
        </w:numPr>
        <w:spacing w:after="160" w:line="259" w:lineRule="auto"/>
      </w:pPr>
      <w:r>
        <w:t>23</w:t>
      </w:r>
      <w:r w:rsidRPr="00C67976">
        <w:t>.0</w:t>
      </w:r>
      <w:r>
        <w:t>9</w:t>
      </w:r>
      <w:r w:rsidRPr="00C67976">
        <w:t>.2022 tarihli ve 31</w:t>
      </w:r>
      <w:r>
        <w:t>962</w:t>
      </w:r>
      <w:r w:rsidRPr="00C67976">
        <w:t xml:space="preserve"> sayılı Resmî </w:t>
      </w:r>
      <w:r w:rsidR="00274939">
        <w:t>Gazetede</w:t>
      </w:r>
      <w:r w:rsidRPr="00C67976">
        <w:t xml:space="preserve"> yayımlanan Değişiklik Yönetmeliği ile </w:t>
      </w:r>
      <w:r w:rsidRPr="005167D9">
        <w:rPr>
          <w:b/>
        </w:rPr>
        <w:t xml:space="preserve">Doğal Gaz Piyasası </w:t>
      </w:r>
      <w:r>
        <w:rPr>
          <w:b/>
        </w:rPr>
        <w:t>Lisans</w:t>
      </w:r>
      <w:r w:rsidRPr="00C67976">
        <w:rPr>
          <w:b/>
        </w:rPr>
        <w:t xml:space="preserve"> Yönetmeliğinin</w:t>
      </w:r>
    </w:p>
    <w:p w:rsidR="00356CFB" w:rsidRPr="00C67976" w:rsidRDefault="00356CFB" w:rsidP="00356CFB">
      <w:pPr>
        <w:pStyle w:val="ListeParagraf"/>
      </w:pPr>
    </w:p>
    <w:p w:rsidR="00356CFB" w:rsidRDefault="00356CFB" w:rsidP="000A5A56">
      <w:pPr>
        <w:pStyle w:val="ListeParagraf"/>
        <w:numPr>
          <w:ilvl w:val="0"/>
          <w:numId w:val="59"/>
        </w:numPr>
        <w:spacing w:after="160" w:line="259" w:lineRule="auto"/>
      </w:pPr>
      <w:r w:rsidRPr="00356CFB">
        <w:t>4 üncü maddesinin birinci fıkrasının (16), (19) ve (43) numaralı bentleri aşağıdaki şekilde değiştirilmiş ve aynı fıkraya aşağıdaki bentler eklenmiştir.</w:t>
      </w:r>
    </w:p>
    <w:p w:rsidR="00356CFB" w:rsidRDefault="00356CFB" w:rsidP="00356CFB">
      <w:pPr>
        <w:pStyle w:val="ListeParagraf"/>
        <w:ind w:left="1440"/>
      </w:pPr>
    </w:p>
    <w:p w:rsidR="00356CFB" w:rsidRPr="00356CFB" w:rsidRDefault="00356CFB" w:rsidP="00356CFB">
      <w:pPr>
        <w:pStyle w:val="ListeParagraf"/>
        <w:ind w:left="1440"/>
        <w:rPr>
          <w:i/>
        </w:rPr>
      </w:pPr>
      <w:r w:rsidRPr="00356CFB">
        <w:rPr>
          <w:i/>
        </w:rPr>
        <w:t>“16) İletim: Üretime mahsus toplama hatları ve dağıtım şebekeleri haricindeki gaz boru hattı şebekesiyle gerçekleştirilen veya ihracat lisansı kapsamında yapılan sıvılaştırılmış doğal gaz (LNG) taşıma faaliyeti haricindeki LNG taşıma vasıtalarıyla gerçekleştirilen doğal gaz naklini,”</w:t>
      </w:r>
    </w:p>
    <w:p w:rsidR="00356CFB" w:rsidRPr="00356CFB" w:rsidRDefault="00356CFB" w:rsidP="00356CFB">
      <w:pPr>
        <w:pStyle w:val="ListeParagraf"/>
        <w:ind w:left="1440"/>
        <w:rPr>
          <w:i/>
        </w:rPr>
      </w:pPr>
      <w:r w:rsidRPr="00356CFB">
        <w:rPr>
          <w:i/>
        </w:rPr>
        <w:t>“19) İthalatçı şirket: Yurt dışından LNG, sıkıştırılmış doğal gaz (CNG) veya gaz formunda doğal gaz ithal edilmesi faaliyetlerini gerçekleştiren tüzel kişiyi,”</w:t>
      </w:r>
    </w:p>
    <w:p w:rsidR="00356CFB" w:rsidRPr="00356CFB" w:rsidRDefault="00356CFB" w:rsidP="00356CFB">
      <w:pPr>
        <w:pStyle w:val="ListeParagraf"/>
        <w:ind w:left="1440"/>
        <w:rPr>
          <w:i/>
        </w:rPr>
      </w:pPr>
      <w:r w:rsidRPr="00356CFB">
        <w:rPr>
          <w:i/>
        </w:rPr>
        <w:t>“43) Üretim: Doğal gazın 30/5/2013 tarihli ve 6491 sayılı Türk Petrol Kanunu kapsamında Türkiye’de yer altında bulunan yataklarından yer üstüne çıkarılmasını, temizlenmesini ve arıtılmasını, toplama hatlarıyla iletim hatlarına ve/veya dağıtım şebekesine kadar taşınmasını”</w:t>
      </w:r>
    </w:p>
    <w:p w:rsidR="00356CFB" w:rsidRPr="00356CFB" w:rsidRDefault="00356CFB" w:rsidP="00356CFB">
      <w:pPr>
        <w:pStyle w:val="ListeParagraf"/>
        <w:ind w:left="1440"/>
        <w:rPr>
          <w:i/>
        </w:rPr>
      </w:pPr>
      <w:r w:rsidRPr="00356CFB">
        <w:rPr>
          <w:i/>
        </w:rPr>
        <w:t>“52) Organize toptan doğal gaz satış piyasası (OTSP): Doğal gaz sisteminden yararlanan lisans sahiplerince doğal gazın alım-satımının ve dengeleme işlemlerinin yapıldığı piyasalar, ileri tarihli fiziksel teslimat gerektiren doğal gaz piyasaları ve Kurul tarafından belirlenen diğer doğal gaz piyasası işlemlerinin gerçekleştirildiği, Kurul tarafından düzenlenen piyasayı,</w:t>
      </w:r>
    </w:p>
    <w:p w:rsidR="00356CFB" w:rsidRDefault="00356CFB" w:rsidP="00356CFB">
      <w:pPr>
        <w:pStyle w:val="ListeParagraf"/>
        <w:ind w:left="1440"/>
        <w:rPr>
          <w:i/>
        </w:rPr>
      </w:pPr>
      <w:r w:rsidRPr="00356CFB">
        <w:rPr>
          <w:i/>
        </w:rPr>
        <w:t>53) Son kaynak tedariki: Tüketicilere sözleşme süresi içerisinde doğal gazı tedarik etmekte olan şirketlerin iflası, lisanslarının iptal edilmesi ve/veya organize toptan doğal gaz satış piyasası çerçevesinde yükümlülüklerini yerine getirmemesi sonucunda temerrüde düşmesi gibi nedenlerle doğal gaz tedarik edilemeyen veya serbest tüketici olma hakkına sahip olduğu halde gaz tedariki sağlanamayan tüketicilere Kurul tarafından belirlenen yöntem çerçevesinde yetkilendirilen lisans sahiplerince gaz arzı sağlanmasını,”</w:t>
      </w:r>
    </w:p>
    <w:p w:rsidR="00356CFB" w:rsidRDefault="00356CFB" w:rsidP="00356CFB">
      <w:pPr>
        <w:pStyle w:val="ListeParagraf"/>
        <w:ind w:left="1440"/>
        <w:rPr>
          <w:i/>
        </w:rPr>
      </w:pPr>
    </w:p>
    <w:p w:rsidR="00356CFB" w:rsidRDefault="00356CFB" w:rsidP="000A5A56">
      <w:pPr>
        <w:pStyle w:val="ListeParagraf"/>
        <w:numPr>
          <w:ilvl w:val="0"/>
          <w:numId w:val="59"/>
        </w:numPr>
        <w:spacing w:after="160" w:line="259" w:lineRule="auto"/>
      </w:pPr>
      <w:r w:rsidRPr="00356CFB">
        <w:t>9 uncu maddesinin dördüncü fıkrası aşağıdaki şekilde değiştirilmiştir.</w:t>
      </w:r>
    </w:p>
    <w:p w:rsidR="00356CFB" w:rsidRDefault="00356CFB" w:rsidP="00356CFB">
      <w:pPr>
        <w:pStyle w:val="ListeParagraf"/>
        <w:ind w:left="1440"/>
      </w:pPr>
    </w:p>
    <w:p w:rsidR="00356CFB" w:rsidRDefault="00356CFB" w:rsidP="00356CFB">
      <w:pPr>
        <w:pStyle w:val="ListeParagraf"/>
        <w:ind w:left="1440"/>
        <w:rPr>
          <w:i/>
        </w:rPr>
      </w:pPr>
      <w:r w:rsidRPr="00356CFB">
        <w:rPr>
          <w:i/>
        </w:rPr>
        <w:t>“Ancak, yer altı doğal gaz depolama faaliyetinin yapılacağı saha ile ilgili başvuru duyurulmadan önce, başvuruyla ilgili olarak 6491 sayılı Kanuna göre verilmiş petrol arama ve işletme ruhsat hakları ve petrol faaliyetleri yönünden Maden ve Petrol İşleri Genel Müdürlüğünün uygun görüşü alınır. Duyuru konusu yerin ham petrol veya doğal gaz üretilen bir alana tekabül etmesi halinde bu alan için yapılan başvurular Kurul kararı ile reddedilerek duyurusu yapılmaz. 6491 sayılı Kanuna göre işletme ruhsatına sahip tüzel kişinin doğal gaz ürettiği yer altı doğal gaz rezervuarını depolama amacı ile kullanmak üzere Maden ve Petrol İşleri Genel Müdürlüğünün onayının alınmasını müteakip Kuruma başvurması halinde depolama lisansı almak için aranılan şartları taşıması kaydıyla işletme ruhsatının ilgili bölümü depolama lisansına çevrilir, kalan bölüm başvuruya açık hale getirilir.”</w:t>
      </w:r>
    </w:p>
    <w:p w:rsidR="00356CFB" w:rsidRDefault="00356CFB" w:rsidP="00356CFB">
      <w:pPr>
        <w:pStyle w:val="ListeParagraf"/>
        <w:ind w:left="1440"/>
        <w:rPr>
          <w:i/>
        </w:rPr>
      </w:pPr>
    </w:p>
    <w:p w:rsidR="00356CFB" w:rsidRDefault="00356CFB" w:rsidP="000A5A56">
      <w:pPr>
        <w:pStyle w:val="ListeParagraf"/>
        <w:numPr>
          <w:ilvl w:val="0"/>
          <w:numId w:val="59"/>
        </w:numPr>
        <w:spacing w:after="160" w:line="259" w:lineRule="auto"/>
      </w:pPr>
      <w:r w:rsidRPr="00356CFB">
        <w:t>11 inci maddesinin birinci fıkrası aşağıdaki şekilde değiştirilmiştir.</w:t>
      </w:r>
    </w:p>
    <w:p w:rsidR="00356CFB" w:rsidRDefault="00356CFB" w:rsidP="00356CFB">
      <w:pPr>
        <w:pStyle w:val="ListeParagraf"/>
        <w:ind w:left="1440"/>
      </w:pPr>
    </w:p>
    <w:p w:rsidR="00356CFB" w:rsidRDefault="00356CFB" w:rsidP="00356CFB">
      <w:pPr>
        <w:pStyle w:val="ListeParagraf"/>
        <w:ind w:left="1440"/>
        <w:rPr>
          <w:i/>
        </w:rPr>
      </w:pPr>
      <w:r w:rsidRPr="00356CFB">
        <w:rPr>
          <w:i/>
        </w:rPr>
        <w:lastRenderedPageBreak/>
        <w:t>“Doğal gaz piyasasında faaliyet gösterecek tüzel kişilerin lisans almak için Kuruma yapacakları başvuruya, başvuru yapıldığı tarihten itibaren en fazla altmış gün içerisinde Kurum tarafından cevap verilir. İthalat (Spot) lisansları için bu süre otuz gün olarak uygulanır.”</w:t>
      </w:r>
    </w:p>
    <w:p w:rsidR="00356CFB" w:rsidRDefault="00356CFB" w:rsidP="00356CFB">
      <w:pPr>
        <w:pStyle w:val="ListeParagraf"/>
        <w:ind w:left="1440"/>
        <w:rPr>
          <w:i/>
        </w:rPr>
      </w:pPr>
    </w:p>
    <w:p w:rsidR="00356CFB" w:rsidRDefault="00356CFB" w:rsidP="000A5A56">
      <w:pPr>
        <w:pStyle w:val="ListeParagraf"/>
        <w:numPr>
          <w:ilvl w:val="0"/>
          <w:numId w:val="59"/>
        </w:numPr>
        <w:spacing w:after="160" w:line="259" w:lineRule="auto"/>
      </w:pPr>
      <w:r w:rsidRPr="00356CFB">
        <w:t>15 inci maddesinin dördüncü fıkrası aşağıdaki şekilde değiştirilmiştir.</w:t>
      </w:r>
    </w:p>
    <w:p w:rsidR="00356CFB" w:rsidRDefault="00356CFB" w:rsidP="00356CFB">
      <w:pPr>
        <w:pStyle w:val="ListeParagraf"/>
        <w:ind w:left="1440"/>
      </w:pPr>
    </w:p>
    <w:p w:rsidR="00356CFB" w:rsidRDefault="00356CFB" w:rsidP="00356CFB">
      <w:pPr>
        <w:pStyle w:val="ListeParagraf"/>
        <w:ind w:left="1440"/>
        <w:rPr>
          <w:i/>
        </w:rPr>
      </w:pPr>
      <w:r w:rsidRPr="00356CFB">
        <w:rPr>
          <w:i/>
        </w:rPr>
        <w:t>“İthalat, ihracat, depolama, dağıtım ve boru hattı ile iletim faaliyetleri yapılmak üzere verilen lisansların yenileme işlemleri Kurul; toptan satış, toptan satış (OtoLNG), sıkıştırılmış doğal gaz (CNG) ve iletim (LNG) faaliyetlerine yönelik verilen lisansların yenileme işlemleri ise Kurum tarafından gerçekleştirilir. Lisans yenilenmesi hakkında yapılan yazılı başvuru, doksan gün içerisinde sonuçlandırılır. Başvuruda, lisans sahibi şirketin güncel sermaye miktarını gösteren belge sunulur. Başvurunun Kurul/Kurum tarafından uygun bulunması halinde lisans yenileme bedelinin Kurum hesabına yatırıldığına ilişkin belge ile eğer yetersiz ise lisans sahibinin sermayesinin cari yıla ait ilgili mevzuatta belirtilen tutarda asgari sermayeye artırıldığını gösterir belgenin yazılı bildirim tarihinden itibaren doksan gün içerisinde Kuruma ibraz edilmesi istenir. Bu süre, her koşulda lisans süresinin bitiş tarihini aşmayacak şekilde uygulanır. Yükümlülüklerini süresi içerisinde yerine getiren tüzel kişiye ilgili Kurul Kararına/Başkanlık Makamı Onayına istinaden yeni lisansı verilir.”</w:t>
      </w:r>
    </w:p>
    <w:p w:rsidR="00356CFB" w:rsidRDefault="00356CFB" w:rsidP="00356CFB">
      <w:pPr>
        <w:pStyle w:val="ListeParagraf"/>
        <w:ind w:left="1440"/>
        <w:rPr>
          <w:i/>
        </w:rPr>
      </w:pPr>
    </w:p>
    <w:p w:rsidR="00356CFB" w:rsidRDefault="004D66B2" w:rsidP="000A5A56">
      <w:pPr>
        <w:pStyle w:val="ListeParagraf"/>
        <w:numPr>
          <w:ilvl w:val="0"/>
          <w:numId w:val="59"/>
        </w:numPr>
        <w:spacing w:after="160" w:line="259" w:lineRule="auto"/>
      </w:pPr>
      <w:r w:rsidRPr="004D66B2">
        <w:t>19 uncu maddesinin birinci fıkrası aşağıdaki şekilde değiştirilmiş ve aynı maddeye sekizinci fıkradan sonra gelmek üzere aşağıdaki fıkra eklenmiştir.</w:t>
      </w:r>
    </w:p>
    <w:p w:rsidR="00356CFB" w:rsidRDefault="00356CFB" w:rsidP="00356CFB">
      <w:pPr>
        <w:pStyle w:val="ListeParagraf"/>
        <w:ind w:left="1440"/>
      </w:pPr>
    </w:p>
    <w:p w:rsidR="004D66B2" w:rsidRPr="004D66B2" w:rsidRDefault="004D66B2" w:rsidP="004D66B2">
      <w:pPr>
        <w:pStyle w:val="ListeParagraf"/>
        <w:ind w:left="1440"/>
        <w:rPr>
          <w:i/>
        </w:rPr>
      </w:pPr>
      <w:r w:rsidRPr="004D66B2">
        <w:rPr>
          <w:i/>
        </w:rPr>
        <w:t>“İthalatçı şirket, yurt içinde satışı veya yurt dışına doğrudan satışı amacıyla yurt dışından LNG, sıkıştırılmış doğal gaz (CNG) veya gaz formunda doğal gaz ithal edilmesi faaliyetlerini yürütür. İthalatçı şirketler, yapacakları her ithalat bağlantısı için ayrı bir lisans almak zorundadır ve üretim şirketlerinden, toptan satış şirketlerinden ve birbirlerinden doğal gaz satın alabilir.”</w:t>
      </w:r>
    </w:p>
    <w:p w:rsidR="00356CFB" w:rsidRDefault="004D66B2" w:rsidP="004D66B2">
      <w:pPr>
        <w:pStyle w:val="ListeParagraf"/>
        <w:ind w:left="1440"/>
        <w:rPr>
          <w:i/>
        </w:rPr>
      </w:pPr>
      <w:r w:rsidRPr="004D66B2">
        <w:rPr>
          <w:i/>
        </w:rPr>
        <w:t>“İthal edilen spot boru gazı miktarının, Kurul tarafından ilgili usul ve esaslarda belirlenen oranı karşılığı miktar yine ilgili usul ve esaslarda belirlenen süre içerisinde OTSP’de satılır. Spot boru gazı ithalatına ilişkin Kurul tarafından belirlenen Usul ve Esaslar çerçevesinde hak kazanılan kapasitenin rezerve edilmesi, kapasitenin kullanılması ve/veya OTSP’de satış yükümlülüklerinin yerine getirilmesini garanti etmek amacıyla talep çağrısına başvuracak olan lisans sahiplerinden teminat alınabilir.”</w:t>
      </w:r>
    </w:p>
    <w:p w:rsidR="00356CFB" w:rsidRDefault="00356CFB" w:rsidP="00356CFB">
      <w:pPr>
        <w:pStyle w:val="ListeParagraf"/>
        <w:ind w:left="1440"/>
        <w:rPr>
          <w:i/>
        </w:rPr>
      </w:pPr>
    </w:p>
    <w:p w:rsidR="00356CFB" w:rsidRDefault="004D66B2" w:rsidP="000A5A56">
      <w:pPr>
        <w:pStyle w:val="ListeParagraf"/>
        <w:numPr>
          <w:ilvl w:val="0"/>
          <w:numId w:val="59"/>
        </w:numPr>
        <w:spacing w:after="160" w:line="259" w:lineRule="auto"/>
      </w:pPr>
      <w:r w:rsidRPr="004D66B2">
        <w:t>21 inci maddesinin altıncı fıkrası aşağıdaki şekilde değiştirilmiştir.</w:t>
      </w:r>
    </w:p>
    <w:p w:rsidR="00356CFB" w:rsidRDefault="00356CFB" w:rsidP="00356CFB">
      <w:pPr>
        <w:pStyle w:val="ListeParagraf"/>
        <w:ind w:left="1440"/>
      </w:pPr>
    </w:p>
    <w:p w:rsidR="00356CFB" w:rsidRDefault="004D66B2" w:rsidP="00356CFB">
      <w:pPr>
        <w:pStyle w:val="ListeParagraf"/>
        <w:ind w:left="1440"/>
        <w:rPr>
          <w:i/>
        </w:rPr>
      </w:pPr>
      <w:r w:rsidRPr="004D66B2">
        <w:rPr>
          <w:i/>
        </w:rPr>
        <w:t>“İletim lisansı (LNG) sahibi; sahibi olduğu lisans kapsamında sıvılaştırılmış doğal gazı (LNG), Türk karasularında ve/veya Türkiye sınırları içinde LNG taşıma vasıtalarıyla taşır. İletim lisansı (LNG) sahibi, lisansı kapsamındaki LNG dolum, taşıma ve teslim faaliyetlerinin; ilgili mevzuatta belirtilen usul ve esaslar çerçevesinde yürütülmesinden ve bu faaliyete yönelik taşıma vasıtaları ile tesislerin, öngörülen standartlara göre planlanması, projelendirilmesi, inşa edilmesi veya temin edilmesi ve işletilmesinden sorumludur. Hiçbir sistem kullanıcısı, iletim lisansı (LNG) almaksızın LNG iletimi yapamaz. İletim lisansı alınması zorunluluğu hariç olmak üzere bu hükümler, yurt içinde teslim faaliyetinde bulunmamaları kaydıyla LNG taşıma faaliyetine ilişkin bilgiler lisansına derç edilmiş olan ihracatçı şirketlere de uygulanır.”</w:t>
      </w:r>
    </w:p>
    <w:p w:rsidR="00356CFB" w:rsidRDefault="00356CFB" w:rsidP="00356CFB">
      <w:pPr>
        <w:pStyle w:val="ListeParagraf"/>
        <w:ind w:left="1440"/>
        <w:rPr>
          <w:i/>
        </w:rPr>
      </w:pPr>
    </w:p>
    <w:p w:rsidR="00356CFB" w:rsidRDefault="00DD1BB0" w:rsidP="000A5A56">
      <w:pPr>
        <w:pStyle w:val="ListeParagraf"/>
        <w:numPr>
          <w:ilvl w:val="0"/>
          <w:numId w:val="59"/>
        </w:numPr>
        <w:spacing w:after="160" w:line="259" w:lineRule="auto"/>
      </w:pPr>
      <w:r w:rsidRPr="00DD1BB0">
        <w:lastRenderedPageBreak/>
        <w:t>24 üncü maddesi aşağıdaki şekilde değiştirilmiştir.</w:t>
      </w:r>
    </w:p>
    <w:p w:rsidR="00356CFB" w:rsidRDefault="00356CFB" w:rsidP="00356CFB">
      <w:pPr>
        <w:pStyle w:val="ListeParagraf"/>
        <w:ind w:left="1440"/>
      </w:pPr>
    </w:p>
    <w:p w:rsidR="00356CFB" w:rsidRDefault="00DD1BB0" w:rsidP="00356CFB">
      <w:pPr>
        <w:pStyle w:val="ListeParagraf"/>
        <w:ind w:left="1440"/>
        <w:rPr>
          <w:i/>
        </w:rPr>
      </w:pPr>
      <w:r w:rsidRPr="00DD1BB0">
        <w:rPr>
          <w:i/>
        </w:rPr>
        <w:t>“Madde 24- 6491 sayılı Kanuna göre, işletme ruhsatına sahip şirketlerin doğal gaz ürettiği yer altı doğal gaz yatağını, depolama amacı ile kullanmak üzere Maden ve Petrol İşleri Genel Müdürlüğünün onayının alınmasını müteakip Kuruma başvurması halinde, Kurul tarafından uygun görüldüğü takdirde, işletme ruhsatının ilgili bölümü depolama lisansına çevrilir. Ancak, üretim şirketinin Kuruma yaptığı başvuruda, depolama lisansı için istenen yeterliliğe sahip olduğunu belgelemesi şarttır. Şirket, depolama faaliyetine başladığı takdirde, depolama faaliyetini, muhasebesini ayrıştırmak suretiyle üretim faaliyetinden ayrı olarak yürütür.”</w:t>
      </w:r>
    </w:p>
    <w:p w:rsidR="00356CFB" w:rsidRDefault="00356CFB" w:rsidP="00356CFB">
      <w:pPr>
        <w:pStyle w:val="ListeParagraf"/>
        <w:ind w:left="1440"/>
        <w:rPr>
          <w:i/>
        </w:rPr>
      </w:pPr>
    </w:p>
    <w:p w:rsidR="00356CFB" w:rsidRDefault="00DD1BB0" w:rsidP="000A5A56">
      <w:pPr>
        <w:pStyle w:val="ListeParagraf"/>
        <w:numPr>
          <w:ilvl w:val="0"/>
          <w:numId w:val="59"/>
        </w:numPr>
        <w:spacing w:after="160" w:line="259" w:lineRule="auto"/>
      </w:pPr>
      <w:r w:rsidRPr="00DD1BB0">
        <w:t>26 ncı maddesinin birinci ve dördüncü fıkraları aşağıdaki şekilde değiştirilmiştir.</w:t>
      </w:r>
    </w:p>
    <w:p w:rsidR="00356CFB" w:rsidRDefault="00356CFB" w:rsidP="00356CFB">
      <w:pPr>
        <w:pStyle w:val="ListeParagraf"/>
        <w:ind w:left="1440"/>
      </w:pPr>
    </w:p>
    <w:p w:rsidR="00DD1BB0" w:rsidRPr="00DD1BB0" w:rsidRDefault="00DD1BB0" w:rsidP="00DD1BB0">
      <w:pPr>
        <w:pStyle w:val="ListeParagraf"/>
        <w:ind w:left="1440"/>
        <w:rPr>
          <w:i/>
        </w:rPr>
      </w:pPr>
      <w:r w:rsidRPr="00DD1BB0">
        <w:rPr>
          <w:i/>
        </w:rPr>
        <w:t>“Doğal gaz arama ve üretim faaliyetleri 6491 sayılı Kanuna göre yapılır. Arama ve işletme ruhsatları Maden ve Petrol İşleri Genel Müdürlüğü tarafından verilir. Üretim faaliyeti, piyasa faaliyetinden sayılmaz.”</w:t>
      </w:r>
    </w:p>
    <w:p w:rsidR="00356CFB" w:rsidRDefault="00DD1BB0" w:rsidP="00DD1BB0">
      <w:pPr>
        <w:pStyle w:val="ListeParagraf"/>
        <w:ind w:left="1440"/>
        <w:rPr>
          <w:i/>
        </w:rPr>
      </w:pPr>
      <w:r w:rsidRPr="00DD1BB0">
        <w:rPr>
          <w:i/>
        </w:rPr>
        <w:t>“Üretilen doğal gaz, iletim şirketleri ile yapılacak taşıma ve teslim sözleşmelerine göre taşıttırılır. Üretim merkezinin bağlantılı sisteme uzak olması halinde, üretilen gazın bağlantılı sistem oluşturma şartı aranmaksızın dolaysız hat ile iletilmesi ve serbest tüketicilere satışı üretim şirketlerince yapılabilir. Ancak, bu husus, Kurulun ekonomik ve teknik şartları göz önünde bulundurarak vereceği karara bağlıdır. Üretilen doğal gazın iletim şebekesi vasıtasıyla iletilmesinin teknik ve ekonomik olarak uygun olmadığına Kurulca karar verilmesi ve üretim yapan toptan satış şirketinin kendi üzerine düşen yükümlülükleri yerine getirmesi kaydıyla, üretim şirketi tarafından dağıtım şebekesine bağlantı yapılarak üretilen doğal gaz dağıtım şirketince öncelikle satın alınır. Kurul, gerekli hallerde bu kapsamda satın alınacak doğal gaz bedelini belirler. Ayrıca, üretim şirketleri ürettiği doğal gazın yıllık üretim kapasitesinin Kanunun 8 inci maddesinin (a) fıkrasının (1) numaralı bendinde belirtilen miktardan az olması durumunda, üretilen doğal gazı, şehir içi dağıtım faaliyeti yapmaksızın diğer tüketicilere satabilir. Üretim şirketlerinin iletim ve depolama ile ilgili mevcut tesislerdeki hakları saklıdır. Bu hakkın kullanılması Kanunun 4 üncü maddesinin (4) numaralı fıkrasının (c) ve (d) bentlerindeki hükümlere tabidir.”</w:t>
      </w:r>
    </w:p>
    <w:p w:rsidR="00356CFB" w:rsidRDefault="00356CFB" w:rsidP="00356CFB">
      <w:pPr>
        <w:pStyle w:val="ListeParagraf"/>
        <w:ind w:left="1440"/>
        <w:rPr>
          <w:i/>
        </w:rPr>
      </w:pPr>
    </w:p>
    <w:p w:rsidR="00356CFB" w:rsidRDefault="00DD1BB0" w:rsidP="000A5A56">
      <w:pPr>
        <w:pStyle w:val="ListeParagraf"/>
        <w:numPr>
          <w:ilvl w:val="0"/>
          <w:numId w:val="59"/>
        </w:numPr>
        <w:spacing w:after="160" w:line="259" w:lineRule="auto"/>
      </w:pPr>
      <w:r w:rsidRPr="00DD1BB0">
        <w:t>29 uncu maddesine aşağıdaki fıkra eklenmiştir.</w:t>
      </w:r>
    </w:p>
    <w:p w:rsidR="00356CFB" w:rsidRDefault="00356CFB" w:rsidP="00356CFB">
      <w:pPr>
        <w:pStyle w:val="ListeParagraf"/>
        <w:ind w:left="1440"/>
      </w:pPr>
    </w:p>
    <w:p w:rsidR="00356CFB" w:rsidRDefault="00DD1BB0" w:rsidP="00356CFB">
      <w:pPr>
        <w:pStyle w:val="ListeParagraf"/>
        <w:ind w:left="1440"/>
        <w:rPr>
          <w:i/>
        </w:rPr>
      </w:pPr>
      <w:r w:rsidRPr="00DD1BB0">
        <w:rPr>
          <w:i/>
        </w:rPr>
        <w:t>“CNG yakıtlı taşıtların üretiminin yapıldığı tesislere, söz konusu taşıtların testlerinin yapılabilmesi ve teslim noktasına ulaştırılabilmelerini teminen CNG iletim ve dağıtım lisansı sahibi tüzel kişiler tarafından CNG teslimatı gerçekleştirilebilir.”</w:t>
      </w:r>
    </w:p>
    <w:p w:rsidR="00356CFB" w:rsidRDefault="00356CFB" w:rsidP="00356CFB">
      <w:pPr>
        <w:pStyle w:val="ListeParagraf"/>
        <w:ind w:left="1440"/>
        <w:rPr>
          <w:i/>
        </w:rPr>
      </w:pPr>
    </w:p>
    <w:p w:rsidR="00356CFB" w:rsidRDefault="00DD1BB0" w:rsidP="000A5A56">
      <w:pPr>
        <w:pStyle w:val="ListeParagraf"/>
        <w:numPr>
          <w:ilvl w:val="0"/>
          <w:numId w:val="59"/>
        </w:numPr>
        <w:spacing w:after="160" w:line="259" w:lineRule="auto"/>
      </w:pPr>
      <w:r w:rsidRPr="00DD1BB0">
        <w:t>30 uncu maddesine aşağıdaki fıkra eklenmiştir.</w:t>
      </w:r>
    </w:p>
    <w:p w:rsidR="00356CFB" w:rsidRDefault="00356CFB" w:rsidP="00356CFB">
      <w:pPr>
        <w:pStyle w:val="ListeParagraf"/>
        <w:ind w:left="1440"/>
      </w:pPr>
    </w:p>
    <w:p w:rsidR="00356CFB" w:rsidRDefault="00DD1BB0" w:rsidP="00356CFB">
      <w:pPr>
        <w:pStyle w:val="ListeParagraf"/>
        <w:ind w:left="1440"/>
        <w:rPr>
          <w:i/>
        </w:rPr>
      </w:pPr>
      <w:r w:rsidRPr="00DD1BB0">
        <w:rPr>
          <w:i/>
        </w:rPr>
        <w:t xml:space="preserve">“LNG ihracatı yapmak isteyen tüzel kişiler, ihracat lisanslarına derç edilmesi ve yurt içinde teslim faaliyetinde bulunmamaları kaydıyla, LNG taşıma faaliyetinde bulunabilirler. İhracat lisansı sahibinin talebi halinde, yurt içinde teslim faaliyeti yapmamak ve ilgili ve diğer mevzuattan kaynaklanan tüm yükümlülüklere uymak koşuluyla, ihracat lisansının özel hükümlerine LNG taşıma faaliyeti yapılabileceğine dair ibare eklenir. Bu durumda başvuru sahibinden, taşıma vasıtalarının ilgili standartlara ve diğer mevzuattan kaynaklanan yükümlülüklere uygun olarak </w:t>
      </w:r>
      <w:r w:rsidRPr="00DD1BB0">
        <w:rPr>
          <w:i/>
        </w:rPr>
        <w:lastRenderedPageBreak/>
        <w:t>işletileceğine dair taahhütname alınır. İhracat lisansı sahibine LNG teslimi yapan lisans sahipleri, taşıma araçlarının ilgili ve diğer mevzuat kapsamında gerekli belgelere sahip olduğunu kontrol etmekle yükümlüdür.”</w:t>
      </w:r>
    </w:p>
    <w:p w:rsidR="00356CFB" w:rsidRDefault="00356CFB" w:rsidP="00356CFB">
      <w:pPr>
        <w:pStyle w:val="ListeParagraf"/>
        <w:ind w:left="1440"/>
        <w:rPr>
          <w:i/>
        </w:rPr>
      </w:pPr>
    </w:p>
    <w:p w:rsidR="00356CFB" w:rsidRDefault="00DD1BB0" w:rsidP="000A5A56">
      <w:pPr>
        <w:pStyle w:val="ListeParagraf"/>
        <w:numPr>
          <w:ilvl w:val="0"/>
          <w:numId w:val="59"/>
        </w:numPr>
        <w:spacing w:after="160" w:line="259" w:lineRule="auto"/>
      </w:pPr>
      <w:r w:rsidRPr="00DD1BB0">
        <w:t>31 inci maddesinin birinci fıkrasına aşağıdaki bent eklenmiştir.</w:t>
      </w:r>
    </w:p>
    <w:p w:rsidR="00356CFB" w:rsidRDefault="00356CFB" w:rsidP="00356CFB">
      <w:pPr>
        <w:pStyle w:val="ListeParagraf"/>
        <w:ind w:left="1440"/>
      </w:pPr>
    </w:p>
    <w:p w:rsidR="00356CFB" w:rsidRDefault="00DD1BB0" w:rsidP="00356CFB">
      <w:pPr>
        <w:pStyle w:val="ListeParagraf"/>
        <w:ind w:left="1440"/>
        <w:rPr>
          <w:i/>
        </w:rPr>
      </w:pPr>
      <w:r w:rsidRPr="00DD1BB0">
        <w:rPr>
          <w:i/>
        </w:rPr>
        <w:t>“n) Kurul, bir tüketiciye doğal gaz tedarik etmekte olan lisans sahibi şirketlerin sözleşme süresi içerisinde iflası, lisanslarının iptal edilmesi ve/veya OTSP çerçevesinde yükümlülüklerini yerine getirmemesi sonucunda temerrüde düşmesi gibi nedenlerle doğal gaz tedarik edilemeyen veya serbest tüketici olma hakkına sahip olduğu halde gaz tedariki sağlanamayan tüketicilere gaz arzı sağlamak üzere bir veya birden fazla lisans sahibini son kaynak tedarikçisi olarak yetkilendirebilir. Son kaynak tedarikçisi ve son kaynak tedarik bedelinin belirlenmesine ilişkin usul ve esaslar Kurul tarafından belirlenir.”</w:t>
      </w:r>
    </w:p>
    <w:p w:rsidR="00356CFB" w:rsidRDefault="00356CFB" w:rsidP="00356CFB">
      <w:pPr>
        <w:pStyle w:val="ListeParagraf"/>
        <w:ind w:left="1440"/>
        <w:rPr>
          <w:i/>
        </w:rPr>
      </w:pPr>
    </w:p>
    <w:p w:rsidR="00356CFB" w:rsidRDefault="00DD1BB0" w:rsidP="000A5A56">
      <w:pPr>
        <w:pStyle w:val="ListeParagraf"/>
        <w:numPr>
          <w:ilvl w:val="0"/>
          <w:numId w:val="59"/>
        </w:numPr>
        <w:spacing w:after="160" w:line="259" w:lineRule="auto"/>
      </w:pPr>
      <w:r w:rsidRPr="00DD1BB0">
        <w:t>34 üncü maddesinin ikinci fıkrası aşağıdaki şekilde değiştirilmiştir.</w:t>
      </w:r>
    </w:p>
    <w:p w:rsidR="00356CFB" w:rsidRDefault="00356CFB" w:rsidP="00356CFB">
      <w:pPr>
        <w:pStyle w:val="ListeParagraf"/>
        <w:ind w:left="1440"/>
      </w:pPr>
    </w:p>
    <w:p w:rsidR="00356CFB" w:rsidRDefault="00DD1BB0" w:rsidP="00356CFB">
      <w:pPr>
        <w:pStyle w:val="ListeParagraf"/>
        <w:ind w:left="1440"/>
        <w:rPr>
          <w:i/>
        </w:rPr>
      </w:pPr>
      <w:r w:rsidRPr="00DD1BB0">
        <w:rPr>
          <w:i/>
        </w:rPr>
        <w:t>“Bu kapsamda iletim, dağıtım, CNG, toptan satış (OTOLNG) ve depolama lisansı sahibi tüzel kişiler, tesislerini; doğal afetler, yangın ve kaza gibi riskleri kapsayan bir "varlık tüm risk" sigortası ile teminat altına alır.”</w:t>
      </w:r>
    </w:p>
    <w:p w:rsidR="00356CFB" w:rsidRDefault="00356CFB" w:rsidP="00356CFB">
      <w:pPr>
        <w:pStyle w:val="ListeParagraf"/>
        <w:ind w:left="1440"/>
        <w:rPr>
          <w:i/>
        </w:rPr>
      </w:pPr>
    </w:p>
    <w:p w:rsidR="00356CFB" w:rsidRDefault="00DD1BB0" w:rsidP="000A5A56">
      <w:pPr>
        <w:pStyle w:val="ListeParagraf"/>
        <w:numPr>
          <w:ilvl w:val="0"/>
          <w:numId w:val="59"/>
        </w:numPr>
        <w:spacing w:after="160" w:line="259" w:lineRule="auto"/>
      </w:pPr>
      <w:r w:rsidRPr="00DD1BB0">
        <w:t>42 nci maddesine onuncu fıkrasından sonra gelmek üzere aşağıdaki fıkralar eklenmiş, sekizinci ve mevcut on birinci fıkraları aşağıdaki şekilde değiştirilmiştir.</w:t>
      </w:r>
    </w:p>
    <w:p w:rsidR="00356CFB" w:rsidRDefault="00356CFB" w:rsidP="00356CFB">
      <w:pPr>
        <w:pStyle w:val="ListeParagraf"/>
        <w:ind w:left="1440"/>
      </w:pPr>
    </w:p>
    <w:p w:rsidR="00DD1BB0" w:rsidRPr="00DD1BB0" w:rsidRDefault="00DD1BB0" w:rsidP="00DD1BB0">
      <w:pPr>
        <w:pStyle w:val="ListeParagraf"/>
        <w:ind w:left="1440"/>
        <w:rPr>
          <w:i/>
        </w:rPr>
      </w:pPr>
      <w:r w:rsidRPr="00DD1BB0">
        <w:rPr>
          <w:i/>
        </w:rPr>
        <w:t>“Lisans sahibi tüzel kişinin ve/veya lisans sahibi tüzel kişinin doğrudan veya dolaylı tüzel kişi ortaklarının hisselerinin halka arz edilmesi ya da borsada işlem görmesi, lisans sahibi tüzel kişinin doğrudan veya dolaylı ortaklık yapısındaki herhangi bir gerçek veya tüzel kişinin pay oranını yüzde onun altına düşürmediği sürece Kurul onayına tabi değildir. İlk halka arz işlemi veya halka arz edilmiş hisselerin oranının artırılması işlemi sonucunda herhangi bir ortağın lisans sahibi tüzel kişilikteki doğrudan veya dolaylı pay oranının yüzde onun altına düşecek olması halinde Kurul onayı alınması gereklidir.</w:t>
      </w:r>
    </w:p>
    <w:p w:rsidR="00DD1BB0" w:rsidRPr="00DD1BB0" w:rsidRDefault="00DD1BB0" w:rsidP="00DD1BB0">
      <w:pPr>
        <w:pStyle w:val="ListeParagraf"/>
        <w:ind w:left="1440"/>
        <w:rPr>
          <w:i/>
        </w:rPr>
      </w:pPr>
      <w:r w:rsidRPr="00DD1BB0">
        <w:rPr>
          <w:i/>
        </w:rPr>
        <w:t>Lisans sahibi tüzel kişinin hisselerinin halka arz edilmesi ya da borsada işlem görmesi;</w:t>
      </w:r>
    </w:p>
    <w:p w:rsidR="00DD1BB0" w:rsidRPr="00DD1BB0" w:rsidRDefault="00DD1BB0" w:rsidP="00DD1BB0">
      <w:pPr>
        <w:pStyle w:val="ListeParagraf"/>
        <w:ind w:left="1440"/>
        <w:rPr>
          <w:i/>
        </w:rPr>
      </w:pPr>
      <w:r w:rsidRPr="00DD1BB0">
        <w:rPr>
          <w:i/>
        </w:rPr>
        <w:t>a) Hisselerinin tamamının nama yazılı olmaya devam etmesi,</w:t>
      </w:r>
    </w:p>
    <w:p w:rsidR="00DD1BB0" w:rsidRPr="00DD1BB0" w:rsidRDefault="00DD1BB0" w:rsidP="00DD1BB0">
      <w:pPr>
        <w:pStyle w:val="ListeParagraf"/>
        <w:ind w:left="1440"/>
        <w:rPr>
          <w:i/>
        </w:rPr>
      </w:pPr>
      <w:r w:rsidRPr="00DD1BB0">
        <w:rPr>
          <w:i/>
        </w:rPr>
        <w:t>b) Halka arz edilen hisselerin toplam hisselere oranının yüzde kırk dokuzu geçmemesi,</w:t>
      </w:r>
    </w:p>
    <w:p w:rsidR="00DD1BB0" w:rsidRPr="00DD1BB0" w:rsidRDefault="00DD1BB0" w:rsidP="00DD1BB0">
      <w:pPr>
        <w:pStyle w:val="ListeParagraf"/>
        <w:ind w:left="1440"/>
        <w:rPr>
          <w:i/>
        </w:rPr>
      </w:pPr>
      <w:r w:rsidRPr="00DD1BB0">
        <w:rPr>
          <w:i/>
        </w:rPr>
        <w:t>c) Kanun ve ikincil mevzuatta belirlenen iştirak yasakları ve sınırlamalarına aykırı hareket edilmemesi ve bu kapsamda EK-5’te yer alan taahhütnamenin Kuruma sunulması,</w:t>
      </w:r>
    </w:p>
    <w:p w:rsidR="00DD1BB0" w:rsidRPr="00DD1BB0" w:rsidRDefault="00DD1BB0" w:rsidP="00DD1BB0">
      <w:pPr>
        <w:pStyle w:val="ListeParagraf"/>
        <w:ind w:left="1440"/>
        <w:rPr>
          <w:i/>
        </w:rPr>
      </w:pPr>
      <w:r w:rsidRPr="00DD1BB0">
        <w:rPr>
          <w:i/>
        </w:rPr>
        <w:t>ç) Ana sözleşmesine “Şirketin halka arz edilen ya da borsada işlem gören nama yazılı payları bakımından Sermaye Piyasası Kurulu ve Enerji Piyasası Düzenleme Kurulu düzenlemelerine uyulur.” hükmünün derç edilmesi,</w:t>
      </w:r>
    </w:p>
    <w:p w:rsidR="00DD1BB0" w:rsidRPr="00DD1BB0" w:rsidRDefault="00DD1BB0" w:rsidP="00DD1BB0">
      <w:pPr>
        <w:pStyle w:val="ListeParagraf"/>
        <w:ind w:left="1440"/>
        <w:rPr>
          <w:i/>
        </w:rPr>
      </w:pPr>
      <w:r w:rsidRPr="00DD1BB0">
        <w:rPr>
          <w:i/>
        </w:rPr>
        <w:t>koşulları altında mümkündür. Lisans sahibi tarafından, hisselerinin halka arz işleminin gerçekleşmesinden itibaren bir ay içerisinde en son ortaklık yapısını gösterir bilgi ve belgeler ile bu fıkranın (c) bendi kapsamındaki taahhütname ve (ç) bendinde belirtilen ana sözleşme değişikliğini gösterir belge ile birlikte Kuruma lisans tadil başvurusunda bulunulur. Lisans sahibi tüzel kişinin doğrudan veya dolaylı tüzel kişi ortaklarının halka arz işlemlerinde ise aynı süre içerisinde ilgili tüzel kişinin en son ortaklık yapısını gösterir bilgi ve belgeler ile birlikte lisans sahibi tarafından Kuruma bilgilendirme yapılır.</w:t>
      </w:r>
    </w:p>
    <w:p w:rsidR="00DD1BB0" w:rsidRPr="00DD1BB0" w:rsidRDefault="00DD1BB0" w:rsidP="00DD1BB0">
      <w:pPr>
        <w:pStyle w:val="ListeParagraf"/>
        <w:ind w:left="1440"/>
        <w:rPr>
          <w:i/>
        </w:rPr>
      </w:pPr>
      <w:r w:rsidRPr="00DD1BB0">
        <w:rPr>
          <w:i/>
        </w:rPr>
        <w:lastRenderedPageBreak/>
        <w:t>Borsada işlem gören hisseler, Kanun ve ikincil mevzuatta belirlenen iştirak sınırlaması ve yasağına aykırı olacak şekilde, doğal gaz piyasasında faaliyet gösteren başka bir lisanslı şirket tarafından edinilemez, edinilmesi halinde konu ilgili mevzuat ihlali kapsamında değerlendirilir.”</w:t>
      </w:r>
    </w:p>
    <w:p w:rsidR="00DD1BB0" w:rsidRPr="00DD1BB0" w:rsidRDefault="00DD1BB0" w:rsidP="00DD1BB0">
      <w:pPr>
        <w:pStyle w:val="ListeParagraf"/>
        <w:ind w:left="1440"/>
        <w:rPr>
          <w:i/>
        </w:rPr>
      </w:pPr>
      <w:r w:rsidRPr="00DD1BB0">
        <w:rPr>
          <w:i/>
        </w:rPr>
        <w:t>“Bu madde ile getirilen yükümlülükler, 6491 sayılı Kanuna göre arama ve işletme ruhsatları bulunan ve Türkiye’de yurt dışındaki merkezlerinin şubeleri olarak üretim faaliyetinde bulunan üretim şirketleri hariç olmak üzere, lisans sahibi tüzel kişilerin ana sözleşmelerinde ve ilgili lisanslarında yer alır.”</w:t>
      </w:r>
    </w:p>
    <w:p w:rsidR="00356CFB" w:rsidRDefault="00DD1BB0" w:rsidP="00DD1BB0">
      <w:pPr>
        <w:pStyle w:val="ListeParagraf"/>
        <w:ind w:left="1440"/>
        <w:rPr>
          <w:i/>
        </w:rPr>
      </w:pPr>
      <w:r w:rsidRPr="00DD1BB0">
        <w:rPr>
          <w:i/>
        </w:rPr>
        <w:t>“Bu madde ile getirilen yükümlülükler lisans sahibi tüzel kişiler ile doğrudan ve dolaylı tüzel kişi ortaklarının borsada işlem gören hisseleri hariç tutularak uygulanır.”</w:t>
      </w:r>
    </w:p>
    <w:p w:rsidR="00356CFB" w:rsidRDefault="00356CFB" w:rsidP="00356CFB">
      <w:pPr>
        <w:pStyle w:val="ListeParagraf"/>
        <w:ind w:left="1440"/>
        <w:rPr>
          <w:i/>
        </w:rPr>
      </w:pPr>
    </w:p>
    <w:p w:rsidR="00356CFB" w:rsidRDefault="00DD1BB0" w:rsidP="000A5A56">
      <w:pPr>
        <w:pStyle w:val="ListeParagraf"/>
        <w:numPr>
          <w:ilvl w:val="0"/>
          <w:numId w:val="59"/>
        </w:numPr>
        <w:spacing w:after="160" w:line="259" w:lineRule="auto"/>
      </w:pPr>
      <w:r w:rsidRPr="00DD1BB0">
        <w:t>EK-3’ün 4 üncü notu aşağıdaki şekilde değiştirilmiştir.</w:t>
      </w:r>
    </w:p>
    <w:p w:rsidR="00356CFB" w:rsidRDefault="00356CFB" w:rsidP="00356CFB">
      <w:pPr>
        <w:pStyle w:val="ListeParagraf"/>
        <w:ind w:left="1440"/>
      </w:pPr>
    </w:p>
    <w:p w:rsidR="00356CFB" w:rsidRDefault="00DD1BB0" w:rsidP="00356CFB">
      <w:pPr>
        <w:pStyle w:val="ListeParagraf"/>
        <w:ind w:left="1440"/>
        <w:rPr>
          <w:i/>
        </w:rPr>
      </w:pPr>
      <w:r w:rsidRPr="00DD1BB0">
        <w:rPr>
          <w:i/>
        </w:rPr>
        <w:t>“4- 6491 sayılı Kanuna göre arama ve işletme ruhsatları bulunan ve Türkiye’de yurt dışındaki merkezlerinin şubeleri olarak üretim faaliyetinde bulunan üretim şirketlerinin toptan satış lisans başvurularında, bu Ek’in 5 inci ve 7 nci maddeleri ile 4 üncü maddesinin (b) bendinde öngörülen bilgi ve belgeler talep edilmez.”</w:t>
      </w:r>
    </w:p>
    <w:p w:rsidR="00356CFB" w:rsidRDefault="00356CFB" w:rsidP="00356CFB">
      <w:pPr>
        <w:pStyle w:val="ListeParagraf"/>
        <w:ind w:left="1440"/>
        <w:rPr>
          <w:i/>
        </w:rPr>
      </w:pPr>
    </w:p>
    <w:p w:rsidR="00356CFB" w:rsidRDefault="00DD1BB0" w:rsidP="000A5A56">
      <w:pPr>
        <w:pStyle w:val="ListeParagraf"/>
        <w:numPr>
          <w:ilvl w:val="0"/>
          <w:numId w:val="59"/>
        </w:numPr>
        <w:spacing w:after="160" w:line="259" w:lineRule="auto"/>
      </w:pPr>
      <w:r w:rsidRPr="00DD1BB0">
        <w:t>EK-4’ün üçüncü fıkrası aşağıdaki şekilde değiştirilmiştir.</w:t>
      </w:r>
    </w:p>
    <w:p w:rsidR="00356CFB" w:rsidRDefault="00356CFB" w:rsidP="00356CFB">
      <w:pPr>
        <w:pStyle w:val="ListeParagraf"/>
        <w:ind w:left="1440"/>
      </w:pPr>
    </w:p>
    <w:p w:rsidR="00356CFB" w:rsidRDefault="00DD1BB0" w:rsidP="00356CFB">
      <w:pPr>
        <w:pStyle w:val="ListeParagraf"/>
        <w:ind w:left="1440"/>
        <w:rPr>
          <w:i/>
        </w:rPr>
      </w:pPr>
      <w:r w:rsidRPr="00DD1BB0">
        <w:rPr>
          <w:i/>
        </w:rPr>
        <w:t>“6491 sayılı Kanuna göre arama ve işletme ruhsatları bulunan ve Türkiye’de yurt dışındaki merkezlerinin şubeleri olarak üretim faaliyetinde bulunan üretim şirketlerine bu Ek’in birinci fıkrasının (b) ve (g) bentleri uygulanmaz. Ancak, söz konusu şirketler, lisansın verildiği tarihten itibaren başlamak üzere her yıl 31 Aralık günü itibarıyla mevcut %5 ve üzerinde pay sahibi ortaklarının isim ve adreslerini gösteren bir listeyi Enerji Piyasası Düzenleme Kurumuna vermekle yükümlüdür.”</w:t>
      </w:r>
    </w:p>
    <w:p w:rsidR="00356CFB" w:rsidRDefault="00356CFB" w:rsidP="00356CFB">
      <w:pPr>
        <w:pStyle w:val="ListeParagraf"/>
        <w:ind w:left="1440"/>
        <w:rPr>
          <w:i/>
        </w:rPr>
      </w:pPr>
    </w:p>
    <w:p w:rsidR="00DD1BB0" w:rsidRDefault="00DD1BB0" w:rsidP="000A5A56">
      <w:pPr>
        <w:pStyle w:val="ListeParagraf"/>
        <w:numPr>
          <w:ilvl w:val="0"/>
          <w:numId w:val="59"/>
        </w:numPr>
        <w:spacing w:after="160" w:line="259" w:lineRule="auto"/>
      </w:pPr>
      <w:r w:rsidRPr="00DD1BB0">
        <w:t>Ekteki</w:t>
      </w:r>
      <w:r>
        <w:t xml:space="preserve"> </w:t>
      </w:r>
      <w:r w:rsidRPr="00DD1BB0">
        <w:t>EK-5 eklenmiştir.</w:t>
      </w:r>
    </w:p>
    <w:p w:rsidR="009D550A" w:rsidRPr="0082756B" w:rsidRDefault="001D2DA2" w:rsidP="009067D4">
      <w:pPr>
        <w:pStyle w:val="Balk3"/>
        <w:numPr>
          <w:ilvl w:val="2"/>
          <w:numId w:val="11"/>
        </w:numPr>
        <w:spacing w:after="240"/>
        <w:rPr>
          <w:rFonts w:asciiTheme="minorHAnsi" w:hAnsiTheme="minorHAnsi"/>
          <w:color w:val="auto"/>
        </w:rPr>
      </w:pPr>
      <w:bookmarkStart w:id="86" w:name="_Toc442431240"/>
      <w:bookmarkStart w:id="87" w:name="_Toc514251617"/>
      <w:bookmarkStart w:id="88" w:name="_Toc6684435"/>
      <w:bookmarkStart w:id="89" w:name="_Toc132713768"/>
      <w:bookmarkEnd w:id="85"/>
      <w:r w:rsidRPr="0082756B">
        <w:rPr>
          <w:rFonts w:asciiTheme="minorHAnsi" w:hAnsiTheme="minorHAnsi"/>
          <w:color w:val="auto"/>
        </w:rPr>
        <w:t>Tebliğler</w:t>
      </w:r>
      <w:bookmarkStart w:id="90" w:name="_Toc442431241"/>
      <w:bookmarkStart w:id="91" w:name="_Toc514251618"/>
      <w:bookmarkEnd w:id="86"/>
      <w:bookmarkEnd w:id="87"/>
      <w:bookmarkEnd w:id="88"/>
      <w:bookmarkEnd w:id="89"/>
    </w:p>
    <w:p w:rsidR="001D2DA2" w:rsidRPr="0082756B" w:rsidRDefault="00E11B45" w:rsidP="001D2DA2">
      <w:pPr>
        <w:spacing w:after="0"/>
        <w:rPr>
          <w:color w:val="000000" w:themeColor="text1"/>
        </w:rPr>
      </w:pPr>
      <w:r w:rsidRPr="0082756B">
        <w:rPr>
          <w:color w:val="000000" w:themeColor="text1"/>
        </w:rPr>
        <w:t>202</w:t>
      </w:r>
      <w:r w:rsidR="00526572" w:rsidRPr="0082756B">
        <w:rPr>
          <w:color w:val="000000" w:themeColor="text1"/>
        </w:rPr>
        <w:t>2</w:t>
      </w:r>
      <w:r w:rsidR="001D2DA2" w:rsidRPr="0082756B">
        <w:rPr>
          <w:color w:val="000000" w:themeColor="text1"/>
        </w:rPr>
        <w:t xml:space="preserve"> yılında doğal gaz piyasasında aşağıda belirtilen Tebliğ çalışmaları yapılmıştır:</w:t>
      </w:r>
    </w:p>
    <w:p w:rsidR="009D550A" w:rsidRPr="002967D4" w:rsidRDefault="009D550A" w:rsidP="001D2DA2">
      <w:pPr>
        <w:spacing w:after="0"/>
        <w:rPr>
          <w:color w:val="000000" w:themeColor="text1"/>
          <w:highlight w:val="yellow"/>
        </w:rPr>
      </w:pPr>
    </w:p>
    <w:p w:rsidR="00F23EE3" w:rsidRPr="001A5189" w:rsidRDefault="0082756B" w:rsidP="001A5189">
      <w:pPr>
        <w:pStyle w:val="ListeParagraf"/>
        <w:numPr>
          <w:ilvl w:val="0"/>
          <w:numId w:val="6"/>
        </w:numPr>
        <w:rPr>
          <w:rFonts w:cstheme="minorHAnsi"/>
        </w:rPr>
      </w:pPr>
      <w:bookmarkStart w:id="92" w:name="_Hlk92873860"/>
      <w:bookmarkStart w:id="93" w:name="_Toc6684436"/>
      <w:r w:rsidRPr="001A5189">
        <w:rPr>
          <w:rFonts w:cstheme="minorHAnsi"/>
        </w:rPr>
        <w:t>28</w:t>
      </w:r>
      <w:r w:rsidR="00794A7D" w:rsidRPr="001A5189">
        <w:rPr>
          <w:rFonts w:cstheme="minorHAnsi"/>
        </w:rPr>
        <w:t>.12.202</w:t>
      </w:r>
      <w:r w:rsidRPr="001A5189">
        <w:rPr>
          <w:rFonts w:cstheme="minorHAnsi"/>
        </w:rPr>
        <w:t>2</w:t>
      </w:r>
      <w:r w:rsidR="00794A7D" w:rsidRPr="001A5189">
        <w:rPr>
          <w:rFonts w:cstheme="minorHAnsi"/>
        </w:rPr>
        <w:t xml:space="preserve"> tarihli ve 3</w:t>
      </w:r>
      <w:r w:rsidRPr="001A5189">
        <w:rPr>
          <w:rFonts w:cstheme="minorHAnsi"/>
        </w:rPr>
        <w:t>2057</w:t>
      </w:r>
      <w:r w:rsidR="00794A7D" w:rsidRPr="001A5189">
        <w:rPr>
          <w:rFonts w:cstheme="minorHAnsi"/>
        </w:rPr>
        <w:t xml:space="preserve"> sayılı Resmî </w:t>
      </w:r>
      <w:r w:rsidR="00274939">
        <w:rPr>
          <w:rFonts w:cstheme="minorHAnsi"/>
        </w:rPr>
        <w:t>Gazetede</w:t>
      </w:r>
      <w:r w:rsidR="00794A7D" w:rsidRPr="001A5189">
        <w:rPr>
          <w:rFonts w:cstheme="minorHAnsi"/>
        </w:rPr>
        <w:t xml:space="preserve"> yayımlanan, amacı </w:t>
      </w:r>
      <w:r w:rsidRPr="001A5189">
        <w:rPr>
          <w:rFonts w:cstheme="minorHAnsi"/>
        </w:rPr>
        <w:t xml:space="preserve">18/4/2001 tarihli ve 4646 sayılı Doğal Gaz Piyasası Kanununun (Elektrik Piyasası Kanununda Değişiklik Yapılması ve Doğal Gaz Piyasası Hakkında Kanun) 9 uncu maddesinde düzenlenmiş olan idari para cezalarının 24/11/2022 tarihli ve 32023 sayılı Resmî </w:t>
      </w:r>
      <w:r w:rsidR="00274939">
        <w:rPr>
          <w:rFonts w:cstheme="minorHAnsi"/>
        </w:rPr>
        <w:t>Gazetede</w:t>
      </w:r>
      <w:r w:rsidRPr="001A5189">
        <w:rPr>
          <w:rFonts w:cstheme="minorHAnsi"/>
        </w:rPr>
        <w:t xml:space="preserve"> yayımlanan Vergi Usul Kanunu Genel Tebliği (Sıra No: 542)’nde 2022 yılı için yeniden değerleme oranı olarak tespit edilen % 122,93 (yüz yirmi iki virgül doksan üç) oranında artırılarak </w:t>
      </w:r>
      <w:r w:rsidR="00F23EE3" w:rsidRPr="001A5189">
        <w:rPr>
          <w:rFonts w:cstheme="minorHAnsi"/>
        </w:rPr>
        <w:t>belirlenmesi üzerine 28.12.2022 tarihli ve 32057 sayılı Tebliğ ile 2023 yılında  uygulanacak idari para cezaları belirlenmiştir.</w:t>
      </w:r>
    </w:p>
    <w:p w:rsidR="001D2DA2" w:rsidRPr="00410B0D" w:rsidRDefault="001D2DA2" w:rsidP="009067D4">
      <w:pPr>
        <w:pStyle w:val="Balk3"/>
        <w:numPr>
          <w:ilvl w:val="2"/>
          <w:numId w:val="11"/>
        </w:numPr>
        <w:spacing w:after="240"/>
        <w:rPr>
          <w:rFonts w:asciiTheme="minorHAnsi" w:hAnsiTheme="minorHAnsi"/>
          <w:color w:val="auto"/>
        </w:rPr>
      </w:pPr>
      <w:bookmarkStart w:id="94" w:name="_Toc132713769"/>
      <w:bookmarkEnd w:id="92"/>
      <w:r w:rsidRPr="00410B0D">
        <w:rPr>
          <w:rFonts w:asciiTheme="minorHAnsi" w:hAnsiTheme="minorHAnsi"/>
          <w:color w:val="auto"/>
        </w:rPr>
        <w:t>Kurul Kararları</w:t>
      </w:r>
      <w:bookmarkEnd w:id="90"/>
      <w:bookmarkEnd w:id="91"/>
      <w:bookmarkEnd w:id="93"/>
      <w:bookmarkEnd w:id="94"/>
    </w:p>
    <w:p w:rsidR="007F076F" w:rsidRDefault="00410B0D" w:rsidP="001D2DA2">
      <w:pPr>
        <w:spacing w:after="0"/>
        <w:rPr>
          <w:color w:val="000000" w:themeColor="text1"/>
        </w:rPr>
      </w:pPr>
      <w:r w:rsidRPr="00410B0D">
        <w:rPr>
          <w:color w:val="000000" w:themeColor="text1"/>
        </w:rPr>
        <w:t>202</w:t>
      </w:r>
      <w:r w:rsidR="002967D4">
        <w:rPr>
          <w:color w:val="000000" w:themeColor="text1"/>
        </w:rPr>
        <w:t>2</w:t>
      </w:r>
      <w:r w:rsidR="00794A7D">
        <w:rPr>
          <w:color w:val="000000" w:themeColor="text1"/>
        </w:rPr>
        <w:t xml:space="preserve"> </w:t>
      </w:r>
      <w:r w:rsidR="001D2DA2" w:rsidRPr="00410B0D">
        <w:rPr>
          <w:color w:val="000000" w:themeColor="text1"/>
        </w:rPr>
        <w:t xml:space="preserve">yılında doğal gaz piyasasında düzenleyici işlem niteliğinde aşağıdaki Kurul Kararları ihdas edilmiştir: </w:t>
      </w:r>
    </w:p>
    <w:p w:rsidR="007F076F" w:rsidRDefault="007F076F" w:rsidP="001D2DA2">
      <w:pPr>
        <w:spacing w:after="0"/>
        <w:rPr>
          <w:color w:val="000000" w:themeColor="text1"/>
        </w:rPr>
      </w:pPr>
    </w:p>
    <w:p w:rsidR="007F076F" w:rsidRPr="00D77EE3" w:rsidRDefault="00794A7D" w:rsidP="000A5A56">
      <w:pPr>
        <w:pStyle w:val="ListeParagraf"/>
        <w:numPr>
          <w:ilvl w:val="0"/>
          <w:numId w:val="6"/>
        </w:numPr>
        <w:rPr>
          <w:rFonts w:ascii="Calibri" w:hAnsi="Calibri"/>
        </w:rPr>
      </w:pPr>
      <w:r w:rsidRPr="00D77EE3">
        <w:rPr>
          <w:rFonts w:cstheme="minorHAnsi"/>
        </w:rPr>
        <w:t>2</w:t>
      </w:r>
      <w:r w:rsidR="00D77EE3">
        <w:rPr>
          <w:rFonts w:cstheme="minorHAnsi"/>
        </w:rPr>
        <w:t>7</w:t>
      </w:r>
      <w:r w:rsidRPr="00D77EE3">
        <w:rPr>
          <w:rFonts w:cstheme="minorHAnsi"/>
        </w:rPr>
        <w:t>.01.202</w:t>
      </w:r>
      <w:r w:rsidR="00D77EE3">
        <w:rPr>
          <w:rFonts w:cstheme="minorHAnsi"/>
        </w:rPr>
        <w:t>2</w:t>
      </w:r>
      <w:r w:rsidRPr="00D77EE3">
        <w:rPr>
          <w:rFonts w:cstheme="minorHAnsi"/>
        </w:rPr>
        <w:t xml:space="preserve"> tarihli ve 317</w:t>
      </w:r>
      <w:r w:rsidR="00D77EE3">
        <w:rPr>
          <w:rFonts w:cstheme="minorHAnsi"/>
        </w:rPr>
        <w:t>3</w:t>
      </w:r>
      <w:r w:rsidRPr="00D77EE3">
        <w:rPr>
          <w:rFonts w:cstheme="minorHAnsi"/>
        </w:rPr>
        <w:t xml:space="preserve">3 sayılı </w:t>
      </w:r>
      <w:r w:rsidR="00DC783D">
        <w:rPr>
          <w:rFonts w:cstheme="minorHAnsi"/>
        </w:rPr>
        <w:t>Resmî</w:t>
      </w:r>
      <w:r w:rsidRPr="00D77EE3">
        <w:rPr>
          <w:rFonts w:cstheme="minorHAnsi"/>
        </w:rPr>
        <w:t xml:space="preserve"> </w:t>
      </w:r>
      <w:r w:rsidR="00274939">
        <w:rPr>
          <w:rFonts w:cstheme="minorHAnsi"/>
        </w:rPr>
        <w:t>Gazetede</w:t>
      </w:r>
      <w:r w:rsidRPr="00D77EE3">
        <w:rPr>
          <w:rFonts w:cstheme="minorHAnsi"/>
        </w:rPr>
        <w:t xml:space="preserve"> yayımlanan 2</w:t>
      </w:r>
      <w:r w:rsidR="00D77EE3">
        <w:rPr>
          <w:rFonts w:cstheme="minorHAnsi"/>
        </w:rPr>
        <w:t>7</w:t>
      </w:r>
      <w:r w:rsidRPr="00D77EE3">
        <w:rPr>
          <w:rFonts w:cstheme="minorHAnsi"/>
        </w:rPr>
        <w:t>.01.202</w:t>
      </w:r>
      <w:r w:rsidR="00D77EE3">
        <w:rPr>
          <w:rFonts w:cstheme="minorHAnsi"/>
        </w:rPr>
        <w:t>2</w:t>
      </w:r>
      <w:r w:rsidR="00ED4009" w:rsidRPr="00D77EE3">
        <w:rPr>
          <w:rFonts w:cstheme="minorHAnsi"/>
        </w:rPr>
        <w:t xml:space="preserve"> tarihli ve </w:t>
      </w:r>
      <w:r w:rsidR="00D77EE3">
        <w:rPr>
          <w:rFonts w:cstheme="minorHAnsi"/>
        </w:rPr>
        <w:t>10747</w:t>
      </w:r>
      <w:r w:rsidR="00ED4009" w:rsidRPr="00D77EE3">
        <w:rPr>
          <w:rFonts w:cstheme="minorHAnsi"/>
        </w:rPr>
        <w:t xml:space="preserve"> sayılı Kurul K</w:t>
      </w:r>
      <w:r w:rsidRPr="00D77EE3">
        <w:rPr>
          <w:rFonts w:cstheme="minorHAnsi"/>
        </w:rPr>
        <w:t xml:space="preserve">ararı ile 4646 sayılı Doğal Gaz Piyasası Kanununun 4 üncü maddesinin dördüncü fıkrasının (a) bendinin </w:t>
      </w:r>
      <w:r w:rsidRPr="00D77EE3">
        <w:rPr>
          <w:rFonts w:cstheme="minorHAnsi"/>
        </w:rPr>
        <w:lastRenderedPageBreak/>
        <w:t>dördüncü paragrafı, (b) bendinin ikinci paragrafı, (e) bendinin (6) numaralı alt bendi, 7 nci maddesinin (a) fıkrasının ikinci bendi ve Geçici 2 nci maddesi ile Doğal Gaz Piyasası Lisans Yönetmeliğinin 19, 25 ve 26 ncı maddeleri uyarınca, 202</w:t>
      </w:r>
      <w:r w:rsidR="00D77EE3">
        <w:rPr>
          <w:rFonts w:cstheme="minorHAnsi"/>
        </w:rPr>
        <w:t>2</w:t>
      </w:r>
      <w:r w:rsidRPr="00D77EE3">
        <w:rPr>
          <w:rFonts w:cstheme="minorHAnsi"/>
        </w:rPr>
        <w:t xml:space="preserve"> yılı ulusal doğal gaz tüketim tahmininin, doğal gazın 9155 kcal/m3 üst ısıl değeri esas alınarak </w:t>
      </w:r>
      <w:r w:rsidR="00D77EE3">
        <w:rPr>
          <w:rFonts w:cstheme="minorHAnsi"/>
        </w:rPr>
        <w:t>60</w:t>
      </w:r>
      <w:r w:rsidRPr="00D77EE3">
        <w:rPr>
          <w:rFonts w:cstheme="minorHAnsi"/>
        </w:rPr>
        <w:t>.</w:t>
      </w:r>
      <w:r w:rsidR="00D77EE3">
        <w:rPr>
          <w:rFonts w:cstheme="minorHAnsi"/>
        </w:rPr>
        <w:t>04</w:t>
      </w:r>
      <w:r w:rsidRPr="00D77EE3">
        <w:rPr>
          <w:rFonts w:cstheme="minorHAnsi"/>
        </w:rPr>
        <w:t>4.</w:t>
      </w:r>
      <w:r w:rsidR="00D77EE3">
        <w:rPr>
          <w:rFonts w:cstheme="minorHAnsi"/>
        </w:rPr>
        <w:t>873</w:t>
      </w:r>
      <w:r w:rsidR="00D77EE3" w:rsidRPr="00D77EE3">
        <w:rPr>
          <w:rFonts w:cstheme="minorHAnsi"/>
        </w:rPr>
        <w:t>.</w:t>
      </w:r>
      <w:r w:rsidR="00D77EE3">
        <w:rPr>
          <w:rFonts w:cstheme="minorHAnsi"/>
        </w:rPr>
        <w:t>569</w:t>
      </w:r>
      <w:r w:rsidR="00D77EE3" w:rsidRPr="00D77EE3">
        <w:rPr>
          <w:rFonts w:cstheme="minorHAnsi"/>
        </w:rPr>
        <w:t xml:space="preserve"> </w:t>
      </w:r>
      <w:r w:rsidRPr="00D77EE3">
        <w:rPr>
          <w:rFonts w:cstheme="minorHAnsi"/>
        </w:rPr>
        <w:t>Sm3 (</w:t>
      </w:r>
      <w:r w:rsidR="00D77EE3">
        <w:rPr>
          <w:rFonts w:cstheme="minorHAnsi"/>
        </w:rPr>
        <w:t>638</w:t>
      </w:r>
      <w:r w:rsidRPr="00D77EE3">
        <w:rPr>
          <w:rFonts w:cstheme="minorHAnsi"/>
        </w:rPr>
        <w:t>.</w:t>
      </w:r>
      <w:r w:rsidR="00D77EE3">
        <w:rPr>
          <w:rFonts w:cstheme="minorHAnsi"/>
        </w:rPr>
        <w:t>877</w:t>
      </w:r>
      <w:r w:rsidRPr="00D77EE3">
        <w:rPr>
          <w:rFonts w:cstheme="minorHAnsi"/>
        </w:rPr>
        <w:t>.</w:t>
      </w:r>
      <w:r w:rsidR="00D77EE3">
        <w:rPr>
          <w:rFonts w:cstheme="minorHAnsi"/>
        </w:rPr>
        <w:t>454</w:t>
      </w:r>
      <w:r w:rsidRPr="00D77EE3">
        <w:rPr>
          <w:rFonts w:cstheme="minorHAnsi"/>
        </w:rPr>
        <w:t>.</w:t>
      </w:r>
      <w:r w:rsidR="00D77EE3">
        <w:rPr>
          <w:rFonts w:cstheme="minorHAnsi"/>
        </w:rPr>
        <w:t>771</w:t>
      </w:r>
      <w:r w:rsidRPr="00D77EE3">
        <w:rPr>
          <w:rFonts w:cstheme="minorHAnsi"/>
        </w:rPr>
        <w:t xml:space="preserve"> kWh) olarak belirlenmesine karar verilmiştir.</w:t>
      </w:r>
      <w:r w:rsidR="002B3553" w:rsidRPr="00D77EE3">
        <w:t xml:space="preserve"> Yıllara göre Kurum tarafından yapılan ulusal doğal gaz tüketim tahmini ve ulusal doğal gaz tüketim gerçekleşmeleri Tablo 2.2’de gösterilmektedir.</w:t>
      </w:r>
    </w:p>
    <w:tbl>
      <w:tblPr>
        <w:tblW w:w="5000" w:type="pct"/>
        <w:tblCellMar>
          <w:top w:w="15" w:type="dxa"/>
          <w:left w:w="15" w:type="dxa"/>
          <w:bottom w:w="15" w:type="dxa"/>
          <w:right w:w="15" w:type="dxa"/>
        </w:tblCellMar>
        <w:tblLook w:val="04A0" w:firstRow="1" w:lastRow="0" w:firstColumn="1" w:lastColumn="0" w:noHBand="0" w:noVBand="1"/>
      </w:tblPr>
      <w:tblGrid>
        <w:gridCol w:w="4961"/>
        <w:gridCol w:w="4961"/>
      </w:tblGrid>
      <w:tr w:rsidR="002B3553" w:rsidRPr="00410B0D" w:rsidTr="00782DC6">
        <w:tc>
          <w:tcPr>
            <w:tcW w:w="0" w:type="auto"/>
            <w:shd w:val="clear" w:color="auto" w:fill="auto"/>
            <w:tcMar>
              <w:top w:w="0" w:type="dxa"/>
              <w:left w:w="0" w:type="dxa"/>
              <w:bottom w:w="0" w:type="dxa"/>
              <w:right w:w="0" w:type="dxa"/>
            </w:tcMar>
            <w:vAlign w:val="center"/>
            <w:hideMark/>
          </w:tcPr>
          <w:p w:rsidR="002B3553" w:rsidRPr="00410B0D" w:rsidRDefault="002B3553" w:rsidP="00782DC6">
            <w:pPr>
              <w:spacing w:after="300" w:line="240" w:lineRule="auto"/>
              <w:rPr>
                <w:color w:val="000000" w:themeColor="text1"/>
              </w:rPr>
            </w:pPr>
          </w:p>
        </w:tc>
        <w:tc>
          <w:tcPr>
            <w:tcW w:w="0" w:type="auto"/>
            <w:shd w:val="clear" w:color="auto" w:fill="auto"/>
            <w:tcMar>
              <w:top w:w="0" w:type="dxa"/>
              <w:left w:w="0" w:type="dxa"/>
              <w:bottom w:w="0" w:type="dxa"/>
              <w:right w:w="0" w:type="dxa"/>
            </w:tcMar>
            <w:vAlign w:val="center"/>
            <w:hideMark/>
          </w:tcPr>
          <w:p w:rsidR="002B3553" w:rsidRPr="00410B0D" w:rsidRDefault="002B3553" w:rsidP="00782DC6">
            <w:pPr>
              <w:spacing w:after="300" w:line="240" w:lineRule="auto"/>
              <w:rPr>
                <w:color w:val="000000" w:themeColor="text1"/>
              </w:rPr>
            </w:pPr>
          </w:p>
        </w:tc>
      </w:tr>
    </w:tbl>
    <w:p w:rsidR="002B3553" w:rsidRDefault="002B3553" w:rsidP="002B3553">
      <w:pPr>
        <w:pStyle w:val="Balk5"/>
        <w:spacing w:before="0"/>
        <w:jc w:val="center"/>
        <w:rPr>
          <w:rStyle w:val="Gl"/>
          <w:rFonts w:cstheme="minorHAnsi"/>
          <w:color w:val="000000" w:themeColor="text1"/>
        </w:rPr>
      </w:pPr>
      <w:bookmarkStart w:id="95" w:name="_Toc132713889"/>
      <w:r w:rsidRPr="005A1C72">
        <w:rPr>
          <w:rStyle w:val="Gl"/>
          <w:rFonts w:cstheme="minorHAnsi"/>
          <w:color w:val="000000" w:themeColor="text1"/>
        </w:rPr>
        <w:t>Tablo 2.2: Yıllara Göre Doğal Gaz Tüketim Tahmini ve Gerçekleşme Verileri (2005-202</w:t>
      </w:r>
      <w:r w:rsidR="005C25AA">
        <w:rPr>
          <w:rStyle w:val="Gl"/>
          <w:rFonts w:cstheme="minorHAnsi"/>
          <w:color w:val="000000" w:themeColor="text1"/>
        </w:rPr>
        <w:t>2</w:t>
      </w:r>
      <w:r w:rsidRPr="005A1C72">
        <w:rPr>
          <w:rStyle w:val="Gl"/>
          <w:rFonts w:cstheme="minorHAnsi"/>
          <w:color w:val="000000" w:themeColor="text1"/>
        </w:rPr>
        <w:t>)</w:t>
      </w:r>
      <w:bookmarkEnd w:id="95"/>
    </w:p>
    <w:tbl>
      <w:tblPr>
        <w:tblW w:w="3933"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left w:w="70" w:type="dxa"/>
          <w:right w:w="70" w:type="dxa"/>
        </w:tblCellMar>
        <w:tblLook w:val="04A0" w:firstRow="1" w:lastRow="0" w:firstColumn="1" w:lastColumn="0" w:noHBand="0" w:noVBand="1"/>
      </w:tblPr>
      <w:tblGrid>
        <w:gridCol w:w="994"/>
        <w:gridCol w:w="2267"/>
        <w:gridCol w:w="2127"/>
        <w:gridCol w:w="2409"/>
      </w:tblGrid>
      <w:tr w:rsidR="002B3553" w:rsidRPr="00410B0D" w:rsidTr="00782DC6">
        <w:trPr>
          <w:trHeight w:val="20"/>
          <w:jc w:val="center"/>
        </w:trPr>
        <w:tc>
          <w:tcPr>
            <w:tcW w:w="637" w:type="pct"/>
            <w:vMerge w:val="restart"/>
            <w:shd w:val="clear" w:color="000000" w:fill="6E9ECA"/>
            <w:noWrap/>
            <w:vAlign w:val="center"/>
            <w:hideMark/>
          </w:tcPr>
          <w:p w:rsidR="002B3553" w:rsidRPr="00410B0D" w:rsidRDefault="002B3553" w:rsidP="00782DC6">
            <w:pPr>
              <w:spacing w:after="0" w:line="240" w:lineRule="auto"/>
              <w:jc w:val="center"/>
              <w:rPr>
                <w:rFonts w:ascii="Calibri" w:eastAsia="Times New Roman" w:hAnsi="Calibri" w:cs="Calibri"/>
                <w:b/>
                <w:bCs/>
                <w:color w:val="FFFFFF"/>
                <w:lang w:eastAsia="tr-TR"/>
              </w:rPr>
            </w:pPr>
            <w:r w:rsidRPr="00410B0D">
              <w:rPr>
                <w:rFonts w:ascii="Calibri" w:eastAsia="Times New Roman" w:hAnsi="Calibri" w:cs="Calibri"/>
                <w:b/>
                <w:bCs/>
                <w:color w:val="FFFFFF"/>
                <w:lang w:eastAsia="tr-TR"/>
              </w:rPr>
              <w:t>Yıllar</w:t>
            </w:r>
          </w:p>
        </w:tc>
        <w:tc>
          <w:tcPr>
            <w:tcW w:w="1454" w:type="pct"/>
            <w:shd w:val="clear" w:color="000000" w:fill="6E9ECA"/>
            <w:noWrap/>
            <w:vAlign w:val="center"/>
            <w:hideMark/>
          </w:tcPr>
          <w:p w:rsidR="002B3553" w:rsidRPr="00410B0D" w:rsidRDefault="002B3553" w:rsidP="00782DC6">
            <w:pPr>
              <w:spacing w:after="0" w:line="240" w:lineRule="auto"/>
              <w:jc w:val="center"/>
              <w:rPr>
                <w:rFonts w:ascii="Calibri" w:eastAsia="Times New Roman" w:hAnsi="Calibri" w:cs="Calibri"/>
                <w:b/>
                <w:bCs/>
                <w:color w:val="FFFFFF"/>
                <w:lang w:eastAsia="tr-TR"/>
              </w:rPr>
            </w:pPr>
            <w:r w:rsidRPr="00410B0D">
              <w:rPr>
                <w:rFonts w:ascii="Calibri" w:eastAsia="Times New Roman" w:hAnsi="Calibri" w:cs="Calibri"/>
                <w:b/>
                <w:bCs/>
                <w:color w:val="FFFFFF"/>
                <w:lang w:eastAsia="tr-TR"/>
              </w:rPr>
              <w:t>Tahmin</w:t>
            </w:r>
          </w:p>
        </w:tc>
        <w:tc>
          <w:tcPr>
            <w:tcW w:w="1364" w:type="pct"/>
            <w:shd w:val="clear" w:color="000000" w:fill="6E9ECA"/>
            <w:noWrap/>
            <w:vAlign w:val="center"/>
            <w:hideMark/>
          </w:tcPr>
          <w:p w:rsidR="002B3553" w:rsidRPr="00410B0D" w:rsidRDefault="002B3553" w:rsidP="00782DC6">
            <w:pPr>
              <w:spacing w:after="0" w:line="240" w:lineRule="auto"/>
              <w:jc w:val="center"/>
              <w:rPr>
                <w:rFonts w:ascii="Calibri" w:eastAsia="Times New Roman" w:hAnsi="Calibri" w:cs="Calibri"/>
                <w:b/>
                <w:bCs/>
                <w:color w:val="FFFFFF"/>
                <w:lang w:eastAsia="tr-TR"/>
              </w:rPr>
            </w:pPr>
            <w:r w:rsidRPr="00410B0D">
              <w:rPr>
                <w:rFonts w:ascii="Calibri" w:eastAsia="Times New Roman" w:hAnsi="Calibri" w:cs="Calibri"/>
                <w:b/>
                <w:bCs/>
                <w:color w:val="FFFFFF"/>
                <w:lang w:eastAsia="tr-TR"/>
              </w:rPr>
              <w:t>Gerçekleşme</w:t>
            </w:r>
          </w:p>
        </w:tc>
        <w:tc>
          <w:tcPr>
            <w:tcW w:w="1545" w:type="pct"/>
            <w:vMerge w:val="restart"/>
            <w:shd w:val="clear" w:color="000000" w:fill="6E9ECA"/>
            <w:noWrap/>
            <w:vAlign w:val="center"/>
            <w:hideMark/>
          </w:tcPr>
          <w:p w:rsidR="002B3553" w:rsidRPr="00410B0D" w:rsidRDefault="002B3553" w:rsidP="00782DC6">
            <w:pPr>
              <w:spacing w:after="0" w:line="240" w:lineRule="auto"/>
              <w:jc w:val="center"/>
              <w:rPr>
                <w:rFonts w:ascii="Calibri" w:eastAsia="Times New Roman" w:hAnsi="Calibri" w:cs="Calibri"/>
                <w:b/>
                <w:bCs/>
                <w:color w:val="FFFFFF"/>
                <w:lang w:eastAsia="tr-TR"/>
              </w:rPr>
            </w:pPr>
            <w:r w:rsidRPr="00410B0D">
              <w:rPr>
                <w:rFonts w:ascii="Calibri" w:eastAsia="Times New Roman" w:hAnsi="Calibri" w:cs="Calibri"/>
                <w:b/>
                <w:bCs/>
                <w:color w:val="FFFFFF"/>
                <w:lang w:eastAsia="tr-TR"/>
              </w:rPr>
              <w:t>Tahmin ve Gerçekleşme Sapması (%)</w:t>
            </w:r>
          </w:p>
        </w:tc>
      </w:tr>
      <w:tr w:rsidR="002B3553" w:rsidRPr="00410B0D" w:rsidTr="00782DC6">
        <w:trPr>
          <w:trHeight w:val="20"/>
          <w:jc w:val="center"/>
        </w:trPr>
        <w:tc>
          <w:tcPr>
            <w:tcW w:w="637" w:type="pct"/>
            <w:vMerge/>
            <w:vAlign w:val="center"/>
            <w:hideMark/>
          </w:tcPr>
          <w:p w:rsidR="002B3553" w:rsidRPr="00410B0D" w:rsidRDefault="002B3553" w:rsidP="00782DC6">
            <w:pPr>
              <w:spacing w:after="0" w:line="240" w:lineRule="auto"/>
              <w:rPr>
                <w:rFonts w:ascii="Calibri" w:eastAsia="Times New Roman" w:hAnsi="Calibri" w:cs="Calibri"/>
                <w:b/>
                <w:bCs/>
                <w:color w:val="FFFFFF"/>
                <w:lang w:eastAsia="tr-TR"/>
              </w:rPr>
            </w:pPr>
          </w:p>
        </w:tc>
        <w:tc>
          <w:tcPr>
            <w:tcW w:w="1454" w:type="pct"/>
            <w:shd w:val="clear" w:color="000000" w:fill="6E9ECA"/>
            <w:noWrap/>
            <w:vAlign w:val="center"/>
            <w:hideMark/>
          </w:tcPr>
          <w:p w:rsidR="002B3553" w:rsidRPr="00410B0D" w:rsidRDefault="002B3553" w:rsidP="00782DC6">
            <w:pPr>
              <w:spacing w:after="0" w:line="240" w:lineRule="auto"/>
              <w:jc w:val="center"/>
              <w:rPr>
                <w:rFonts w:ascii="Calibri" w:eastAsia="Times New Roman" w:hAnsi="Calibri" w:cs="Calibri"/>
                <w:b/>
                <w:bCs/>
                <w:color w:val="FFFFFF"/>
                <w:lang w:eastAsia="tr-TR"/>
              </w:rPr>
            </w:pPr>
            <w:r w:rsidRPr="00410B0D">
              <w:rPr>
                <w:rFonts w:ascii="Calibri" w:eastAsia="Times New Roman" w:hAnsi="Calibri" w:cs="Calibri"/>
                <w:b/>
                <w:bCs/>
                <w:color w:val="FFFFFF"/>
                <w:lang w:eastAsia="tr-TR"/>
              </w:rPr>
              <w:t>(Sm</w:t>
            </w:r>
            <w:r w:rsidRPr="00410B0D">
              <w:rPr>
                <w:rFonts w:ascii="Calibri" w:eastAsia="Times New Roman" w:hAnsi="Calibri" w:cs="Calibri"/>
                <w:b/>
                <w:bCs/>
                <w:color w:val="FFFFFF"/>
                <w:vertAlign w:val="superscript"/>
                <w:lang w:eastAsia="tr-TR"/>
              </w:rPr>
              <w:t>3</w:t>
            </w:r>
            <w:r w:rsidRPr="00410B0D">
              <w:rPr>
                <w:rFonts w:ascii="Calibri" w:eastAsia="Times New Roman" w:hAnsi="Calibri" w:cs="Calibri"/>
                <w:b/>
                <w:bCs/>
                <w:color w:val="FFFFFF"/>
                <w:lang w:eastAsia="tr-TR"/>
              </w:rPr>
              <w:t>)</w:t>
            </w:r>
          </w:p>
        </w:tc>
        <w:tc>
          <w:tcPr>
            <w:tcW w:w="1364" w:type="pct"/>
            <w:shd w:val="clear" w:color="000000" w:fill="6E9ECA"/>
            <w:noWrap/>
            <w:vAlign w:val="center"/>
            <w:hideMark/>
          </w:tcPr>
          <w:p w:rsidR="002B3553" w:rsidRPr="00410B0D" w:rsidRDefault="002B3553" w:rsidP="00782DC6">
            <w:pPr>
              <w:spacing w:after="0" w:line="240" w:lineRule="auto"/>
              <w:jc w:val="center"/>
              <w:rPr>
                <w:rFonts w:ascii="Calibri" w:eastAsia="Times New Roman" w:hAnsi="Calibri" w:cs="Calibri"/>
                <w:b/>
                <w:bCs/>
                <w:color w:val="FFFFFF"/>
                <w:lang w:eastAsia="tr-TR"/>
              </w:rPr>
            </w:pPr>
            <w:r w:rsidRPr="00410B0D">
              <w:rPr>
                <w:rFonts w:ascii="Calibri" w:eastAsia="Times New Roman" w:hAnsi="Calibri" w:cs="Calibri"/>
                <w:b/>
                <w:bCs/>
                <w:color w:val="FFFFFF"/>
                <w:lang w:eastAsia="tr-TR"/>
              </w:rPr>
              <w:t>(Sm</w:t>
            </w:r>
            <w:r w:rsidRPr="00410B0D">
              <w:rPr>
                <w:rFonts w:ascii="Calibri" w:eastAsia="Times New Roman" w:hAnsi="Calibri" w:cs="Calibri"/>
                <w:b/>
                <w:bCs/>
                <w:color w:val="FFFFFF"/>
                <w:vertAlign w:val="superscript"/>
                <w:lang w:eastAsia="tr-TR"/>
              </w:rPr>
              <w:t>3</w:t>
            </w:r>
            <w:r w:rsidRPr="00410B0D">
              <w:rPr>
                <w:rFonts w:ascii="Calibri" w:eastAsia="Times New Roman" w:hAnsi="Calibri" w:cs="Calibri"/>
                <w:b/>
                <w:bCs/>
                <w:color w:val="FFFFFF"/>
                <w:lang w:eastAsia="tr-TR"/>
              </w:rPr>
              <w:t>)</w:t>
            </w:r>
          </w:p>
        </w:tc>
        <w:tc>
          <w:tcPr>
            <w:tcW w:w="1545" w:type="pct"/>
            <w:vMerge/>
            <w:vAlign w:val="center"/>
            <w:hideMark/>
          </w:tcPr>
          <w:p w:rsidR="002B3553" w:rsidRPr="00410B0D" w:rsidRDefault="002B3553" w:rsidP="00782DC6">
            <w:pPr>
              <w:spacing w:after="0" w:line="240" w:lineRule="auto"/>
              <w:rPr>
                <w:rFonts w:ascii="Calibri" w:eastAsia="Times New Roman" w:hAnsi="Calibri" w:cs="Calibri"/>
                <w:b/>
                <w:bCs/>
                <w:color w:val="FFFFFF"/>
                <w:lang w:eastAsia="tr-TR"/>
              </w:rPr>
            </w:pPr>
          </w:p>
        </w:tc>
      </w:tr>
      <w:tr w:rsidR="002B3553" w:rsidRPr="00410B0D" w:rsidTr="00782DC6">
        <w:trPr>
          <w:trHeight w:val="20"/>
          <w:jc w:val="center"/>
        </w:trPr>
        <w:tc>
          <w:tcPr>
            <w:tcW w:w="637" w:type="pct"/>
            <w:shd w:val="clear" w:color="auto" w:fill="auto"/>
            <w:noWrap/>
            <w:vAlign w:val="center"/>
            <w:hideMark/>
          </w:tcPr>
          <w:p w:rsidR="002B3553" w:rsidRPr="00410B0D" w:rsidRDefault="002B3553" w:rsidP="00782DC6">
            <w:pPr>
              <w:spacing w:after="0" w:line="240" w:lineRule="auto"/>
              <w:jc w:val="center"/>
              <w:rPr>
                <w:rFonts w:ascii="Calibri" w:eastAsia="Times New Roman" w:hAnsi="Calibri" w:cs="Calibri"/>
                <w:b/>
                <w:bCs/>
                <w:color w:val="000000"/>
                <w:lang w:eastAsia="tr-TR"/>
              </w:rPr>
            </w:pPr>
            <w:r w:rsidRPr="00410B0D">
              <w:rPr>
                <w:rFonts w:ascii="Calibri" w:eastAsia="Times New Roman" w:hAnsi="Calibri" w:cs="Calibri"/>
                <w:b/>
                <w:bCs/>
                <w:color w:val="000000"/>
                <w:lang w:eastAsia="tr-TR"/>
              </w:rPr>
              <w:t>2005</w:t>
            </w:r>
          </w:p>
        </w:tc>
        <w:tc>
          <w:tcPr>
            <w:tcW w:w="1454" w:type="pct"/>
            <w:shd w:val="clear" w:color="auto" w:fill="auto"/>
            <w:noWrap/>
            <w:vAlign w:val="center"/>
            <w:hideMark/>
          </w:tcPr>
          <w:p w:rsidR="002B3553" w:rsidRPr="00410B0D" w:rsidRDefault="002B3553" w:rsidP="00782DC6">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25.800.000.000</w:t>
            </w:r>
          </w:p>
        </w:tc>
        <w:tc>
          <w:tcPr>
            <w:tcW w:w="1364" w:type="pct"/>
            <w:shd w:val="clear" w:color="auto" w:fill="auto"/>
            <w:noWrap/>
            <w:vAlign w:val="center"/>
            <w:hideMark/>
          </w:tcPr>
          <w:p w:rsidR="002B3553" w:rsidRPr="00410B0D" w:rsidRDefault="002B3553" w:rsidP="00782DC6">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27.348.213.942</w:t>
            </w:r>
          </w:p>
        </w:tc>
        <w:tc>
          <w:tcPr>
            <w:tcW w:w="1545" w:type="pct"/>
            <w:shd w:val="clear" w:color="auto" w:fill="auto"/>
            <w:noWrap/>
            <w:vAlign w:val="center"/>
            <w:hideMark/>
          </w:tcPr>
          <w:p w:rsidR="002B3553" w:rsidRPr="00410B0D" w:rsidRDefault="002B3553" w:rsidP="00376418">
            <w:pPr>
              <w:spacing w:after="0" w:line="240" w:lineRule="auto"/>
              <w:jc w:val="center"/>
              <w:rPr>
                <w:rFonts w:ascii="Calibri" w:eastAsia="Times New Roman" w:hAnsi="Calibri" w:cs="Calibri"/>
                <w:color w:val="000000"/>
                <w:lang w:eastAsia="tr-TR"/>
              </w:rPr>
            </w:pPr>
            <w:r w:rsidRPr="00410B0D">
              <w:rPr>
                <w:rFonts w:ascii="Calibri" w:eastAsia="Times New Roman" w:hAnsi="Calibri" w:cs="Calibri"/>
                <w:color w:val="000000"/>
                <w:lang w:eastAsia="tr-TR"/>
              </w:rPr>
              <w:t>6</w:t>
            </w:r>
            <w:r w:rsidR="005A1C72">
              <w:rPr>
                <w:rFonts w:ascii="Calibri" w:eastAsia="Times New Roman" w:hAnsi="Calibri" w:cs="Calibri"/>
                <w:color w:val="000000"/>
                <w:lang w:eastAsia="tr-TR"/>
              </w:rPr>
              <w:t>,00</w:t>
            </w:r>
          </w:p>
        </w:tc>
      </w:tr>
      <w:tr w:rsidR="002B3553" w:rsidRPr="00410B0D" w:rsidTr="00782DC6">
        <w:trPr>
          <w:trHeight w:val="20"/>
          <w:jc w:val="center"/>
        </w:trPr>
        <w:tc>
          <w:tcPr>
            <w:tcW w:w="637" w:type="pct"/>
            <w:shd w:val="clear" w:color="auto" w:fill="auto"/>
            <w:noWrap/>
            <w:vAlign w:val="center"/>
            <w:hideMark/>
          </w:tcPr>
          <w:p w:rsidR="002B3553" w:rsidRPr="00410B0D" w:rsidRDefault="002B3553" w:rsidP="00782DC6">
            <w:pPr>
              <w:spacing w:after="0" w:line="240" w:lineRule="auto"/>
              <w:jc w:val="center"/>
              <w:rPr>
                <w:rFonts w:ascii="Calibri" w:eastAsia="Times New Roman" w:hAnsi="Calibri" w:cs="Calibri"/>
                <w:b/>
                <w:bCs/>
                <w:color w:val="000000"/>
                <w:lang w:eastAsia="tr-TR"/>
              </w:rPr>
            </w:pPr>
            <w:r w:rsidRPr="00410B0D">
              <w:rPr>
                <w:rFonts w:ascii="Calibri" w:eastAsia="Times New Roman" w:hAnsi="Calibri" w:cs="Calibri"/>
                <w:b/>
                <w:bCs/>
                <w:color w:val="000000"/>
                <w:lang w:eastAsia="tr-TR"/>
              </w:rPr>
              <w:t>2006</w:t>
            </w:r>
          </w:p>
        </w:tc>
        <w:tc>
          <w:tcPr>
            <w:tcW w:w="1454" w:type="pct"/>
            <w:shd w:val="clear" w:color="auto" w:fill="auto"/>
            <w:noWrap/>
            <w:vAlign w:val="center"/>
            <w:hideMark/>
          </w:tcPr>
          <w:p w:rsidR="002B3553" w:rsidRPr="00410B0D" w:rsidRDefault="002B3553" w:rsidP="00782DC6">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30.100.000.000</w:t>
            </w:r>
          </w:p>
        </w:tc>
        <w:tc>
          <w:tcPr>
            <w:tcW w:w="1364" w:type="pct"/>
            <w:shd w:val="clear" w:color="auto" w:fill="auto"/>
            <w:noWrap/>
            <w:vAlign w:val="center"/>
            <w:hideMark/>
          </w:tcPr>
          <w:p w:rsidR="002B3553" w:rsidRPr="00410B0D" w:rsidRDefault="002B3553" w:rsidP="00782DC6">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30.982.063.980</w:t>
            </w:r>
          </w:p>
        </w:tc>
        <w:tc>
          <w:tcPr>
            <w:tcW w:w="1545" w:type="pct"/>
            <w:shd w:val="clear" w:color="auto" w:fill="auto"/>
            <w:noWrap/>
            <w:vAlign w:val="center"/>
            <w:hideMark/>
          </w:tcPr>
          <w:p w:rsidR="002B3553" w:rsidRPr="00410B0D" w:rsidRDefault="002B3553" w:rsidP="00376418">
            <w:pPr>
              <w:spacing w:after="0" w:line="240" w:lineRule="auto"/>
              <w:jc w:val="center"/>
              <w:rPr>
                <w:rFonts w:ascii="Calibri" w:eastAsia="Times New Roman" w:hAnsi="Calibri" w:cs="Calibri"/>
                <w:color w:val="000000"/>
                <w:lang w:eastAsia="tr-TR"/>
              </w:rPr>
            </w:pPr>
            <w:r w:rsidRPr="00410B0D">
              <w:rPr>
                <w:rFonts w:ascii="Calibri" w:eastAsia="Times New Roman" w:hAnsi="Calibri" w:cs="Calibri"/>
                <w:color w:val="000000"/>
                <w:lang w:eastAsia="tr-TR"/>
              </w:rPr>
              <w:t>2,93</w:t>
            </w:r>
          </w:p>
        </w:tc>
      </w:tr>
      <w:tr w:rsidR="002B3553" w:rsidRPr="00410B0D" w:rsidTr="00782DC6">
        <w:trPr>
          <w:trHeight w:val="20"/>
          <w:jc w:val="center"/>
        </w:trPr>
        <w:tc>
          <w:tcPr>
            <w:tcW w:w="637" w:type="pct"/>
            <w:shd w:val="clear" w:color="auto" w:fill="auto"/>
            <w:noWrap/>
            <w:vAlign w:val="center"/>
            <w:hideMark/>
          </w:tcPr>
          <w:p w:rsidR="002B3553" w:rsidRPr="00410B0D" w:rsidRDefault="002B3553" w:rsidP="00782DC6">
            <w:pPr>
              <w:spacing w:after="0" w:line="240" w:lineRule="auto"/>
              <w:jc w:val="center"/>
              <w:rPr>
                <w:rFonts w:ascii="Calibri" w:eastAsia="Times New Roman" w:hAnsi="Calibri" w:cs="Calibri"/>
                <w:b/>
                <w:bCs/>
                <w:color w:val="000000"/>
                <w:lang w:eastAsia="tr-TR"/>
              </w:rPr>
            </w:pPr>
            <w:r w:rsidRPr="00410B0D">
              <w:rPr>
                <w:rFonts w:ascii="Calibri" w:eastAsia="Times New Roman" w:hAnsi="Calibri" w:cs="Calibri"/>
                <w:b/>
                <w:bCs/>
                <w:color w:val="000000"/>
                <w:lang w:eastAsia="tr-TR"/>
              </w:rPr>
              <w:t>2007</w:t>
            </w:r>
          </w:p>
        </w:tc>
        <w:tc>
          <w:tcPr>
            <w:tcW w:w="1454" w:type="pct"/>
            <w:shd w:val="clear" w:color="auto" w:fill="auto"/>
            <w:noWrap/>
            <w:vAlign w:val="center"/>
            <w:hideMark/>
          </w:tcPr>
          <w:p w:rsidR="002B3553" w:rsidRPr="00410B0D" w:rsidRDefault="002B3553" w:rsidP="00782DC6">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36.200.000.000</w:t>
            </w:r>
          </w:p>
        </w:tc>
        <w:tc>
          <w:tcPr>
            <w:tcW w:w="1364" w:type="pct"/>
            <w:shd w:val="clear" w:color="auto" w:fill="auto"/>
            <w:noWrap/>
            <w:vAlign w:val="center"/>
            <w:hideMark/>
          </w:tcPr>
          <w:p w:rsidR="002B3553" w:rsidRPr="00410B0D" w:rsidRDefault="002B3553" w:rsidP="00782DC6">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35.394.878.230</w:t>
            </w:r>
          </w:p>
        </w:tc>
        <w:tc>
          <w:tcPr>
            <w:tcW w:w="1545" w:type="pct"/>
            <w:shd w:val="clear" w:color="auto" w:fill="auto"/>
            <w:noWrap/>
            <w:vAlign w:val="center"/>
            <w:hideMark/>
          </w:tcPr>
          <w:p w:rsidR="002B3553" w:rsidRPr="00410B0D" w:rsidRDefault="002B3553" w:rsidP="00376418">
            <w:pPr>
              <w:spacing w:after="0" w:line="240" w:lineRule="auto"/>
              <w:jc w:val="center"/>
              <w:rPr>
                <w:rFonts w:ascii="Calibri" w:eastAsia="Times New Roman" w:hAnsi="Calibri" w:cs="Calibri"/>
                <w:color w:val="000000"/>
                <w:lang w:eastAsia="tr-TR"/>
              </w:rPr>
            </w:pPr>
            <w:r w:rsidRPr="00410B0D">
              <w:rPr>
                <w:rFonts w:ascii="Calibri" w:eastAsia="Times New Roman" w:hAnsi="Calibri" w:cs="Calibri"/>
                <w:color w:val="000000"/>
                <w:lang w:eastAsia="tr-TR"/>
              </w:rPr>
              <w:t>-2,22</w:t>
            </w:r>
          </w:p>
        </w:tc>
      </w:tr>
      <w:tr w:rsidR="002B3553" w:rsidRPr="00410B0D" w:rsidTr="00782DC6">
        <w:trPr>
          <w:trHeight w:val="20"/>
          <w:jc w:val="center"/>
        </w:trPr>
        <w:tc>
          <w:tcPr>
            <w:tcW w:w="637" w:type="pct"/>
            <w:shd w:val="clear" w:color="auto" w:fill="auto"/>
            <w:noWrap/>
            <w:vAlign w:val="center"/>
            <w:hideMark/>
          </w:tcPr>
          <w:p w:rsidR="002B3553" w:rsidRPr="00410B0D" w:rsidRDefault="002B3553" w:rsidP="00782DC6">
            <w:pPr>
              <w:spacing w:after="0" w:line="240" w:lineRule="auto"/>
              <w:jc w:val="center"/>
              <w:rPr>
                <w:rFonts w:ascii="Calibri" w:eastAsia="Times New Roman" w:hAnsi="Calibri" w:cs="Calibri"/>
                <w:b/>
                <w:bCs/>
                <w:color w:val="000000"/>
                <w:lang w:eastAsia="tr-TR"/>
              </w:rPr>
            </w:pPr>
            <w:r w:rsidRPr="00410B0D">
              <w:rPr>
                <w:rFonts w:ascii="Calibri" w:eastAsia="Times New Roman" w:hAnsi="Calibri" w:cs="Calibri"/>
                <w:b/>
                <w:bCs/>
                <w:color w:val="000000"/>
                <w:lang w:eastAsia="tr-TR"/>
              </w:rPr>
              <w:t>2008</w:t>
            </w:r>
          </w:p>
        </w:tc>
        <w:tc>
          <w:tcPr>
            <w:tcW w:w="1454" w:type="pct"/>
            <w:shd w:val="clear" w:color="auto" w:fill="auto"/>
            <w:noWrap/>
            <w:vAlign w:val="center"/>
            <w:hideMark/>
          </w:tcPr>
          <w:p w:rsidR="002B3553" w:rsidRPr="00410B0D" w:rsidRDefault="002B3553" w:rsidP="00782DC6">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37.500.000.000</w:t>
            </w:r>
          </w:p>
        </w:tc>
        <w:tc>
          <w:tcPr>
            <w:tcW w:w="1364" w:type="pct"/>
            <w:shd w:val="clear" w:color="auto" w:fill="auto"/>
            <w:noWrap/>
            <w:vAlign w:val="center"/>
            <w:hideMark/>
          </w:tcPr>
          <w:p w:rsidR="002B3553" w:rsidRPr="00410B0D" w:rsidRDefault="002B3553" w:rsidP="00782DC6">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36.865.051.313</w:t>
            </w:r>
          </w:p>
        </w:tc>
        <w:tc>
          <w:tcPr>
            <w:tcW w:w="1545" w:type="pct"/>
            <w:shd w:val="clear" w:color="auto" w:fill="auto"/>
            <w:noWrap/>
            <w:vAlign w:val="center"/>
            <w:hideMark/>
          </w:tcPr>
          <w:p w:rsidR="002B3553" w:rsidRPr="00410B0D" w:rsidRDefault="002B3553" w:rsidP="00376418">
            <w:pPr>
              <w:spacing w:after="0" w:line="240" w:lineRule="auto"/>
              <w:jc w:val="center"/>
              <w:rPr>
                <w:rFonts w:ascii="Calibri" w:eastAsia="Times New Roman" w:hAnsi="Calibri" w:cs="Calibri"/>
                <w:color w:val="000000"/>
                <w:lang w:eastAsia="tr-TR"/>
              </w:rPr>
            </w:pPr>
            <w:r w:rsidRPr="00410B0D">
              <w:rPr>
                <w:rFonts w:ascii="Calibri" w:eastAsia="Times New Roman" w:hAnsi="Calibri" w:cs="Calibri"/>
                <w:color w:val="000000"/>
                <w:lang w:eastAsia="tr-TR"/>
              </w:rPr>
              <w:t>-1,69</w:t>
            </w:r>
          </w:p>
        </w:tc>
      </w:tr>
      <w:tr w:rsidR="002B3553" w:rsidRPr="00410B0D" w:rsidTr="00782DC6">
        <w:trPr>
          <w:trHeight w:val="20"/>
          <w:jc w:val="center"/>
        </w:trPr>
        <w:tc>
          <w:tcPr>
            <w:tcW w:w="637" w:type="pct"/>
            <w:shd w:val="clear" w:color="auto" w:fill="auto"/>
            <w:noWrap/>
            <w:vAlign w:val="center"/>
            <w:hideMark/>
          </w:tcPr>
          <w:p w:rsidR="002B3553" w:rsidRPr="00410B0D" w:rsidRDefault="002B3553" w:rsidP="00782DC6">
            <w:pPr>
              <w:spacing w:after="0" w:line="240" w:lineRule="auto"/>
              <w:jc w:val="center"/>
              <w:rPr>
                <w:rFonts w:ascii="Calibri" w:eastAsia="Times New Roman" w:hAnsi="Calibri" w:cs="Calibri"/>
                <w:b/>
                <w:bCs/>
                <w:color w:val="000000"/>
                <w:lang w:eastAsia="tr-TR"/>
              </w:rPr>
            </w:pPr>
            <w:r w:rsidRPr="00410B0D">
              <w:rPr>
                <w:rFonts w:ascii="Calibri" w:eastAsia="Times New Roman" w:hAnsi="Calibri" w:cs="Calibri"/>
                <w:b/>
                <w:bCs/>
                <w:color w:val="000000"/>
                <w:lang w:eastAsia="tr-TR"/>
              </w:rPr>
              <w:t>2009</w:t>
            </w:r>
          </w:p>
        </w:tc>
        <w:tc>
          <w:tcPr>
            <w:tcW w:w="1454" w:type="pct"/>
            <w:shd w:val="clear" w:color="auto" w:fill="auto"/>
            <w:noWrap/>
            <w:vAlign w:val="center"/>
            <w:hideMark/>
          </w:tcPr>
          <w:p w:rsidR="002B3553" w:rsidRPr="00410B0D" w:rsidRDefault="002B3553" w:rsidP="00782DC6">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35.000.000.000</w:t>
            </w:r>
          </w:p>
        </w:tc>
        <w:tc>
          <w:tcPr>
            <w:tcW w:w="1364" w:type="pct"/>
            <w:shd w:val="clear" w:color="auto" w:fill="auto"/>
            <w:noWrap/>
            <w:vAlign w:val="center"/>
            <w:hideMark/>
          </w:tcPr>
          <w:p w:rsidR="002B3553" w:rsidRPr="00410B0D" w:rsidRDefault="002B3553" w:rsidP="00782DC6">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35.218.839.390</w:t>
            </w:r>
          </w:p>
        </w:tc>
        <w:tc>
          <w:tcPr>
            <w:tcW w:w="1545" w:type="pct"/>
            <w:shd w:val="clear" w:color="auto" w:fill="auto"/>
            <w:noWrap/>
            <w:vAlign w:val="center"/>
            <w:hideMark/>
          </w:tcPr>
          <w:p w:rsidR="002B3553" w:rsidRPr="00410B0D" w:rsidRDefault="002B3553" w:rsidP="00376418">
            <w:pPr>
              <w:spacing w:after="0" w:line="240" w:lineRule="auto"/>
              <w:jc w:val="center"/>
              <w:rPr>
                <w:rFonts w:ascii="Calibri" w:eastAsia="Times New Roman" w:hAnsi="Calibri" w:cs="Calibri"/>
                <w:color w:val="000000"/>
                <w:lang w:eastAsia="tr-TR"/>
              </w:rPr>
            </w:pPr>
            <w:r w:rsidRPr="00410B0D">
              <w:rPr>
                <w:rFonts w:ascii="Calibri" w:eastAsia="Times New Roman" w:hAnsi="Calibri" w:cs="Calibri"/>
                <w:color w:val="000000"/>
                <w:lang w:eastAsia="tr-TR"/>
              </w:rPr>
              <w:t>0,63</w:t>
            </w:r>
          </w:p>
        </w:tc>
      </w:tr>
      <w:tr w:rsidR="002B3553" w:rsidRPr="00410B0D" w:rsidTr="00782DC6">
        <w:trPr>
          <w:trHeight w:val="20"/>
          <w:jc w:val="center"/>
        </w:trPr>
        <w:tc>
          <w:tcPr>
            <w:tcW w:w="637" w:type="pct"/>
            <w:shd w:val="clear" w:color="auto" w:fill="auto"/>
            <w:noWrap/>
            <w:vAlign w:val="center"/>
            <w:hideMark/>
          </w:tcPr>
          <w:p w:rsidR="002B3553" w:rsidRPr="00410B0D" w:rsidRDefault="002B3553" w:rsidP="00782DC6">
            <w:pPr>
              <w:spacing w:after="0" w:line="240" w:lineRule="auto"/>
              <w:jc w:val="center"/>
              <w:rPr>
                <w:rFonts w:ascii="Calibri" w:eastAsia="Times New Roman" w:hAnsi="Calibri" w:cs="Calibri"/>
                <w:b/>
                <w:bCs/>
                <w:color w:val="000000"/>
                <w:lang w:eastAsia="tr-TR"/>
              </w:rPr>
            </w:pPr>
            <w:r w:rsidRPr="00410B0D">
              <w:rPr>
                <w:rFonts w:ascii="Calibri" w:eastAsia="Times New Roman" w:hAnsi="Calibri" w:cs="Calibri"/>
                <w:b/>
                <w:bCs/>
                <w:color w:val="000000"/>
                <w:lang w:eastAsia="tr-TR"/>
              </w:rPr>
              <w:t>2010</w:t>
            </w:r>
          </w:p>
        </w:tc>
        <w:tc>
          <w:tcPr>
            <w:tcW w:w="1454" w:type="pct"/>
            <w:shd w:val="clear" w:color="auto" w:fill="auto"/>
            <w:noWrap/>
            <w:vAlign w:val="center"/>
            <w:hideMark/>
          </w:tcPr>
          <w:p w:rsidR="002B3553" w:rsidRPr="00410B0D" w:rsidRDefault="002B3553" w:rsidP="00782DC6">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37.000.000.000</w:t>
            </w:r>
          </w:p>
        </w:tc>
        <w:tc>
          <w:tcPr>
            <w:tcW w:w="1364" w:type="pct"/>
            <w:shd w:val="clear" w:color="auto" w:fill="auto"/>
            <w:noWrap/>
            <w:vAlign w:val="center"/>
            <w:hideMark/>
          </w:tcPr>
          <w:p w:rsidR="002B3553" w:rsidRPr="00410B0D" w:rsidRDefault="002B3553" w:rsidP="00782DC6">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37.411.118.370</w:t>
            </w:r>
          </w:p>
        </w:tc>
        <w:tc>
          <w:tcPr>
            <w:tcW w:w="1545" w:type="pct"/>
            <w:shd w:val="clear" w:color="auto" w:fill="auto"/>
            <w:noWrap/>
            <w:vAlign w:val="center"/>
            <w:hideMark/>
          </w:tcPr>
          <w:p w:rsidR="002B3553" w:rsidRPr="00410B0D" w:rsidRDefault="002B3553" w:rsidP="00376418">
            <w:pPr>
              <w:spacing w:after="0" w:line="240" w:lineRule="auto"/>
              <w:jc w:val="center"/>
              <w:rPr>
                <w:rFonts w:ascii="Calibri" w:eastAsia="Times New Roman" w:hAnsi="Calibri" w:cs="Calibri"/>
                <w:color w:val="000000"/>
                <w:lang w:eastAsia="tr-TR"/>
              </w:rPr>
            </w:pPr>
            <w:r w:rsidRPr="00410B0D">
              <w:rPr>
                <w:rFonts w:ascii="Calibri" w:eastAsia="Times New Roman" w:hAnsi="Calibri" w:cs="Calibri"/>
                <w:color w:val="000000"/>
                <w:lang w:eastAsia="tr-TR"/>
              </w:rPr>
              <w:t>1,11</w:t>
            </w:r>
          </w:p>
        </w:tc>
      </w:tr>
      <w:tr w:rsidR="002B3553" w:rsidRPr="00410B0D" w:rsidTr="00782DC6">
        <w:trPr>
          <w:trHeight w:val="20"/>
          <w:jc w:val="center"/>
        </w:trPr>
        <w:tc>
          <w:tcPr>
            <w:tcW w:w="637" w:type="pct"/>
            <w:shd w:val="clear" w:color="auto" w:fill="auto"/>
            <w:noWrap/>
            <w:vAlign w:val="center"/>
            <w:hideMark/>
          </w:tcPr>
          <w:p w:rsidR="002B3553" w:rsidRPr="00410B0D" w:rsidRDefault="002B3553" w:rsidP="00782DC6">
            <w:pPr>
              <w:spacing w:after="0" w:line="240" w:lineRule="auto"/>
              <w:jc w:val="center"/>
              <w:rPr>
                <w:rFonts w:ascii="Calibri" w:eastAsia="Times New Roman" w:hAnsi="Calibri" w:cs="Calibri"/>
                <w:b/>
                <w:bCs/>
                <w:color w:val="000000"/>
                <w:lang w:eastAsia="tr-TR"/>
              </w:rPr>
            </w:pPr>
            <w:r w:rsidRPr="00410B0D">
              <w:rPr>
                <w:rFonts w:ascii="Calibri" w:eastAsia="Times New Roman" w:hAnsi="Calibri" w:cs="Calibri"/>
                <w:b/>
                <w:bCs/>
                <w:color w:val="000000"/>
                <w:lang w:eastAsia="tr-TR"/>
              </w:rPr>
              <w:t>2011</w:t>
            </w:r>
          </w:p>
        </w:tc>
        <w:tc>
          <w:tcPr>
            <w:tcW w:w="1454" w:type="pct"/>
            <w:shd w:val="clear" w:color="auto" w:fill="auto"/>
            <w:noWrap/>
            <w:vAlign w:val="center"/>
            <w:hideMark/>
          </w:tcPr>
          <w:p w:rsidR="002B3553" w:rsidRPr="00410B0D" w:rsidRDefault="002B3553" w:rsidP="00782DC6">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39.000.000.000</w:t>
            </w:r>
          </w:p>
        </w:tc>
        <w:tc>
          <w:tcPr>
            <w:tcW w:w="1364" w:type="pct"/>
            <w:shd w:val="clear" w:color="auto" w:fill="auto"/>
            <w:noWrap/>
            <w:vAlign w:val="center"/>
            <w:hideMark/>
          </w:tcPr>
          <w:p w:rsidR="002B3553" w:rsidRPr="00410B0D" w:rsidRDefault="002B3553" w:rsidP="00782DC6">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43.697.409.192</w:t>
            </w:r>
          </w:p>
        </w:tc>
        <w:tc>
          <w:tcPr>
            <w:tcW w:w="1545" w:type="pct"/>
            <w:shd w:val="clear" w:color="auto" w:fill="auto"/>
            <w:noWrap/>
            <w:vAlign w:val="center"/>
            <w:hideMark/>
          </w:tcPr>
          <w:p w:rsidR="002B3553" w:rsidRPr="00410B0D" w:rsidRDefault="002B3553" w:rsidP="00376418">
            <w:pPr>
              <w:spacing w:after="0" w:line="240" w:lineRule="auto"/>
              <w:jc w:val="center"/>
              <w:rPr>
                <w:rFonts w:ascii="Calibri" w:eastAsia="Times New Roman" w:hAnsi="Calibri" w:cs="Calibri"/>
                <w:color w:val="000000"/>
                <w:lang w:eastAsia="tr-TR"/>
              </w:rPr>
            </w:pPr>
            <w:r w:rsidRPr="00410B0D">
              <w:rPr>
                <w:rFonts w:ascii="Calibri" w:eastAsia="Times New Roman" w:hAnsi="Calibri" w:cs="Calibri"/>
                <w:color w:val="000000"/>
                <w:lang w:eastAsia="tr-TR"/>
              </w:rPr>
              <w:t>12,04</w:t>
            </w:r>
          </w:p>
        </w:tc>
      </w:tr>
      <w:tr w:rsidR="002B3553" w:rsidRPr="00410B0D" w:rsidTr="00782DC6">
        <w:trPr>
          <w:trHeight w:val="20"/>
          <w:jc w:val="center"/>
        </w:trPr>
        <w:tc>
          <w:tcPr>
            <w:tcW w:w="637" w:type="pct"/>
            <w:shd w:val="clear" w:color="auto" w:fill="auto"/>
            <w:noWrap/>
            <w:vAlign w:val="center"/>
            <w:hideMark/>
          </w:tcPr>
          <w:p w:rsidR="002B3553" w:rsidRPr="00410B0D" w:rsidRDefault="002B3553" w:rsidP="00782DC6">
            <w:pPr>
              <w:spacing w:after="0" w:line="240" w:lineRule="auto"/>
              <w:jc w:val="center"/>
              <w:rPr>
                <w:rFonts w:ascii="Calibri" w:eastAsia="Times New Roman" w:hAnsi="Calibri" w:cs="Calibri"/>
                <w:b/>
                <w:bCs/>
                <w:color w:val="000000"/>
                <w:lang w:eastAsia="tr-TR"/>
              </w:rPr>
            </w:pPr>
            <w:r w:rsidRPr="00410B0D">
              <w:rPr>
                <w:rFonts w:ascii="Calibri" w:eastAsia="Times New Roman" w:hAnsi="Calibri" w:cs="Calibri"/>
                <w:b/>
                <w:bCs/>
                <w:color w:val="000000"/>
                <w:lang w:eastAsia="tr-TR"/>
              </w:rPr>
              <w:t>2012</w:t>
            </w:r>
          </w:p>
        </w:tc>
        <w:tc>
          <w:tcPr>
            <w:tcW w:w="1454" w:type="pct"/>
            <w:shd w:val="clear" w:color="auto" w:fill="auto"/>
            <w:noWrap/>
            <w:vAlign w:val="center"/>
            <w:hideMark/>
          </w:tcPr>
          <w:p w:rsidR="002B3553" w:rsidRPr="00410B0D" w:rsidRDefault="002B3553" w:rsidP="00782DC6">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48.500.000.000</w:t>
            </w:r>
          </w:p>
        </w:tc>
        <w:tc>
          <w:tcPr>
            <w:tcW w:w="1364" w:type="pct"/>
            <w:shd w:val="clear" w:color="auto" w:fill="auto"/>
            <w:noWrap/>
            <w:vAlign w:val="center"/>
            <w:hideMark/>
          </w:tcPr>
          <w:p w:rsidR="002B3553" w:rsidRPr="00410B0D" w:rsidRDefault="002B3553" w:rsidP="00782DC6">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45.241.762.899</w:t>
            </w:r>
          </w:p>
        </w:tc>
        <w:tc>
          <w:tcPr>
            <w:tcW w:w="1545" w:type="pct"/>
            <w:shd w:val="clear" w:color="auto" w:fill="auto"/>
            <w:noWrap/>
            <w:vAlign w:val="center"/>
            <w:hideMark/>
          </w:tcPr>
          <w:p w:rsidR="002B3553" w:rsidRPr="00410B0D" w:rsidRDefault="002B3553" w:rsidP="00376418">
            <w:pPr>
              <w:spacing w:after="0" w:line="240" w:lineRule="auto"/>
              <w:jc w:val="center"/>
              <w:rPr>
                <w:rFonts w:ascii="Calibri" w:eastAsia="Times New Roman" w:hAnsi="Calibri" w:cs="Calibri"/>
                <w:color w:val="000000"/>
                <w:lang w:eastAsia="tr-TR"/>
              </w:rPr>
            </w:pPr>
            <w:r w:rsidRPr="00410B0D">
              <w:rPr>
                <w:rFonts w:ascii="Calibri" w:eastAsia="Times New Roman" w:hAnsi="Calibri" w:cs="Calibri"/>
                <w:color w:val="000000"/>
                <w:lang w:eastAsia="tr-TR"/>
              </w:rPr>
              <w:t>-6,72</w:t>
            </w:r>
          </w:p>
        </w:tc>
      </w:tr>
      <w:tr w:rsidR="002B3553" w:rsidRPr="00410B0D" w:rsidTr="00782DC6">
        <w:trPr>
          <w:trHeight w:val="20"/>
          <w:jc w:val="center"/>
        </w:trPr>
        <w:tc>
          <w:tcPr>
            <w:tcW w:w="637" w:type="pct"/>
            <w:shd w:val="clear" w:color="auto" w:fill="auto"/>
            <w:noWrap/>
            <w:vAlign w:val="center"/>
            <w:hideMark/>
          </w:tcPr>
          <w:p w:rsidR="002B3553" w:rsidRPr="00410B0D" w:rsidRDefault="002B3553" w:rsidP="00782DC6">
            <w:pPr>
              <w:spacing w:after="0" w:line="240" w:lineRule="auto"/>
              <w:jc w:val="center"/>
              <w:rPr>
                <w:rFonts w:ascii="Calibri" w:eastAsia="Times New Roman" w:hAnsi="Calibri" w:cs="Calibri"/>
                <w:b/>
                <w:bCs/>
                <w:color w:val="000000"/>
                <w:lang w:eastAsia="tr-TR"/>
              </w:rPr>
            </w:pPr>
            <w:r w:rsidRPr="00410B0D">
              <w:rPr>
                <w:rFonts w:ascii="Calibri" w:eastAsia="Times New Roman" w:hAnsi="Calibri" w:cs="Calibri"/>
                <w:b/>
                <w:bCs/>
                <w:color w:val="000000"/>
                <w:lang w:eastAsia="tr-TR"/>
              </w:rPr>
              <w:t>2013</w:t>
            </w:r>
          </w:p>
        </w:tc>
        <w:tc>
          <w:tcPr>
            <w:tcW w:w="1454" w:type="pct"/>
            <w:shd w:val="clear" w:color="auto" w:fill="auto"/>
            <w:noWrap/>
            <w:vAlign w:val="center"/>
            <w:hideMark/>
          </w:tcPr>
          <w:p w:rsidR="002B3553" w:rsidRPr="00410B0D" w:rsidRDefault="002B3553" w:rsidP="00782DC6">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47.600.000.000</w:t>
            </w:r>
          </w:p>
        </w:tc>
        <w:tc>
          <w:tcPr>
            <w:tcW w:w="1364" w:type="pct"/>
            <w:shd w:val="clear" w:color="auto" w:fill="auto"/>
            <w:noWrap/>
            <w:vAlign w:val="center"/>
            <w:hideMark/>
          </w:tcPr>
          <w:p w:rsidR="002B3553" w:rsidRPr="00410B0D" w:rsidRDefault="002B3553" w:rsidP="00782DC6">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45.582.044.872</w:t>
            </w:r>
          </w:p>
        </w:tc>
        <w:tc>
          <w:tcPr>
            <w:tcW w:w="1545" w:type="pct"/>
            <w:shd w:val="clear" w:color="auto" w:fill="auto"/>
            <w:noWrap/>
            <w:vAlign w:val="center"/>
            <w:hideMark/>
          </w:tcPr>
          <w:p w:rsidR="002B3553" w:rsidRPr="00410B0D" w:rsidRDefault="002B3553" w:rsidP="00376418">
            <w:pPr>
              <w:spacing w:after="0" w:line="240" w:lineRule="auto"/>
              <w:jc w:val="center"/>
              <w:rPr>
                <w:rFonts w:ascii="Calibri" w:eastAsia="Times New Roman" w:hAnsi="Calibri" w:cs="Calibri"/>
                <w:color w:val="000000"/>
                <w:lang w:eastAsia="tr-TR"/>
              </w:rPr>
            </w:pPr>
            <w:r w:rsidRPr="00410B0D">
              <w:rPr>
                <w:rFonts w:ascii="Calibri" w:eastAsia="Times New Roman" w:hAnsi="Calibri" w:cs="Calibri"/>
                <w:color w:val="000000"/>
                <w:lang w:eastAsia="tr-TR"/>
              </w:rPr>
              <w:t>-4,24</w:t>
            </w:r>
          </w:p>
        </w:tc>
      </w:tr>
      <w:tr w:rsidR="002B3553" w:rsidRPr="00410B0D" w:rsidTr="00782DC6">
        <w:trPr>
          <w:trHeight w:val="20"/>
          <w:jc w:val="center"/>
        </w:trPr>
        <w:tc>
          <w:tcPr>
            <w:tcW w:w="637" w:type="pct"/>
            <w:shd w:val="clear" w:color="auto" w:fill="auto"/>
            <w:noWrap/>
            <w:vAlign w:val="center"/>
            <w:hideMark/>
          </w:tcPr>
          <w:p w:rsidR="002B3553" w:rsidRPr="00410B0D" w:rsidRDefault="002B3553" w:rsidP="00782DC6">
            <w:pPr>
              <w:spacing w:after="0" w:line="240" w:lineRule="auto"/>
              <w:jc w:val="center"/>
              <w:rPr>
                <w:rFonts w:ascii="Calibri" w:eastAsia="Times New Roman" w:hAnsi="Calibri" w:cs="Calibri"/>
                <w:b/>
                <w:bCs/>
                <w:color w:val="000000"/>
                <w:lang w:eastAsia="tr-TR"/>
              </w:rPr>
            </w:pPr>
            <w:r w:rsidRPr="00410B0D">
              <w:rPr>
                <w:rFonts w:ascii="Calibri" w:eastAsia="Times New Roman" w:hAnsi="Calibri" w:cs="Calibri"/>
                <w:b/>
                <w:bCs/>
                <w:color w:val="000000"/>
                <w:lang w:eastAsia="tr-TR"/>
              </w:rPr>
              <w:t>2014</w:t>
            </w:r>
          </w:p>
        </w:tc>
        <w:tc>
          <w:tcPr>
            <w:tcW w:w="1454" w:type="pct"/>
            <w:shd w:val="clear" w:color="auto" w:fill="auto"/>
            <w:noWrap/>
            <w:vAlign w:val="center"/>
            <w:hideMark/>
          </w:tcPr>
          <w:p w:rsidR="002B3553" w:rsidRPr="00410B0D" w:rsidRDefault="002B3553" w:rsidP="00782DC6">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46.500.000.000</w:t>
            </w:r>
          </w:p>
        </w:tc>
        <w:tc>
          <w:tcPr>
            <w:tcW w:w="1364" w:type="pct"/>
            <w:shd w:val="clear" w:color="auto" w:fill="auto"/>
            <w:noWrap/>
            <w:vAlign w:val="center"/>
            <w:hideMark/>
          </w:tcPr>
          <w:p w:rsidR="002B3553" w:rsidRPr="00410B0D" w:rsidRDefault="002B3553" w:rsidP="00782DC6">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48.717.179.257</w:t>
            </w:r>
          </w:p>
        </w:tc>
        <w:tc>
          <w:tcPr>
            <w:tcW w:w="1545" w:type="pct"/>
            <w:shd w:val="clear" w:color="auto" w:fill="auto"/>
            <w:noWrap/>
            <w:vAlign w:val="center"/>
            <w:hideMark/>
          </w:tcPr>
          <w:p w:rsidR="002B3553" w:rsidRPr="00410B0D" w:rsidRDefault="002B3553" w:rsidP="00376418">
            <w:pPr>
              <w:spacing w:after="0" w:line="240" w:lineRule="auto"/>
              <w:jc w:val="center"/>
              <w:rPr>
                <w:rFonts w:ascii="Calibri" w:eastAsia="Times New Roman" w:hAnsi="Calibri" w:cs="Calibri"/>
                <w:color w:val="000000"/>
                <w:lang w:eastAsia="tr-TR"/>
              </w:rPr>
            </w:pPr>
            <w:r w:rsidRPr="00410B0D">
              <w:rPr>
                <w:rFonts w:ascii="Calibri" w:eastAsia="Times New Roman" w:hAnsi="Calibri" w:cs="Calibri"/>
                <w:color w:val="000000"/>
                <w:lang w:eastAsia="tr-TR"/>
              </w:rPr>
              <w:t>4,77</w:t>
            </w:r>
          </w:p>
        </w:tc>
      </w:tr>
      <w:tr w:rsidR="002B3553" w:rsidRPr="00410B0D" w:rsidTr="00782DC6">
        <w:trPr>
          <w:trHeight w:val="20"/>
          <w:jc w:val="center"/>
        </w:trPr>
        <w:tc>
          <w:tcPr>
            <w:tcW w:w="637" w:type="pct"/>
            <w:shd w:val="clear" w:color="auto" w:fill="auto"/>
            <w:noWrap/>
            <w:vAlign w:val="center"/>
            <w:hideMark/>
          </w:tcPr>
          <w:p w:rsidR="002B3553" w:rsidRPr="00410B0D" w:rsidRDefault="002B3553" w:rsidP="00782DC6">
            <w:pPr>
              <w:spacing w:after="0" w:line="240" w:lineRule="auto"/>
              <w:jc w:val="center"/>
              <w:rPr>
                <w:rFonts w:ascii="Calibri" w:eastAsia="Times New Roman" w:hAnsi="Calibri" w:cs="Calibri"/>
                <w:b/>
                <w:bCs/>
                <w:color w:val="000000"/>
                <w:lang w:eastAsia="tr-TR"/>
              </w:rPr>
            </w:pPr>
            <w:r w:rsidRPr="00410B0D">
              <w:rPr>
                <w:rFonts w:ascii="Calibri" w:eastAsia="Times New Roman" w:hAnsi="Calibri" w:cs="Calibri"/>
                <w:b/>
                <w:bCs/>
                <w:color w:val="000000"/>
                <w:lang w:eastAsia="tr-TR"/>
              </w:rPr>
              <w:t>2015</w:t>
            </w:r>
          </w:p>
        </w:tc>
        <w:tc>
          <w:tcPr>
            <w:tcW w:w="1454" w:type="pct"/>
            <w:shd w:val="clear" w:color="auto" w:fill="auto"/>
            <w:noWrap/>
            <w:vAlign w:val="center"/>
            <w:hideMark/>
          </w:tcPr>
          <w:p w:rsidR="002B3553" w:rsidRPr="00410B0D" w:rsidRDefault="002B3553" w:rsidP="00782DC6">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50.862.943.531</w:t>
            </w:r>
          </w:p>
        </w:tc>
        <w:tc>
          <w:tcPr>
            <w:tcW w:w="1364" w:type="pct"/>
            <w:shd w:val="clear" w:color="auto" w:fill="auto"/>
            <w:noWrap/>
            <w:vAlign w:val="center"/>
            <w:hideMark/>
          </w:tcPr>
          <w:p w:rsidR="002B3553" w:rsidRPr="00410B0D" w:rsidRDefault="002B3553" w:rsidP="00782DC6">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47.999.276.834</w:t>
            </w:r>
          </w:p>
        </w:tc>
        <w:tc>
          <w:tcPr>
            <w:tcW w:w="1545" w:type="pct"/>
            <w:shd w:val="clear" w:color="auto" w:fill="auto"/>
            <w:noWrap/>
            <w:vAlign w:val="center"/>
            <w:hideMark/>
          </w:tcPr>
          <w:p w:rsidR="002B3553" w:rsidRPr="00410B0D" w:rsidRDefault="002B3553" w:rsidP="00376418">
            <w:pPr>
              <w:spacing w:after="0" w:line="240" w:lineRule="auto"/>
              <w:jc w:val="center"/>
              <w:rPr>
                <w:rFonts w:ascii="Calibri" w:eastAsia="Times New Roman" w:hAnsi="Calibri" w:cs="Calibri"/>
                <w:color w:val="000000"/>
                <w:lang w:eastAsia="tr-TR"/>
              </w:rPr>
            </w:pPr>
            <w:r w:rsidRPr="00410B0D">
              <w:rPr>
                <w:rFonts w:ascii="Calibri" w:eastAsia="Times New Roman" w:hAnsi="Calibri" w:cs="Calibri"/>
                <w:color w:val="000000"/>
                <w:lang w:eastAsia="tr-TR"/>
              </w:rPr>
              <w:t>-5,63</w:t>
            </w:r>
          </w:p>
        </w:tc>
      </w:tr>
      <w:tr w:rsidR="002B3553" w:rsidRPr="00410B0D" w:rsidTr="00782DC6">
        <w:trPr>
          <w:trHeight w:val="20"/>
          <w:jc w:val="center"/>
        </w:trPr>
        <w:tc>
          <w:tcPr>
            <w:tcW w:w="637" w:type="pct"/>
            <w:shd w:val="clear" w:color="auto" w:fill="auto"/>
            <w:noWrap/>
            <w:vAlign w:val="center"/>
            <w:hideMark/>
          </w:tcPr>
          <w:p w:rsidR="002B3553" w:rsidRPr="00410B0D" w:rsidRDefault="002B3553" w:rsidP="00782DC6">
            <w:pPr>
              <w:spacing w:after="0" w:line="240" w:lineRule="auto"/>
              <w:jc w:val="center"/>
              <w:rPr>
                <w:rFonts w:ascii="Calibri" w:eastAsia="Times New Roman" w:hAnsi="Calibri" w:cs="Calibri"/>
                <w:b/>
                <w:bCs/>
                <w:color w:val="000000"/>
                <w:lang w:eastAsia="tr-TR"/>
              </w:rPr>
            </w:pPr>
            <w:r w:rsidRPr="00410B0D">
              <w:rPr>
                <w:rFonts w:ascii="Calibri" w:eastAsia="Times New Roman" w:hAnsi="Calibri" w:cs="Calibri"/>
                <w:b/>
                <w:bCs/>
                <w:color w:val="000000"/>
                <w:lang w:eastAsia="tr-TR"/>
              </w:rPr>
              <w:t>2016</w:t>
            </w:r>
          </w:p>
        </w:tc>
        <w:tc>
          <w:tcPr>
            <w:tcW w:w="1454" w:type="pct"/>
            <w:shd w:val="clear" w:color="auto" w:fill="auto"/>
            <w:noWrap/>
            <w:vAlign w:val="center"/>
            <w:hideMark/>
          </w:tcPr>
          <w:p w:rsidR="002B3553" w:rsidRPr="00410B0D" w:rsidRDefault="002B3553" w:rsidP="00782DC6">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49.562.579.420</w:t>
            </w:r>
          </w:p>
        </w:tc>
        <w:tc>
          <w:tcPr>
            <w:tcW w:w="1364" w:type="pct"/>
            <w:shd w:val="clear" w:color="auto" w:fill="auto"/>
            <w:noWrap/>
            <w:vAlign w:val="center"/>
            <w:hideMark/>
          </w:tcPr>
          <w:p w:rsidR="002B3553" w:rsidRPr="00410B0D" w:rsidRDefault="002B3553" w:rsidP="00782DC6">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46.480.780.189</w:t>
            </w:r>
          </w:p>
        </w:tc>
        <w:tc>
          <w:tcPr>
            <w:tcW w:w="1545" w:type="pct"/>
            <w:shd w:val="clear" w:color="auto" w:fill="auto"/>
            <w:noWrap/>
            <w:vAlign w:val="center"/>
            <w:hideMark/>
          </w:tcPr>
          <w:p w:rsidR="002B3553" w:rsidRPr="00410B0D" w:rsidRDefault="002B3553" w:rsidP="00376418">
            <w:pPr>
              <w:spacing w:after="0" w:line="240" w:lineRule="auto"/>
              <w:jc w:val="center"/>
              <w:rPr>
                <w:rFonts w:ascii="Calibri" w:eastAsia="Times New Roman" w:hAnsi="Calibri" w:cs="Calibri"/>
                <w:color w:val="000000"/>
                <w:lang w:eastAsia="tr-TR"/>
              </w:rPr>
            </w:pPr>
            <w:r w:rsidRPr="00410B0D">
              <w:rPr>
                <w:rFonts w:ascii="Calibri" w:eastAsia="Times New Roman" w:hAnsi="Calibri" w:cs="Calibri"/>
                <w:color w:val="000000"/>
                <w:lang w:eastAsia="tr-TR"/>
              </w:rPr>
              <w:t>-6,22</w:t>
            </w:r>
          </w:p>
        </w:tc>
      </w:tr>
      <w:tr w:rsidR="002B3553" w:rsidRPr="00410B0D" w:rsidTr="00782DC6">
        <w:trPr>
          <w:trHeight w:val="20"/>
          <w:jc w:val="center"/>
        </w:trPr>
        <w:tc>
          <w:tcPr>
            <w:tcW w:w="637" w:type="pct"/>
            <w:shd w:val="clear" w:color="auto" w:fill="auto"/>
            <w:noWrap/>
            <w:vAlign w:val="center"/>
            <w:hideMark/>
          </w:tcPr>
          <w:p w:rsidR="002B3553" w:rsidRPr="00410B0D" w:rsidRDefault="002B3553" w:rsidP="00782DC6">
            <w:pPr>
              <w:spacing w:after="0" w:line="240" w:lineRule="auto"/>
              <w:jc w:val="center"/>
              <w:rPr>
                <w:rFonts w:ascii="Calibri" w:eastAsia="Times New Roman" w:hAnsi="Calibri" w:cs="Calibri"/>
                <w:b/>
                <w:bCs/>
                <w:color w:val="000000"/>
                <w:lang w:eastAsia="tr-TR"/>
              </w:rPr>
            </w:pPr>
            <w:r w:rsidRPr="00410B0D">
              <w:rPr>
                <w:rFonts w:ascii="Calibri" w:eastAsia="Times New Roman" w:hAnsi="Calibri" w:cs="Calibri"/>
                <w:b/>
                <w:bCs/>
                <w:color w:val="000000"/>
                <w:lang w:eastAsia="tr-TR"/>
              </w:rPr>
              <w:t>2017</w:t>
            </w:r>
          </w:p>
        </w:tc>
        <w:tc>
          <w:tcPr>
            <w:tcW w:w="1454" w:type="pct"/>
            <w:shd w:val="clear" w:color="auto" w:fill="auto"/>
            <w:noWrap/>
            <w:vAlign w:val="center"/>
            <w:hideMark/>
          </w:tcPr>
          <w:p w:rsidR="002B3553" w:rsidRPr="00410B0D" w:rsidRDefault="002B3553" w:rsidP="00782DC6">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46.029.977.218</w:t>
            </w:r>
          </w:p>
        </w:tc>
        <w:tc>
          <w:tcPr>
            <w:tcW w:w="1364" w:type="pct"/>
            <w:shd w:val="clear" w:color="auto" w:fill="auto"/>
            <w:noWrap/>
            <w:vAlign w:val="center"/>
            <w:hideMark/>
          </w:tcPr>
          <w:p w:rsidR="002B3553" w:rsidRPr="00410B0D" w:rsidRDefault="002B3553" w:rsidP="00782DC6">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53.857.136.920</w:t>
            </w:r>
          </w:p>
        </w:tc>
        <w:tc>
          <w:tcPr>
            <w:tcW w:w="1545" w:type="pct"/>
            <w:shd w:val="clear" w:color="auto" w:fill="auto"/>
            <w:noWrap/>
            <w:vAlign w:val="center"/>
            <w:hideMark/>
          </w:tcPr>
          <w:p w:rsidR="002B3553" w:rsidRPr="00410B0D" w:rsidRDefault="002B3553" w:rsidP="00376418">
            <w:pPr>
              <w:spacing w:after="0" w:line="240" w:lineRule="auto"/>
              <w:jc w:val="center"/>
              <w:rPr>
                <w:rFonts w:ascii="Calibri" w:eastAsia="Times New Roman" w:hAnsi="Calibri" w:cs="Calibri"/>
                <w:color w:val="000000"/>
                <w:lang w:eastAsia="tr-TR"/>
              </w:rPr>
            </w:pPr>
            <w:r w:rsidRPr="00410B0D">
              <w:rPr>
                <w:rFonts w:ascii="Calibri" w:eastAsia="Times New Roman" w:hAnsi="Calibri" w:cs="Calibri"/>
                <w:color w:val="000000"/>
                <w:lang w:eastAsia="tr-TR"/>
              </w:rPr>
              <w:t>17</w:t>
            </w:r>
            <w:r w:rsidR="005A1C72">
              <w:rPr>
                <w:rFonts w:ascii="Calibri" w:eastAsia="Times New Roman" w:hAnsi="Calibri" w:cs="Calibri"/>
                <w:color w:val="000000"/>
                <w:lang w:eastAsia="tr-TR"/>
              </w:rPr>
              <w:t>,00</w:t>
            </w:r>
          </w:p>
        </w:tc>
      </w:tr>
      <w:tr w:rsidR="002B3553" w:rsidRPr="00410B0D" w:rsidTr="00782DC6">
        <w:trPr>
          <w:trHeight w:val="20"/>
          <w:jc w:val="center"/>
        </w:trPr>
        <w:tc>
          <w:tcPr>
            <w:tcW w:w="637" w:type="pct"/>
            <w:shd w:val="clear" w:color="auto" w:fill="auto"/>
            <w:noWrap/>
            <w:vAlign w:val="center"/>
            <w:hideMark/>
          </w:tcPr>
          <w:p w:rsidR="002B3553" w:rsidRPr="00410B0D" w:rsidRDefault="002B3553" w:rsidP="00782DC6">
            <w:pPr>
              <w:spacing w:after="0" w:line="240" w:lineRule="auto"/>
              <w:jc w:val="center"/>
              <w:rPr>
                <w:rFonts w:ascii="Calibri" w:eastAsia="Times New Roman" w:hAnsi="Calibri" w:cs="Calibri"/>
                <w:b/>
                <w:bCs/>
                <w:color w:val="000000"/>
                <w:lang w:eastAsia="tr-TR"/>
              </w:rPr>
            </w:pPr>
            <w:r w:rsidRPr="00410B0D">
              <w:rPr>
                <w:rFonts w:ascii="Calibri" w:eastAsia="Times New Roman" w:hAnsi="Calibri" w:cs="Calibri"/>
                <w:b/>
                <w:bCs/>
                <w:color w:val="000000"/>
                <w:lang w:eastAsia="tr-TR"/>
              </w:rPr>
              <w:t>2018</w:t>
            </w:r>
          </w:p>
        </w:tc>
        <w:tc>
          <w:tcPr>
            <w:tcW w:w="1454" w:type="pct"/>
            <w:shd w:val="clear" w:color="auto" w:fill="auto"/>
            <w:noWrap/>
            <w:vAlign w:val="center"/>
            <w:hideMark/>
          </w:tcPr>
          <w:p w:rsidR="002B3553" w:rsidRPr="00410B0D" w:rsidRDefault="002B3553" w:rsidP="00782DC6">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54.523.999.692</w:t>
            </w:r>
          </w:p>
        </w:tc>
        <w:tc>
          <w:tcPr>
            <w:tcW w:w="1364" w:type="pct"/>
            <w:shd w:val="clear" w:color="auto" w:fill="auto"/>
            <w:noWrap/>
            <w:vAlign w:val="center"/>
            <w:hideMark/>
          </w:tcPr>
          <w:p w:rsidR="002B3553" w:rsidRPr="00410B0D" w:rsidRDefault="002B3553" w:rsidP="00782DC6">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49.328.933.112</w:t>
            </w:r>
          </w:p>
        </w:tc>
        <w:tc>
          <w:tcPr>
            <w:tcW w:w="1545" w:type="pct"/>
            <w:shd w:val="clear" w:color="auto" w:fill="auto"/>
            <w:noWrap/>
            <w:vAlign w:val="center"/>
            <w:hideMark/>
          </w:tcPr>
          <w:p w:rsidR="002B3553" w:rsidRPr="00410B0D" w:rsidRDefault="002B3553" w:rsidP="00376418">
            <w:pPr>
              <w:spacing w:after="0" w:line="240" w:lineRule="auto"/>
              <w:jc w:val="center"/>
              <w:rPr>
                <w:rFonts w:ascii="Calibri" w:eastAsia="Times New Roman" w:hAnsi="Calibri" w:cs="Calibri"/>
                <w:color w:val="000000"/>
                <w:lang w:eastAsia="tr-TR"/>
              </w:rPr>
            </w:pPr>
            <w:r w:rsidRPr="00410B0D">
              <w:rPr>
                <w:rFonts w:ascii="Calibri" w:eastAsia="Times New Roman" w:hAnsi="Calibri" w:cs="Calibri"/>
                <w:color w:val="000000"/>
                <w:lang w:eastAsia="tr-TR"/>
              </w:rPr>
              <w:t>-9,52</w:t>
            </w:r>
          </w:p>
        </w:tc>
      </w:tr>
      <w:tr w:rsidR="002B3553" w:rsidRPr="00410B0D" w:rsidTr="00782DC6">
        <w:trPr>
          <w:trHeight w:val="20"/>
          <w:jc w:val="center"/>
        </w:trPr>
        <w:tc>
          <w:tcPr>
            <w:tcW w:w="637" w:type="pct"/>
            <w:shd w:val="clear" w:color="auto" w:fill="auto"/>
            <w:noWrap/>
            <w:vAlign w:val="center"/>
          </w:tcPr>
          <w:p w:rsidR="002B3553" w:rsidRPr="00410B0D" w:rsidRDefault="002B3553" w:rsidP="00782DC6">
            <w:pPr>
              <w:spacing w:after="0" w:line="240" w:lineRule="auto"/>
              <w:jc w:val="center"/>
              <w:rPr>
                <w:rFonts w:ascii="Calibri" w:eastAsia="Times New Roman" w:hAnsi="Calibri" w:cs="Calibri"/>
                <w:b/>
                <w:bCs/>
                <w:color w:val="000000"/>
                <w:lang w:eastAsia="tr-TR"/>
              </w:rPr>
            </w:pPr>
            <w:r>
              <w:rPr>
                <w:rFonts w:ascii="Calibri" w:eastAsia="Times New Roman" w:hAnsi="Calibri" w:cs="Calibri"/>
                <w:b/>
                <w:bCs/>
                <w:color w:val="000000"/>
                <w:lang w:eastAsia="tr-TR"/>
              </w:rPr>
              <w:t>2019</w:t>
            </w:r>
          </w:p>
        </w:tc>
        <w:tc>
          <w:tcPr>
            <w:tcW w:w="1454" w:type="pct"/>
            <w:shd w:val="clear" w:color="auto" w:fill="auto"/>
            <w:noWrap/>
            <w:vAlign w:val="center"/>
          </w:tcPr>
          <w:p w:rsidR="002B3553" w:rsidRPr="00410B0D" w:rsidRDefault="002B3553" w:rsidP="00782DC6">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52.133.229.503</w:t>
            </w:r>
          </w:p>
        </w:tc>
        <w:tc>
          <w:tcPr>
            <w:tcW w:w="1364" w:type="pct"/>
            <w:shd w:val="clear" w:color="auto" w:fill="auto"/>
            <w:noWrap/>
            <w:vAlign w:val="center"/>
          </w:tcPr>
          <w:p w:rsidR="002B3553" w:rsidRPr="00410B0D" w:rsidRDefault="002B3553" w:rsidP="00782DC6">
            <w:pPr>
              <w:spacing w:after="0" w:line="240" w:lineRule="auto"/>
              <w:jc w:val="right"/>
              <w:rPr>
                <w:rFonts w:ascii="Calibri" w:eastAsia="Times New Roman" w:hAnsi="Calibri" w:cs="Calibri"/>
                <w:color w:val="000000"/>
                <w:lang w:eastAsia="tr-TR"/>
              </w:rPr>
            </w:pPr>
            <w:r w:rsidRPr="00CC3B21">
              <w:rPr>
                <w:rFonts w:ascii="Calibri" w:eastAsia="Times New Roman" w:hAnsi="Calibri" w:cs="Calibri"/>
                <w:color w:val="000000"/>
                <w:lang w:eastAsia="tr-TR"/>
              </w:rPr>
              <w:t>45.285.498.420</w:t>
            </w:r>
          </w:p>
        </w:tc>
        <w:tc>
          <w:tcPr>
            <w:tcW w:w="1545" w:type="pct"/>
            <w:shd w:val="clear" w:color="auto" w:fill="auto"/>
            <w:noWrap/>
            <w:vAlign w:val="center"/>
          </w:tcPr>
          <w:p w:rsidR="002B3553" w:rsidRPr="00410B0D" w:rsidRDefault="002B3553" w:rsidP="00376418">
            <w:pPr>
              <w:spacing w:after="0" w:line="240" w:lineRule="auto"/>
              <w:jc w:val="center"/>
              <w:rPr>
                <w:rFonts w:ascii="Calibri" w:eastAsia="Times New Roman" w:hAnsi="Calibri" w:cs="Calibri"/>
                <w:color w:val="000000"/>
                <w:lang w:eastAsia="tr-TR"/>
              </w:rPr>
            </w:pPr>
            <w:r w:rsidRPr="00CC3B21">
              <w:rPr>
                <w:rFonts w:ascii="Calibri" w:eastAsia="Times New Roman" w:hAnsi="Calibri" w:cs="Calibri"/>
                <w:color w:val="000000"/>
                <w:lang w:eastAsia="tr-TR"/>
              </w:rPr>
              <w:t>-13,1</w:t>
            </w:r>
          </w:p>
        </w:tc>
      </w:tr>
      <w:tr w:rsidR="002B3553" w:rsidRPr="00410B0D" w:rsidTr="00782DC6">
        <w:trPr>
          <w:trHeight w:val="20"/>
          <w:jc w:val="center"/>
        </w:trPr>
        <w:tc>
          <w:tcPr>
            <w:tcW w:w="637" w:type="pct"/>
            <w:shd w:val="clear" w:color="auto" w:fill="auto"/>
            <w:noWrap/>
            <w:vAlign w:val="center"/>
          </w:tcPr>
          <w:p w:rsidR="002B3553" w:rsidRPr="00410B0D" w:rsidRDefault="002B3553" w:rsidP="00782DC6">
            <w:pPr>
              <w:spacing w:after="0" w:line="240" w:lineRule="auto"/>
              <w:jc w:val="center"/>
              <w:rPr>
                <w:rFonts w:ascii="Calibri" w:eastAsia="Times New Roman" w:hAnsi="Calibri" w:cs="Calibri"/>
                <w:b/>
                <w:bCs/>
                <w:color w:val="000000"/>
                <w:lang w:eastAsia="tr-TR"/>
              </w:rPr>
            </w:pPr>
            <w:r w:rsidRPr="00410B0D">
              <w:rPr>
                <w:rFonts w:ascii="Calibri" w:eastAsia="Times New Roman" w:hAnsi="Calibri" w:cs="Calibri"/>
                <w:b/>
                <w:bCs/>
                <w:color w:val="000000"/>
                <w:lang w:eastAsia="tr-TR"/>
              </w:rPr>
              <w:t>2020</w:t>
            </w:r>
          </w:p>
        </w:tc>
        <w:tc>
          <w:tcPr>
            <w:tcW w:w="1454" w:type="pct"/>
            <w:shd w:val="clear" w:color="auto" w:fill="auto"/>
            <w:noWrap/>
            <w:vAlign w:val="center"/>
          </w:tcPr>
          <w:p w:rsidR="002B3553" w:rsidRPr="00410B0D" w:rsidRDefault="002B3553" w:rsidP="00782DC6">
            <w:pPr>
              <w:spacing w:after="0" w:line="240" w:lineRule="auto"/>
              <w:jc w:val="right"/>
              <w:rPr>
                <w:rFonts w:ascii="Calibri" w:eastAsia="Times New Roman" w:hAnsi="Calibri" w:cs="Calibri"/>
                <w:color w:val="000000"/>
                <w:lang w:eastAsia="tr-TR"/>
              </w:rPr>
            </w:pPr>
            <w:r w:rsidRPr="00410B0D">
              <w:t>52.019.230.516</w:t>
            </w:r>
          </w:p>
        </w:tc>
        <w:tc>
          <w:tcPr>
            <w:tcW w:w="1364" w:type="pct"/>
            <w:shd w:val="clear" w:color="auto" w:fill="auto"/>
            <w:noWrap/>
            <w:vAlign w:val="bottom"/>
          </w:tcPr>
          <w:p w:rsidR="002B3553" w:rsidRPr="00410B0D" w:rsidRDefault="002B3553" w:rsidP="00782DC6">
            <w:pPr>
              <w:spacing w:after="0" w:line="240" w:lineRule="auto"/>
              <w:jc w:val="right"/>
              <w:rPr>
                <w:rFonts w:ascii="Calibri" w:eastAsia="Times New Roman" w:hAnsi="Calibri" w:cs="Calibri"/>
                <w:color w:val="000000"/>
                <w:lang w:eastAsia="tr-TR"/>
              </w:rPr>
            </w:pPr>
            <w:r>
              <w:t>48.261.352.140</w:t>
            </w:r>
          </w:p>
        </w:tc>
        <w:tc>
          <w:tcPr>
            <w:tcW w:w="1545" w:type="pct"/>
            <w:shd w:val="clear" w:color="auto" w:fill="auto"/>
            <w:noWrap/>
            <w:vAlign w:val="center"/>
          </w:tcPr>
          <w:p w:rsidR="002B3553" w:rsidRPr="00410B0D" w:rsidRDefault="002B3553" w:rsidP="00376418">
            <w:pPr>
              <w:spacing w:after="0" w:line="240" w:lineRule="auto"/>
              <w:jc w:val="center"/>
              <w:rPr>
                <w:rFonts w:ascii="Calibri" w:eastAsia="Times New Roman" w:hAnsi="Calibri" w:cs="Calibri"/>
                <w:color w:val="000000"/>
                <w:lang w:eastAsia="tr-TR"/>
              </w:rPr>
            </w:pPr>
            <w:r>
              <w:rPr>
                <w:lang w:eastAsia="tr-TR"/>
              </w:rPr>
              <w:t>-7,22</w:t>
            </w:r>
          </w:p>
        </w:tc>
      </w:tr>
      <w:tr w:rsidR="002B3553" w:rsidRPr="00410B0D" w:rsidTr="00782DC6">
        <w:trPr>
          <w:trHeight w:val="20"/>
          <w:jc w:val="center"/>
        </w:trPr>
        <w:tc>
          <w:tcPr>
            <w:tcW w:w="637" w:type="pct"/>
            <w:shd w:val="clear" w:color="auto" w:fill="auto"/>
            <w:noWrap/>
            <w:vAlign w:val="center"/>
          </w:tcPr>
          <w:p w:rsidR="002B3553" w:rsidRPr="005A1C72" w:rsidRDefault="002B3553" w:rsidP="00782DC6">
            <w:pPr>
              <w:spacing w:after="0" w:line="240" w:lineRule="auto"/>
              <w:jc w:val="center"/>
              <w:rPr>
                <w:rFonts w:ascii="Calibri" w:eastAsia="Times New Roman" w:hAnsi="Calibri" w:cs="Calibri"/>
                <w:b/>
                <w:bCs/>
                <w:color w:val="000000"/>
                <w:lang w:eastAsia="tr-TR"/>
              </w:rPr>
            </w:pPr>
            <w:r w:rsidRPr="005A1C72">
              <w:rPr>
                <w:rFonts w:ascii="Calibri" w:eastAsia="Times New Roman" w:hAnsi="Calibri" w:cs="Calibri"/>
                <w:b/>
                <w:bCs/>
                <w:color w:val="000000"/>
                <w:lang w:eastAsia="tr-TR"/>
              </w:rPr>
              <w:t>2</w:t>
            </w:r>
            <w:r w:rsidRPr="005A1C72">
              <w:rPr>
                <w:rFonts w:eastAsia="Times New Roman" w:cs="Calibri"/>
                <w:b/>
                <w:bCs/>
                <w:color w:val="000000"/>
                <w:lang w:eastAsia="tr-TR"/>
              </w:rPr>
              <w:t>021</w:t>
            </w:r>
          </w:p>
        </w:tc>
        <w:tc>
          <w:tcPr>
            <w:tcW w:w="1454" w:type="pct"/>
            <w:shd w:val="clear" w:color="auto" w:fill="auto"/>
            <w:noWrap/>
            <w:vAlign w:val="center"/>
          </w:tcPr>
          <w:p w:rsidR="002B3553" w:rsidRPr="005A1C72" w:rsidRDefault="002B3553" w:rsidP="00782DC6">
            <w:pPr>
              <w:spacing w:after="0" w:line="240" w:lineRule="auto"/>
              <w:jc w:val="right"/>
            </w:pPr>
            <w:r w:rsidRPr="005A1C72">
              <w:t>50.864.761.766</w:t>
            </w:r>
          </w:p>
        </w:tc>
        <w:tc>
          <w:tcPr>
            <w:tcW w:w="1364" w:type="pct"/>
            <w:shd w:val="clear" w:color="auto" w:fill="auto"/>
            <w:noWrap/>
            <w:vAlign w:val="bottom"/>
          </w:tcPr>
          <w:p w:rsidR="002B3553" w:rsidRPr="005A1C72" w:rsidRDefault="005A1C72" w:rsidP="00782DC6">
            <w:pPr>
              <w:spacing w:after="0" w:line="240" w:lineRule="auto"/>
              <w:jc w:val="right"/>
            </w:pPr>
            <w:r w:rsidRPr="005C25AA">
              <w:t>59.827.054.387</w:t>
            </w:r>
          </w:p>
        </w:tc>
        <w:tc>
          <w:tcPr>
            <w:tcW w:w="1545" w:type="pct"/>
            <w:shd w:val="clear" w:color="auto" w:fill="auto"/>
            <w:noWrap/>
            <w:vAlign w:val="center"/>
          </w:tcPr>
          <w:p w:rsidR="002B3553" w:rsidRPr="00E77281" w:rsidRDefault="00E851A3" w:rsidP="00376418">
            <w:pPr>
              <w:spacing w:after="0" w:line="240" w:lineRule="auto"/>
              <w:jc w:val="center"/>
              <w:rPr>
                <w:highlight w:val="yellow"/>
                <w:lang w:eastAsia="tr-TR"/>
              </w:rPr>
            </w:pPr>
            <w:r w:rsidRPr="00E851A3">
              <w:rPr>
                <w:lang w:eastAsia="tr-TR"/>
              </w:rPr>
              <w:t>17,6</w:t>
            </w:r>
            <w:r>
              <w:rPr>
                <w:lang w:eastAsia="tr-TR"/>
              </w:rPr>
              <w:t>2</w:t>
            </w:r>
          </w:p>
        </w:tc>
      </w:tr>
      <w:tr w:rsidR="005C25AA" w:rsidRPr="00410B0D" w:rsidTr="00782DC6">
        <w:trPr>
          <w:trHeight w:val="20"/>
          <w:jc w:val="center"/>
        </w:trPr>
        <w:tc>
          <w:tcPr>
            <w:tcW w:w="637" w:type="pct"/>
            <w:shd w:val="clear" w:color="auto" w:fill="auto"/>
            <w:noWrap/>
            <w:vAlign w:val="center"/>
          </w:tcPr>
          <w:p w:rsidR="005C25AA" w:rsidRPr="005A1C72" w:rsidRDefault="005C25AA" w:rsidP="00782DC6">
            <w:pPr>
              <w:spacing w:after="0" w:line="240" w:lineRule="auto"/>
              <w:jc w:val="center"/>
              <w:rPr>
                <w:rFonts w:ascii="Calibri" w:eastAsia="Times New Roman" w:hAnsi="Calibri" w:cs="Calibri"/>
                <w:b/>
                <w:bCs/>
                <w:color w:val="000000"/>
                <w:lang w:eastAsia="tr-TR"/>
              </w:rPr>
            </w:pPr>
            <w:r>
              <w:rPr>
                <w:rFonts w:ascii="Calibri" w:eastAsia="Times New Roman" w:hAnsi="Calibri" w:cs="Calibri"/>
                <w:b/>
                <w:bCs/>
                <w:color w:val="000000"/>
                <w:lang w:eastAsia="tr-TR"/>
              </w:rPr>
              <w:t>2022</w:t>
            </w:r>
          </w:p>
        </w:tc>
        <w:tc>
          <w:tcPr>
            <w:tcW w:w="1454" w:type="pct"/>
            <w:shd w:val="clear" w:color="auto" w:fill="auto"/>
            <w:noWrap/>
            <w:vAlign w:val="center"/>
          </w:tcPr>
          <w:p w:rsidR="005C25AA" w:rsidRPr="005C25AA" w:rsidRDefault="005C25AA" w:rsidP="00782DC6">
            <w:pPr>
              <w:spacing w:after="0" w:line="240" w:lineRule="auto"/>
              <w:jc w:val="right"/>
              <w:rPr>
                <w:highlight w:val="yellow"/>
              </w:rPr>
            </w:pPr>
            <w:r w:rsidRPr="00F91931">
              <w:rPr>
                <w:rFonts w:cstheme="minorHAnsi"/>
              </w:rPr>
              <w:t>60.044. 873.569</w:t>
            </w:r>
          </w:p>
        </w:tc>
        <w:tc>
          <w:tcPr>
            <w:tcW w:w="1364" w:type="pct"/>
            <w:shd w:val="clear" w:color="auto" w:fill="auto"/>
            <w:noWrap/>
            <w:vAlign w:val="bottom"/>
          </w:tcPr>
          <w:p w:rsidR="005C25AA" w:rsidRPr="005C25AA" w:rsidRDefault="00F91931" w:rsidP="00782DC6">
            <w:pPr>
              <w:spacing w:after="0" w:line="240" w:lineRule="auto"/>
              <w:jc w:val="right"/>
              <w:rPr>
                <w:highlight w:val="yellow"/>
              </w:rPr>
            </w:pPr>
            <w:r w:rsidRPr="00F91931">
              <w:t>53.521.059.863</w:t>
            </w:r>
          </w:p>
        </w:tc>
        <w:tc>
          <w:tcPr>
            <w:tcW w:w="1545" w:type="pct"/>
            <w:shd w:val="clear" w:color="auto" w:fill="auto"/>
            <w:noWrap/>
            <w:vAlign w:val="center"/>
          </w:tcPr>
          <w:p w:rsidR="005C25AA" w:rsidRPr="005C25AA" w:rsidRDefault="00127768" w:rsidP="00376418">
            <w:pPr>
              <w:spacing w:after="0" w:line="240" w:lineRule="auto"/>
              <w:jc w:val="center"/>
              <w:rPr>
                <w:highlight w:val="yellow"/>
                <w:lang w:eastAsia="tr-TR"/>
              </w:rPr>
            </w:pPr>
            <w:r w:rsidRPr="00127768">
              <w:rPr>
                <w:lang w:eastAsia="tr-TR"/>
              </w:rPr>
              <w:t>-10,86</w:t>
            </w:r>
          </w:p>
        </w:tc>
      </w:tr>
    </w:tbl>
    <w:p w:rsidR="00794A7D" w:rsidRDefault="00794A7D" w:rsidP="002B3553">
      <w:pPr>
        <w:pStyle w:val="ListeParagraf"/>
        <w:tabs>
          <w:tab w:val="left" w:pos="708"/>
        </w:tabs>
        <w:suppressAutoHyphens/>
        <w:spacing w:after="0" w:line="240" w:lineRule="auto"/>
        <w:ind w:left="770"/>
        <w:rPr>
          <w:rFonts w:cstheme="minorHAnsi"/>
        </w:rPr>
      </w:pPr>
    </w:p>
    <w:p w:rsidR="00794A7D" w:rsidRPr="003B2A69" w:rsidRDefault="00794A7D" w:rsidP="00794A7D">
      <w:pPr>
        <w:pStyle w:val="ListeParagraf"/>
        <w:tabs>
          <w:tab w:val="left" w:pos="708"/>
        </w:tabs>
        <w:suppressAutoHyphens/>
        <w:spacing w:after="0" w:line="240" w:lineRule="auto"/>
        <w:ind w:left="770"/>
        <w:rPr>
          <w:rFonts w:cstheme="minorHAnsi"/>
        </w:rPr>
      </w:pPr>
    </w:p>
    <w:p w:rsidR="001542D3" w:rsidRPr="00293B29" w:rsidRDefault="001542D3" w:rsidP="000A5A56">
      <w:pPr>
        <w:pStyle w:val="ListeParagraf"/>
        <w:numPr>
          <w:ilvl w:val="0"/>
          <w:numId w:val="60"/>
        </w:numPr>
        <w:spacing w:after="160" w:line="259" w:lineRule="auto"/>
      </w:pPr>
      <w:bookmarkStart w:id="96" w:name="_Hlk113238179"/>
      <w:bookmarkStart w:id="97" w:name="_Hlk78189856"/>
      <w:bookmarkStart w:id="98" w:name="_Hlk92830541"/>
      <w:r>
        <w:rPr>
          <w:rFonts w:ascii="Calibri" w:hAnsi="Calibri" w:cs="Calibri"/>
          <w:color w:val="000000"/>
        </w:rPr>
        <w:t>28</w:t>
      </w:r>
      <w:r w:rsidRPr="00293B29">
        <w:rPr>
          <w:rFonts w:ascii="Calibri" w:hAnsi="Calibri" w:cs="Calibri"/>
          <w:color w:val="000000"/>
        </w:rPr>
        <w:t>.01.2022 tarihli ve 317</w:t>
      </w:r>
      <w:r>
        <w:rPr>
          <w:rFonts w:ascii="Calibri" w:hAnsi="Calibri" w:cs="Calibri"/>
          <w:color w:val="000000"/>
        </w:rPr>
        <w:t>3</w:t>
      </w:r>
      <w:r w:rsidRPr="00293B29">
        <w:rPr>
          <w:rFonts w:ascii="Calibri" w:hAnsi="Calibri" w:cs="Calibri"/>
          <w:color w:val="000000"/>
        </w:rPr>
        <w:t xml:space="preserve">3 sayılı Resmî </w:t>
      </w:r>
      <w:r w:rsidR="00274939">
        <w:rPr>
          <w:rFonts w:ascii="Calibri" w:hAnsi="Calibri" w:cs="Calibri"/>
          <w:color w:val="000000"/>
        </w:rPr>
        <w:t>Gazetede</w:t>
      </w:r>
      <w:r w:rsidRPr="00293B29">
        <w:rPr>
          <w:rFonts w:ascii="Calibri" w:hAnsi="Calibri" w:cs="Calibri"/>
          <w:color w:val="000000"/>
        </w:rPr>
        <w:t xml:space="preserve"> yayımlanan </w:t>
      </w:r>
      <w:r>
        <w:rPr>
          <w:rFonts w:ascii="Calibri" w:hAnsi="Calibri" w:cs="Calibri"/>
          <w:color w:val="000000"/>
        </w:rPr>
        <w:t>27</w:t>
      </w:r>
      <w:r w:rsidRPr="00293B29">
        <w:rPr>
          <w:rFonts w:ascii="Calibri" w:hAnsi="Calibri" w:cs="Calibri"/>
          <w:color w:val="000000"/>
        </w:rPr>
        <w:t>.01.2022 tarihli ve 107</w:t>
      </w:r>
      <w:r>
        <w:rPr>
          <w:rFonts w:ascii="Calibri" w:hAnsi="Calibri" w:cs="Calibri"/>
          <w:color w:val="000000"/>
        </w:rPr>
        <w:t>45</w:t>
      </w:r>
      <w:r w:rsidRPr="00293B29">
        <w:rPr>
          <w:rFonts w:ascii="Calibri" w:hAnsi="Calibri" w:cs="Calibri"/>
          <w:color w:val="000000"/>
        </w:rPr>
        <w:t xml:space="preserve"> sayılı Kurul Kararı ile </w:t>
      </w:r>
      <w:bookmarkEnd w:id="96"/>
      <w:r w:rsidRPr="00293B29">
        <w:rPr>
          <w:rFonts w:ascii="Calibri" w:hAnsi="Calibri" w:cs="Calibri"/>
          <w:color w:val="000000"/>
        </w:rPr>
        <w:t xml:space="preserve">2022 Gaz Yılından itibaren uygulanmak üzere konu hakkında yeni bir karar alınıncaya kadar İletim Şebekesi Asgari Stok Miktarı </w:t>
      </w:r>
      <w:r w:rsidRPr="00293B29">
        <w:rPr>
          <w:rFonts w:ascii="Calibri" w:hAnsi="Calibri" w:cs="Calibri"/>
          <w:b/>
          <w:bCs/>
          <w:color w:val="000000"/>
        </w:rPr>
        <w:t>360.298.645 Stdm</w:t>
      </w:r>
      <w:r w:rsidRPr="00293B29">
        <w:rPr>
          <w:rFonts w:ascii="Calibri" w:hAnsi="Calibri" w:cs="Calibri"/>
          <w:b/>
          <w:bCs/>
          <w:color w:val="000000"/>
          <w:vertAlign w:val="superscript"/>
        </w:rPr>
        <w:t>3</w:t>
      </w:r>
      <w:r w:rsidRPr="00293B29">
        <w:rPr>
          <w:rFonts w:ascii="Calibri" w:hAnsi="Calibri" w:cs="Calibri"/>
          <w:color w:val="000000"/>
        </w:rPr>
        <w:t> olarak belirlenmiştir.</w:t>
      </w:r>
    </w:p>
    <w:p w:rsidR="001542D3" w:rsidRPr="00293B29" w:rsidRDefault="001542D3" w:rsidP="001542D3">
      <w:pPr>
        <w:pStyle w:val="ListeParagraf"/>
      </w:pPr>
    </w:p>
    <w:p w:rsidR="001542D3" w:rsidRDefault="001542D3" w:rsidP="000A5A56">
      <w:pPr>
        <w:pStyle w:val="ListeParagraf"/>
        <w:numPr>
          <w:ilvl w:val="0"/>
          <w:numId w:val="60"/>
        </w:numPr>
        <w:spacing w:after="160" w:line="259" w:lineRule="auto"/>
      </w:pPr>
      <w:bookmarkStart w:id="99" w:name="_Hlk113239566"/>
      <w:r w:rsidRPr="00293B29">
        <w:t xml:space="preserve">28.01.2022 tarihli ve 31733 sayılı Resmî </w:t>
      </w:r>
      <w:r w:rsidR="00274939">
        <w:t>Gazetede</w:t>
      </w:r>
      <w:r w:rsidRPr="00293B29">
        <w:t xml:space="preserve"> yayımlanan 27.01.2022 tarihli ve 1074</w:t>
      </w:r>
      <w:r>
        <w:t xml:space="preserve">7 </w:t>
      </w:r>
      <w:r w:rsidRPr="00293B29">
        <w:t>sayılı Kurul Kararı ile</w:t>
      </w:r>
      <w:bookmarkEnd w:id="99"/>
      <w:r>
        <w:t xml:space="preserve"> 2</w:t>
      </w:r>
      <w:r w:rsidRPr="00293B29">
        <w:t xml:space="preserve">022 yılı ulusal doğal gaz tüketim tahmininin, doğal gazın 9155 kcal/m3 üst ısıl değeri esas alınarak </w:t>
      </w:r>
      <w:r w:rsidRPr="00293B29">
        <w:rPr>
          <w:b/>
          <w:bCs/>
        </w:rPr>
        <w:t>60.044.873.569 Sm</w:t>
      </w:r>
      <w:r w:rsidRPr="00293B29">
        <w:rPr>
          <w:b/>
          <w:bCs/>
          <w:vertAlign w:val="superscript"/>
        </w:rPr>
        <w:t>3</w:t>
      </w:r>
      <w:r w:rsidRPr="00293B29">
        <w:rPr>
          <w:b/>
          <w:bCs/>
        </w:rPr>
        <w:t> (638.877.454.771 kWh)</w:t>
      </w:r>
      <w:r w:rsidRPr="00293B29">
        <w:t xml:space="preserve"> olarak belirlenmesine</w:t>
      </w:r>
      <w:r>
        <w:t xml:space="preserve"> </w:t>
      </w:r>
      <w:r w:rsidRPr="00293B29">
        <w:t>karar verilmiştir.</w:t>
      </w:r>
    </w:p>
    <w:p w:rsidR="001542D3" w:rsidRDefault="001542D3" w:rsidP="001542D3">
      <w:pPr>
        <w:pStyle w:val="ListeParagraf"/>
      </w:pPr>
    </w:p>
    <w:p w:rsidR="001542D3" w:rsidRDefault="001542D3" w:rsidP="000A5A56">
      <w:pPr>
        <w:pStyle w:val="ListeParagraf"/>
        <w:numPr>
          <w:ilvl w:val="0"/>
          <w:numId w:val="60"/>
        </w:numPr>
        <w:spacing w:after="160" w:line="259" w:lineRule="auto"/>
        <w:rPr>
          <w:rFonts w:ascii="Calibri" w:hAnsi="Calibri" w:cs="Calibri"/>
          <w:color w:val="000000"/>
        </w:rPr>
      </w:pPr>
      <w:r>
        <w:rPr>
          <w:rFonts w:ascii="Calibri" w:hAnsi="Calibri" w:cs="Calibri"/>
          <w:color w:val="000000"/>
        </w:rPr>
        <w:t>19</w:t>
      </w:r>
      <w:r w:rsidRPr="00293B29">
        <w:rPr>
          <w:rFonts w:ascii="Calibri" w:hAnsi="Calibri" w:cs="Calibri"/>
          <w:color w:val="000000"/>
        </w:rPr>
        <w:t>.0</w:t>
      </w:r>
      <w:r>
        <w:rPr>
          <w:rFonts w:ascii="Calibri" w:hAnsi="Calibri" w:cs="Calibri"/>
          <w:color w:val="000000"/>
        </w:rPr>
        <w:t>2</w:t>
      </w:r>
      <w:r w:rsidRPr="00293B29">
        <w:rPr>
          <w:rFonts w:ascii="Calibri" w:hAnsi="Calibri" w:cs="Calibri"/>
          <w:color w:val="000000"/>
        </w:rPr>
        <w:t>.2022 tarihli ve 317</w:t>
      </w:r>
      <w:r>
        <w:rPr>
          <w:rFonts w:ascii="Calibri" w:hAnsi="Calibri" w:cs="Calibri"/>
          <w:color w:val="000000"/>
        </w:rPr>
        <w:t>55</w:t>
      </w:r>
      <w:r w:rsidRPr="00293B29">
        <w:rPr>
          <w:rFonts w:ascii="Calibri" w:hAnsi="Calibri" w:cs="Calibri"/>
          <w:color w:val="000000"/>
        </w:rPr>
        <w:t xml:space="preserve"> sayılı Resmî </w:t>
      </w:r>
      <w:r w:rsidR="00274939">
        <w:rPr>
          <w:rFonts w:ascii="Calibri" w:hAnsi="Calibri" w:cs="Calibri"/>
          <w:color w:val="000000"/>
        </w:rPr>
        <w:t>Gazetede</w:t>
      </w:r>
      <w:r w:rsidRPr="00293B29">
        <w:rPr>
          <w:rFonts w:ascii="Calibri" w:hAnsi="Calibri" w:cs="Calibri"/>
          <w:color w:val="000000"/>
        </w:rPr>
        <w:t xml:space="preserve"> yayımlanan </w:t>
      </w:r>
      <w:r>
        <w:rPr>
          <w:rFonts w:ascii="Calibri" w:hAnsi="Calibri" w:cs="Calibri"/>
          <w:color w:val="000000"/>
        </w:rPr>
        <w:t>17</w:t>
      </w:r>
      <w:r w:rsidRPr="00293B29">
        <w:rPr>
          <w:rFonts w:ascii="Calibri" w:hAnsi="Calibri" w:cs="Calibri"/>
          <w:color w:val="000000"/>
        </w:rPr>
        <w:t>.0</w:t>
      </w:r>
      <w:r>
        <w:rPr>
          <w:rFonts w:ascii="Calibri" w:hAnsi="Calibri" w:cs="Calibri"/>
          <w:color w:val="000000"/>
        </w:rPr>
        <w:t>2</w:t>
      </w:r>
      <w:r w:rsidRPr="00293B29">
        <w:rPr>
          <w:rFonts w:ascii="Calibri" w:hAnsi="Calibri" w:cs="Calibri"/>
          <w:color w:val="000000"/>
        </w:rPr>
        <w:t>.2022 tarihli ve 107</w:t>
      </w:r>
      <w:r>
        <w:rPr>
          <w:rFonts w:ascii="Calibri" w:hAnsi="Calibri" w:cs="Calibri"/>
          <w:color w:val="000000"/>
        </w:rPr>
        <w:t xml:space="preserve">96 </w:t>
      </w:r>
      <w:r w:rsidRPr="00293B29">
        <w:rPr>
          <w:rFonts w:ascii="Calibri" w:hAnsi="Calibri" w:cs="Calibri"/>
          <w:color w:val="000000"/>
        </w:rPr>
        <w:t>sayılı Kurul Kararı ile</w:t>
      </w:r>
      <w:r>
        <w:rPr>
          <w:rFonts w:ascii="Calibri" w:hAnsi="Calibri" w:cs="Calibri"/>
          <w:color w:val="000000"/>
        </w:rPr>
        <w:t xml:space="preserve"> </w:t>
      </w:r>
      <w:r w:rsidRPr="007348F2">
        <w:rPr>
          <w:rFonts w:ascii="Calibri" w:hAnsi="Calibri" w:cs="Calibri"/>
          <w:color w:val="000000"/>
        </w:rPr>
        <w:t>4 Eylül 2020 tarihli ve 31254 sayılı Resmî Gazetede yayımlanarak yürürlüğe giren “İlçelere Doğal Gaz Ulaştırılması Amacıyla BOTAŞ Genel Müdürlüğünün Görevlendirilmesine İlişkin 23/09/2020 Tarihli ve 2953 Sayılı Cumhurbaşkanı Kararının” 5 inci maddesi ile 29 Aralık 2021 tarihli ve 31704 sayılı Resmî Gazetede yayımlanarak yürürlüğe giren ”İlçelere Doğal Gaz Ulaştırılması Amacıyla BOTAŞ Genel Müdürlüğünün Görevlendirilmesine İlişkin Kararda Değişiklik Yapılmasına Dair Alınan 28/12/2021 tarihli ve 4928 sayılı Cumhurbaşkanı Kararına” dayanılarak hazırlanan ve ekte yer alan “</w:t>
      </w:r>
      <w:r w:rsidRPr="007348F2">
        <w:rPr>
          <w:rFonts w:ascii="Calibri" w:hAnsi="Calibri" w:cs="Calibri"/>
          <w:b/>
          <w:bCs/>
          <w:color w:val="000000"/>
        </w:rPr>
        <w:t>İlçelere Doğal Gaz Ulaştırılması Amacıyla Alınan 23/09/2020 Tarihli ve 2953 Sayılı Cumhurbaşkanı Kararının Uygulanmasına İlişkin Usul ve Esaslarda Değişiklik Yapılmasına Dair Usul ve Esaslar’’</w:t>
      </w:r>
      <w:r>
        <w:rPr>
          <w:rFonts w:ascii="Calibri" w:hAnsi="Calibri" w:cs="Calibri"/>
          <w:color w:val="000000"/>
        </w:rPr>
        <w:t xml:space="preserve"> kabul edilmiştir.</w:t>
      </w:r>
    </w:p>
    <w:p w:rsidR="001542D3" w:rsidRPr="00021C29" w:rsidRDefault="001542D3" w:rsidP="001542D3">
      <w:pPr>
        <w:pStyle w:val="ListeParagraf"/>
        <w:rPr>
          <w:rFonts w:ascii="Calibri" w:hAnsi="Calibri" w:cs="Calibri"/>
          <w:color w:val="000000"/>
        </w:rPr>
      </w:pPr>
    </w:p>
    <w:p w:rsidR="001542D3" w:rsidRDefault="001542D3" w:rsidP="000A5A56">
      <w:pPr>
        <w:pStyle w:val="ListeParagraf"/>
        <w:numPr>
          <w:ilvl w:val="0"/>
          <w:numId w:val="8"/>
        </w:numPr>
        <w:spacing w:after="160" w:line="259" w:lineRule="auto"/>
      </w:pPr>
      <w:r>
        <w:lastRenderedPageBreak/>
        <w:t>12</w:t>
      </w:r>
      <w:r w:rsidRPr="00485431">
        <w:t>.03.2022 tarihli ve 317</w:t>
      </w:r>
      <w:r>
        <w:t>76</w:t>
      </w:r>
      <w:r w:rsidRPr="00485431">
        <w:t xml:space="preserve"> sayılı Resmî </w:t>
      </w:r>
      <w:r w:rsidR="00274939">
        <w:t>Gazetede</w:t>
      </w:r>
      <w:r w:rsidRPr="00485431">
        <w:t xml:space="preserve"> yayımlanan </w:t>
      </w:r>
      <w:r>
        <w:t>10</w:t>
      </w:r>
      <w:r w:rsidRPr="00485431">
        <w:t>.0</w:t>
      </w:r>
      <w:r>
        <w:t>3</w:t>
      </w:r>
      <w:r w:rsidRPr="00485431">
        <w:t>.2022 tarihli ve 108</w:t>
      </w:r>
      <w:r>
        <w:t xml:space="preserve">34 </w:t>
      </w:r>
      <w:r w:rsidRPr="00485431">
        <w:t>sayılı Kurul Kararı ile</w:t>
      </w:r>
      <w:r>
        <w:t xml:space="preserve"> 26.03.2020 tarih ve 9268 sayılı Kurul Kararının değiştirilmesine ilişkin </w:t>
      </w:r>
      <w:r w:rsidRPr="00F53C5F">
        <w:rPr>
          <w:b/>
        </w:rPr>
        <w:t>"Elektrik ve Doğal Gaz Dağıtım Şirketlerinin Araştırma, Geliştirme ve Yenilik Faaliyetlerinin Desteklenmesine İlişkin Usul ve Esaslarda Değişiklik Yapılmasına Dair Usul ve Esaslar"</w:t>
      </w:r>
      <w:r>
        <w:t xml:space="preserve"> kabul edilmiştir.</w:t>
      </w:r>
    </w:p>
    <w:p w:rsidR="001542D3" w:rsidRDefault="001542D3" w:rsidP="001542D3">
      <w:pPr>
        <w:pStyle w:val="ListeParagraf"/>
      </w:pPr>
    </w:p>
    <w:p w:rsidR="001542D3" w:rsidRDefault="001542D3" w:rsidP="000A5A56">
      <w:pPr>
        <w:pStyle w:val="ListeParagraf"/>
        <w:numPr>
          <w:ilvl w:val="0"/>
          <w:numId w:val="8"/>
        </w:numPr>
        <w:spacing w:after="160" w:line="259" w:lineRule="auto"/>
      </w:pPr>
      <w:bookmarkStart w:id="100" w:name="_Hlk115902899"/>
      <w:r>
        <w:t xml:space="preserve">19.03.2022 tarihli ve 31783 sayılı Resmî </w:t>
      </w:r>
      <w:r w:rsidR="00274939">
        <w:t>Gazetede</w:t>
      </w:r>
      <w:r>
        <w:t xml:space="preserve"> yayımlanan 17.03.2022 tarihli ve 10861 sayılı Kurul Kararı ile </w:t>
      </w:r>
      <w:bookmarkEnd w:id="100"/>
      <w:r w:rsidRPr="00F53C5F">
        <w:rPr>
          <w:b/>
        </w:rPr>
        <w:t>“Yer Altı Doğal Gaz Depolama Şirketleri İçin Tarife Hesaplama Usul ve Esaslarında Değişiklik Yapılmasına Dair Karar”</w:t>
      </w:r>
      <w:r>
        <w:t xml:space="preserve"> kabul edilmiştir.</w:t>
      </w:r>
    </w:p>
    <w:p w:rsidR="001542D3" w:rsidRDefault="001542D3" w:rsidP="001542D3">
      <w:pPr>
        <w:pStyle w:val="ListeParagraf"/>
      </w:pPr>
    </w:p>
    <w:p w:rsidR="001542D3" w:rsidRDefault="001542D3" w:rsidP="000A5A56">
      <w:pPr>
        <w:pStyle w:val="ListeParagraf"/>
        <w:numPr>
          <w:ilvl w:val="0"/>
          <w:numId w:val="8"/>
        </w:numPr>
        <w:spacing w:after="160" w:line="259" w:lineRule="auto"/>
      </w:pPr>
      <w:bookmarkStart w:id="101" w:name="_Hlk115903678"/>
      <w:r>
        <w:t xml:space="preserve">26.03.2022 tarihli ve 31790 sayılı Resmî </w:t>
      </w:r>
      <w:r w:rsidR="00274939">
        <w:t>Gazetede</w:t>
      </w:r>
      <w:r>
        <w:t xml:space="preserve"> yayımlanan 24.03.2022 tarihli ve 10878 sayılı Kurul Kararı ile </w:t>
      </w:r>
      <w:bookmarkEnd w:id="101"/>
      <w:r>
        <w:t xml:space="preserve">23.03.2017 tarihli ve 6990 sayılı Kurul Kararı ile kabul edilen </w:t>
      </w:r>
      <w:r w:rsidRPr="00274939">
        <w:rPr>
          <w:b/>
        </w:rPr>
        <w:t>“Yer altı Doğal Gaz Depolama Şirketleri için Tarife Hesaplama Usul ve Esasları"</w:t>
      </w:r>
      <w:r>
        <w:t xml:space="preserve"> çerçevesinde Boru Hatları ile Petrol Taşıma Anonim Şirketi’ne ait 01.09.2016 tarihli ve DEP/6457-3/402 numaralı yer altı depolama lisanslı Silivri Yer Altı Doğal Gaz Depolama Tesisinin (BOTAŞ Silivri Depolama Tesisi) 2022-2023 tarife uygulama dönemine ilişkin depolama tarifelerine esas yıllık gelir gereksinimlerinin belirlenmesine yönelik karar verilmiştir.</w:t>
      </w:r>
    </w:p>
    <w:p w:rsidR="001542D3" w:rsidRDefault="001542D3" w:rsidP="001542D3">
      <w:pPr>
        <w:pStyle w:val="ListeParagraf"/>
      </w:pPr>
    </w:p>
    <w:p w:rsidR="001542D3" w:rsidRDefault="001542D3" w:rsidP="000A5A56">
      <w:pPr>
        <w:pStyle w:val="ListeParagraf"/>
        <w:numPr>
          <w:ilvl w:val="0"/>
          <w:numId w:val="8"/>
        </w:numPr>
        <w:spacing w:after="160" w:line="259" w:lineRule="auto"/>
      </w:pPr>
      <w:bookmarkStart w:id="102" w:name="_Hlk115903793"/>
      <w:r>
        <w:t xml:space="preserve">26.03.2022 tarihli ve 31790 sayılı Resmî </w:t>
      </w:r>
      <w:r w:rsidR="00274939">
        <w:t>Gazetede</w:t>
      </w:r>
      <w:r>
        <w:t xml:space="preserve"> yayımlanan 24.03.2022 tarihli ve 10879 sayılı Kurul Kararı ile </w:t>
      </w:r>
      <w:bookmarkEnd w:id="102"/>
      <w:r>
        <w:t xml:space="preserve">23.03.2017 tarihli ve 6990 sayılı Kurul Kararı ile kabul edilen </w:t>
      </w:r>
      <w:r w:rsidRPr="00274939">
        <w:rPr>
          <w:b/>
        </w:rPr>
        <w:t>“Yer altı Doğal Gaz Depolama Şirketleri için Tarife Hesaplama Usul ve Esasları”</w:t>
      </w:r>
      <w:r>
        <w:t xml:space="preserve"> çerçevesinde Boru Hatları ile Petrol Taşıma Anonim Şirketi’ne ait 27.06.2007 tarihli ve DEP/1238-6/155 numaralı yer altı depolama lisanslı Tuz Gölü Doğal Gaz Yer Altı Depolama Tesisinin (BOTAŞ Tuz Gölü Depolama Tesisi) 2022-2023 tarife uygulama dönemine ilişkin depolama tarifelerine esas yıllık gelir gereksinimlerinin belirlenmesine yönelik karar verilmiştir.</w:t>
      </w:r>
    </w:p>
    <w:p w:rsidR="001542D3" w:rsidRDefault="001542D3" w:rsidP="001542D3">
      <w:pPr>
        <w:pStyle w:val="ListeParagraf"/>
      </w:pPr>
    </w:p>
    <w:p w:rsidR="001542D3" w:rsidRDefault="001542D3" w:rsidP="000A5A56">
      <w:pPr>
        <w:pStyle w:val="ListeParagraf"/>
        <w:numPr>
          <w:ilvl w:val="0"/>
          <w:numId w:val="8"/>
        </w:numPr>
        <w:spacing w:after="160" w:line="259" w:lineRule="auto"/>
      </w:pPr>
      <w:bookmarkStart w:id="103" w:name="_Hlk115903902"/>
      <w:r>
        <w:t xml:space="preserve">26.03.2022 tarihli ve 31790 sayılı Resmî </w:t>
      </w:r>
      <w:r w:rsidR="00274939">
        <w:t>Gazetede</w:t>
      </w:r>
      <w:r>
        <w:t xml:space="preserve"> yayımlanan 24.03.2022 tarihli ve 10880 sayılı Kurul Kararı ile </w:t>
      </w:r>
      <w:bookmarkEnd w:id="103"/>
      <w:r>
        <w:t xml:space="preserve">23/03/2017 tarihli ve 6990 sayılı Kurul Kararı ile kabul edilen </w:t>
      </w:r>
      <w:r w:rsidRPr="00274939">
        <w:rPr>
          <w:b/>
        </w:rPr>
        <w:t>"Yer altı Doğal Gaz Depolama Şirketleri için Tarife Hesaplama Usul ve Esasları”</w:t>
      </w:r>
      <w:r>
        <w:t xml:space="preserve"> çerçevesinde Boru Hatları ile Petrol Taşıma Anonim Şirketi’ne ait 27.06.2007 tarihli ve DEP/1238-6/155 numaralı yer altı depolama lisanslı Tuz Gölü Doğal Gaz Yer Altı Depolama Tesisinin ve 01/09/2016 tarihli ve DEP/6457- 3/402 numaralı yer altı depolama lisanslı Silivri Yer Altı Doğal Gaz Depolama Tesisinin 2022- 2023 tarife uygulama dönemine ilişkin ekteki Yöntem Bildiriminin onaylanmasına, karar verilmiştir.</w:t>
      </w:r>
    </w:p>
    <w:p w:rsidR="001542D3" w:rsidRDefault="001542D3" w:rsidP="001542D3">
      <w:pPr>
        <w:pStyle w:val="ListeParagraf"/>
      </w:pPr>
    </w:p>
    <w:p w:rsidR="001542D3" w:rsidRDefault="001542D3" w:rsidP="000A5A56">
      <w:pPr>
        <w:pStyle w:val="ListeParagraf"/>
        <w:numPr>
          <w:ilvl w:val="0"/>
          <w:numId w:val="8"/>
        </w:numPr>
        <w:spacing w:after="160" w:line="259" w:lineRule="auto"/>
      </w:pPr>
      <w:r>
        <w:t xml:space="preserve">30.04.2022 tarihli ve 31825 sayılı Resmî </w:t>
      </w:r>
      <w:r w:rsidR="00274939">
        <w:t>Gazetede</w:t>
      </w:r>
      <w:r>
        <w:t xml:space="preserve"> yayımlanan 28.04.2022 tarihli ve 10950 sayılı Kurul Kararı ile </w:t>
      </w:r>
      <w:r w:rsidRPr="00274939">
        <w:rPr>
          <w:b/>
        </w:rPr>
        <w:t>Doğal Gaz Depolama Yükümlülüklerine İlişkin Usul ve Esasların</w:t>
      </w:r>
    </w:p>
    <w:p w:rsidR="001542D3" w:rsidRDefault="001542D3" w:rsidP="001542D3">
      <w:pPr>
        <w:pStyle w:val="ListeParagraf"/>
      </w:pPr>
    </w:p>
    <w:p w:rsidR="001542D3" w:rsidRDefault="001542D3" w:rsidP="000A5A56">
      <w:pPr>
        <w:pStyle w:val="ListeParagraf"/>
        <w:numPr>
          <w:ilvl w:val="0"/>
          <w:numId w:val="61"/>
        </w:numPr>
        <w:spacing w:after="160" w:line="259" w:lineRule="auto"/>
      </w:pPr>
      <w:r>
        <w:t>4 üncü maddesine aşağıdaki fıkra eklenmiştir.</w:t>
      </w:r>
    </w:p>
    <w:p w:rsidR="001542D3" w:rsidRDefault="001542D3" w:rsidP="001542D3">
      <w:pPr>
        <w:pStyle w:val="ListeParagraf"/>
      </w:pPr>
    </w:p>
    <w:p w:rsidR="001542D3" w:rsidRPr="00B766E4" w:rsidRDefault="001542D3" w:rsidP="001542D3">
      <w:pPr>
        <w:pStyle w:val="ListeParagraf"/>
        <w:ind w:left="1491"/>
        <w:rPr>
          <w:i/>
        </w:rPr>
      </w:pPr>
      <w:r w:rsidRPr="00B766E4">
        <w:rPr>
          <w:i/>
        </w:rPr>
        <w:t>‘’(4) Kurum tarafından her takvim yılı Kasım Ayı sonuna kadar, depolama yükümlülüğü olan uzun dönemli doğal gaz alım satımı anlaşması kapsamında boru hattı vasıtasıyla doğal gaz ithal eden tüzel kişilerin depolama yükümlülük miktarları, depolama lisansı sahibi tüzel kişilere bildirilir. Yükümlülük sahibi tüzel kişilerin, ilgili depolama yılında hizmet almak için kendileri adına yapılmış kapasite rezervasyonunun olması halinde, diğer bir tesisten hizmet almak için yapacakları başvuruda rezerve edilmiş kapasite miktarını bildirmekle yükümlüdürler."</w:t>
      </w:r>
    </w:p>
    <w:p w:rsidR="001542D3" w:rsidRDefault="001542D3" w:rsidP="001542D3">
      <w:pPr>
        <w:pStyle w:val="ListeParagraf"/>
      </w:pPr>
    </w:p>
    <w:p w:rsidR="001542D3" w:rsidRDefault="001542D3" w:rsidP="000A5A56">
      <w:pPr>
        <w:pStyle w:val="ListeParagraf"/>
        <w:numPr>
          <w:ilvl w:val="0"/>
          <w:numId w:val="61"/>
        </w:numPr>
        <w:spacing w:after="160" w:line="259" w:lineRule="auto"/>
      </w:pPr>
      <w:r>
        <w:t>Aşağıdaki Geçici madde eklenmiştir.</w:t>
      </w:r>
    </w:p>
    <w:p w:rsidR="001542D3" w:rsidRDefault="001542D3" w:rsidP="001542D3">
      <w:pPr>
        <w:pStyle w:val="ListeParagraf"/>
      </w:pPr>
    </w:p>
    <w:p w:rsidR="001542D3" w:rsidRDefault="001542D3" w:rsidP="001542D3">
      <w:pPr>
        <w:pStyle w:val="ListeParagraf"/>
        <w:ind w:left="1491"/>
        <w:rPr>
          <w:i/>
        </w:rPr>
      </w:pPr>
      <w:r w:rsidRPr="00B766E4">
        <w:rPr>
          <w:i/>
        </w:rPr>
        <w:lastRenderedPageBreak/>
        <w:t>Geçici Madde-1 Bu maddenin yürürlüğe girdiği tarihten itibaren 30 (otuz) gün süreyle geçerli olmak üzere, 3 üncü maddenin birinci fıkrasında belirtilen rezervasyon önceliği atıl kapasite başvuruları için de uygulanır."</w:t>
      </w:r>
    </w:p>
    <w:p w:rsidR="00860F1B" w:rsidRDefault="00860F1B" w:rsidP="001542D3">
      <w:pPr>
        <w:pStyle w:val="ListeParagraf"/>
        <w:ind w:left="1491"/>
        <w:rPr>
          <w:i/>
        </w:rPr>
      </w:pPr>
    </w:p>
    <w:p w:rsidR="001542D3" w:rsidRDefault="001542D3" w:rsidP="000A5A56">
      <w:pPr>
        <w:pStyle w:val="ListeParagraf"/>
        <w:numPr>
          <w:ilvl w:val="0"/>
          <w:numId w:val="8"/>
        </w:numPr>
        <w:spacing w:after="160" w:line="259" w:lineRule="auto"/>
      </w:pPr>
      <w:bookmarkStart w:id="104" w:name="_Hlk115953521"/>
      <w:r>
        <w:t xml:space="preserve">30.04.2022 tarihli ve 31825 sayılı Resmî </w:t>
      </w:r>
      <w:r w:rsidR="00274939">
        <w:t>Gazetede</w:t>
      </w:r>
      <w:r>
        <w:t xml:space="preserve"> yayımlanan 28.04.2022 tarihli ve 10957 sayılı Kurul Kararı ile </w:t>
      </w:r>
      <w:bookmarkEnd w:id="104"/>
      <w:r w:rsidRPr="00274939">
        <w:rPr>
          <w:b/>
        </w:rPr>
        <w:t>Doğal Gaz Piyasası Dağıtım Faaliyeti Yatırımlarına İlişkin Usul ve Esaslara</w:t>
      </w:r>
      <w:r>
        <w:t xml:space="preserve"> 17 nci maddesinden sonra gelmek üzere aşağıdaki geçici madde eklenmiştir.</w:t>
      </w:r>
    </w:p>
    <w:p w:rsidR="001542D3" w:rsidRPr="00A43E74" w:rsidRDefault="001542D3" w:rsidP="001542D3">
      <w:pPr>
        <w:pStyle w:val="ListeParagraf"/>
        <w:ind w:left="1004"/>
        <w:rPr>
          <w:i/>
        </w:rPr>
      </w:pPr>
    </w:p>
    <w:p w:rsidR="001542D3" w:rsidRPr="00A43E74" w:rsidRDefault="001542D3" w:rsidP="001542D3">
      <w:pPr>
        <w:pStyle w:val="ListeParagraf"/>
        <w:ind w:left="1491"/>
        <w:rPr>
          <w:i/>
        </w:rPr>
      </w:pPr>
      <w:r w:rsidRPr="00A43E74">
        <w:rPr>
          <w:i/>
        </w:rPr>
        <w:t>"Periyodik muayenesi yapılmış sayaçlar</w:t>
      </w:r>
    </w:p>
    <w:p w:rsidR="001542D3" w:rsidRDefault="001542D3" w:rsidP="001542D3">
      <w:pPr>
        <w:pStyle w:val="ListeParagraf"/>
        <w:ind w:left="1491"/>
        <w:rPr>
          <w:i/>
        </w:rPr>
      </w:pPr>
      <w:r w:rsidRPr="00A43E74">
        <w:rPr>
          <w:i/>
        </w:rPr>
        <w:t>Geçici Madde 1 - (1) Son periyodik muayenesi 1/1/2017 tarihinden önce yapılmış ve söz konusu periyodik muayenesinin üzerinden en az 10 yıl süre geçmiş sayaçların hurdaya ayrılmaları durumunda, değişime konu edilen yeni sayaçlara ait bedeller şebeke yatırım harcaması olarak dikkate alınır.</w:t>
      </w:r>
    </w:p>
    <w:p w:rsidR="001B4019" w:rsidRDefault="001B4019" w:rsidP="001542D3">
      <w:pPr>
        <w:pStyle w:val="ListeParagraf"/>
        <w:ind w:left="1491"/>
        <w:rPr>
          <w:i/>
        </w:rPr>
      </w:pPr>
    </w:p>
    <w:p w:rsidR="00AA6AAD" w:rsidRPr="008F2A61" w:rsidRDefault="001B4019" w:rsidP="001B4019">
      <w:pPr>
        <w:pStyle w:val="ListeParagraf"/>
        <w:numPr>
          <w:ilvl w:val="0"/>
          <w:numId w:val="8"/>
        </w:numPr>
        <w:spacing w:after="160" w:line="259" w:lineRule="auto"/>
      </w:pPr>
      <w:r w:rsidRPr="008F2A61">
        <w:t xml:space="preserve">19.09.2019 tarihli ve 30893 sayılı Resmî </w:t>
      </w:r>
      <w:r w:rsidR="00274939">
        <w:t>Gazetede</w:t>
      </w:r>
      <w:r w:rsidRPr="008F2A61">
        <w:t xml:space="preserve"> yayımlanan </w:t>
      </w:r>
      <w:r w:rsidRPr="00274939">
        <w:rPr>
          <w:b/>
        </w:rPr>
        <w:t>Spot Boru Gazı İthalat Miktarı ve Uygulama Yönteminin Belirlenmesine İlişkin Usul ve Esaslar</w:t>
      </w:r>
      <w:r w:rsidRPr="008F2A61">
        <w:t xml:space="preserve"> kapsamında, Üçüncü Çeyrek (Ç3) ve Temmuz Ayı (A7) 2022/7 Talep Çağrısı metni ve sonrasında ilan edilecek Talep Çağrısı metinlerinde uygulanmak üzere, teminatların nakde çevrilmesi, depolama envanteri sunma zorunluluğu, sürekli ticaret platformunda satış yükümlülüğü ve spot kapasitenin kullanımı gibi hususlar hakkında 09</w:t>
      </w:r>
      <w:r w:rsidR="000978D6" w:rsidRPr="008F2A61">
        <w:t>.</w:t>
      </w:r>
      <w:r w:rsidRPr="008F2A61">
        <w:t>06</w:t>
      </w:r>
      <w:r w:rsidR="000978D6" w:rsidRPr="008F2A61">
        <w:t>.</w:t>
      </w:r>
      <w:r w:rsidRPr="008F2A61">
        <w:t>2022 tarihli ve 11010-5 sayılı Kurul Kararı alınmıştır.</w:t>
      </w:r>
    </w:p>
    <w:p w:rsidR="001B4019" w:rsidRDefault="001B4019" w:rsidP="001B4019">
      <w:pPr>
        <w:pStyle w:val="ListeParagraf"/>
        <w:spacing w:after="160" w:line="259" w:lineRule="auto"/>
      </w:pPr>
    </w:p>
    <w:p w:rsidR="00AA6AAD" w:rsidRDefault="00AA6AAD" w:rsidP="000A5A56">
      <w:pPr>
        <w:pStyle w:val="ListeParagraf"/>
        <w:numPr>
          <w:ilvl w:val="0"/>
          <w:numId w:val="8"/>
        </w:numPr>
        <w:spacing w:after="160" w:line="259" w:lineRule="auto"/>
      </w:pPr>
      <w:r>
        <w:t xml:space="preserve">29.06.2022 tarihli ve 31881 sayılı Resmî </w:t>
      </w:r>
      <w:r w:rsidR="00274939">
        <w:t>Gazetede</w:t>
      </w:r>
      <w:r>
        <w:t xml:space="preserve"> yayımlanan 23.06.2022 tarihli ve 11038 sayılı Kurul Kararı ile </w:t>
      </w:r>
      <w:r w:rsidRPr="00274939">
        <w:rPr>
          <w:b/>
        </w:rPr>
        <w:t>Doğal Gaz Dağıtım Şirketleri İçin Tarife Hesaplama Usul ve Esasları (Metodoloji)</w:t>
      </w:r>
      <w:r w:rsidRPr="00AA6AAD">
        <w:t xml:space="preserve"> uyarınca, doğal gaz dağıtım şirketlerinin üçüncü tarife uygulama dönemi tarife hesaplamalarında işletme gideri bileşeninin belirlenmesine yönelik olarak</w:t>
      </w:r>
      <w:r>
        <w:t xml:space="preserve"> aşağıdaki karar alınmıştır.</w:t>
      </w:r>
    </w:p>
    <w:p w:rsidR="00AA6AAD" w:rsidRDefault="00AA6AAD" w:rsidP="00AA6AAD">
      <w:pPr>
        <w:pStyle w:val="ListeParagraf"/>
        <w:spacing w:after="160" w:line="259" w:lineRule="auto"/>
      </w:pPr>
    </w:p>
    <w:p w:rsidR="00AA6AAD" w:rsidRPr="00AA6AAD" w:rsidRDefault="00AA6AAD" w:rsidP="00AA6AAD">
      <w:pPr>
        <w:pStyle w:val="ListeParagraf"/>
        <w:ind w:left="1491"/>
        <w:rPr>
          <w:i/>
        </w:rPr>
      </w:pPr>
      <w:r w:rsidRPr="00AA6AAD">
        <w:rPr>
          <w:i/>
        </w:rPr>
        <w:t>MADDE 1- (1) İşletme gideri bileşeninin hesaplanmasında dağıtım şirketlerinin 2019, 2020 ve 2021 (baz dönem) yıllarında gerçekleşen işletme giderleri esas alınır.</w:t>
      </w:r>
    </w:p>
    <w:p w:rsidR="00AA6AAD" w:rsidRPr="00AA6AAD" w:rsidRDefault="00AA6AAD" w:rsidP="00AA6AAD">
      <w:pPr>
        <w:pStyle w:val="ListeParagraf"/>
        <w:ind w:left="1491"/>
        <w:rPr>
          <w:i/>
        </w:rPr>
      </w:pPr>
    </w:p>
    <w:p w:rsidR="00AA6AAD" w:rsidRPr="00AA6AAD" w:rsidRDefault="00AA6AAD" w:rsidP="00AA6AAD">
      <w:pPr>
        <w:pStyle w:val="ListeParagraf"/>
        <w:ind w:left="1491"/>
        <w:rPr>
          <w:i/>
        </w:rPr>
      </w:pPr>
      <w:r w:rsidRPr="00AA6AAD">
        <w:rPr>
          <w:i/>
        </w:rPr>
        <w:t xml:space="preserve">(2) İhale şartnamesinde belirtilen sistem kullanım bedeli uygulama süresi üçüncü tarife uygulama dönemi içerisinde dolacak şirketlerin işletme gideri bileşeninin hesaplanmasında, ilgili dağıtım şirketinin ihale şartnamesinde belirtilen sistem kullanım bedeli uygulama süresinin dolduğu yıl dahil son üç yıllık dönem baz dönem olarak kabul edilir. </w:t>
      </w:r>
    </w:p>
    <w:p w:rsidR="00AA6AAD" w:rsidRPr="00AA6AAD" w:rsidRDefault="00AA6AAD" w:rsidP="00AA6AAD">
      <w:pPr>
        <w:pStyle w:val="ListeParagraf"/>
        <w:ind w:left="1491"/>
        <w:rPr>
          <w:i/>
        </w:rPr>
      </w:pPr>
    </w:p>
    <w:p w:rsidR="00AA6AAD" w:rsidRPr="00AA6AAD" w:rsidRDefault="00AA6AAD" w:rsidP="00AA6AAD">
      <w:pPr>
        <w:pStyle w:val="ListeParagraf"/>
        <w:ind w:left="1491"/>
        <w:rPr>
          <w:i/>
        </w:rPr>
      </w:pPr>
      <w:r w:rsidRPr="00AA6AAD">
        <w:rPr>
          <w:i/>
        </w:rPr>
        <w:t>MADDE 2- (1) İşletme gideri bileşeni hesaplamaları kapsamındaki güncelleme işlemi, üçüncü tarife uygulama dönemine ait gelir gereksinimi hesaplamalarında yer alan tutarlara baz olan tüketici fiyat endeksi ve ilgili yıl Haziran ayı için açıklanan tüketici fiyat endeksi dikkate alınarak yapılır.</w:t>
      </w:r>
    </w:p>
    <w:p w:rsidR="00AA6AAD" w:rsidRPr="00AA6AAD" w:rsidRDefault="00AA6AAD" w:rsidP="00AA6AAD">
      <w:pPr>
        <w:pStyle w:val="ListeParagraf"/>
        <w:ind w:left="1491"/>
        <w:rPr>
          <w:i/>
        </w:rPr>
      </w:pPr>
    </w:p>
    <w:p w:rsidR="00AA6AAD" w:rsidRPr="00AA6AAD" w:rsidRDefault="00AA6AAD" w:rsidP="00AA6AAD">
      <w:pPr>
        <w:pStyle w:val="ListeParagraf"/>
        <w:ind w:left="1491"/>
        <w:rPr>
          <w:i/>
        </w:rPr>
      </w:pPr>
      <w:r w:rsidRPr="00AA6AAD">
        <w:rPr>
          <w:i/>
        </w:rPr>
        <w:t>(2) Teknoloji giderleri ile araç kira giderlerine yönelik güncelleme işlemi, ilgili dönemdeki döviz kurlarındaki değişim oranı dikkate alınarak yapılır.</w:t>
      </w:r>
    </w:p>
    <w:p w:rsidR="00AA6AAD" w:rsidRPr="00AA6AAD" w:rsidRDefault="00AA6AAD" w:rsidP="00AA6AAD">
      <w:pPr>
        <w:pStyle w:val="ListeParagraf"/>
        <w:ind w:left="1491"/>
        <w:rPr>
          <w:i/>
        </w:rPr>
      </w:pPr>
    </w:p>
    <w:p w:rsidR="00AA6AAD" w:rsidRPr="00AA6AAD" w:rsidRDefault="00AA6AAD" w:rsidP="00AA6AAD">
      <w:pPr>
        <w:pStyle w:val="ListeParagraf"/>
        <w:ind w:left="1491"/>
        <w:rPr>
          <w:i/>
        </w:rPr>
      </w:pPr>
      <w:r w:rsidRPr="00AA6AAD">
        <w:rPr>
          <w:i/>
        </w:rPr>
        <w:t>MADDE 3- (1) Sabit ve değişken işletme gideri bileşenleri toplamından oluşan baz işletme giderleri içerisinde yer alan personel giderleri ile dışarıdan sağlanan fayda ve hizmetler için tahakkuk eden giderlerden personel gideri ağırlıklı olan kalemler, söz konusu giderlerin sektör bazlı oransallığı dikkate alınarak yeniden dağıtma işlemine tabi tutulur.</w:t>
      </w:r>
    </w:p>
    <w:p w:rsidR="00AA6AAD" w:rsidRPr="00AA6AAD" w:rsidRDefault="00AA6AAD" w:rsidP="00AA6AAD">
      <w:pPr>
        <w:pStyle w:val="ListeParagraf"/>
        <w:ind w:left="1491"/>
        <w:rPr>
          <w:i/>
        </w:rPr>
      </w:pPr>
    </w:p>
    <w:p w:rsidR="00AA6AAD" w:rsidRPr="00AA6AAD" w:rsidRDefault="00AA6AAD" w:rsidP="00AA6AAD">
      <w:pPr>
        <w:pStyle w:val="ListeParagraf"/>
        <w:ind w:left="1491"/>
        <w:rPr>
          <w:i/>
        </w:rPr>
      </w:pPr>
      <w:r w:rsidRPr="00AA6AAD">
        <w:rPr>
          <w:i/>
        </w:rPr>
        <w:t>(2) Baz dönem içerisinde gerçekleşen asgari ücret artışının, baz dönem tüketici fiyat endeksindeki artıştan fazla olması durumunda, dağıtım şirketinin ortalama personel sayısı ile işverenlere sağlanan asgari ücret desteği dikkate alınarak her bir dağıtım şirketi için işgücü maliyeti artış etkisi hesaplanır. Hesaplama sonucu elde edilen etki personel gideri karakterli baz işletme gideri kalemlerine yansıtılır.</w:t>
      </w:r>
    </w:p>
    <w:p w:rsidR="00AA6AAD" w:rsidRPr="00AA6AAD" w:rsidRDefault="00AA6AAD" w:rsidP="00AA6AAD">
      <w:pPr>
        <w:pStyle w:val="ListeParagraf"/>
        <w:ind w:left="1491"/>
        <w:rPr>
          <w:i/>
        </w:rPr>
      </w:pPr>
    </w:p>
    <w:p w:rsidR="00AA6AAD" w:rsidRPr="00AA6AAD" w:rsidRDefault="00AA6AAD" w:rsidP="00AA6AAD">
      <w:pPr>
        <w:pStyle w:val="ListeParagraf"/>
        <w:ind w:left="1491"/>
        <w:rPr>
          <w:i/>
        </w:rPr>
      </w:pPr>
      <w:r w:rsidRPr="00AA6AAD">
        <w:rPr>
          <w:i/>
        </w:rPr>
        <w:t>(3) Birinci ve ikinci fıkrada yer verilen hesaplamalar sonucu elde edilen baz işletme giderleri; küme, kıyaslama birimi ve yıl bazında mukayese işlemine tabi tutulur.</w:t>
      </w:r>
    </w:p>
    <w:p w:rsidR="00AA6AAD" w:rsidRPr="00AA6AAD" w:rsidRDefault="00AA6AAD" w:rsidP="00AA6AAD">
      <w:pPr>
        <w:pStyle w:val="ListeParagraf"/>
        <w:ind w:left="1491"/>
        <w:rPr>
          <w:i/>
        </w:rPr>
      </w:pPr>
    </w:p>
    <w:p w:rsidR="00AA6AAD" w:rsidRPr="00AA6AAD" w:rsidRDefault="00AA6AAD" w:rsidP="00AA6AAD">
      <w:pPr>
        <w:pStyle w:val="ListeParagraf"/>
        <w:ind w:left="1491"/>
        <w:rPr>
          <w:i/>
        </w:rPr>
      </w:pPr>
      <w:r w:rsidRPr="00AA6AAD">
        <w:rPr>
          <w:i/>
        </w:rPr>
        <w:t>(4) Kümeleme analizi aşağıdaki esaslar çerçevesinde gerçekleştirilir.</w:t>
      </w:r>
    </w:p>
    <w:p w:rsidR="00AA6AAD" w:rsidRPr="00AA6AAD" w:rsidRDefault="00AA6AAD" w:rsidP="00AA6AAD">
      <w:pPr>
        <w:pStyle w:val="ListeParagraf"/>
        <w:ind w:left="1491"/>
        <w:rPr>
          <w:i/>
        </w:rPr>
      </w:pPr>
    </w:p>
    <w:p w:rsidR="00AA6AAD" w:rsidRPr="00AA6AAD" w:rsidRDefault="00AA6AAD" w:rsidP="00AA6AAD">
      <w:pPr>
        <w:pStyle w:val="ListeParagraf"/>
        <w:ind w:left="1491"/>
        <w:rPr>
          <w:i/>
        </w:rPr>
      </w:pPr>
      <w:r w:rsidRPr="00AA6AAD">
        <w:rPr>
          <w:i/>
        </w:rPr>
        <w:t xml:space="preserve">a) Kümeleme analizinde dağıtım şirketlerinin hizmet verdiği müşteri sayıları, inşa edilen boru hattı uzunluğu, mevcut istasyon sayıları ve hizmet verilen ilçe sayıları kullanılır. </w:t>
      </w:r>
    </w:p>
    <w:p w:rsidR="00AA6AAD" w:rsidRPr="00AA6AAD" w:rsidRDefault="00AA6AAD" w:rsidP="00AA6AAD">
      <w:pPr>
        <w:pStyle w:val="ListeParagraf"/>
        <w:ind w:left="1491"/>
        <w:rPr>
          <w:i/>
        </w:rPr>
      </w:pPr>
    </w:p>
    <w:p w:rsidR="00AA6AAD" w:rsidRPr="00AA6AAD" w:rsidRDefault="00AA6AAD" w:rsidP="00AA6AAD">
      <w:pPr>
        <w:pStyle w:val="ListeParagraf"/>
        <w:ind w:left="1491"/>
        <w:rPr>
          <w:i/>
        </w:rPr>
      </w:pPr>
      <w:r w:rsidRPr="00AA6AAD">
        <w:rPr>
          <w:i/>
        </w:rPr>
        <w:t xml:space="preserve">b) Kümeleme analizi, aşamalı olmayan analiz yöntemleri kullanılarak gerçekleştirilir. </w:t>
      </w:r>
    </w:p>
    <w:p w:rsidR="00AA6AAD" w:rsidRPr="00AA6AAD" w:rsidRDefault="00AA6AAD" w:rsidP="00AA6AAD">
      <w:pPr>
        <w:pStyle w:val="ListeParagraf"/>
        <w:ind w:left="1491"/>
        <w:rPr>
          <w:i/>
        </w:rPr>
      </w:pPr>
    </w:p>
    <w:p w:rsidR="00AA6AAD" w:rsidRPr="00AA6AAD" w:rsidRDefault="00AA6AAD" w:rsidP="00AA6AAD">
      <w:pPr>
        <w:pStyle w:val="ListeParagraf"/>
        <w:ind w:left="1491"/>
        <w:rPr>
          <w:i/>
        </w:rPr>
      </w:pPr>
      <w:r w:rsidRPr="00AA6AAD">
        <w:rPr>
          <w:i/>
        </w:rPr>
        <w:t>c) Kümeleme analizi sonucu elde edilen kümeler, anlamlı istatistikler üretecek sayıda dağıtım şirketi içerecek şekilde oluşturulur.</w:t>
      </w:r>
    </w:p>
    <w:p w:rsidR="00AA6AAD" w:rsidRPr="00AA6AAD" w:rsidRDefault="00AA6AAD" w:rsidP="00AA6AAD">
      <w:pPr>
        <w:pStyle w:val="ListeParagraf"/>
        <w:ind w:left="1491"/>
        <w:rPr>
          <w:i/>
        </w:rPr>
      </w:pPr>
      <w:r w:rsidRPr="00AA6AAD">
        <w:rPr>
          <w:i/>
        </w:rPr>
        <w:tab/>
      </w:r>
    </w:p>
    <w:p w:rsidR="00AA6AAD" w:rsidRPr="00AA6AAD" w:rsidRDefault="00AA6AAD" w:rsidP="00AA6AAD">
      <w:pPr>
        <w:pStyle w:val="ListeParagraf"/>
        <w:ind w:left="1491"/>
        <w:rPr>
          <w:i/>
        </w:rPr>
      </w:pPr>
      <w:r w:rsidRPr="00AA6AAD">
        <w:rPr>
          <w:i/>
        </w:rPr>
        <w:t>(5) Mukayese işlemine esas kıyaslama birimleri; birbiri ile ilişkili olan, aynı fiziksel değişkenlere göre değiştiği kabul edilen ve/veya aynı hesaplar altında muhasebeleştirilen giderlerin gruplandırılması suretiyle elde edilir.</w:t>
      </w:r>
    </w:p>
    <w:p w:rsidR="00AA6AAD" w:rsidRPr="00AA6AAD" w:rsidRDefault="00AA6AAD" w:rsidP="00AA6AAD">
      <w:pPr>
        <w:pStyle w:val="ListeParagraf"/>
        <w:ind w:left="1491"/>
        <w:rPr>
          <w:i/>
        </w:rPr>
      </w:pPr>
    </w:p>
    <w:p w:rsidR="00AA6AAD" w:rsidRPr="00AA6AAD" w:rsidRDefault="00AA6AAD" w:rsidP="00AA6AAD">
      <w:pPr>
        <w:pStyle w:val="ListeParagraf"/>
        <w:ind w:left="1491"/>
        <w:rPr>
          <w:i/>
        </w:rPr>
      </w:pPr>
      <w:r w:rsidRPr="00AA6AAD">
        <w:rPr>
          <w:i/>
        </w:rPr>
        <w:t>(6) Kıyaslama birimleri; müşteri sayısı, istasyon sayısı, boru hattı uzunluğu ve ilçe sayısı fiziksel değişkenlerinden biri ya da birkaçı kullanılarak mukayese edilir.</w:t>
      </w:r>
    </w:p>
    <w:p w:rsidR="00AA6AAD" w:rsidRPr="00AA6AAD" w:rsidRDefault="00AA6AAD" w:rsidP="00AA6AAD">
      <w:pPr>
        <w:pStyle w:val="ListeParagraf"/>
        <w:ind w:left="1491"/>
        <w:rPr>
          <w:i/>
        </w:rPr>
      </w:pPr>
    </w:p>
    <w:p w:rsidR="00AA6AAD" w:rsidRPr="00AA6AAD" w:rsidRDefault="00AA6AAD" w:rsidP="00AA6AAD">
      <w:pPr>
        <w:pStyle w:val="ListeParagraf"/>
        <w:ind w:left="1491"/>
        <w:rPr>
          <w:i/>
        </w:rPr>
      </w:pPr>
      <w:r w:rsidRPr="00AA6AAD">
        <w:rPr>
          <w:i/>
        </w:rPr>
        <w:t xml:space="preserve">(7) Mukayese işlemi, kıyaslama birimlerinin ilişkili fiziksel değişkenlere bölünmesi suretiyle gerçekleştirilir. Söz konusu değerlere istatistiki yöntemler uygulanmak suretiyle kıyaslama birimi ve yıl bazında her bir kümeyi temsil eden birim değerler elde edilir. </w:t>
      </w:r>
    </w:p>
    <w:p w:rsidR="00AA6AAD" w:rsidRPr="00AA6AAD" w:rsidRDefault="00AA6AAD" w:rsidP="00AA6AAD">
      <w:pPr>
        <w:pStyle w:val="ListeParagraf"/>
        <w:ind w:left="1491"/>
        <w:rPr>
          <w:i/>
        </w:rPr>
      </w:pPr>
    </w:p>
    <w:p w:rsidR="00AA6AAD" w:rsidRPr="00AA6AAD" w:rsidRDefault="00AA6AAD" w:rsidP="00AA6AAD">
      <w:pPr>
        <w:pStyle w:val="ListeParagraf"/>
        <w:ind w:left="1491"/>
        <w:rPr>
          <w:i/>
        </w:rPr>
      </w:pPr>
      <w:r w:rsidRPr="00AA6AAD">
        <w:rPr>
          <w:i/>
        </w:rPr>
        <w:t>(8) Şirket bazında hesaplanan birim değerler, ilgili kümeyi temsil eden birim değerlere %20 oranında yaklaştırılır.</w:t>
      </w:r>
    </w:p>
    <w:p w:rsidR="00AA6AAD" w:rsidRPr="00AA6AAD" w:rsidRDefault="00AA6AAD" w:rsidP="00AA6AAD">
      <w:pPr>
        <w:pStyle w:val="ListeParagraf"/>
        <w:ind w:left="1491"/>
        <w:rPr>
          <w:i/>
        </w:rPr>
      </w:pPr>
    </w:p>
    <w:p w:rsidR="00AA6AAD" w:rsidRPr="00AA6AAD" w:rsidRDefault="00AA6AAD" w:rsidP="00AA6AAD">
      <w:pPr>
        <w:pStyle w:val="ListeParagraf"/>
        <w:ind w:left="1491"/>
        <w:rPr>
          <w:i/>
        </w:rPr>
      </w:pPr>
      <w:r w:rsidRPr="00AA6AAD">
        <w:rPr>
          <w:i/>
        </w:rPr>
        <w:t xml:space="preserve">(9) Yaklaştırma işlemi sonucu elde edilen yeni birim değerler ile yaklaştırma işlemi öncesindeki birim değerlerin kıyaslanması suretiyle ilgili dağıtım şirketi için esas alınacak değişim oranı hesaplanır. Birden fazla fiziksel değişken ile ilişkili kıyaslama birimlerine esas değişim ihtiyacının tespitinde ağırlık oranı olarak; boru hattı uzunluğu için %34,12, istasyon sayısı için %1,74, müşteri sayısı için %62,45 ve ilçe sayısı için %1,69 esas alınır. </w:t>
      </w:r>
    </w:p>
    <w:p w:rsidR="00AA6AAD" w:rsidRPr="00AA6AAD" w:rsidRDefault="00AA6AAD" w:rsidP="00AA6AAD">
      <w:pPr>
        <w:pStyle w:val="ListeParagraf"/>
        <w:ind w:left="1491"/>
        <w:rPr>
          <w:i/>
        </w:rPr>
      </w:pPr>
    </w:p>
    <w:p w:rsidR="00AA6AAD" w:rsidRPr="00AA6AAD" w:rsidRDefault="00AA6AAD" w:rsidP="00AA6AAD">
      <w:pPr>
        <w:pStyle w:val="ListeParagraf"/>
        <w:ind w:left="1491"/>
        <w:rPr>
          <w:i/>
        </w:rPr>
      </w:pPr>
      <w:r w:rsidRPr="00AA6AAD">
        <w:rPr>
          <w:i/>
        </w:rPr>
        <w:t>(10) Dokuzuncu fıkra kapsamında yapılan hesaplamalar sonucu elde edilen değişim oranları ile dağıtım şirketinin ilgili kıyaslama birimlerine ait gider gerçekleşmesi dikkate alınarak kıyaslama sonrası işletme giderlerine ulaşılır.</w:t>
      </w:r>
    </w:p>
    <w:p w:rsidR="00AA6AAD" w:rsidRPr="00AA6AAD" w:rsidRDefault="00AA6AAD" w:rsidP="00AA6AAD">
      <w:pPr>
        <w:pStyle w:val="ListeParagraf"/>
        <w:ind w:left="1491"/>
        <w:rPr>
          <w:i/>
        </w:rPr>
      </w:pPr>
    </w:p>
    <w:p w:rsidR="00AA6AAD" w:rsidRPr="00AA6AAD" w:rsidRDefault="00AA6AAD" w:rsidP="00AA6AAD">
      <w:pPr>
        <w:pStyle w:val="ListeParagraf"/>
        <w:ind w:left="1491"/>
        <w:rPr>
          <w:i/>
        </w:rPr>
      </w:pPr>
      <w:r w:rsidRPr="00AA6AAD">
        <w:rPr>
          <w:i/>
        </w:rPr>
        <w:lastRenderedPageBreak/>
        <w:t>MADDE 4- (1) Baz dönemde mevcut dağıtım bölgesine şehir ilave edilen dağıtım şirketleri için, baz dönem yıllarından ilave şehir etkisi yansımayanlara ilişkin eş baza getirme işlemi uygulanır. Söz konusu işlemde, 5 inci maddenin birinci fıkrasında yer verilen sabit etki oranına tekabül eden tutar dikkate alınır.</w:t>
      </w:r>
    </w:p>
    <w:p w:rsidR="00AA6AAD" w:rsidRPr="00AA6AAD" w:rsidRDefault="00AA6AAD" w:rsidP="00AA6AAD">
      <w:pPr>
        <w:pStyle w:val="ListeParagraf"/>
        <w:ind w:left="1491"/>
        <w:rPr>
          <w:i/>
        </w:rPr>
      </w:pPr>
    </w:p>
    <w:p w:rsidR="00AA6AAD" w:rsidRPr="00AA6AAD" w:rsidRDefault="00AA6AAD" w:rsidP="00AA6AAD">
      <w:pPr>
        <w:pStyle w:val="ListeParagraf"/>
        <w:ind w:left="1491"/>
        <w:rPr>
          <w:i/>
        </w:rPr>
      </w:pPr>
      <w:r w:rsidRPr="00AA6AAD">
        <w:rPr>
          <w:i/>
        </w:rPr>
        <w:t>MADDE 5- (1) 4 üncü madde kapsamında yapılan düzeltme işlemi sonrası elde edilen yeni kıyaslama sonrası işletme giderleri, kıyaslama birimleri bazında olmak üzere, ilgili birimlerin ilişkili oldukları fiziksel değişkenlerde meydana gelen değişimler dikkate alınarak eş baza getirilir. Eş baza getirme işleminde, sabit ve değişken etki oranı %50 olarak dikkate alınır.</w:t>
      </w:r>
    </w:p>
    <w:p w:rsidR="00AA6AAD" w:rsidRPr="00AA6AAD" w:rsidRDefault="00AA6AAD" w:rsidP="00AA6AAD">
      <w:pPr>
        <w:pStyle w:val="ListeParagraf"/>
        <w:ind w:left="1491"/>
        <w:rPr>
          <w:i/>
        </w:rPr>
      </w:pPr>
    </w:p>
    <w:p w:rsidR="00AA6AAD" w:rsidRPr="00AA6AAD" w:rsidRDefault="00AA6AAD" w:rsidP="00AA6AAD">
      <w:pPr>
        <w:pStyle w:val="ListeParagraf"/>
        <w:ind w:left="1491"/>
        <w:rPr>
          <w:i/>
        </w:rPr>
      </w:pPr>
      <w:r w:rsidRPr="00AA6AAD">
        <w:rPr>
          <w:i/>
        </w:rPr>
        <w:t>(2) Kıyaslama birim tutarlarının değişken kısmına yönelik eş baza getirme işleminde, fiziksel değişkenlerin etkisi için 3 üncü maddenin dokuzuncu fıkrasında yer verilen oranlar esas alınır.</w:t>
      </w:r>
    </w:p>
    <w:p w:rsidR="00AA6AAD" w:rsidRPr="00AA6AAD" w:rsidRDefault="00AA6AAD" w:rsidP="00AA6AAD">
      <w:pPr>
        <w:pStyle w:val="ListeParagraf"/>
        <w:ind w:left="1491"/>
        <w:rPr>
          <w:i/>
        </w:rPr>
      </w:pPr>
    </w:p>
    <w:p w:rsidR="00AA6AAD" w:rsidRPr="00AA6AAD" w:rsidRDefault="00AA6AAD" w:rsidP="00AA6AAD">
      <w:pPr>
        <w:pStyle w:val="ListeParagraf"/>
        <w:ind w:left="1491"/>
        <w:rPr>
          <w:i/>
        </w:rPr>
      </w:pPr>
      <w:r w:rsidRPr="00AA6AAD">
        <w:rPr>
          <w:i/>
        </w:rPr>
        <w:t>(3) Eş baza getirme işlemi neticesinde; baz dönem ilgili yıl işletme giderinin baz dönem ortalama değerini aşması halinde, kıyaslama sonrası işletme gideri ile baz dönem ortalama değerinin büyük olanı ilgili yıl eş baza getirilmiş işletme gideri olarak esas alınır. Aksi durumda, eş baza getirme işlemi neticesinde elde edilen değer doğrudan kabul edilir.</w:t>
      </w:r>
    </w:p>
    <w:p w:rsidR="00AA6AAD" w:rsidRPr="00AA6AAD" w:rsidRDefault="00AA6AAD" w:rsidP="00AA6AAD">
      <w:pPr>
        <w:pStyle w:val="ListeParagraf"/>
        <w:ind w:left="1491"/>
        <w:rPr>
          <w:i/>
        </w:rPr>
      </w:pPr>
    </w:p>
    <w:p w:rsidR="00AA6AAD" w:rsidRPr="00AA6AAD" w:rsidRDefault="00AA6AAD" w:rsidP="00AA6AAD">
      <w:pPr>
        <w:pStyle w:val="ListeParagraf"/>
        <w:ind w:left="1491"/>
        <w:rPr>
          <w:i/>
        </w:rPr>
      </w:pPr>
      <w:r w:rsidRPr="00AA6AAD">
        <w:rPr>
          <w:i/>
        </w:rPr>
        <w:t>MADDE 6- (1) Metodolojinin 15 inci maddesinin üçüncü fıkrasının (c) bendi kapsamındaki giderler için 5 inci maddenin üçüncü fıkrası uyarınca hesaplanan ilgili yıl eş baza getirilmiş işletme giderleri ortalamasının %5 oranına tekabül eden tutar dikkate alınır.</w:t>
      </w:r>
    </w:p>
    <w:p w:rsidR="00AA6AAD" w:rsidRPr="00AA6AAD" w:rsidRDefault="00AA6AAD" w:rsidP="00AA6AAD">
      <w:pPr>
        <w:pStyle w:val="ListeParagraf"/>
        <w:ind w:left="1491"/>
        <w:rPr>
          <w:i/>
        </w:rPr>
      </w:pPr>
      <w:r w:rsidRPr="00AA6AAD">
        <w:rPr>
          <w:i/>
        </w:rPr>
        <w:t xml:space="preserve"> </w:t>
      </w:r>
    </w:p>
    <w:p w:rsidR="00AA6AAD" w:rsidRPr="00AA6AAD" w:rsidRDefault="00AA6AAD" w:rsidP="00AA6AAD">
      <w:pPr>
        <w:pStyle w:val="ListeParagraf"/>
        <w:ind w:left="1491"/>
        <w:rPr>
          <w:i/>
        </w:rPr>
      </w:pPr>
      <w:r w:rsidRPr="00AA6AAD">
        <w:rPr>
          <w:i/>
        </w:rPr>
        <w:t>MADDE 7- (1) 5 inci madde kapsamında hesaplanan baz dönem eş baza getirilmiş işletme giderlerinin ortalaması ile 6 ncı madde uyarınca elde edilen tutarın toplamı, verimlilik parametresi hesaplamalarına esas işletme gideri olarak dikkate alınır.</w:t>
      </w:r>
    </w:p>
    <w:p w:rsidR="00AA6AAD" w:rsidRPr="00AA6AAD" w:rsidRDefault="00AA6AAD" w:rsidP="00AA6AAD">
      <w:pPr>
        <w:pStyle w:val="ListeParagraf"/>
        <w:ind w:left="1491"/>
        <w:rPr>
          <w:i/>
        </w:rPr>
      </w:pPr>
    </w:p>
    <w:p w:rsidR="00AA6AAD" w:rsidRPr="00AA6AAD" w:rsidRDefault="00AA6AAD" w:rsidP="00AA6AAD">
      <w:pPr>
        <w:pStyle w:val="ListeParagraf"/>
        <w:ind w:left="1491"/>
        <w:rPr>
          <w:i/>
        </w:rPr>
      </w:pPr>
      <w:r w:rsidRPr="00AA6AAD">
        <w:rPr>
          <w:i/>
        </w:rPr>
        <w:t>(2) Birinci fıkra uyarınca elde edilen değerin, üçüncü tarife uygulama döneminin her bir tarife yılı için fiziksel değişkenlerde öngörülen değişim oranı, 3 üncü maddenin dokuzuncu fıkrasında yer verilen ağırlıklar ve 5 inci maddenin birinci fıkrasında yer verilen etki oranları dikkate alınarak büyütülmesi suretiyle, üçüncü tarife uygulama döneminin her tarife yılı için verimlilik parametresi uygulanacak işletme giderleri elde edilir.</w:t>
      </w:r>
    </w:p>
    <w:p w:rsidR="00AA6AAD" w:rsidRPr="00AA6AAD" w:rsidRDefault="00AA6AAD" w:rsidP="00AA6AAD">
      <w:pPr>
        <w:pStyle w:val="ListeParagraf"/>
        <w:ind w:left="1491"/>
        <w:rPr>
          <w:i/>
        </w:rPr>
      </w:pPr>
      <w:r w:rsidRPr="00AA6AAD">
        <w:rPr>
          <w:i/>
        </w:rPr>
        <w:t xml:space="preserve"> </w:t>
      </w:r>
    </w:p>
    <w:p w:rsidR="00AA6AAD" w:rsidRPr="00AA6AAD" w:rsidRDefault="00AA6AAD" w:rsidP="00AA6AAD">
      <w:pPr>
        <w:pStyle w:val="ListeParagraf"/>
        <w:ind w:left="1491"/>
        <w:rPr>
          <w:i/>
        </w:rPr>
      </w:pPr>
      <w:r w:rsidRPr="00AA6AAD">
        <w:rPr>
          <w:i/>
        </w:rPr>
        <w:t>(3) 4 üncü madde kapsamındaki ilçeler hariç olmak üzere, gider gerçekleşmeleri baz işletme giderine yansımayan ilçeler için; personel sayısı, mevcut dağıtım bölgesine uzaklık, şehir giriş istasyonu gereksinimi, gaz verme tarihi ve ilçeye yönelik öngörülen fiziksel değişkenler dikkate alınarak üçüncü tarife uygulama dönemine yönelik işletme gideri öngörüsü yapılır. Öngörülen değerin 5 inci maddenin birinci fıkrasında yer verilen sabit etki oranına tekabül eden tutarı, verimlilik parametresi uygulanmış işletme giderlerine ilave edilir.</w:t>
      </w:r>
    </w:p>
    <w:p w:rsidR="00AA6AAD" w:rsidRPr="00AA6AAD" w:rsidRDefault="00AA6AAD" w:rsidP="00AA6AAD">
      <w:pPr>
        <w:pStyle w:val="ListeParagraf"/>
        <w:ind w:left="1491"/>
        <w:rPr>
          <w:i/>
        </w:rPr>
      </w:pPr>
    </w:p>
    <w:p w:rsidR="00AA6AAD" w:rsidRPr="00AA6AAD" w:rsidRDefault="00AA6AAD" w:rsidP="00AA6AAD">
      <w:pPr>
        <w:pStyle w:val="ListeParagraf"/>
        <w:ind w:left="1491"/>
        <w:rPr>
          <w:i/>
        </w:rPr>
      </w:pPr>
      <w:r w:rsidRPr="00AA6AAD">
        <w:rPr>
          <w:i/>
        </w:rPr>
        <w:t xml:space="preserve">(4) İlgili ilçe için ikinci fıkra kapsamında hesaplanan değişken etki ile sabit etki toplamının üçüncü fıkra kapsamında öngörülen toplam değerden büyük olması durumunda üçüncü fıkra kapsamında öngörülen tutar doğrudan dikkate alınır. İlgili ilçeler için gaz verme tarihine ilişkin öngörüler ile gerçekleşme farklılıklarından kaynaklanan işletme gideri etkisi bir sonraki tarife uygulama döneminde düzeltilir. </w:t>
      </w:r>
    </w:p>
    <w:p w:rsidR="00AA6AAD" w:rsidRPr="00AA6AAD" w:rsidRDefault="00AA6AAD" w:rsidP="00AA6AAD">
      <w:pPr>
        <w:pStyle w:val="ListeParagraf"/>
        <w:ind w:left="1491"/>
        <w:rPr>
          <w:i/>
        </w:rPr>
      </w:pPr>
    </w:p>
    <w:p w:rsidR="00AA6AAD" w:rsidRPr="00AA6AAD" w:rsidRDefault="00AA6AAD" w:rsidP="00AA6AAD">
      <w:pPr>
        <w:pStyle w:val="ListeParagraf"/>
        <w:ind w:left="1491"/>
        <w:rPr>
          <w:i/>
        </w:rPr>
      </w:pPr>
      <w:r w:rsidRPr="00AA6AAD">
        <w:rPr>
          <w:i/>
        </w:rPr>
        <w:lastRenderedPageBreak/>
        <w:t>(5) Verimlilik parametresi uygulanacak işletme gideri hesabında kullanılan fiziksel değişkenlere yönelik öngörüler ile tarife uygulama dönemi içindeki gerçekleşme farklılıklarından kaynaklanan işletme gideri etkisi bir sonraki tarife uygulama döneminde düzeltilir.</w:t>
      </w:r>
    </w:p>
    <w:p w:rsidR="00AA6AAD" w:rsidRPr="00AA6AAD" w:rsidRDefault="00AA6AAD" w:rsidP="00AA6AAD">
      <w:pPr>
        <w:pStyle w:val="ListeParagraf"/>
        <w:ind w:left="1491"/>
        <w:rPr>
          <w:i/>
        </w:rPr>
      </w:pPr>
    </w:p>
    <w:p w:rsidR="00AA6AAD" w:rsidRPr="00AA6AAD" w:rsidRDefault="00AA6AAD" w:rsidP="00AA6AAD">
      <w:pPr>
        <w:pStyle w:val="ListeParagraf"/>
        <w:ind w:left="1491"/>
        <w:rPr>
          <w:i/>
        </w:rPr>
      </w:pPr>
      <w:r w:rsidRPr="00AA6AAD">
        <w:rPr>
          <w:i/>
        </w:rPr>
        <w:t>MADDE 8- (1) Metodolojinin 16 ncı maddesinin beşinci fıkrasının (a) bendi uyarınca; periyodik muayene ve sayaç kalibrasyon gideri, ısıtma gazı gideri, kokulandırma gideri, sigorta gideri, Katma Değer Vergisi, Kurumlar Vergisi ve Banka ve Sigorta Muameleleri Vergisi hariç diğer vergi, resim ve harçlar ile ilgili mevzuat kapsamında tahakkuk eden yıllık lisans ve katılım bedellerine ilişkin üçüncü tarife uygulama dönemine yönelik öngörüler, söz konusu gider kalemlerinin ilişkili oldukları değişkenler kullanılarak yapılır. Bu kalemlere ilişkin öngörü değerleri verimlilik parametresi uygulanmış işletme giderlerine ilave edilir.</w:t>
      </w:r>
    </w:p>
    <w:p w:rsidR="00AA6AAD" w:rsidRPr="00AA6AAD" w:rsidRDefault="00AA6AAD" w:rsidP="00AA6AAD">
      <w:pPr>
        <w:pStyle w:val="ListeParagraf"/>
        <w:ind w:left="1491"/>
        <w:rPr>
          <w:i/>
        </w:rPr>
      </w:pPr>
    </w:p>
    <w:p w:rsidR="00AA6AAD" w:rsidRPr="00AA6AAD" w:rsidRDefault="00AA6AAD" w:rsidP="00AA6AAD">
      <w:pPr>
        <w:pStyle w:val="ListeParagraf"/>
        <w:ind w:left="1491"/>
        <w:rPr>
          <w:i/>
        </w:rPr>
      </w:pPr>
      <w:r w:rsidRPr="00AA6AAD">
        <w:rPr>
          <w:i/>
        </w:rPr>
        <w:t>(2) Katma Değer Vergisi, Kurumlar Vergisi ve Banka ve Sigorta Muameleleri Vergisi hariç diğer vergi, resim ve harçlar kapsamında yer alan doğal gaz alım damga vergisi, periyodik muayene ve sayaç kalibrasyon gideri, ısıtma gazı gideri ve kokulandırma giderinin tespitinde esas alınan değişkenlere ait öngörü değerleri ile üçüncü tarife uygulama dönemi gerçekleşmelerinin farklı olması halinde, söz konusu farklılıktan kaynaklanan sapmalar bir sonraki tarife uygulama döneminde düzeltilir.</w:t>
      </w:r>
    </w:p>
    <w:p w:rsidR="00AA6AAD" w:rsidRPr="00AA6AAD" w:rsidRDefault="00AA6AAD" w:rsidP="00AA6AAD">
      <w:pPr>
        <w:pStyle w:val="ListeParagraf"/>
        <w:ind w:left="1491"/>
        <w:rPr>
          <w:i/>
        </w:rPr>
      </w:pPr>
    </w:p>
    <w:p w:rsidR="00AA6AAD" w:rsidRPr="00AA6AAD" w:rsidRDefault="00AA6AAD" w:rsidP="00AA6AAD">
      <w:pPr>
        <w:pStyle w:val="ListeParagraf"/>
        <w:ind w:left="1491"/>
        <w:rPr>
          <w:i/>
        </w:rPr>
      </w:pPr>
      <w:r w:rsidRPr="00AA6AAD">
        <w:rPr>
          <w:i/>
        </w:rPr>
        <w:t>MADDE 9- (1) Metodolojinin 16 ncı maddesinin beşinci fıkrasının (c) bendinde yer verilen giderlere yönelik hesaplamalar aşağıdaki esaslar çerçevesinde gerçekleştirilir.</w:t>
      </w:r>
    </w:p>
    <w:p w:rsidR="00AA6AAD" w:rsidRPr="00AA6AAD" w:rsidRDefault="00AA6AAD" w:rsidP="00AA6AAD">
      <w:pPr>
        <w:pStyle w:val="ListeParagraf"/>
        <w:ind w:left="1491"/>
        <w:rPr>
          <w:i/>
        </w:rPr>
      </w:pPr>
    </w:p>
    <w:p w:rsidR="00AA6AAD" w:rsidRPr="00AA6AAD" w:rsidRDefault="00AA6AAD" w:rsidP="00AA6AAD">
      <w:pPr>
        <w:pStyle w:val="ListeParagraf"/>
        <w:ind w:left="1491"/>
        <w:rPr>
          <w:i/>
        </w:rPr>
      </w:pPr>
      <w:r w:rsidRPr="00AA6AAD">
        <w:rPr>
          <w:i/>
        </w:rPr>
        <w:t xml:space="preserve">a) Baz döneme ait teknoloji giderleri, kira giderleri, gider sayılan demirbaşlar ile dağıtım faaliyetinde kullanılan şebeke harici varlıkların Kurul tarafından uygun görülen kısmı hesaplamalara esas kalemler olarak dikkate alınır.  </w:t>
      </w:r>
    </w:p>
    <w:p w:rsidR="00AA6AAD" w:rsidRPr="00AA6AAD" w:rsidRDefault="00AA6AAD" w:rsidP="00AA6AAD">
      <w:pPr>
        <w:pStyle w:val="ListeParagraf"/>
        <w:ind w:left="1491"/>
        <w:rPr>
          <w:i/>
        </w:rPr>
      </w:pPr>
    </w:p>
    <w:p w:rsidR="00AA6AAD" w:rsidRPr="00AA6AAD" w:rsidRDefault="00AA6AAD" w:rsidP="00AA6AAD">
      <w:pPr>
        <w:pStyle w:val="ListeParagraf"/>
        <w:ind w:left="1491"/>
        <w:rPr>
          <w:i/>
        </w:rPr>
      </w:pPr>
      <w:r w:rsidRPr="00AA6AAD">
        <w:rPr>
          <w:i/>
        </w:rPr>
        <w:t xml:space="preserve">b) (a) bendi uyarınca tespit edilen tutarlar, uyumlaştırılmış teknoloji ve uyumlaştırılmış kira giderleri olarak sınıflandırılır. </w:t>
      </w:r>
    </w:p>
    <w:p w:rsidR="00AA6AAD" w:rsidRPr="00AA6AAD" w:rsidRDefault="00AA6AAD" w:rsidP="00AA6AAD">
      <w:pPr>
        <w:pStyle w:val="ListeParagraf"/>
        <w:ind w:left="1491"/>
        <w:rPr>
          <w:i/>
        </w:rPr>
      </w:pPr>
    </w:p>
    <w:p w:rsidR="00AA6AAD" w:rsidRPr="00AA6AAD" w:rsidRDefault="00AA6AAD" w:rsidP="00AA6AAD">
      <w:pPr>
        <w:pStyle w:val="ListeParagraf"/>
        <w:ind w:left="1491"/>
        <w:rPr>
          <w:i/>
        </w:rPr>
      </w:pPr>
      <w:r w:rsidRPr="00AA6AAD">
        <w:rPr>
          <w:i/>
        </w:rPr>
        <w:t xml:space="preserve">c) Baz döneme ilişkin sınıflandırılmış gider kalemleri ile kıyaslama sonrası işletme giderlerinden oluşan panel veri seti, her iki gider sınıfı için ayrı şekilde ve küme bazında olmak üzere panel veri analiz yöntemleri kullanılarak analize tabi tutulur. </w:t>
      </w:r>
    </w:p>
    <w:p w:rsidR="00AA6AAD" w:rsidRPr="00AA6AAD" w:rsidRDefault="00AA6AAD" w:rsidP="00AA6AAD">
      <w:pPr>
        <w:pStyle w:val="ListeParagraf"/>
        <w:ind w:left="1491"/>
        <w:rPr>
          <w:i/>
        </w:rPr>
      </w:pPr>
    </w:p>
    <w:p w:rsidR="00AA6AAD" w:rsidRPr="00AA6AAD" w:rsidRDefault="00AA6AAD" w:rsidP="00AA6AAD">
      <w:pPr>
        <w:pStyle w:val="ListeParagraf"/>
        <w:ind w:left="1491"/>
        <w:rPr>
          <w:i/>
        </w:rPr>
      </w:pPr>
      <w:r w:rsidRPr="00AA6AAD">
        <w:rPr>
          <w:i/>
        </w:rPr>
        <w:t xml:space="preserve">ç) Analiz sonucunda her iki sınıf için dağıtım şirketi bazında elde edilen tahmin değerleri ile (b) bendi uyarınca hesaplanan tutarlar kıyaslanır. İlgili sınıf için elde edilen tahmin değerinin hesaplanan tutardan farklı olması halinde, aradaki farkın %25’ine denk gelen değer tespit edilir. Söz konusu değer, hesaplanan tutar ile tahmin değerinden küçük olanına eklenir. </w:t>
      </w:r>
    </w:p>
    <w:p w:rsidR="00AA6AAD" w:rsidRPr="00AA6AAD" w:rsidRDefault="00AA6AAD" w:rsidP="00AA6AAD">
      <w:pPr>
        <w:pStyle w:val="ListeParagraf"/>
        <w:ind w:left="1491"/>
        <w:rPr>
          <w:i/>
        </w:rPr>
      </w:pPr>
    </w:p>
    <w:p w:rsidR="00AA6AAD" w:rsidRPr="00AA6AAD" w:rsidRDefault="00AA6AAD" w:rsidP="00AA6AAD">
      <w:pPr>
        <w:pStyle w:val="ListeParagraf"/>
        <w:ind w:left="1491"/>
        <w:rPr>
          <w:i/>
        </w:rPr>
      </w:pPr>
      <w:r w:rsidRPr="00AA6AAD">
        <w:rPr>
          <w:i/>
        </w:rPr>
        <w:t xml:space="preserve">d) Kira giderleri için bu fıkranın (ç) bendi kapsamında elde edilen değer, işletme gideri bileşeni hesabına esas kira gideri değeri olarak kabul edilir. </w:t>
      </w:r>
    </w:p>
    <w:p w:rsidR="00AA6AAD" w:rsidRPr="00AA6AAD" w:rsidRDefault="00AA6AAD" w:rsidP="00AA6AAD">
      <w:pPr>
        <w:pStyle w:val="ListeParagraf"/>
        <w:ind w:left="1491"/>
        <w:rPr>
          <w:i/>
        </w:rPr>
      </w:pPr>
    </w:p>
    <w:p w:rsidR="00AA6AAD" w:rsidRPr="00AA6AAD" w:rsidRDefault="00AA6AAD" w:rsidP="00AA6AAD">
      <w:pPr>
        <w:pStyle w:val="ListeParagraf"/>
        <w:ind w:left="1491"/>
        <w:rPr>
          <w:i/>
        </w:rPr>
      </w:pPr>
      <w:r w:rsidRPr="00AA6AAD">
        <w:rPr>
          <w:i/>
        </w:rPr>
        <w:t xml:space="preserve">e) Teknoloji giderleri için bu fıkranın (ç) bendi kapsamında elde edilen değer, 5 inci maddenin birinci fıkrasında yer verilen etki oranları dikkate alınarak sabit teknoloji gideri ve değişken teknoloji gideri olarak ikiye ayrılır. Her bir dağıtım şirketi için müşteri başı değişken teknoloji gideri hesaplanır. Müşteri başı değişken teknoloji giderinden hareketle istatistiki yöntemler </w:t>
      </w:r>
      <w:r w:rsidRPr="00AA6AAD">
        <w:rPr>
          <w:i/>
        </w:rPr>
        <w:lastRenderedPageBreak/>
        <w:t xml:space="preserve">kullanılarak küme bazında müşteri başı değişken teknoloji gideri ortalaması hesaplanır. Dağıtım şirketinin bulunduğu kümeye ait müşteri başı değişken teknoloji gideri ortalaması ile dağıtım şirketinin müşteri sayısının çarpılması suretiyle bulunan tutar, sabit teknoloji gideri ile toplanır.  Elde edilen tutar, dağıtım şirketinin üçüncü tarife uygulama dönemi için planlanan teknoloji gideri ile karşılaştırılır ve bu iki tutardan düşük olanı, işletme gideri bileşeni hesabına esas teknoloji gideri olarak esas alınır. </w:t>
      </w:r>
    </w:p>
    <w:p w:rsidR="00AA6AAD" w:rsidRPr="00AA6AAD" w:rsidRDefault="00AA6AAD" w:rsidP="00AA6AAD">
      <w:pPr>
        <w:pStyle w:val="ListeParagraf"/>
        <w:ind w:left="1491"/>
        <w:rPr>
          <w:i/>
        </w:rPr>
      </w:pPr>
    </w:p>
    <w:p w:rsidR="00AA6AAD" w:rsidRPr="00AA6AAD" w:rsidRDefault="00AA6AAD" w:rsidP="00AA6AAD">
      <w:pPr>
        <w:pStyle w:val="ListeParagraf"/>
        <w:ind w:left="1491"/>
        <w:rPr>
          <w:i/>
        </w:rPr>
      </w:pPr>
      <w:r w:rsidRPr="00AA6AAD">
        <w:rPr>
          <w:i/>
        </w:rPr>
        <w:t xml:space="preserve">f) İşletme gideri bileşeni hesabına esas şebeke harici varlık değerlerinin 3 üncü ve 4 üncü maddeler uyarınca hesaplanan kıyaslama sonrası işletme giderlerine oranı üçüncü tarife uygulama döneminin her tarife yılına ait verimlilik parametresi uygulanmış işletme giderlerine tatbik edilir. Elde edilen nihai değerler verimlilik parametresi uygulanmış işletme giderlerine ilave edilir. </w:t>
      </w:r>
    </w:p>
    <w:p w:rsidR="00AA6AAD" w:rsidRPr="00AA6AAD" w:rsidRDefault="00AA6AAD" w:rsidP="00AA6AAD">
      <w:pPr>
        <w:pStyle w:val="ListeParagraf"/>
        <w:ind w:left="1491"/>
        <w:rPr>
          <w:i/>
        </w:rPr>
      </w:pPr>
    </w:p>
    <w:p w:rsidR="00AA6AAD" w:rsidRPr="00AA6AAD" w:rsidRDefault="00AA6AAD" w:rsidP="00AA6AAD">
      <w:pPr>
        <w:pStyle w:val="ListeParagraf"/>
        <w:ind w:left="1491"/>
        <w:rPr>
          <w:i/>
        </w:rPr>
      </w:pPr>
      <w:r w:rsidRPr="00AA6AAD">
        <w:rPr>
          <w:i/>
        </w:rPr>
        <w:t>MADDE 10- (1) Metodolojinin 16 ncı maddesinin beşinci fıkrasının (ç) bendi uyarınca, dağıtım şirketinin talebi halinde, verimlilik parametresi uygulanmış işletme giderlerinin %1’ine tekabül eden tutar işletme gideri bileşeni hesaplamalarında Ar-Ge bütçesi olarak dikkate alınır. Üçüncü tarife uygulama dönemi için gerçekleşen Ar-Ge kapsamındaki harcamaların bütçeden düşük kalması durumunda aradaki fark bir sonraki tarife uygulama dönemi hesaplamalarında düzeltmeye konu edilir.</w:t>
      </w:r>
    </w:p>
    <w:p w:rsidR="00AA6AAD" w:rsidRPr="00AA6AAD" w:rsidRDefault="00AA6AAD" w:rsidP="00AA6AAD">
      <w:pPr>
        <w:pStyle w:val="ListeParagraf"/>
        <w:ind w:left="1491"/>
        <w:rPr>
          <w:i/>
        </w:rPr>
      </w:pPr>
    </w:p>
    <w:p w:rsidR="00AA6AAD" w:rsidRPr="00AA6AAD" w:rsidRDefault="00AA6AAD" w:rsidP="00AA6AAD">
      <w:pPr>
        <w:pStyle w:val="ListeParagraf"/>
        <w:ind w:left="1491"/>
        <w:rPr>
          <w:i/>
        </w:rPr>
      </w:pPr>
      <w:r w:rsidRPr="00AA6AAD">
        <w:rPr>
          <w:i/>
        </w:rPr>
        <w:t>MADDE 11- (1) Metodolojinin 25 inci maddesinin üçüncü ve dördüncü fıkraları uyarınca ilgili şartları sağlayan dağıtım şirketlerinin işletme gideri bileşenine kurumsal performans teşviki eklenir.</w:t>
      </w:r>
    </w:p>
    <w:p w:rsidR="00AA6AAD" w:rsidRPr="00AA6AAD" w:rsidRDefault="00AA6AAD" w:rsidP="00AA6AAD">
      <w:pPr>
        <w:pStyle w:val="ListeParagraf"/>
        <w:ind w:left="1491"/>
        <w:rPr>
          <w:i/>
        </w:rPr>
      </w:pPr>
    </w:p>
    <w:p w:rsidR="00AA6AAD" w:rsidRPr="00AA6AAD" w:rsidRDefault="00AA6AAD" w:rsidP="00AA6AAD">
      <w:pPr>
        <w:pStyle w:val="ListeParagraf"/>
        <w:ind w:left="1491"/>
        <w:rPr>
          <w:i/>
        </w:rPr>
      </w:pPr>
      <w:r w:rsidRPr="00AA6AAD">
        <w:rPr>
          <w:i/>
        </w:rPr>
        <w:t>MADDE 12- (1) Dağıtım şirketinin talebi halinde, Doğal Gaz Dağıtım Şebekesinin Sıvılaştırılmış Doğal Gaz (LNG) veya Sıkıştırılmış Doğal Gaz (CNG) ile Beslenmesine İlişkin Usul ve Esasların (CNG veya LNG Alım Usul ve Esasları) 5 inci maddesinin üçüncü fıkrası uyarınca gerçekleşen CNG veya LNG alım fiyatı ile dağıtım şirketi tarafından ilgili dönemde uygulanan fiyatlar arasında oluşan farkın karşılanmasına yönelik olarak tarife uygulama dönemi için öngörülen tutar, işletme gideri bileşenine eklenir ve perakende satış tarifesi revize edilir.</w:t>
      </w:r>
    </w:p>
    <w:p w:rsidR="00AA6AAD" w:rsidRPr="00AA6AAD" w:rsidRDefault="00AA6AAD" w:rsidP="00AA6AAD">
      <w:pPr>
        <w:pStyle w:val="ListeParagraf"/>
        <w:ind w:left="1491"/>
        <w:rPr>
          <w:i/>
        </w:rPr>
      </w:pPr>
    </w:p>
    <w:p w:rsidR="00AA6AAD" w:rsidRPr="00AA6AAD" w:rsidRDefault="00AA6AAD" w:rsidP="00AA6AAD">
      <w:pPr>
        <w:pStyle w:val="ListeParagraf"/>
        <w:ind w:left="1491"/>
        <w:rPr>
          <w:i/>
        </w:rPr>
      </w:pPr>
      <w:r w:rsidRPr="00AA6AAD">
        <w:rPr>
          <w:i/>
        </w:rPr>
        <w:t>(2) Birinci fıkra uyarınca öngörülen tutar ile üçüncü tarife uygulama döneminde gerçekleşen tutar arasında fark olması halinde, söz konusu fark bir sonraki tarife uygulama döneminde düzeltilir.</w:t>
      </w:r>
    </w:p>
    <w:p w:rsidR="00AA6AAD" w:rsidRPr="00AA6AAD" w:rsidRDefault="00AA6AAD" w:rsidP="00AA6AAD">
      <w:pPr>
        <w:pStyle w:val="ListeParagraf"/>
        <w:ind w:left="1491"/>
        <w:rPr>
          <w:i/>
        </w:rPr>
      </w:pPr>
    </w:p>
    <w:p w:rsidR="00AA6AAD" w:rsidRPr="00AA6AAD" w:rsidRDefault="00AA6AAD" w:rsidP="00AA6AAD">
      <w:pPr>
        <w:pStyle w:val="ListeParagraf"/>
        <w:ind w:left="1491"/>
        <w:rPr>
          <w:i/>
        </w:rPr>
      </w:pPr>
      <w:r w:rsidRPr="00AA6AAD">
        <w:rPr>
          <w:i/>
        </w:rPr>
        <w:t xml:space="preserve">(3) Tarife uygulama dönemi için doğal gaz dağıtım şirketleri tarafından birinci fıkra kapsamında talep edilmeyen doğal gaz fiyat farkları, ilgili doğal gaz dağıtım şirketlerinin bir sonraki tarife uygulama dönemi hesaplamalarında dikkate alınır. </w:t>
      </w:r>
    </w:p>
    <w:p w:rsidR="00AA6AAD" w:rsidRPr="00AA6AAD" w:rsidRDefault="00AA6AAD" w:rsidP="00AA6AAD">
      <w:pPr>
        <w:pStyle w:val="ListeParagraf"/>
        <w:ind w:left="1491"/>
        <w:rPr>
          <w:i/>
        </w:rPr>
      </w:pPr>
    </w:p>
    <w:p w:rsidR="00AA6AAD" w:rsidRPr="00AA6AAD" w:rsidRDefault="00AA6AAD" w:rsidP="00AA6AAD">
      <w:pPr>
        <w:pStyle w:val="ListeParagraf"/>
        <w:ind w:left="1491"/>
        <w:rPr>
          <w:i/>
        </w:rPr>
      </w:pPr>
      <w:r w:rsidRPr="00AA6AAD">
        <w:rPr>
          <w:i/>
        </w:rPr>
        <w:t>(4) CNG veya LNG Alım Usul ve Esaslarının 5 inci maddesinin dördüncü fıkrası uyarınca gerçekleşen CNG veya LNG alım maliyeti sonraki tarife uygulama dönemi hesaplamalarında dikkate alınır.</w:t>
      </w:r>
    </w:p>
    <w:p w:rsidR="00AA6AAD" w:rsidRPr="00AA6AAD" w:rsidRDefault="00AA6AAD" w:rsidP="00AA6AAD">
      <w:pPr>
        <w:pStyle w:val="ListeParagraf"/>
        <w:ind w:left="1491"/>
        <w:rPr>
          <w:i/>
        </w:rPr>
      </w:pPr>
    </w:p>
    <w:p w:rsidR="00AA6AAD" w:rsidRPr="00AA6AAD" w:rsidRDefault="00AA6AAD" w:rsidP="00AA6AAD">
      <w:pPr>
        <w:pStyle w:val="ListeParagraf"/>
        <w:ind w:left="1491"/>
        <w:rPr>
          <w:i/>
        </w:rPr>
      </w:pPr>
      <w:r w:rsidRPr="00AA6AAD">
        <w:rPr>
          <w:i/>
        </w:rPr>
        <w:t xml:space="preserve">(5) CNG veya LNG Alım Usul ve Esaslarına uygun olarak yapılmayan CNG veya LNG alımlarında oluşacak bedel farkı doğal gaz dağıtım bölgesindeki tüketicilere yansıtılmaz. </w:t>
      </w:r>
    </w:p>
    <w:p w:rsidR="00AA6AAD" w:rsidRPr="00AA6AAD" w:rsidRDefault="00AA6AAD" w:rsidP="00AA6AAD">
      <w:pPr>
        <w:pStyle w:val="ListeParagraf"/>
        <w:ind w:left="1491"/>
        <w:rPr>
          <w:i/>
        </w:rPr>
      </w:pPr>
    </w:p>
    <w:p w:rsidR="00AA6AAD" w:rsidRPr="00AA6AAD" w:rsidRDefault="00AA6AAD" w:rsidP="00AA6AAD">
      <w:pPr>
        <w:pStyle w:val="ListeParagraf"/>
        <w:ind w:left="1491"/>
        <w:rPr>
          <w:i/>
        </w:rPr>
      </w:pPr>
      <w:r w:rsidRPr="00AA6AAD">
        <w:rPr>
          <w:i/>
        </w:rPr>
        <w:t>(6) CNG veya LNG Alım Usul ve Esaslarına uygun olarak yapılan CNG veya LNG alımlarına ilişkin fiyatlar, emsal uygulamalar ve sektör verileri dikkate alınarak gerek görülmesi halinde analiz edilebilir.</w:t>
      </w:r>
    </w:p>
    <w:p w:rsidR="00AA6AAD" w:rsidRPr="00AA6AAD" w:rsidRDefault="00AA6AAD" w:rsidP="00AA6AAD">
      <w:pPr>
        <w:pStyle w:val="ListeParagraf"/>
        <w:ind w:left="1491"/>
        <w:rPr>
          <w:i/>
        </w:rPr>
      </w:pPr>
    </w:p>
    <w:p w:rsidR="00AA6AAD" w:rsidRPr="00AA6AAD" w:rsidRDefault="00AA6AAD" w:rsidP="00AA6AAD">
      <w:pPr>
        <w:pStyle w:val="ListeParagraf"/>
        <w:ind w:left="1491"/>
        <w:rPr>
          <w:i/>
        </w:rPr>
      </w:pPr>
      <w:r w:rsidRPr="00AA6AAD">
        <w:rPr>
          <w:i/>
        </w:rPr>
        <w:t>MADDE 13- (1) Diğer gelirler bileşenine yönelik hesaplamalar aşağıdaki esaslar çerçevesinde gerçekleştirilir.</w:t>
      </w:r>
    </w:p>
    <w:p w:rsidR="00AA6AAD" w:rsidRPr="00AA6AAD" w:rsidRDefault="00AA6AAD" w:rsidP="00AA6AAD">
      <w:pPr>
        <w:pStyle w:val="ListeParagraf"/>
        <w:ind w:left="1491"/>
        <w:rPr>
          <w:i/>
        </w:rPr>
      </w:pPr>
    </w:p>
    <w:p w:rsidR="00AA6AAD" w:rsidRPr="00AA6AAD" w:rsidRDefault="00AA6AAD" w:rsidP="00AA6AAD">
      <w:pPr>
        <w:pStyle w:val="ListeParagraf"/>
        <w:ind w:left="1491"/>
        <w:rPr>
          <w:i/>
        </w:rPr>
      </w:pPr>
      <w:r w:rsidRPr="00AA6AAD">
        <w:rPr>
          <w:i/>
        </w:rPr>
        <w:t>a) Baz dönemin her yılına ilişkin diğer gelirler toplamı, 5 inci maddenin üçüncü fıkrası uyarınca hesaplanan işletme giderlerinde baz dönem son yılına göre meydana gelen değişim oranı dikkate alınarak eş baza getirilir. Eş baza getirme işleminde baz dönem içindeki makul olmayan artışlar düzeltilerek dikkate alınır.</w:t>
      </w:r>
    </w:p>
    <w:p w:rsidR="00AA6AAD" w:rsidRPr="00AA6AAD" w:rsidRDefault="00AA6AAD" w:rsidP="00AA6AAD">
      <w:pPr>
        <w:pStyle w:val="ListeParagraf"/>
        <w:ind w:left="1491"/>
        <w:rPr>
          <w:i/>
        </w:rPr>
      </w:pPr>
    </w:p>
    <w:p w:rsidR="00AA6AAD" w:rsidRPr="00AA6AAD" w:rsidRDefault="00AA6AAD" w:rsidP="00AA6AAD">
      <w:pPr>
        <w:pStyle w:val="ListeParagraf"/>
        <w:ind w:left="1491"/>
        <w:rPr>
          <w:i/>
        </w:rPr>
      </w:pPr>
      <w:r w:rsidRPr="00AA6AAD">
        <w:rPr>
          <w:i/>
        </w:rPr>
        <w:t xml:space="preserve">b) Eş baza getirilmiş tutarların ortalaması alınmak suretiyle üçüncü tarife uygulama dönemi başı büyütmeye esas değer hesaplanır. Söz konusu değer, verimlilik parametresi uygulanacak işletme giderlerindeki değişim oranı dikkate alınarak büyütülür ve işletme gideri bileşeni hesaplamalarında büyütülmüş tutarlar dikkate alınır. </w:t>
      </w:r>
    </w:p>
    <w:p w:rsidR="00AA6AAD" w:rsidRPr="00AA6AAD" w:rsidRDefault="00AA6AAD" w:rsidP="00AA6AAD">
      <w:pPr>
        <w:pStyle w:val="ListeParagraf"/>
        <w:ind w:left="1491"/>
        <w:rPr>
          <w:i/>
        </w:rPr>
      </w:pPr>
    </w:p>
    <w:p w:rsidR="00AA6AAD" w:rsidRPr="00AA6AAD" w:rsidRDefault="00AA6AAD" w:rsidP="00AA6AAD">
      <w:pPr>
        <w:pStyle w:val="ListeParagraf"/>
        <w:ind w:left="1491"/>
        <w:rPr>
          <w:i/>
        </w:rPr>
      </w:pPr>
      <w:r w:rsidRPr="00AA6AAD">
        <w:rPr>
          <w:i/>
        </w:rPr>
        <w:t xml:space="preserve">c) 7 nci maddenin üçüncü fıkrasında tanımlanan haller için yapılacak diğer gelirler öngörüsünde, (b) bendi kapsamında hesaplanan büyütülmüş tutarların verimlilik parametresi uygulanacak işletme giderlerine oranı kullanılır. </w:t>
      </w:r>
    </w:p>
    <w:p w:rsidR="00AA6AAD" w:rsidRPr="00AA6AAD" w:rsidRDefault="00AA6AAD" w:rsidP="00AA6AAD">
      <w:pPr>
        <w:pStyle w:val="ListeParagraf"/>
        <w:ind w:left="1491"/>
        <w:rPr>
          <w:i/>
        </w:rPr>
      </w:pPr>
    </w:p>
    <w:p w:rsidR="00AA6AAD" w:rsidRPr="00AA6AAD" w:rsidRDefault="00AA6AAD" w:rsidP="00AA6AAD">
      <w:pPr>
        <w:pStyle w:val="ListeParagraf"/>
        <w:ind w:left="1491"/>
        <w:rPr>
          <w:i/>
        </w:rPr>
      </w:pPr>
      <w:r w:rsidRPr="00AA6AAD">
        <w:rPr>
          <w:i/>
        </w:rPr>
        <w:t>ç) 7 nci maddenin dördüncü fıkrası uyarınca, üçüncü tarife uygulama dönemi için hesaplanan verimlilik parametresi uygulanacak işletme giderlerinde düzeltme işlemi yapılması durumunda, (b) bendi kapsamında hesaplanan büyütülmüş tutarlar da düzeltmeye konu edilir.</w:t>
      </w:r>
    </w:p>
    <w:p w:rsidR="00AA6AAD" w:rsidRPr="00AA6AAD" w:rsidRDefault="00AA6AAD" w:rsidP="00AA6AAD">
      <w:pPr>
        <w:pStyle w:val="ListeParagraf"/>
        <w:ind w:left="1491"/>
        <w:rPr>
          <w:i/>
        </w:rPr>
      </w:pPr>
    </w:p>
    <w:p w:rsidR="00AA6AAD" w:rsidRPr="00AA6AAD" w:rsidRDefault="00AA6AAD" w:rsidP="00AA6AAD">
      <w:pPr>
        <w:pStyle w:val="ListeParagraf"/>
        <w:ind w:left="1491"/>
        <w:rPr>
          <w:i/>
        </w:rPr>
      </w:pPr>
      <w:r w:rsidRPr="00AA6AAD">
        <w:rPr>
          <w:i/>
        </w:rPr>
        <w:t xml:space="preserve"> d) Metodolojinin 17 nci maddesinin birinci fıkrası uyarınca; diğer gelirler bileşeni kapsamındaki gelir kalemlerine ait öngörü tutarları ile ilgili tarife uygulama dönemi gerçekleşmelerinin farklı olması halinde, söz konusu farklılıktan kaynaklanan sapmalar bir sonraki tarife uygulama dönemi hesaplamalarında düzeltmeye konu edilir.</w:t>
      </w:r>
    </w:p>
    <w:p w:rsidR="00AA6AAD" w:rsidRPr="00AA6AAD" w:rsidRDefault="00AA6AAD" w:rsidP="00AA6AAD">
      <w:pPr>
        <w:pStyle w:val="ListeParagraf"/>
        <w:ind w:left="1491"/>
        <w:rPr>
          <w:i/>
        </w:rPr>
      </w:pPr>
    </w:p>
    <w:p w:rsidR="00AA6AAD" w:rsidRPr="00AA6AAD" w:rsidRDefault="00AA6AAD" w:rsidP="00AA6AAD">
      <w:pPr>
        <w:pStyle w:val="ListeParagraf"/>
        <w:ind w:left="1491"/>
        <w:rPr>
          <w:i/>
        </w:rPr>
      </w:pPr>
      <w:r w:rsidRPr="00AA6AAD">
        <w:rPr>
          <w:i/>
        </w:rPr>
        <w:t xml:space="preserve">MADDE 14- (1) Üçüncü tarife uygulama döneminin her bir yılında gerçekleşecek asgari ücret artışının, üçüncü tarife uygulama döneminin her bir yılında gerçekleşecek tüketici fiyat endeksindeki artıştan fazla veya eksik olması durumunda, dağıtım şirketinin ortalama personel sayısı ile işverenlere sağlanan asgari ücret desteği dikkate alınarak her bir dağıtım şirketi için yıllık işgücü maliyeti değişim etkisi hesaplanır. Söz konusu etki, bir sonraki tarife uygulama dönemi hesaplamalarında düzeltmeye konu edilir. </w:t>
      </w:r>
    </w:p>
    <w:p w:rsidR="00AA6AAD" w:rsidRPr="00AA6AAD" w:rsidRDefault="00AA6AAD" w:rsidP="00AA6AAD">
      <w:pPr>
        <w:pStyle w:val="ListeParagraf"/>
        <w:ind w:left="1491"/>
        <w:rPr>
          <w:i/>
        </w:rPr>
      </w:pPr>
    </w:p>
    <w:p w:rsidR="00AA6AAD" w:rsidRPr="00AA6AAD" w:rsidRDefault="00AA6AAD" w:rsidP="00AA6AAD">
      <w:pPr>
        <w:pStyle w:val="ListeParagraf"/>
        <w:ind w:left="1491"/>
        <w:rPr>
          <w:i/>
        </w:rPr>
      </w:pPr>
      <w:r w:rsidRPr="00AA6AAD">
        <w:rPr>
          <w:i/>
        </w:rPr>
        <w:t>GEÇİCİ MADDE 1- (1) İhale şartnamesinde belirtilen sistem kullanım bedeli uygulama süresi üçüncü tarife uygulama dönemi içerisinde dolacak şirketlerden;</w:t>
      </w:r>
    </w:p>
    <w:p w:rsidR="00AA6AAD" w:rsidRPr="00AA6AAD" w:rsidRDefault="00AA6AAD" w:rsidP="00AA6AAD">
      <w:pPr>
        <w:pStyle w:val="ListeParagraf"/>
        <w:ind w:left="1491"/>
        <w:rPr>
          <w:i/>
        </w:rPr>
      </w:pPr>
    </w:p>
    <w:p w:rsidR="00AA6AAD" w:rsidRPr="00AA6AAD" w:rsidRDefault="00AA6AAD" w:rsidP="00AA6AAD">
      <w:pPr>
        <w:pStyle w:val="ListeParagraf"/>
        <w:ind w:left="1491"/>
        <w:rPr>
          <w:i/>
        </w:rPr>
      </w:pPr>
      <w:r w:rsidRPr="00AA6AAD">
        <w:rPr>
          <w:i/>
        </w:rPr>
        <w:t>a) İkinci tarife uygulama dönemi öncesinde dağıtım lisansı alanlar için 3 üncü ve 9 uncu maddeler uyarınca yapılacak analizlerde elde edilen sonuçlar esas alınır.</w:t>
      </w:r>
    </w:p>
    <w:p w:rsidR="00AA6AAD" w:rsidRPr="00AA6AAD" w:rsidRDefault="00AA6AAD" w:rsidP="00AA6AAD">
      <w:pPr>
        <w:pStyle w:val="ListeParagraf"/>
        <w:ind w:left="1491"/>
        <w:rPr>
          <w:i/>
        </w:rPr>
      </w:pPr>
    </w:p>
    <w:p w:rsidR="00AA6AAD" w:rsidRPr="00AA6AAD" w:rsidRDefault="00AA6AAD" w:rsidP="00AA6AAD">
      <w:pPr>
        <w:pStyle w:val="ListeParagraf"/>
        <w:ind w:left="1491"/>
        <w:rPr>
          <w:i/>
        </w:rPr>
      </w:pPr>
      <w:r w:rsidRPr="00AA6AAD">
        <w:rPr>
          <w:i/>
        </w:rPr>
        <w:lastRenderedPageBreak/>
        <w:t>b) İkinci tarife uygulama dönemi içerisinde dağıtım lisansı alanlar için 3 üncü ve 9 uncu maddeler uyarınca yeniden analiz yapılır.</w:t>
      </w:r>
    </w:p>
    <w:p w:rsidR="00735B0D" w:rsidRDefault="00735B0D" w:rsidP="00D21520">
      <w:pPr>
        <w:pStyle w:val="ListeParagraf"/>
        <w:spacing w:after="160" w:line="259" w:lineRule="auto"/>
      </w:pPr>
    </w:p>
    <w:p w:rsidR="00DA2EFC" w:rsidRPr="00342B3A" w:rsidRDefault="00DA2EFC" w:rsidP="000A5A56">
      <w:pPr>
        <w:pStyle w:val="ListeParagraf"/>
        <w:numPr>
          <w:ilvl w:val="0"/>
          <w:numId w:val="34"/>
        </w:numPr>
        <w:tabs>
          <w:tab w:val="left" w:pos="851"/>
        </w:tabs>
        <w:suppressAutoHyphens/>
        <w:spacing w:after="0" w:line="240" w:lineRule="auto"/>
        <w:ind w:left="709" w:hanging="299"/>
        <w:rPr>
          <w:rFonts w:cstheme="minorHAnsi"/>
        </w:rPr>
      </w:pPr>
      <w:r>
        <w:rPr>
          <w:rFonts w:cstheme="minorHAnsi"/>
        </w:rPr>
        <w:t>30.10.</w:t>
      </w:r>
      <w:r w:rsidRPr="00342B3A">
        <w:rPr>
          <w:rFonts w:cstheme="minorHAnsi"/>
        </w:rPr>
        <w:t>202</w:t>
      </w:r>
      <w:r>
        <w:rPr>
          <w:rFonts w:cstheme="minorHAnsi"/>
        </w:rPr>
        <w:t>2</w:t>
      </w:r>
      <w:r w:rsidRPr="00342B3A">
        <w:rPr>
          <w:rFonts w:cstheme="minorHAnsi"/>
        </w:rPr>
        <w:t xml:space="preserve"> tarihli ve </w:t>
      </w:r>
      <w:r>
        <w:rPr>
          <w:rFonts w:cstheme="minorHAnsi"/>
        </w:rPr>
        <w:t>31998</w:t>
      </w:r>
      <w:r w:rsidRPr="00342B3A">
        <w:rPr>
          <w:rFonts w:cstheme="minorHAnsi"/>
        </w:rPr>
        <w:t xml:space="preserve"> sayılı </w:t>
      </w:r>
      <w:r w:rsidR="00DC783D">
        <w:rPr>
          <w:rFonts w:cstheme="minorHAnsi"/>
        </w:rPr>
        <w:t>Resmî</w:t>
      </w:r>
      <w:r w:rsidRPr="00342B3A">
        <w:rPr>
          <w:rFonts w:cstheme="minorHAnsi"/>
        </w:rPr>
        <w:t xml:space="preserve"> </w:t>
      </w:r>
      <w:r w:rsidR="00274939">
        <w:rPr>
          <w:rFonts w:cstheme="minorHAnsi"/>
        </w:rPr>
        <w:t>Gazetede</w:t>
      </w:r>
      <w:r w:rsidRPr="00342B3A">
        <w:rPr>
          <w:rFonts w:cstheme="minorHAnsi"/>
        </w:rPr>
        <w:t xml:space="preserve"> yayımlanan </w:t>
      </w:r>
      <w:r>
        <w:rPr>
          <w:rFonts w:cstheme="minorHAnsi"/>
        </w:rPr>
        <w:t>27.10.2022 tarihli ve 11335 sayılı Kurul K</w:t>
      </w:r>
      <w:r w:rsidRPr="00342B3A">
        <w:rPr>
          <w:rFonts w:cstheme="minorHAnsi"/>
        </w:rPr>
        <w:t xml:space="preserve">ararı ile </w:t>
      </w:r>
      <w:r w:rsidRPr="00B15B9E">
        <w:rPr>
          <w:rFonts w:cstheme="minorHAnsi"/>
        </w:rPr>
        <w:t>doğal gaz piyasasında 2023 yılı boyunca uygulanmak üzere, serbest tüketici olma sınırına ilişkin olarak aşağıdaki Karar alınmıştır.</w:t>
      </w:r>
    </w:p>
    <w:p w:rsidR="00DA2EFC" w:rsidRPr="00A26904" w:rsidRDefault="00DA2EFC" w:rsidP="00DA2EFC">
      <w:pPr>
        <w:tabs>
          <w:tab w:val="left" w:pos="708"/>
        </w:tabs>
        <w:suppressAutoHyphens/>
        <w:spacing w:after="0" w:line="240" w:lineRule="auto"/>
        <w:ind w:firstLine="567"/>
        <w:rPr>
          <w:rFonts w:cstheme="minorHAnsi"/>
        </w:rPr>
      </w:pPr>
    </w:p>
    <w:p w:rsidR="00DA2EFC" w:rsidRPr="00500BA8" w:rsidRDefault="00DA2EFC" w:rsidP="00DA2EFC">
      <w:pPr>
        <w:pStyle w:val="ListeParagraf"/>
        <w:ind w:left="1491"/>
        <w:rPr>
          <w:i/>
        </w:rPr>
      </w:pPr>
      <w:r w:rsidRPr="00500BA8">
        <w:rPr>
          <w:i/>
        </w:rPr>
        <w:t>Doğal gaz piyasasında serbest tüketici olma sınırına ilişkin olarak 2015 yılı boyunca uygulanmak üzere alınan ve 26/12/2014 tarihli ve 29217 sayılı Resmî Gazetede yayımlanan 18/12/2014 tarihli ve 5362 sayılı Kurul Kararı, 2023 yılı boyunca aynen uygulanmaya devam edilir.</w:t>
      </w:r>
    </w:p>
    <w:p w:rsidR="00DA2EFC" w:rsidRDefault="00DA2EFC" w:rsidP="001542D3">
      <w:pPr>
        <w:pStyle w:val="ListeParagraf"/>
        <w:spacing w:after="160" w:line="259" w:lineRule="auto"/>
      </w:pPr>
    </w:p>
    <w:p w:rsidR="00B15B9E" w:rsidRPr="00274939" w:rsidRDefault="00B15B9E" w:rsidP="000A5A56">
      <w:pPr>
        <w:pStyle w:val="ListeParagraf"/>
        <w:numPr>
          <w:ilvl w:val="0"/>
          <w:numId w:val="8"/>
        </w:numPr>
        <w:spacing w:after="160" w:line="259" w:lineRule="auto"/>
      </w:pPr>
      <w:r>
        <w:t xml:space="preserve">19.11.2022 tarihli ve 32018 sayılı Resmî </w:t>
      </w:r>
      <w:r w:rsidR="00274939">
        <w:t>Gazetede</w:t>
      </w:r>
      <w:r>
        <w:t xml:space="preserve"> yayımlanan 17.11.2022 tarihli ve 11394 sayılı Kurul Kararı ile </w:t>
      </w:r>
      <w:r w:rsidRPr="00274939">
        <w:rPr>
          <w:b/>
        </w:rPr>
        <w:t>Doğal Gaz Dağıtım Şebekesinin Sıvılaştırılmış Doğal Gaz (LNG) veya Sıkıştırılmış Doğal Gaz (CNG) ile Beslenmesine İlişkin Usul ve Esasların</w:t>
      </w:r>
    </w:p>
    <w:p w:rsidR="00274939" w:rsidRDefault="00274939" w:rsidP="00274939">
      <w:pPr>
        <w:pStyle w:val="ListeParagraf"/>
        <w:spacing w:after="160" w:line="259" w:lineRule="auto"/>
      </w:pPr>
    </w:p>
    <w:p w:rsidR="00B15B9E" w:rsidRDefault="00B15B9E" w:rsidP="000A5A56">
      <w:pPr>
        <w:pStyle w:val="ListeParagraf"/>
        <w:numPr>
          <w:ilvl w:val="0"/>
          <w:numId w:val="61"/>
        </w:numPr>
        <w:spacing w:after="160" w:line="259" w:lineRule="auto"/>
      </w:pPr>
      <w:r w:rsidRPr="007F16A9">
        <w:t>4 üncü maddesinin birinci fıkrasına aşağıdaki (15) numaralı bent eklenmiştir.</w:t>
      </w:r>
    </w:p>
    <w:p w:rsidR="00B15B9E" w:rsidRDefault="00B15B9E" w:rsidP="00B15B9E">
      <w:pPr>
        <w:pStyle w:val="ListeParagraf"/>
      </w:pPr>
    </w:p>
    <w:p w:rsidR="00B15B9E" w:rsidRDefault="00B15B9E" w:rsidP="00B15B9E">
      <w:pPr>
        <w:pStyle w:val="ListeParagraf"/>
        <w:ind w:left="1491"/>
        <w:rPr>
          <w:i/>
        </w:rPr>
      </w:pPr>
      <w:r w:rsidRPr="007F16A9">
        <w:rPr>
          <w:i/>
        </w:rPr>
        <w:t>“15) Acil durum veya mücbir haller: İvedilikle müdahale edilmesi gereken beklenmeyen bir olay veya durum nedeniyle doğal gaz arzının kesilmesi ya da kesilme ihtimalinin kuvvetli bir şekilde ortaya çıktığı durumları,”</w:t>
      </w:r>
    </w:p>
    <w:p w:rsidR="00B15B9E" w:rsidRDefault="00B15B9E" w:rsidP="00B15B9E">
      <w:pPr>
        <w:pStyle w:val="ListeParagraf"/>
        <w:ind w:left="1491"/>
        <w:rPr>
          <w:i/>
        </w:rPr>
      </w:pPr>
    </w:p>
    <w:p w:rsidR="00B15B9E" w:rsidRDefault="00B15B9E" w:rsidP="000A5A56">
      <w:pPr>
        <w:pStyle w:val="ListeParagraf"/>
        <w:numPr>
          <w:ilvl w:val="0"/>
          <w:numId w:val="61"/>
        </w:numPr>
        <w:spacing w:after="160" w:line="259" w:lineRule="auto"/>
      </w:pPr>
      <w:r w:rsidRPr="007F16A9">
        <w:t>5 inci maddesinin dördüncü, beşinci ve yedinci fıkraları aşağıdaki şekilde değiştirilmiş ve aynı maddeye aşağıdaki onuncu fıkra eklenmiştir.</w:t>
      </w:r>
    </w:p>
    <w:p w:rsidR="00B15B9E" w:rsidRDefault="00B15B9E" w:rsidP="00B15B9E">
      <w:pPr>
        <w:pStyle w:val="ListeParagraf"/>
      </w:pPr>
    </w:p>
    <w:p w:rsidR="00B15B9E" w:rsidRPr="007F16A9" w:rsidRDefault="00B15B9E" w:rsidP="00B15B9E">
      <w:pPr>
        <w:pStyle w:val="ListeParagraf"/>
        <w:ind w:left="1491"/>
        <w:rPr>
          <w:i/>
        </w:rPr>
      </w:pPr>
      <w:r w:rsidRPr="007F16A9">
        <w:rPr>
          <w:i/>
        </w:rPr>
        <w:t>“(4) Doğal gaz arzının acil durumlar veya mücbir haller nedeniyle aksaması veya aksayacak olması halinde, arz sürekliliğinin devamına yönelik olarak ve acil durum veya mücbir halin devam ettiği süreyle sınırlı olmak kaydıyla, dağıtım şebekesi CNG ve/veya LNG ile beslenebilir. Bununla birlikte, gaz arzının aksaması muhtemel durumlar öncesinde tedbiren yedek CNG ve/veya LNG tedariki yapılabilir. Bu durumlarda, CNG ve/veya LNG Kurum tarafından bu faaliyetler için yetkilendirilmiş lisans sahiplerinden tedarik edilir. Bu lisans sahipleri, acil durum veya mücbir hallerde dağıtım şirketlerinin taleplerini kapasiteleri ölçüsünde karşılamakla yükümlüdür. Dağıtım bölgesinin CNG ve/veya LNG ile beslenmesine başlandığında ve acil durum veya mücbir hal ortadan kalktığında en geç yirmi dört saat içinde Kurum tarafından dağıtım şirketlerine bildirilen elektronik posta adresine, bir hafta içerisinde ise yazılı olarak Kuruma detaylı bilgilendirme yapılır.”</w:t>
      </w:r>
    </w:p>
    <w:p w:rsidR="00B15B9E" w:rsidRPr="007F16A9" w:rsidRDefault="00B15B9E" w:rsidP="00B15B9E">
      <w:pPr>
        <w:pStyle w:val="ListeParagraf"/>
        <w:ind w:left="1491"/>
        <w:rPr>
          <w:i/>
        </w:rPr>
      </w:pPr>
    </w:p>
    <w:p w:rsidR="00B15B9E" w:rsidRPr="007F16A9" w:rsidRDefault="00B15B9E" w:rsidP="00B15B9E">
      <w:pPr>
        <w:pStyle w:val="ListeParagraf"/>
        <w:ind w:left="1491"/>
        <w:rPr>
          <w:i/>
        </w:rPr>
      </w:pPr>
      <w:r w:rsidRPr="007F16A9">
        <w:rPr>
          <w:i/>
        </w:rPr>
        <w:t>“(5) Bu maddenin üçüncü fıkrası kapsamındaki faaliyetlerden, CNG ve/veya LNG’nin dağıtım şebekesine ulaştırılmasına kadarki kısmının tamamı veya bir kısmı hizmet alımı yoluyla gerçekleştirilebilir.”</w:t>
      </w:r>
    </w:p>
    <w:p w:rsidR="00B15B9E" w:rsidRPr="007F16A9" w:rsidRDefault="00B15B9E" w:rsidP="00B15B9E">
      <w:pPr>
        <w:pStyle w:val="ListeParagraf"/>
        <w:ind w:left="1491"/>
        <w:rPr>
          <w:i/>
        </w:rPr>
      </w:pPr>
    </w:p>
    <w:p w:rsidR="00B15B9E" w:rsidRPr="007F16A9" w:rsidRDefault="00B15B9E" w:rsidP="00B15B9E">
      <w:pPr>
        <w:pStyle w:val="ListeParagraf"/>
        <w:ind w:left="1491"/>
        <w:rPr>
          <w:i/>
        </w:rPr>
      </w:pPr>
      <w:r w:rsidRPr="007F16A9">
        <w:rPr>
          <w:i/>
        </w:rPr>
        <w:t xml:space="preserve">“(7) Dağıtım şirketleri, CNG ve/veya LNG yöntemiyle beslenen lokal dağıtım şebekesinden doğal gaz alan kullanıcıların taleplerini yerine getirebilmek ve sistemin güvenilirliğini sağlamak amacıyla doğal gaz tedarik programlaması, sistem dengelemesi yapar, kendisinden doğal gaz satın alanların doğal gaz arz güvenliğini sağlar. Mücbir sebepler haricinde CNG ve/veya LNG’nin dağıtım şirketi tarafından işletilen tesislere teslim edilmesine kadarki süreçteki sorumluluk CNG ve/veya LNG firmasında, teslimden sonraki sorumluluk ise ilgili dağıtım şirketindedir. Teslim </w:t>
      </w:r>
      <w:r w:rsidRPr="007F16A9">
        <w:rPr>
          <w:i/>
        </w:rPr>
        <w:lastRenderedPageBreak/>
        <w:t>noktası ve teslim noktasındaki tesislere ilişkin tarafların hak ve sorumlulukları şartnamelerde ve sözleşmelerde belirtilir.”</w:t>
      </w:r>
    </w:p>
    <w:p w:rsidR="00B15B9E" w:rsidRPr="007F16A9" w:rsidRDefault="00B15B9E" w:rsidP="00B15B9E">
      <w:pPr>
        <w:pStyle w:val="ListeParagraf"/>
        <w:ind w:left="1491"/>
        <w:rPr>
          <w:i/>
        </w:rPr>
      </w:pPr>
    </w:p>
    <w:p w:rsidR="00B15B9E" w:rsidRDefault="00B15B9E" w:rsidP="00B15B9E">
      <w:pPr>
        <w:pStyle w:val="ListeParagraf"/>
        <w:ind w:left="1491"/>
        <w:rPr>
          <w:i/>
        </w:rPr>
      </w:pPr>
      <w:r w:rsidRPr="007F16A9">
        <w:rPr>
          <w:i/>
        </w:rPr>
        <w:t>"(10) Dağıtım şirketi, tedarik ettiği aylık CNG/LNG miktarını gösteren dağıtım şirketinin yetkililerince onaylı belgeyi, CNG ve/veya LNG firmasının tedarikçisi olan lisans sahibine iletilmek üzere, CNG ve/veya LNG lisansı sahibi tüzel kişiye aylık periyotlarda vermekle yükümlüdür.”</w:t>
      </w:r>
    </w:p>
    <w:p w:rsidR="00B15B9E" w:rsidRDefault="00B15B9E" w:rsidP="00B15B9E">
      <w:pPr>
        <w:pStyle w:val="ListeParagraf"/>
        <w:ind w:left="1491"/>
        <w:rPr>
          <w:i/>
        </w:rPr>
      </w:pPr>
    </w:p>
    <w:p w:rsidR="00B15B9E" w:rsidRDefault="00B15B9E" w:rsidP="000A5A56">
      <w:pPr>
        <w:pStyle w:val="ListeParagraf"/>
        <w:numPr>
          <w:ilvl w:val="0"/>
          <w:numId w:val="61"/>
        </w:numPr>
        <w:spacing w:after="160" w:line="259" w:lineRule="auto"/>
      </w:pPr>
      <w:r w:rsidRPr="007F16A9">
        <w:t>6 ncı maddesinin ikinci, dördüncü, beşinci, altıncı, yedinci ve on ikinci fıkraları aşağıdaki şekilde değiştirilmiş ve aynı maddeye aşağıdaki on yedinci, on sekizinci, on dokuzuncu, yirminci, yirmi birinci ve yirmi ikinci fıkralar eklenmiştir.</w:t>
      </w:r>
    </w:p>
    <w:p w:rsidR="00B15B9E" w:rsidRDefault="00B15B9E" w:rsidP="00B15B9E">
      <w:pPr>
        <w:pStyle w:val="ListeParagraf"/>
      </w:pPr>
    </w:p>
    <w:p w:rsidR="00B15B9E" w:rsidRPr="007F16A9" w:rsidRDefault="00B15B9E" w:rsidP="00B15B9E">
      <w:pPr>
        <w:pStyle w:val="ListeParagraf"/>
        <w:ind w:left="1491"/>
        <w:rPr>
          <w:i/>
        </w:rPr>
      </w:pPr>
      <w:r w:rsidRPr="007F16A9">
        <w:rPr>
          <w:i/>
        </w:rPr>
        <w:t>“(2) Dağıtım şirketlerince 5 inci madde kapsamında yapılacak CNG ve/veya LNG alımları ile hizmet alımları açık ihale yöntemiyle yapılır. İhale ilanında azami 5 (beş) yıl olmak üzere tedarik süresi, aylık ve toplam alım miktarları ile CNG ve/veya LNG teslim noktaları belirtilir. İhale en az 3 ay önceden asgari olarak dağıtım şirketi internet sitesinin ana sayfasında ve Basın İlan Kurumu aracılığı ile ilan edilir. Ancak dağıtım şirketince gerekçe belirtilerek Kuruma başvurulması ve gerekçelerin Kurum tarafından uygun bulunması halinde bu süre 15 güne kadar indirilebilir. Basın İlan Kurumu aracılığıyla yapılacak ilanın yurt çapında duyurulması sağlanır. İhaleye katılım engellenemez. Teklifler kapalı zarf usulü ile alınır. İhaleler dağıtım bölgesi bazında veya aynı dağıtım bölgesinde bulunan şehirler için ayrı ayrı yapılabilir.”</w:t>
      </w:r>
    </w:p>
    <w:p w:rsidR="00B15B9E" w:rsidRPr="007F16A9" w:rsidRDefault="00B15B9E" w:rsidP="00B15B9E">
      <w:pPr>
        <w:pStyle w:val="ListeParagraf"/>
        <w:ind w:left="1491"/>
        <w:rPr>
          <w:i/>
        </w:rPr>
      </w:pPr>
    </w:p>
    <w:p w:rsidR="00B15B9E" w:rsidRPr="007F16A9" w:rsidRDefault="00B15B9E" w:rsidP="00B15B9E">
      <w:pPr>
        <w:pStyle w:val="ListeParagraf"/>
        <w:ind w:left="1491"/>
        <w:rPr>
          <w:i/>
        </w:rPr>
      </w:pPr>
      <w:r w:rsidRPr="007F16A9">
        <w:rPr>
          <w:i/>
        </w:rPr>
        <w:t>“(4) İhale sürecindeki ihale ilanları ve basın ilan kurumu ilan numaraları ile ilan suretleri, teknik şartname ve varsa idari şartname, ihale değerlendirme evrakı, ihale kararları, sözleşme taslağı ve sözleşme ile benzeri tüm bilgi ve belgeler ihale dosyasında muhafaza edilir.”</w:t>
      </w:r>
    </w:p>
    <w:p w:rsidR="00B15B9E" w:rsidRPr="007F16A9" w:rsidRDefault="00B15B9E" w:rsidP="00B15B9E">
      <w:pPr>
        <w:pStyle w:val="ListeParagraf"/>
        <w:ind w:left="1491"/>
        <w:rPr>
          <w:i/>
        </w:rPr>
      </w:pPr>
    </w:p>
    <w:p w:rsidR="00B15B9E" w:rsidRPr="007F16A9" w:rsidRDefault="00B15B9E" w:rsidP="00B15B9E">
      <w:pPr>
        <w:pStyle w:val="ListeParagraf"/>
        <w:ind w:left="1491"/>
        <w:rPr>
          <w:i/>
        </w:rPr>
      </w:pPr>
      <w:r w:rsidRPr="007F16A9">
        <w:rPr>
          <w:i/>
        </w:rPr>
        <w:t>“(5) CNG ve/veya LNG alımı ile dağıtım şebekesinin CNG ve/veya LNG ile beslenmesine yönelik hizmet alımlarına ilişkin teknik koşullar, ulusal veya uluslararası standartlara uygun olarak hazırlanan ve dağıtım şirketinin kontrol firması tarafından onaylanan teknik şartnamelerde belirlenir. Teknik şartname ile varsa idari şartnamenin istekliler tarafından hangi şekilde temin edileceğine ilişkin usul ihale ilanında belirtilir. Şartnameler isteklilere bedelsiz olarak verilir ve elektronik ortamdan ulaştırılması sağlanır. Ayrıca, ihale ilanı Basın İlan Kurumu aracılığıyla yayımlandığı tarihte, teknik ve idari şartnameler dağıtım şirketinin internet sitesinin ana sayfasında yayımlanır.”</w:t>
      </w:r>
    </w:p>
    <w:p w:rsidR="00B15B9E" w:rsidRPr="007F16A9" w:rsidRDefault="00B15B9E" w:rsidP="00B15B9E">
      <w:pPr>
        <w:pStyle w:val="ListeParagraf"/>
        <w:ind w:left="1491"/>
        <w:rPr>
          <w:i/>
        </w:rPr>
      </w:pPr>
    </w:p>
    <w:p w:rsidR="00B15B9E" w:rsidRPr="007F16A9" w:rsidRDefault="00B15B9E" w:rsidP="00B15B9E">
      <w:pPr>
        <w:pStyle w:val="ListeParagraf"/>
        <w:ind w:left="1491"/>
        <w:rPr>
          <w:i/>
        </w:rPr>
      </w:pPr>
      <w:r w:rsidRPr="007F16A9">
        <w:rPr>
          <w:i/>
        </w:rPr>
        <w:t>“(6) Dağıtım şirketlerinin yapacağı ihalelere, ilgili faaliyete yönelik yürürlükte olan herhangi bir lisansı bulunmayan firmalar, ilana çıkılan dağıtım bölgesinde faaliyet gösteren dağıtım lisansı sahibi tüzel kişi ile doğrudan ve/veya dolaylı ortaklık ya da kontrol ilişkisi bulunan firmalar ile diğer kamu kurum ve kuruluşları tarafından yasaklı olarak belirlenen firmalar katılamaz. Dağıtım şirketleri tarafından birinci fıkrada belirtilen ilkeler gözetilerek katılımcı firmalara ilişkin ilave kriterler getirilebilir. Bu kriterler şartnamelerde belirtilir. Ancak, bu kriterler rekabeti engelleyici nitelikte olamaz ve ihaleye katılımcı firmaların tesislerinin hangi şehirde bulunması gerektiğine veya lisansın türüne ilişkin kısıtlama konulamaz. Ayrıca, dağıtım şirketi tarafından 5 inci maddenin yedinci fıkrasındaki amaçlar doğrultusunda şartnamede de belirtilmek koşuluyla arz güvenliğinin teminine yönelik cezai şart ve/veya tazminat hükümleri getirilebilir.”</w:t>
      </w:r>
    </w:p>
    <w:p w:rsidR="00B15B9E" w:rsidRPr="007F16A9" w:rsidRDefault="00B15B9E" w:rsidP="00B15B9E">
      <w:pPr>
        <w:pStyle w:val="ListeParagraf"/>
        <w:ind w:left="1491"/>
        <w:rPr>
          <w:i/>
        </w:rPr>
      </w:pPr>
      <w:r w:rsidRPr="007F16A9">
        <w:rPr>
          <w:i/>
        </w:rPr>
        <w:lastRenderedPageBreak/>
        <w:t>“(7) Teklifler ihale ilanında belirtilen zamanda ve yerde katılımcıların önünde açılır ve teklifler tutanak altına alınır. Teklifler ihale ilanında belirtilen zamana kadar açılmaz. Tekliflerin açılması ve açık eksiltme süreçleri, talep edilmesi halinde Kuruma sunulmak üzere kamera kaydına alınır.”</w:t>
      </w:r>
    </w:p>
    <w:p w:rsidR="00B15B9E" w:rsidRPr="007F16A9" w:rsidRDefault="00B15B9E" w:rsidP="00B15B9E">
      <w:pPr>
        <w:pStyle w:val="ListeParagraf"/>
        <w:ind w:left="1491"/>
        <w:rPr>
          <w:i/>
        </w:rPr>
      </w:pPr>
    </w:p>
    <w:p w:rsidR="00B15B9E" w:rsidRPr="007F16A9" w:rsidRDefault="00B15B9E" w:rsidP="00B15B9E">
      <w:pPr>
        <w:pStyle w:val="ListeParagraf"/>
        <w:ind w:left="1491"/>
        <w:rPr>
          <w:i/>
        </w:rPr>
      </w:pPr>
      <w:r w:rsidRPr="007F16A9">
        <w:rPr>
          <w:i/>
        </w:rPr>
        <w:t>“(12) Herhangi bir şehre doğal gaz ulaştırmak amacıyla imalatına başlanmış olan ancak boru hattı yapımı sırasında öngörülmeyen gecikmelerin yaşanması halinde, azami altı ay süreyle sınırlı olmak üzere doğrudan temin yoluyla Kurumdan izin almak koşuluyla CNG ve/veya LNG alımı yapılabilir. Söz konusu altı aylık doğrudan alım süresi içerisindeyken altı aydan daha uzun süreceği anlaşılan gecikme durumlarında ise, dağıtım şirketi Kurumdan ilave altı aya kadar ek süre talep edebilir. Bu talep, Kurul tarafından karara bağlanır. Her halükârda, doğrudan temin süresi bir yıldan uzun süremez. Bir yıldan uzun süreceği anlaşılan gecikmelerde açık ihale yöntemi uygulanır.”</w:t>
      </w:r>
    </w:p>
    <w:p w:rsidR="00B15B9E" w:rsidRPr="007F16A9" w:rsidRDefault="00B15B9E" w:rsidP="00B15B9E">
      <w:pPr>
        <w:pStyle w:val="ListeParagraf"/>
        <w:ind w:left="1491"/>
        <w:rPr>
          <w:i/>
        </w:rPr>
      </w:pPr>
    </w:p>
    <w:p w:rsidR="00B15B9E" w:rsidRPr="007F16A9" w:rsidRDefault="00B15B9E" w:rsidP="00B15B9E">
      <w:pPr>
        <w:pStyle w:val="ListeParagraf"/>
        <w:ind w:left="1491"/>
        <w:rPr>
          <w:i/>
        </w:rPr>
      </w:pPr>
      <w:r w:rsidRPr="007F16A9">
        <w:rPr>
          <w:i/>
        </w:rPr>
        <w:t>“(17) Alım ihalesinde belirtilmiş toplam CNG ve/veya LNG miktarının alım ihalesinde belirtilen tedarik süreci içerisinde tüketilememesi durumunda; alım ihalesinde belirtilmiş toplam CNG ve/veya LNG miktarının, sözleşmede bu hususta hüküm bulunması ve ihalede belirlenen fiyatın aşılmaması şartıyla, tarafların mutabakatı halinde azami 1 yıl süreyle teminine devam edilebilir.”</w:t>
      </w:r>
    </w:p>
    <w:p w:rsidR="00B15B9E" w:rsidRPr="007F16A9" w:rsidRDefault="00B15B9E" w:rsidP="00B15B9E">
      <w:pPr>
        <w:pStyle w:val="ListeParagraf"/>
        <w:ind w:left="1491"/>
        <w:rPr>
          <w:i/>
        </w:rPr>
      </w:pPr>
    </w:p>
    <w:p w:rsidR="00B15B9E" w:rsidRPr="007F16A9" w:rsidRDefault="00B15B9E" w:rsidP="00B15B9E">
      <w:pPr>
        <w:pStyle w:val="ListeParagraf"/>
        <w:ind w:left="1491"/>
        <w:rPr>
          <w:i/>
        </w:rPr>
      </w:pPr>
      <w:r w:rsidRPr="007F16A9">
        <w:rPr>
          <w:i/>
        </w:rPr>
        <w:t>“(18) Alım ihalesinde belirtilmiş toplam CNG ve/veya LNG miktarının, alım ihalesinde belirtilen toplam süreden önce tüketilmesi durumunda; dağıtım şirketi tarafından yeni bir ihale düzenlenebileceği gibi, alım ihalesinde belirtilmiş olan tedarik süresi tamamlanıncaya kadar, sözleşmede bu hususta hüküm bulunması ve ihalede belirlenen fiyatı da geçmemek üzere, tarafların mutabakatı halinde aynı firmadan CNG ve/veya LNG alımına devam edilebilir. Bu süre 6 ayı aşamaz.”</w:t>
      </w:r>
    </w:p>
    <w:p w:rsidR="00B15B9E" w:rsidRPr="007F16A9" w:rsidRDefault="00B15B9E" w:rsidP="00B15B9E">
      <w:pPr>
        <w:pStyle w:val="ListeParagraf"/>
        <w:ind w:left="1491"/>
        <w:rPr>
          <w:i/>
        </w:rPr>
      </w:pPr>
    </w:p>
    <w:p w:rsidR="00B15B9E" w:rsidRPr="007F16A9" w:rsidRDefault="00B15B9E" w:rsidP="00B15B9E">
      <w:pPr>
        <w:pStyle w:val="ListeParagraf"/>
        <w:ind w:left="1491"/>
        <w:rPr>
          <w:i/>
        </w:rPr>
      </w:pPr>
      <w:r w:rsidRPr="007F16A9">
        <w:rPr>
          <w:i/>
        </w:rPr>
        <w:t>“(19) Mevcut alım ihalesinin süresi ve miktarının her ikisinin birlikte sona ermesi ve yeni alım ihalesi için hazırlık aşamalarının yetişmeyeceğinin anlaşılması durumlarında, 6 ayı geçmemek üzere ve tarafların mutabakatı halinde mevcut alım ihalesi koşullarında aynı tedarikçiden alım yapılmaya devam edilebilir. Bu durumda, mevcut ihale süresinin bitiminden itibaren en geç 3 ay içerisinde yeni alım ihalesi ilan edilir.”</w:t>
      </w:r>
    </w:p>
    <w:p w:rsidR="00B15B9E" w:rsidRPr="007F16A9" w:rsidRDefault="00B15B9E" w:rsidP="00B15B9E">
      <w:pPr>
        <w:pStyle w:val="ListeParagraf"/>
        <w:ind w:left="1491"/>
        <w:rPr>
          <w:i/>
        </w:rPr>
      </w:pPr>
    </w:p>
    <w:p w:rsidR="00B15B9E" w:rsidRPr="007F16A9" w:rsidRDefault="00B15B9E" w:rsidP="00B15B9E">
      <w:pPr>
        <w:pStyle w:val="ListeParagraf"/>
        <w:ind w:left="1491"/>
        <w:rPr>
          <w:i/>
        </w:rPr>
      </w:pPr>
      <w:r w:rsidRPr="007F16A9">
        <w:rPr>
          <w:i/>
        </w:rPr>
        <w:t>“(20) CNG ve/veya LNG alım ihalesinin elektronik ortamdan yapılmak istenmesi durumunda, dağıtım şirketi tarafından;</w:t>
      </w:r>
    </w:p>
    <w:p w:rsidR="00B15B9E" w:rsidRPr="007F16A9" w:rsidRDefault="00B15B9E" w:rsidP="00B15B9E">
      <w:pPr>
        <w:pStyle w:val="ListeParagraf"/>
        <w:ind w:left="1491"/>
        <w:rPr>
          <w:i/>
        </w:rPr>
      </w:pPr>
    </w:p>
    <w:p w:rsidR="00B15B9E" w:rsidRPr="007F16A9" w:rsidRDefault="00B15B9E" w:rsidP="00B15B9E">
      <w:pPr>
        <w:pStyle w:val="ListeParagraf"/>
        <w:ind w:left="1491"/>
        <w:rPr>
          <w:i/>
        </w:rPr>
      </w:pPr>
      <w:r w:rsidRPr="007F16A9">
        <w:rPr>
          <w:i/>
        </w:rPr>
        <w:t xml:space="preserve">            a)</w:t>
      </w:r>
      <w:r>
        <w:rPr>
          <w:i/>
        </w:rPr>
        <w:t xml:space="preserve"> </w:t>
      </w:r>
      <w:r w:rsidRPr="007F16A9">
        <w:rPr>
          <w:i/>
        </w:rPr>
        <w:t>İhale ilanında asgari olarak; CNG ve/veya LNG alım ihalesinin elektronik ortamda video konferans yöntemiyle yapılacağının, ihalenin ne şekilde yürütüleceğine ilişkin detayların ve tekliflerin hangi tarih ve saate kadar ıslak imzalı olarak dağıtım şirketine ulaştırılacağının belirtilmesi,</w:t>
      </w:r>
    </w:p>
    <w:p w:rsidR="00B15B9E" w:rsidRPr="007F16A9" w:rsidRDefault="00B15B9E" w:rsidP="00B15B9E">
      <w:pPr>
        <w:pStyle w:val="ListeParagraf"/>
        <w:ind w:left="1491"/>
        <w:rPr>
          <w:i/>
        </w:rPr>
      </w:pPr>
      <w:r w:rsidRPr="007F16A9">
        <w:rPr>
          <w:i/>
        </w:rPr>
        <w:t xml:space="preserve">            b)</w:t>
      </w:r>
      <w:r>
        <w:rPr>
          <w:i/>
        </w:rPr>
        <w:t xml:space="preserve"> </w:t>
      </w:r>
      <w:r w:rsidRPr="007F16A9">
        <w:rPr>
          <w:i/>
        </w:rPr>
        <w:t>İhalenin, belirlenen tarih ve saatte video konferans yöntemiyle düzenlenmesine    ilişkin altyapının dağıtım şirketi tarafından tesis edilmesi,</w:t>
      </w:r>
    </w:p>
    <w:p w:rsidR="00B15B9E" w:rsidRPr="007F16A9" w:rsidRDefault="00B15B9E" w:rsidP="00B15B9E">
      <w:pPr>
        <w:pStyle w:val="ListeParagraf"/>
        <w:ind w:left="1491"/>
        <w:rPr>
          <w:i/>
        </w:rPr>
      </w:pPr>
      <w:r w:rsidRPr="007F16A9">
        <w:rPr>
          <w:i/>
        </w:rPr>
        <w:t xml:space="preserve">            c) İhaleye katılarak teklif verecek olan şirket personelinin, ilgili şirketi temsil ve ilzam etme yetkisi olup olmadığının teyit edilmesi,</w:t>
      </w:r>
    </w:p>
    <w:p w:rsidR="00B15B9E" w:rsidRPr="007F16A9" w:rsidRDefault="00B15B9E" w:rsidP="00B15B9E">
      <w:pPr>
        <w:pStyle w:val="ListeParagraf"/>
        <w:ind w:left="1491"/>
        <w:rPr>
          <w:i/>
        </w:rPr>
      </w:pPr>
      <w:r w:rsidRPr="007F16A9">
        <w:rPr>
          <w:i/>
        </w:rPr>
        <w:lastRenderedPageBreak/>
        <w:t xml:space="preserve">            ç) İhale öncesinde ve sırasında Kayıtlı Elektronik Posta (KEP), e-imza, mobil imza gibi yöntemler kullanılacaksa ilgili ve diğer mevzuattan kaynaklanan yükümlülükler dikkate alınarak katılımcılara gerekli bilgilendirmelerin yapılması,</w:t>
      </w:r>
    </w:p>
    <w:p w:rsidR="00B15B9E" w:rsidRPr="007F16A9" w:rsidRDefault="00B15B9E" w:rsidP="00B15B9E">
      <w:pPr>
        <w:pStyle w:val="ListeParagraf"/>
        <w:ind w:left="1491" w:firstLine="633"/>
        <w:rPr>
          <w:i/>
        </w:rPr>
      </w:pPr>
      <w:r w:rsidRPr="007F16A9">
        <w:rPr>
          <w:i/>
        </w:rPr>
        <w:t>d) Dağıtım şirketi ihale komisyonunun, tam kadro olarak elektronik ortamda yapılan ihalede hazır bulunması,</w:t>
      </w:r>
    </w:p>
    <w:p w:rsidR="00B15B9E" w:rsidRPr="007F16A9" w:rsidRDefault="00B15B9E" w:rsidP="00B15B9E">
      <w:pPr>
        <w:pStyle w:val="ListeParagraf"/>
        <w:ind w:left="1491"/>
        <w:rPr>
          <w:i/>
        </w:rPr>
      </w:pPr>
      <w:r w:rsidRPr="007F16A9">
        <w:rPr>
          <w:i/>
        </w:rPr>
        <w:t xml:space="preserve">      </w:t>
      </w:r>
      <w:r w:rsidRPr="007F16A9">
        <w:rPr>
          <w:i/>
        </w:rPr>
        <w:tab/>
        <w:t>e) İhalenin başlangıcından sonuna kadar görüntülü ve sesli olarak tüm aşamaların kayıt altına alınması,</w:t>
      </w:r>
    </w:p>
    <w:p w:rsidR="00B15B9E" w:rsidRPr="007F16A9" w:rsidRDefault="00B15B9E" w:rsidP="00B15B9E">
      <w:pPr>
        <w:pStyle w:val="ListeParagraf"/>
        <w:ind w:left="1491"/>
        <w:rPr>
          <w:i/>
        </w:rPr>
      </w:pPr>
      <w:r w:rsidRPr="007F16A9">
        <w:rPr>
          <w:i/>
        </w:rPr>
        <w:tab/>
        <w:t>f) İhale komisyonu tarafından ihale sonucunda hazırlanacak tutanaklara ıslak imza atılarak, ihalede alınan video konferans kayıtlarının Kuruma sunulmak üzere ihale   dosyasının içerisinde muhafaza edilmesi,</w:t>
      </w:r>
    </w:p>
    <w:p w:rsidR="00B15B9E" w:rsidRPr="007F16A9" w:rsidRDefault="00B15B9E" w:rsidP="00B15B9E">
      <w:pPr>
        <w:pStyle w:val="ListeParagraf"/>
        <w:ind w:left="1491"/>
        <w:rPr>
          <w:i/>
        </w:rPr>
      </w:pPr>
      <w:r w:rsidRPr="007F16A9">
        <w:rPr>
          <w:i/>
        </w:rPr>
        <w:t xml:space="preserve">            bununla birlikte, bu Usul ve Esasla</w:t>
      </w:r>
      <w:r w:rsidR="00274939">
        <w:rPr>
          <w:i/>
        </w:rPr>
        <w:t>r</w:t>
      </w:r>
      <w:r w:rsidRPr="007F16A9">
        <w:rPr>
          <w:i/>
        </w:rPr>
        <w:t>ın diğer hükümlerine de uyulması kaydıyla, CNG ve/veya LNG alım ihalesi elektronik ortamda gerçekleştirilebilir.”</w:t>
      </w:r>
    </w:p>
    <w:p w:rsidR="00B15B9E" w:rsidRPr="007F16A9" w:rsidRDefault="00B15B9E" w:rsidP="00B15B9E">
      <w:pPr>
        <w:pStyle w:val="ListeParagraf"/>
        <w:ind w:left="1491"/>
        <w:rPr>
          <w:i/>
        </w:rPr>
      </w:pPr>
    </w:p>
    <w:p w:rsidR="00B15B9E" w:rsidRPr="007F16A9" w:rsidRDefault="00B15B9E" w:rsidP="00B15B9E">
      <w:pPr>
        <w:pStyle w:val="ListeParagraf"/>
        <w:ind w:left="1491"/>
        <w:rPr>
          <w:i/>
        </w:rPr>
      </w:pPr>
      <w:r w:rsidRPr="007F16A9">
        <w:rPr>
          <w:i/>
        </w:rPr>
        <w:t>“(21) Bu maddenin onuncu ve on birinci fıkraları kapsamı dışında, CNG ve/veya LNG alım ihalesinin sözleşme imzalanmadan önce dağıtım şirketi tarafından iptal edilmesi durumunda, söz konusu iptalin gerekçelerine yönelik ihale ilanındaki usule uygun olarak gerekli duyurular yapılır ve Kuruma detaylı bilgi ve belgeler sunulur.”</w:t>
      </w:r>
    </w:p>
    <w:p w:rsidR="00B15B9E" w:rsidRPr="007F16A9" w:rsidRDefault="00B15B9E" w:rsidP="00B15B9E">
      <w:pPr>
        <w:pStyle w:val="ListeParagraf"/>
        <w:ind w:left="1491"/>
        <w:rPr>
          <w:i/>
        </w:rPr>
      </w:pPr>
    </w:p>
    <w:p w:rsidR="00B15B9E" w:rsidRDefault="00B15B9E" w:rsidP="00B15B9E">
      <w:pPr>
        <w:pStyle w:val="ListeParagraf"/>
        <w:ind w:left="1491"/>
        <w:rPr>
          <w:i/>
        </w:rPr>
      </w:pPr>
      <w:r w:rsidRPr="007F16A9">
        <w:rPr>
          <w:i/>
        </w:rPr>
        <w:t>“(22) İhale sonrası imzalanacak sözleşmelerde ihale koşullarını değiştirecek veya rekabeti ihlal edecek hükümlere yer verilemez. İhaleye ilişkin fiyat güncellemesi, miktar ve süre konuları ihale ilanında veya şartnamede açıkça belirtilir.”</w:t>
      </w:r>
    </w:p>
    <w:bookmarkEnd w:id="97"/>
    <w:bookmarkEnd w:id="98"/>
    <w:p w:rsidR="00794A7D" w:rsidRDefault="00794A7D" w:rsidP="00622946">
      <w:pPr>
        <w:pStyle w:val="ListeParagraf"/>
        <w:tabs>
          <w:tab w:val="left" w:pos="708"/>
        </w:tabs>
        <w:suppressAutoHyphens/>
        <w:spacing w:after="160" w:line="259" w:lineRule="auto"/>
        <w:ind w:left="770"/>
        <w:rPr>
          <w:rFonts w:eastAsia="Times New Roman" w:cstheme="minorHAnsi"/>
          <w:lang w:eastAsia="tr-TR"/>
        </w:rPr>
      </w:pPr>
    </w:p>
    <w:p w:rsidR="009F0E99" w:rsidRDefault="009F0E99" w:rsidP="00412671">
      <w:pPr>
        <w:pStyle w:val="ListeParagraf"/>
      </w:pPr>
    </w:p>
    <w:p w:rsidR="00DA0FDF" w:rsidRDefault="00DA0FDF" w:rsidP="000A5A56">
      <w:pPr>
        <w:pStyle w:val="ListeParagraf"/>
        <w:numPr>
          <w:ilvl w:val="0"/>
          <w:numId w:val="8"/>
        </w:numPr>
        <w:spacing w:after="160" w:line="259" w:lineRule="auto"/>
      </w:pPr>
      <w:r>
        <w:t xml:space="preserve">17.12.2022 tarihli ve 32046 sayılı Resmî </w:t>
      </w:r>
      <w:r w:rsidR="00274939">
        <w:t>Gazetede</w:t>
      </w:r>
      <w:r>
        <w:t xml:space="preserve"> yayımlanan 15.12.2022 tarihli ve 11456 sayılı</w:t>
      </w:r>
      <w:r w:rsidR="00251693">
        <w:t xml:space="preserve"> Kurul Kararı ile</w:t>
      </w:r>
      <w:r>
        <w:t xml:space="preserve"> </w:t>
      </w:r>
      <w:r w:rsidRPr="00E04C95">
        <w:rPr>
          <w:b/>
        </w:rPr>
        <w:t>Doğal Gaz Dağıtım Sektörü Bağlantı ve Hizmet Bedellerine İlişkin Usul ve Esasların</w:t>
      </w:r>
    </w:p>
    <w:p w:rsidR="00DA0FDF" w:rsidRDefault="00DA0FDF" w:rsidP="00DA0FDF">
      <w:pPr>
        <w:pStyle w:val="ListeParagraf"/>
      </w:pPr>
    </w:p>
    <w:p w:rsidR="00DA0FDF" w:rsidRDefault="00DA0FDF" w:rsidP="000A5A56">
      <w:pPr>
        <w:pStyle w:val="ListeParagraf"/>
        <w:numPr>
          <w:ilvl w:val="0"/>
          <w:numId w:val="61"/>
        </w:numPr>
        <w:spacing w:after="160" w:line="259" w:lineRule="auto"/>
      </w:pPr>
      <w:r w:rsidRPr="00DA0FDF">
        <w:t xml:space="preserve">29/12/2016 tarihli ve 29933 sayılı Resmî </w:t>
      </w:r>
      <w:r w:rsidR="00274939">
        <w:t>Gazetede</w:t>
      </w:r>
      <w:r w:rsidRPr="00DA0FDF">
        <w:t xml:space="preserve"> yayımlanan Doğal Gaz Dağıtım Sektörü Bağlantı ve Hizmet Bedellerine İlişkin Usul ve Esasların 4 üncü maddesinin birinci fıkrasının 14 ve 16 numaralı bentleri aşağıdaki şekilde değiştirilmiş ve fıkraya aşağıdaki bentler eklenmiştir.</w:t>
      </w:r>
    </w:p>
    <w:p w:rsidR="00DA0FDF" w:rsidRDefault="00DA0FDF" w:rsidP="00DA0FDF">
      <w:pPr>
        <w:pStyle w:val="ListeParagraf"/>
      </w:pPr>
    </w:p>
    <w:p w:rsidR="00DA0FDF" w:rsidRPr="00DA0FDF" w:rsidRDefault="00DA0FDF" w:rsidP="00DA0FDF">
      <w:pPr>
        <w:pStyle w:val="ListeParagraf"/>
        <w:ind w:left="1491"/>
        <w:rPr>
          <w:i/>
        </w:rPr>
      </w:pPr>
      <w:r w:rsidRPr="00DA0FDF">
        <w:rPr>
          <w:i/>
        </w:rPr>
        <w:t>“14) Ön ödemeli sayaç: Müşterinin bedelini daha önceden ödediği miktarda veya tutarda doğal gaz kullanımına imkan veren, ölçü aletleri mevzuatına göre piyasaya arz edilen ve dağıtım şirketinin sistemine uyum sağlayan sayacı veya ön ödemeli sayaç dönüşüm kiti vasıtasıyla dönüştürülen mekanik sayacı,”</w:t>
      </w:r>
    </w:p>
    <w:p w:rsidR="00DA0FDF" w:rsidRPr="00DA0FDF" w:rsidRDefault="00DA0FDF" w:rsidP="00DA0FDF">
      <w:pPr>
        <w:pStyle w:val="ListeParagraf"/>
        <w:ind w:left="1491"/>
        <w:rPr>
          <w:i/>
        </w:rPr>
      </w:pPr>
      <w:r w:rsidRPr="00DA0FDF">
        <w:rPr>
          <w:i/>
        </w:rPr>
        <w:t>“16) Sayaç: Müşterinin doğal gaz tüketimini ölçen ve ölçü aletleri mevzuatına göre piyasaya arz edilmiş ve dağıtım şirketinin sistemine uyum sağlayan cihazı,”</w:t>
      </w:r>
    </w:p>
    <w:p w:rsidR="00DA0FDF" w:rsidRPr="00DA0FDF" w:rsidRDefault="00DA0FDF" w:rsidP="00DA0FDF">
      <w:pPr>
        <w:pStyle w:val="ListeParagraf"/>
        <w:ind w:left="1491"/>
        <w:rPr>
          <w:i/>
        </w:rPr>
      </w:pPr>
      <w:r w:rsidRPr="00DA0FDF">
        <w:rPr>
          <w:i/>
        </w:rPr>
        <w:t>“21) Ölçü aletleri mevzuatı: 11/1/1989 tarihli ve 3516 sayılı Ölçüler ve Ayar Kanunu ile 5/3/2020 tarihli ve 7223 sayılı Ürün Güvenliği ve Teknik Düzenlemeler Kanunu ve bu Kanunlara dayanılarak çıkarılan düzenlemeleri,”</w:t>
      </w:r>
    </w:p>
    <w:p w:rsidR="00DA0FDF" w:rsidRDefault="00DA0FDF" w:rsidP="00DA0FDF">
      <w:pPr>
        <w:pStyle w:val="ListeParagraf"/>
        <w:ind w:left="1491"/>
        <w:rPr>
          <w:i/>
        </w:rPr>
      </w:pPr>
      <w:r w:rsidRPr="00DA0FDF">
        <w:rPr>
          <w:i/>
        </w:rPr>
        <w:t>“22) Ön proje: Doğal gaz yakıt sistemli olarak inşa edilmek üzere inşaat ruhsatı almış binalar için ilgili dağıtım şirketine ibraz edilen ve onaylanan projeyi,”</w:t>
      </w:r>
    </w:p>
    <w:p w:rsidR="00DA0FDF" w:rsidRDefault="00DA0FDF" w:rsidP="00622946">
      <w:pPr>
        <w:pStyle w:val="ListeParagraf"/>
        <w:tabs>
          <w:tab w:val="left" w:pos="708"/>
        </w:tabs>
        <w:suppressAutoHyphens/>
        <w:spacing w:after="160" w:line="259" w:lineRule="auto"/>
        <w:ind w:left="770"/>
        <w:rPr>
          <w:rFonts w:eastAsia="Times New Roman" w:cstheme="minorHAnsi"/>
          <w:lang w:eastAsia="tr-TR"/>
        </w:rPr>
      </w:pPr>
    </w:p>
    <w:p w:rsidR="00DA0FDF" w:rsidRDefault="00DA0FDF" w:rsidP="000A5A56">
      <w:pPr>
        <w:pStyle w:val="ListeParagraf"/>
        <w:numPr>
          <w:ilvl w:val="0"/>
          <w:numId w:val="61"/>
        </w:numPr>
        <w:spacing w:after="160" w:line="259" w:lineRule="auto"/>
      </w:pPr>
      <w:r w:rsidRPr="00DA0FDF">
        <w:t>6 ncı maddesinin ikinci fıkrası yürürlükten kaldırılmış, üçüncü fıkrasının ikinci cümlesi aşağıdaki şekilde değiştirilmiş ve maddenin beşinci fıkrası aşağıdaki şekilde değiştirilmiştir.</w:t>
      </w:r>
    </w:p>
    <w:p w:rsidR="00DA0FDF" w:rsidRDefault="00DA0FDF" w:rsidP="00DA0FDF">
      <w:pPr>
        <w:pStyle w:val="ListeParagraf"/>
      </w:pPr>
    </w:p>
    <w:p w:rsidR="00DA0FDF" w:rsidRPr="00DA0FDF" w:rsidRDefault="00DA0FDF" w:rsidP="00DA0FDF">
      <w:pPr>
        <w:pStyle w:val="ListeParagraf"/>
        <w:ind w:left="1491"/>
        <w:rPr>
          <w:i/>
        </w:rPr>
      </w:pPr>
      <w:r w:rsidRPr="00DA0FDF">
        <w:rPr>
          <w:i/>
        </w:rPr>
        <w:lastRenderedPageBreak/>
        <w:t>“Serbest tüketici veya Kurum tarafından talep edilmesi halinde, dağıtım şirketi bağlantı ile ilgili oluşan maliyetleri onaylı belgelerle ispat etmekle yükümlüdür.”</w:t>
      </w:r>
    </w:p>
    <w:p w:rsidR="00DA0FDF" w:rsidRPr="00DA0FDF" w:rsidRDefault="00DA0FDF" w:rsidP="00DA0FDF">
      <w:pPr>
        <w:pStyle w:val="ListeParagraf"/>
        <w:ind w:left="1491"/>
        <w:rPr>
          <w:i/>
        </w:rPr>
      </w:pPr>
      <w:r w:rsidRPr="00DA0FDF">
        <w:rPr>
          <w:i/>
        </w:rPr>
        <w:t>“(5) Serbest tüketicilerin bağlantı bedelinin hesaplanmasında 5 inci madde hükümlerinin uygulanması sadece serbest tüketici ve abonelerin aynı binada yer almaları ve tüm bina bağlantısının tek bir bağlantı hattı veya servis hattı ile sağlanmasının zorunlu olması durumunda mümkündür.”</w:t>
      </w:r>
    </w:p>
    <w:p w:rsidR="00DA0FDF" w:rsidRDefault="00DA0FDF" w:rsidP="00622946">
      <w:pPr>
        <w:pStyle w:val="ListeParagraf"/>
        <w:tabs>
          <w:tab w:val="left" w:pos="708"/>
        </w:tabs>
        <w:suppressAutoHyphens/>
        <w:spacing w:after="160" w:line="259" w:lineRule="auto"/>
        <w:ind w:left="770"/>
        <w:rPr>
          <w:rFonts w:eastAsia="Times New Roman" w:cstheme="minorHAnsi"/>
          <w:lang w:eastAsia="tr-TR"/>
        </w:rPr>
      </w:pPr>
    </w:p>
    <w:p w:rsidR="00DA0FDF" w:rsidRDefault="00DA0FDF" w:rsidP="000A5A56">
      <w:pPr>
        <w:pStyle w:val="ListeParagraf"/>
        <w:numPr>
          <w:ilvl w:val="0"/>
          <w:numId w:val="61"/>
        </w:numPr>
        <w:spacing w:after="160" w:line="259" w:lineRule="auto"/>
      </w:pPr>
      <w:r w:rsidRPr="00DA0FDF">
        <w:t>7 nci maddesinin ikinci ve üçüncü fıkraları aşağıdaki şekilde değiştirilmiştir.</w:t>
      </w:r>
    </w:p>
    <w:p w:rsidR="00DA0FDF" w:rsidRDefault="00DA0FDF" w:rsidP="00DA0FDF">
      <w:pPr>
        <w:pStyle w:val="ListeParagraf"/>
      </w:pPr>
    </w:p>
    <w:p w:rsidR="00DA0FDF" w:rsidRPr="00DA0FDF" w:rsidRDefault="00DA0FDF" w:rsidP="00DA0FDF">
      <w:pPr>
        <w:pStyle w:val="ListeParagraf"/>
        <w:ind w:left="1491"/>
        <w:rPr>
          <w:i/>
        </w:rPr>
      </w:pPr>
      <w:r w:rsidRPr="00DA0FDF">
        <w:rPr>
          <w:i/>
        </w:rPr>
        <w:t>“(2) Doğal gazı dağıtım şirketinden temin etmeyen serbest tüketicilere yönelik güvence bedeli uygulaması tedarikçi ve serbest tüketici arasındaki sözleşme çerçevesinde yürütülür.”</w:t>
      </w:r>
    </w:p>
    <w:p w:rsidR="00DA0FDF" w:rsidRPr="00DA0FDF" w:rsidRDefault="00DA0FDF" w:rsidP="00DA0FDF">
      <w:pPr>
        <w:pStyle w:val="ListeParagraf"/>
        <w:ind w:left="1491"/>
        <w:rPr>
          <w:i/>
        </w:rPr>
      </w:pPr>
      <w:r w:rsidRPr="00DA0FDF">
        <w:rPr>
          <w:i/>
        </w:rPr>
        <w:t>“(3) Dağıtım şirketinin, mekanik sayaç kullanan abonelerine yakıcı cihaz türüne ve adedine göre ayrı ayrı; merkezi sistem aboneliklerinde ise BBS üzerinden tahakkuk ettirebileceği güvence bedeli üst sınırı Kurul tarafından belirlenir. Abonenin kombi, soba, ocak veya şofben dışında bir yakıcı cihaz kullanması halinde kullanılan cihaza yönelik kombi için belirlenen güvence bedeli alınır. Ön ödemeli sayaç kullanan abonelerden güvence bedeli alınmaz.”</w:t>
      </w:r>
    </w:p>
    <w:p w:rsidR="00DA0FDF" w:rsidRDefault="00DA0FDF" w:rsidP="00622946">
      <w:pPr>
        <w:pStyle w:val="ListeParagraf"/>
        <w:tabs>
          <w:tab w:val="left" w:pos="708"/>
        </w:tabs>
        <w:suppressAutoHyphens/>
        <w:spacing w:after="160" w:line="259" w:lineRule="auto"/>
        <w:ind w:left="770"/>
        <w:rPr>
          <w:rFonts w:eastAsia="Times New Roman" w:cstheme="minorHAnsi"/>
          <w:lang w:eastAsia="tr-TR"/>
        </w:rPr>
      </w:pPr>
    </w:p>
    <w:p w:rsidR="00DA0FDF" w:rsidRDefault="00DA0FDF" w:rsidP="000A5A56">
      <w:pPr>
        <w:pStyle w:val="ListeParagraf"/>
        <w:numPr>
          <w:ilvl w:val="0"/>
          <w:numId w:val="61"/>
        </w:numPr>
        <w:spacing w:after="160" w:line="259" w:lineRule="auto"/>
      </w:pPr>
      <w:r w:rsidRPr="00DA0FDF">
        <w:t>8 inci maddesinin birinci fıkrasının ikinci cümlesi aşağıdaki şekilde değiştirilmiş ve maddenin üçüncü fıkrasının birinci cümlesi aşağıdaki şekilde değiştirilmiştir.</w:t>
      </w:r>
    </w:p>
    <w:p w:rsidR="00DA0FDF" w:rsidRDefault="00DA0FDF" w:rsidP="00DA0FDF">
      <w:pPr>
        <w:pStyle w:val="ListeParagraf"/>
      </w:pPr>
    </w:p>
    <w:p w:rsidR="00DA0FDF" w:rsidRPr="00DA0FDF" w:rsidRDefault="00DA0FDF" w:rsidP="00DA0FDF">
      <w:pPr>
        <w:pStyle w:val="ListeParagraf"/>
        <w:ind w:left="1491"/>
        <w:rPr>
          <w:i/>
        </w:rPr>
      </w:pPr>
      <w:r w:rsidRPr="00DA0FDF">
        <w:rPr>
          <w:i/>
        </w:rPr>
        <w:t>“Güvence bedeli olarak gaz kullanım sözleşmesinin imzalanması aşamasında teminat mektubu verilmiş olması durumunda, 7 nci maddenin altıncı fıkrası kapsamında hesaplanan fark dikkate alınmak suretiyle ve ilgili taraflardan birinin talebi halinde teminat mektubu talep tarihinden itibaren 15 gün içerisinde yenilenir.”</w:t>
      </w:r>
    </w:p>
    <w:p w:rsidR="00DA0FDF" w:rsidRPr="00DA0FDF" w:rsidRDefault="00DA0FDF" w:rsidP="00DA0FDF">
      <w:pPr>
        <w:pStyle w:val="ListeParagraf"/>
        <w:ind w:left="1491"/>
        <w:rPr>
          <w:i/>
        </w:rPr>
      </w:pPr>
      <w:r w:rsidRPr="00DA0FDF">
        <w:rPr>
          <w:i/>
        </w:rPr>
        <w:t>“Güvence bedelini teminat mektubu olarak veren serbest tüketiciler için, dağıtım şirketi tarafından her yılın Ocak ayı içerisinde güvence bedeli yeniden hesaplanır ve ilgili taraflardan birinin talebi halinde teminat mektubu talep tarihinden itibaren 15 gün içerisinde yenilenir.”</w:t>
      </w:r>
    </w:p>
    <w:p w:rsidR="00DA0FDF" w:rsidRDefault="00DA0FDF" w:rsidP="00622946">
      <w:pPr>
        <w:pStyle w:val="ListeParagraf"/>
        <w:tabs>
          <w:tab w:val="left" w:pos="708"/>
        </w:tabs>
        <w:suppressAutoHyphens/>
        <w:spacing w:after="160" w:line="259" w:lineRule="auto"/>
        <w:ind w:left="770"/>
        <w:rPr>
          <w:rFonts w:eastAsia="Times New Roman" w:cstheme="minorHAnsi"/>
          <w:lang w:eastAsia="tr-TR"/>
        </w:rPr>
      </w:pPr>
    </w:p>
    <w:p w:rsidR="00DA0FDF" w:rsidRDefault="00DA0FDF" w:rsidP="000A5A56">
      <w:pPr>
        <w:pStyle w:val="ListeParagraf"/>
        <w:numPr>
          <w:ilvl w:val="0"/>
          <w:numId w:val="61"/>
        </w:numPr>
        <w:spacing w:after="160" w:line="259" w:lineRule="auto"/>
      </w:pPr>
      <w:r w:rsidRPr="00DA0FDF">
        <w:t xml:space="preserve">9 uncu maddesinin birinci fıkrasının birinci cümlesinde yer alan </w:t>
      </w:r>
      <w:r w:rsidRPr="00DA0FDF">
        <w:rPr>
          <w:i/>
        </w:rPr>
        <w:t>“bedellerinin”</w:t>
      </w:r>
      <w:r w:rsidRPr="00DA0FDF">
        <w:t xml:space="preserve"> ibaresi </w:t>
      </w:r>
      <w:r w:rsidRPr="00DA0FDF">
        <w:rPr>
          <w:i/>
        </w:rPr>
        <w:t>“bedelinin dağıtım şirketinin hesabına geçtiği tarihten itibaren”</w:t>
      </w:r>
      <w:r w:rsidRPr="00DA0FDF">
        <w:t xml:space="preserve"> şeklinde değiştirilmiştir.</w:t>
      </w:r>
    </w:p>
    <w:p w:rsidR="00DA0FDF" w:rsidRDefault="00DA0FDF" w:rsidP="00DA0FDF">
      <w:pPr>
        <w:pStyle w:val="ListeParagraf"/>
      </w:pPr>
    </w:p>
    <w:p w:rsidR="00DA0FDF" w:rsidRDefault="00DA0FDF" w:rsidP="000A5A56">
      <w:pPr>
        <w:pStyle w:val="ListeParagraf"/>
        <w:numPr>
          <w:ilvl w:val="0"/>
          <w:numId w:val="61"/>
        </w:numPr>
        <w:spacing w:after="160" w:line="259" w:lineRule="auto"/>
      </w:pPr>
      <w:r w:rsidRPr="00DA0FDF">
        <w:t xml:space="preserve">10 uncu maddesinin birinci fıkrasının (1) numaralı bendinde yer alan </w:t>
      </w:r>
      <w:r w:rsidRPr="00DA0FDF">
        <w:rPr>
          <w:i/>
        </w:rPr>
        <w:t>“güncellenerek”</w:t>
      </w:r>
      <w:r w:rsidRPr="00DA0FDF">
        <w:t xml:space="preserve"> ibaresinden sonra gelmek üzere </w:t>
      </w:r>
      <w:r w:rsidRPr="00DA0FDF">
        <w:rPr>
          <w:i/>
        </w:rPr>
        <w:t>“15 gün içerisinde”</w:t>
      </w:r>
      <w:r w:rsidRPr="00DA0FDF">
        <w:t xml:space="preserve"> ibaresi eklenmiş, fıkranın </w:t>
      </w:r>
      <w:r w:rsidRPr="00DA0FDF">
        <w:rPr>
          <w:i/>
        </w:rPr>
        <w:t>“1)”</w:t>
      </w:r>
      <w:r w:rsidRPr="00DA0FDF">
        <w:t xml:space="preserve">, </w:t>
      </w:r>
      <w:r w:rsidRPr="00DA0FDF">
        <w:rPr>
          <w:i/>
        </w:rPr>
        <w:t>“2)”</w:t>
      </w:r>
      <w:r w:rsidRPr="00DA0FDF">
        <w:t xml:space="preserve">, </w:t>
      </w:r>
      <w:r w:rsidRPr="00DA0FDF">
        <w:rPr>
          <w:i/>
        </w:rPr>
        <w:t>“3)”</w:t>
      </w:r>
      <w:r w:rsidRPr="00DA0FDF">
        <w:t xml:space="preserve">, ve </w:t>
      </w:r>
      <w:r w:rsidRPr="00DA0FDF">
        <w:rPr>
          <w:i/>
        </w:rPr>
        <w:t>“4)”</w:t>
      </w:r>
      <w:r w:rsidRPr="00DA0FDF">
        <w:t xml:space="preserve"> numaralı bent isimleri sırasıyla </w:t>
      </w:r>
      <w:r w:rsidRPr="00DA0FDF">
        <w:rPr>
          <w:i/>
        </w:rPr>
        <w:t>“a)”</w:t>
      </w:r>
      <w:r w:rsidRPr="00DA0FDF">
        <w:t xml:space="preserve">, </w:t>
      </w:r>
      <w:r w:rsidRPr="00DA0FDF">
        <w:rPr>
          <w:i/>
        </w:rPr>
        <w:t>“b)”</w:t>
      </w:r>
      <w:r w:rsidRPr="00DA0FDF">
        <w:t xml:space="preserve">, </w:t>
      </w:r>
      <w:r w:rsidRPr="00DA0FDF">
        <w:rPr>
          <w:i/>
        </w:rPr>
        <w:t>“c)”</w:t>
      </w:r>
      <w:r w:rsidRPr="00DA0FDF">
        <w:t xml:space="preserve"> ve </w:t>
      </w:r>
      <w:r w:rsidRPr="00DA0FDF">
        <w:rPr>
          <w:i/>
        </w:rPr>
        <w:t>“ç)”</w:t>
      </w:r>
      <w:r w:rsidRPr="00DA0FDF">
        <w:t xml:space="preserve"> şeklinde isimlendirilerek değiştirilmiştir.</w:t>
      </w:r>
    </w:p>
    <w:p w:rsidR="00DA0FDF" w:rsidRDefault="00DA0FDF" w:rsidP="000A5A56">
      <w:pPr>
        <w:pStyle w:val="ListeParagraf"/>
        <w:numPr>
          <w:ilvl w:val="0"/>
          <w:numId w:val="61"/>
        </w:numPr>
        <w:spacing w:after="160" w:line="259" w:lineRule="auto"/>
      </w:pPr>
      <w:r w:rsidRPr="00DA0FDF">
        <w:t xml:space="preserve">14 üncü maddesinin başlığı </w:t>
      </w:r>
      <w:r w:rsidRPr="00DA0FDF">
        <w:rPr>
          <w:i/>
        </w:rPr>
        <w:t>“Ön proje ve iç tesisat işlem bedelleri”</w:t>
      </w:r>
      <w:r w:rsidRPr="00DA0FDF">
        <w:t xml:space="preserve"> olarak değiştirilmiş, maddenin birinci fıkrası aşağıdaki şekilde değiştirilmiş, maddeye birinci fıkradan sonra gelmek üzere aşağıdaki fıkra eklenmiş ve diğer fıkralar buna göre teselsül ettirilmiş, maddenin mevcut ikinci ve üçüncü fıkraları aşağıdaki şekilde değiştirilmiştir.</w:t>
      </w:r>
    </w:p>
    <w:p w:rsidR="00DA0FDF" w:rsidRDefault="00DA0FDF" w:rsidP="00DA0FDF">
      <w:pPr>
        <w:pStyle w:val="ListeParagraf"/>
      </w:pPr>
    </w:p>
    <w:p w:rsidR="00DA0FDF" w:rsidRPr="00DA0FDF" w:rsidRDefault="00DA0FDF" w:rsidP="00DA0FDF">
      <w:pPr>
        <w:pStyle w:val="ListeParagraf"/>
        <w:ind w:left="1491"/>
        <w:rPr>
          <w:i/>
        </w:rPr>
      </w:pPr>
      <w:r w:rsidRPr="00DA0FDF">
        <w:rPr>
          <w:i/>
        </w:rPr>
        <w:t>“(1) Yönetmeliğin 37 nci maddesi kapsamında yapılan ön proje ve iç tesisat işlemleri karşılığında dağıtım şirketleri tarafından, sertifika sahibi kişilere her bir işlem türüne göre uygulanacak ön proje ve iç tesisat işlem bedelleri Kurul tarafından belirlenir.”</w:t>
      </w:r>
    </w:p>
    <w:p w:rsidR="00DA0FDF" w:rsidRPr="00DA0FDF" w:rsidRDefault="00DA0FDF" w:rsidP="00DA0FDF">
      <w:pPr>
        <w:pStyle w:val="ListeParagraf"/>
        <w:ind w:left="1491"/>
        <w:rPr>
          <w:i/>
        </w:rPr>
      </w:pPr>
      <w:r w:rsidRPr="00DA0FDF">
        <w:rPr>
          <w:i/>
        </w:rPr>
        <w:t xml:space="preserve">“(2) Ön projenin revize edilmesi durumunda, birinci fıkra uyarınca belirlenen ön proje bedeli tekrar tahakkuk ettirilmez.” </w:t>
      </w:r>
    </w:p>
    <w:p w:rsidR="00DA0FDF" w:rsidRPr="00DA0FDF" w:rsidRDefault="00DA0FDF" w:rsidP="00DA0FDF">
      <w:pPr>
        <w:pStyle w:val="ListeParagraf"/>
        <w:ind w:left="1491"/>
        <w:rPr>
          <w:i/>
        </w:rPr>
      </w:pPr>
      <w:r w:rsidRPr="00DA0FDF">
        <w:rPr>
          <w:i/>
        </w:rPr>
        <w:lastRenderedPageBreak/>
        <w:t xml:space="preserve">“(3) İç tesisat işlemleri karşılığında birinci kontrolde uygunluk alamayan tesisat için ikinci ve sonraki kontrollerin kontrol bedeli olarak birinci fıkra uyarınca belirlenen iç tesisat işlem bedelinin yüzde 50’si tahakkuk ettirilir.” </w:t>
      </w:r>
    </w:p>
    <w:p w:rsidR="00DA0FDF" w:rsidRPr="00DA0FDF" w:rsidRDefault="00DA0FDF" w:rsidP="00DA0FDF">
      <w:pPr>
        <w:pStyle w:val="ListeParagraf"/>
        <w:ind w:left="1491"/>
        <w:rPr>
          <w:i/>
        </w:rPr>
      </w:pPr>
      <w:r w:rsidRPr="00DA0FDF">
        <w:rPr>
          <w:i/>
        </w:rPr>
        <w:t>“(4) İç tesisat proje tadilatları için birinci ve üçüncü fıkra hükümleri uygulanır. İç tesisat projesinin tadilatı tesisatın fiziki kontrolünden önce revize edilir ise dağıtım şirketi bu revizyon için ilave bedel talep edemez.”</w:t>
      </w:r>
    </w:p>
    <w:p w:rsidR="00DA0FDF" w:rsidRDefault="00DA0FDF" w:rsidP="00622946">
      <w:pPr>
        <w:pStyle w:val="ListeParagraf"/>
        <w:tabs>
          <w:tab w:val="left" w:pos="708"/>
        </w:tabs>
        <w:suppressAutoHyphens/>
        <w:spacing w:after="160" w:line="259" w:lineRule="auto"/>
        <w:ind w:left="770"/>
        <w:rPr>
          <w:rFonts w:eastAsia="Times New Roman" w:cstheme="minorHAnsi"/>
          <w:lang w:eastAsia="tr-TR"/>
        </w:rPr>
      </w:pPr>
    </w:p>
    <w:p w:rsidR="00B0326A" w:rsidRDefault="00B0326A" w:rsidP="000A5A56">
      <w:pPr>
        <w:pStyle w:val="ListeParagraf"/>
        <w:numPr>
          <w:ilvl w:val="0"/>
          <w:numId w:val="8"/>
        </w:numPr>
        <w:spacing w:after="160" w:line="259" w:lineRule="auto"/>
      </w:pPr>
      <w:r>
        <w:t>1</w:t>
      </w:r>
      <w:r w:rsidR="00B3238D">
        <w:t>7</w:t>
      </w:r>
      <w:r>
        <w:t>.1</w:t>
      </w:r>
      <w:r w:rsidR="00B3238D">
        <w:t>2</w:t>
      </w:r>
      <w:r>
        <w:t>.2022 tarihli ve 320</w:t>
      </w:r>
      <w:r w:rsidR="00B3238D">
        <w:t>46</w:t>
      </w:r>
      <w:r>
        <w:t xml:space="preserve"> sayılı Resmî </w:t>
      </w:r>
      <w:r w:rsidR="00274939">
        <w:t>Gazetede</w:t>
      </w:r>
      <w:r>
        <w:t xml:space="preserve"> yayımlanan 1</w:t>
      </w:r>
      <w:r w:rsidR="00B3238D">
        <w:t>5</w:t>
      </w:r>
      <w:r>
        <w:t>.1</w:t>
      </w:r>
      <w:r w:rsidR="00B3238D">
        <w:t>2</w:t>
      </w:r>
      <w:r>
        <w:t>.2022 tarihli ve 11</w:t>
      </w:r>
      <w:r w:rsidR="00B3238D">
        <w:t>460</w:t>
      </w:r>
      <w:r>
        <w:t xml:space="preserve"> sayılı Kurul Kararı ile </w:t>
      </w:r>
      <w:r w:rsidR="00B3238D" w:rsidRPr="00B3238D">
        <w:t>Doğal Gaz Piyasasında faaliyet gösteren lisans sahiplerinin, 2022 yılı faaliyetleri için 2023 yılında ödemekle yükümlü oldukları, 2023 yılında uygulanacak katılma payı oranına ilişkin aşağıdaki Karar alınmıştır.</w:t>
      </w:r>
    </w:p>
    <w:p w:rsidR="00B0326A" w:rsidRDefault="00B0326A" w:rsidP="00B0326A">
      <w:pPr>
        <w:pStyle w:val="ListeParagraf"/>
      </w:pPr>
    </w:p>
    <w:p w:rsidR="002E39B8" w:rsidRPr="002E39B8" w:rsidRDefault="002E39B8" w:rsidP="002E39B8">
      <w:pPr>
        <w:pStyle w:val="ListeParagraf"/>
        <w:ind w:left="1491"/>
        <w:rPr>
          <w:i/>
        </w:rPr>
      </w:pPr>
      <w:r w:rsidRPr="002E39B8">
        <w:rPr>
          <w:i/>
        </w:rPr>
        <w:t xml:space="preserve">MADDE 1- 4628 sayılı Enerji Piyasası Düzenleme Kurumunun Teşkilat ve Görevleri Hakkında Kanununun 5 inci maddesinin yedinci fıkrasının (i) bendi ve 10 uncu maddesinin 4646 sayılı Doğal Gaz Piyasası Kanununun 19 uncu maddesi ile değişik (B) fıkrasının (a) bendi ile Doğal Gaz Piyasası Lisans Yönetmeliğinin 13 üncü ve Doğal Gaz Piyasası Sertifika Yönetmeliğinin 13 üncü maddeleri uyarınca,   </w:t>
      </w:r>
    </w:p>
    <w:p w:rsidR="002E39B8" w:rsidRPr="002E39B8" w:rsidRDefault="002E39B8" w:rsidP="002E39B8">
      <w:pPr>
        <w:pStyle w:val="ListeParagraf"/>
        <w:ind w:left="1491"/>
        <w:rPr>
          <w:i/>
        </w:rPr>
      </w:pPr>
    </w:p>
    <w:p w:rsidR="002E39B8" w:rsidRDefault="002E39B8" w:rsidP="000A5A56">
      <w:pPr>
        <w:pStyle w:val="ListeParagraf"/>
        <w:numPr>
          <w:ilvl w:val="0"/>
          <w:numId w:val="62"/>
        </w:numPr>
        <w:ind w:left="1985" w:hanging="567"/>
        <w:rPr>
          <w:i/>
        </w:rPr>
      </w:pPr>
      <w:r w:rsidRPr="002E39B8">
        <w:rPr>
          <w:i/>
        </w:rPr>
        <w:t>Doğal Gaz Piyasasında faaliyet gösteren lisans sahibi tüzel kişilerin 2023 yılında ödemekle yükümlü oldukları 2022 yılı katılma payına ilişkin oran, 2022 yılı faaliyet dönemine ilişkin olarak düzenleyecekleri gelir tablolarında yer alan safi satış hasılatı tutarının %0,05 (onbindebeş)’i,</w:t>
      </w:r>
    </w:p>
    <w:p w:rsidR="002E39B8" w:rsidRPr="002E39B8" w:rsidRDefault="002E39B8" w:rsidP="000A5A56">
      <w:pPr>
        <w:pStyle w:val="ListeParagraf"/>
        <w:numPr>
          <w:ilvl w:val="0"/>
          <w:numId w:val="62"/>
        </w:numPr>
        <w:ind w:left="1985" w:hanging="567"/>
        <w:rPr>
          <w:i/>
        </w:rPr>
      </w:pPr>
      <w:r w:rsidRPr="002E39B8">
        <w:rPr>
          <w:i/>
        </w:rPr>
        <w:t>Doğal Gaz Piyasasında faaliyet gösteren sertifika sahibi tüzel kişilerin 2023 yılında ödemekle yükümlü oldukları katılma payına ilişkin oran 2022 yılı faaliyetleri için 0 (sıfır),</w:t>
      </w:r>
    </w:p>
    <w:p w:rsidR="002E39B8" w:rsidRPr="002E39B8" w:rsidRDefault="002E39B8" w:rsidP="002E39B8">
      <w:pPr>
        <w:pStyle w:val="ListeParagraf"/>
        <w:ind w:left="1491"/>
        <w:rPr>
          <w:i/>
        </w:rPr>
      </w:pPr>
    </w:p>
    <w:p w:rsidR="00B0326A" w:rsidRDefault="002E39B8" w:rsidP="002E39B8">
      <w:pPr>
        <w:pStyle w:val="ListeParagraf"/>
        <w:ind w:left="1491"/>
        <w:rPr>
          <w:i/>
        </w:rPr>
      </w:pPr>
      <w:r w:rsidRPr="002E39B8">
        <w:rPr>
          <w:i/>
        </w:rPr>
        <w:t xml:space="preserve"> olarak belirlenmiştir.</w:t>
      </w:r>
    </w:p>
    <w:p w:rsidR="00B0326A" w:rsidRDefault="00B0326A" w:rsidP="00622946">
      <w:pPr>
        <w:pStyle w:val="ListeParagraf"/>
        <w:tabs>
          <w:tab w:val="left" w:pos="708"/>
        </w:tabs>
        <w:suppressAutoHyphens/>
        <w:spacing w:after="160" w:line="259" w:lineRule="auto"/>
        <w:ind w:left="770"/>
        <w:rPr>
          <w:rFonts w:eastAsia="Times New Roman" w:cstheme="minorHAnsi"/>
          <w:lang w:eastAsia="tr-TR"/>
        </w:rPr>
      </w:pPr>
    </w:p>
    <w:p w:rsidR="00DA2EFC" w:rsidRDefault="00DA2EFC" w:rsidP="000A5A56">
      <w:pPr>
        <w:pStyle w:val="ListeParagraf"/>
        <w:numPr>
          <w:ilvl w:val="0"/>
          <w:numId w:val="8"/>
        </w:numPr>
        <w:spacing w:after="160" w:line="259" w:lineRule="auto"/>
      </w:pPr>
      <w:r>
        <w:t xml:space="preserve">24.12.2022 tarihli ve 32053 sayılı Resmî </w:t>
      </w:r>
      <w:r w:rsidR="00274939">
        <w:t>Gazetede</w:t>
      </w:r>
      <w:r>
        <w:t xml:space="preserve"> yayımlanan 22.12.2022 tarihli ve 11477 sayılı Kurul Kararı ile </w:t>
      </w:r>
      <w:r w:rsidRPr="00DA2EFC">
        <w:t xml:space="preserve">Sıvılaştırılmış Doğal Gaz Depolama Tesisi Temel Kullanım Usul ve Esaslarının Belirlenmesine Dair Yönetmeliğin 5 inci maddesi ve BOTAŞ Dörtyol Yüzen Sıvılaştırılmış Doğal Gaz (LNG) Terminali (FSRU) Temel Kullanım Usul ve Esaslarının (KUE) değişikliklere ilişkin 21 inci maddesi çerçevesinde </w:t>
      </w:r>
    </w:p>
    <w:p w:rsidR="00DA2EFC" w:rsidRPr="00A43E74" w:rsidRDefault="00DA2EFC" w:rsidP="00DA2EFC">
      <w:pPr>
        <w:pStyle w:val="ListeParagraf"/>
        <w:ind w:left="1004"/>
        <w:rPr>
          <w:i/>
        </w:rPr>
      </w:pPr>
    </w:p>
    <w:p w:rsidR="00DA2EFC" w:rsidRDefault="00DA2EFC" w:rsidP="000A5A56">
      <w:pPr>
        <w:pStyle w:val="ListeParagraf"/>
        <w:numPr>
          <w:ilvl w:val="0"/>
          <w:numId w:val="61"/>
        </w:numPr>
        <w:spacing w:after="160" w:line="259" w:lineRule="auto"/>
      </w:pPr>
      <w:r w:rsidRPr="00DA2EFC">
        <w:t>KUE 3.3. maddesi aşağıdaki şekilde değiştirilmiştir:</w:t>
      </w:r>
    </w:p>
    <w:p w:rsidR="00DA2EFC" w:rsidRDefault="00DA2EFC" w:rsidP="00DA2EFC">
      <w:pPr>
        <w:pStyle w:val="ListeParagraf"/>
      </w:pPr>
    </w:p>
    <w:p w:rsidR="00A12CD5" w:rsidRPr="00A12CD5" w:rsidRDefault="00A12CD5" w:rsidP="00A12CD5">
      <w:pPr>
        <w:pStyle w:val="ListeParagraf"/>
        <w:ind w:left="1491"/>
        <w:rPr>
          <w:b/>
          <w:i/>
        </w:rPr>
      </w:pPr>
      <w:r w:rsidRPr="00A12CD5">
        <w:rPr>
          <w:b/>
          <w:i/>
        </w:rPr>
        <w:t>3.3. BDLNG Terminaline İlişkin Bilgiler</w:t>
      </w:r>
    </w:p>
    <w:p w:rsidR="00A12CD5" w:rsidRPr="00A12CD5" w:rsidRDefault="00A12CD5" w:rsidP="00A12CD5">
      <w:pPr>
        <w:pStyle w:val="ListeParagraf"/>
        <w:ind w:left="1491"/>
        <w:rPr>
          <w:i/>
        </w:rPr>
      </w:pPr>
    </w:p>
    <w:p w:rsidR="00A12CD5" w:rsidRPr="00A12CD5" w:rsidRDefault="00A12CD5" w:rsidP="00A12CD5">
      <w:pPr>
        <w:pStyle w:val="ListeParagraf"/>
        <w:ind w:left="1491"/>
        <w:rPr>
          <w:i/>
        </w:rPr>
      </w:pPr>
      <w:r w:rsidRPr="00A12CD5">
        <w:rPr>
          <w:i/>
        </w:rPr>
        <w:t>Bu KUE’de atıfta bulunulan BDLNG Terminali, Hatay’ın Dörtyol İlçesi, E-5 Karayolu üzeri Yeniyurt Mevkiindeki BOTAŞ limanında bağlı bulunan FSRU ünitesidir. BDLNG’nin iki temel fonksiyonu vardır:</w:t>
      </w:r>
    </w:p>
    <w:p w:rsidR="00A12CD5" w:rsidRPr="00A12CD5" w:rsidRDefault="00A12CD5" w:rsidP="00A12CD5">
      <w:pPr>
        <w:pStyle w:val="ListeParagraf"/>
        <w:ind w:left="1491"/>
        <w:rPr>
          <w:i/>
        </w:rPr>
      </w:pPr>
    </w:p>
    <w:p w:rsidR="00A12CD5" w:rsidRPr="00A12CD5" w:rsidRDefault="00A12CD5" w:rsidP="00A12CD5">
      <w:pPr>
        <w:pStyle w:val="ListeParagraf"/>
        <w:ind w:left="1491"/>
        <w:rPr>
          <w:i/>
        </w:rPr>
      </w:pPr>
      <w:r w:rsidRPr="00A12CD5">
        <w:rPr>
          <w:i/>
        </w:rPr>
        <w:t>1.</w:t>
      </w:r>
      <w:r w:rsidRPr="00A12CD5">
        <w:rPr>
          <w:i/>
        </w:rPr>
        <w:tab/>
        <w:t>LNG’nin FSRU’ya yanaştırılan Gemilerden boşaltımı ve depolanması,</w:t>
      </w:r>
    </w:p>
    <w:p w:rsidR="00A12CD5" w:rsidRPr="00A12CD5" w:rsidRDefault="00A12CD5" w:rsidP="00A12CD5">
      <w:pPr>
        <w:pStyle w:val="ListeParagraf"/>
        <w:ind w:left="1491"/>
        <w:rPr>
          <w:i/>
        </w:rPr>
      </w:pPr>
      <w:r w:rsidRPr="00A12CD5">
        <w:rPr>
          <w:i/>
        </w:rPr>
        <w:t>2.</w:t>
      </w:r>
      <w:r w:rsidRPr="00A12CD5">
        <w:rPr>
          <w:i/>
        </w:rPr>
        <w:tab/>
        <w:t>FSRU’da Depolanan LNG’nin gazlaştırılması ve İletim Şebekesine gönderilmesi.</w:t>
      </w:r>
    </w:p>
    <w:p w:rsidR="00A12CD5" w:rsidRPr="00A12CD5" w:rsidRDefault="00A12CD5" w:rsidP="00A12CD5">
      <w:pPr>
        <w:pStyle w:val="ListeParagraf"/>
        <w:ind w:left="1491"/>
        <w:rPr>
          <w:i/>
        </w:rPr>
      </w:pPr>
    </w:p>
    <w:p w:rsidR="00A12CD5" w:rsidRPr="00A12CD5" w:rsidRDefault="00A12CD5" w:rsidP="00A12CD5">
      <w:pPr>
        <w:pStyle w:val="ListeParagraf"/>
        <w:ind w:left="1491"/>
        <w:rPr>
          <w:i/>
        </w:rPr>
      </w:pPr>
      <w:r w:rsidRPr="00A12CD5">
        <w:rPr>
          <w:i/>
        </w:rPr>
        <w:t xml:space="preserve">İletim Şebekesinin ve Terminal işletme koşullarının uygun olması halinde, Terminalin yıllık Maksimum Gazlaştırma Kapasitesi 7 milyar 350 milyon Sm3/yıldır. Terminalin Günlük </w:t>
      </w:r>
      <w:r w:rsidRPr="00A12CD5">
        <w:rPr>
          <w:i/>
        </w:rPr>
        <w:lastRenderedPageBreak/>
        <w:t>Gazlaştırma Kapasitesi 21 milyon Sm3/gün olup uygun koşullar oluşması halinde bu miktar yaklaşık 28 milyon Sm3/gün (Azami Günlük Gazlaştırma Kapasitesi)'e kadar çıkabilmektedir.</w:t>
      </w:r>
    </w:p>
    <w:p w:rsidR="00A12CD5" w:rsidRPr="00A12CD5" w:rsidRDefault="00A12CD5" w:rsidP="00A12CD5">
      <w:pPr>
        <w:pStyle w:val="ListeParagraf"/>
        <w:ind w:left="1491"/>
        <w:rPr>
          <w:i/>
        </w:rPr>
      </w:pPr>
    </w:p>
    <w:p w:rsidR="00A12CD5" w:rsidRPr="00A12CD5" w:rsidRDefault="00A12CD5" w:rsidP="00A12CD5">
      <w:pPr>
        <w:pStyle w:val="ListeParagraf"/>
        <w:ind w:left="1491"/>
        <w:rPr>
          <w:i/>
        </w:rPr>
      </w:pPr>
      <w:r w:rsidRPr="00A12CD5">
        <w:rPr>
          <w:i/>
        </w:rPr>
        <w:t>Terminale yanaşacak gemi özellikleri ve yanaşma prosedürleri Terminal tarafından İnternet Sitesinde yayımlanan dokümanlarda tanımlanmaktadır.</w:t>
      </w:r>
    </w:p>
    <w:p w:rsidR="00A12CD5" w:rsidRPr="00A12CD5" w:rsidRDefault="00A12CD5" w:rsidP="00A12CD5">
      <w:pPr>
        <w:pStyle w:val="ListeParagraf"/>
        <w:ind w:left="1491"/>
        <w:rPr>
          <w:i/>
        </w:rPr>
      </w:pPr>
    </w:p>
    <w:p w:rsidR="00A12CD5" w:rsidRPr="00A12CD5" w:rsidRDefault="00A12CD5" w:rsidP="00A12CD5">
      <w:pPr>
        <w:pStyle w:val="ListeParagraf"/>
        <w:ind w:left="1491"/>
        <w:rPr>
          <w:i/>
        </w:rPr>
      </w:pPr>
      <w:r w:rsidRPr="00A12CD5">
        <w:rPr>
          <w:i/>
        </w:rPr>
        <w:t>BOTAŞ Dörtyol Yüzen LNG Terminalinin kullanım kapasitesi (Depolama Kapasitesi), 166.600 m3 LNG’dir.</w:t>
      </w:r>
    </w:p>
    <w:p w:rsidR="00A12CD5" w:rsidRPr="00A12CD5" w:rsidRDefault="00A12CD5" w:rsidP="00A12CD5">
      <w:pPr>
        <w:pStyle w:val="ListeParagraf"/>
        <w:ind w:left="1491"/>
        <w:rPr>
          <w:i/>
        </w:rPr>
      </w:pPr>
    </w:p>
    <w:p w:rsidR="00A12CD5" w:rsidRPr="00A12CD5" w:rsidRDefault="00A12CD5" w:rsidP="00A12CD5">
      <w:pPr>
        <w:pStyle w:val="ListeParagraf"/>
        <w:ind w:left="1491"/>
        <w:rPr>
          <w:i/>
        </w:rPr>
      </w:pPr>
      <w:r w:rsidRPr="00A12CD5">
        <w:rPr>
          <w:i/>
        </w:rPr>
        <w:t>Ölçümü yapılan Gaz, İletim Şebekesine gönderilir. Ana iletim şebekesine teslim edilen doğal gazın basıncı, bağlantı hattındaki mevcut hat basıncından yüksek olacak şekilde BDLNG tarafından sağlanır.</w:t>
      </w:r>
    </w:p>
    <w:p w:rsidR="00A12CD5" w:rsidRPr="00A12CD5" w:rsidRDefault="00A12CD5" w:rsidP="00A12CD5">
      <w:pPr>
        <w:pStyle w:val="ListeParagraf"/>
        <w:ind w:left="1491"/>
        <w:rPr>
          <w:i/>
        </w:rPr>
      </w:pPr>
    </w:p>
    <w:p w:rsidR="00A12CD5" w:rsidRPr="00A12CD5" w:rsidRDefault="00A12CD5" w:rsidP="00A12CD5">
      <w:pPr>
        <w:pStyle w:val="ListeParagraf"/>
        <w:ind w:left="1491"/>
        <w:rPr>
          <w:i/>
        </w:rPr>
      </w:pPr>
      <w:r w:rsidRPr="00A12CD5">
        <w:rPr>
          <w:i/>
        </w:rPr>
        <w:t>BDLNG Terminaline emniyetli bir şekilde yanaştıktan sonra tank basınçları uygun seviyede olan her LNG Gemisinden saatte azami 10.000 m3 LNG (pompaların devreye alınması ve devreden çıkarılması süreçleri haricinde) boşaltılarak tanklara alınabilir.</w:t>
      </w:r>
    </w:p>
    <w:p w:rsidR="00A12CD5" w:rsidRPr="00A12CD5" w:rsidRDefault="00A12CD5" w:rsidP="00A12CD5">
      <w:pPr>
        <w:pStyle w:val="ListeParagraf"/>
        <w:ind w:left="1491"/>
        <w:rPr>
          <w:i/>
        </w:rPr>
      </w:pPr>
    </w:p>
    <w:p w:rsidR="00A12CD5" w:rsidRPr="00A12CD5" w:rsidRDefault="00A12CD5" w:rsidP="00A12CD5">
      <w:pPr>
        <w:pStyle w:val="ListeParagraf"/>
        <w:ind w:left="1491"/>
        <w:rPr>
          <w:i/>
        </w:rPr>
      </w:pPr>
      <w:r w:rsidRPr="00A12CD5">
        <w:rPr>
          <w:i/>
        </w:rPr>
        <w:t>Zero Send-Out Moduna geçilmeden Kaynama Gazının yönetilebilmesi için gerekli Asgari Gazlaştırma Miktarı (veya Minimum Gönderim Miktarı), boşaltım yapılmadığı durumda 58.000 Sm3/saat, aynı zamanda boşaltım devam ederken ise Hizmet Alan Gemisine ve boşaltımı yapılacak ve mevcutta envanter olarak tutulan toplam kargo miktarlarına bağlı olarak değişiklik göstermektedir. Hizmet Alanlar, asgari bu miktarlarda gazlaştırma talep etmek zorundadır. Belirtilen Asgari Gazlaştırma Miktarı altında gazlaştırma talep edilmesi durumunda Boşaltım olmadığı hallerde Zero Send-Out Moduna geçilir, ancak Boşaltım sürecinde Asgari Gazlaştırma Miktarı sağlanmadığı durumda oluşacak Kaynama Gazı yakılarak sistemden uzaklaştırılır ve kayıp olarak değerlendirilir.</w:t>
      </w:r>
    </w:p>
    <w:p w:rsidR="00A12CD5" w:rsidRPr="00A12CD5" w:rsidRDefault="00A12CD5" w:rsidP="00A12CD5">
      <w:pPr>
        <w:pStyle w:val="ListeParagraf"/>
        <w:ind w:left="1491"/>
        <w:rPr>
          <w:i/>
        </w:rPr>
      </w:pPr>
    </w:p>
    <w:p w:rsidR="00500BA8" w:rsidRDefault="00A12CD5" w:rsidP="00A12CD5">
      <w:pPr>
        <w:pStyle w:val="ListeParagraf"/>
        <w:ind w:left="1491"/>
        <w:rPr>
          <w:i/>
        </w:rPr>
      </w:pPr>
      <w:r w:rsidRPr="00A12CD5">
        <w:rPr>
          <w:i/>
        </w:rPr>
        <w:t>Zero Send-Out Modunda LNG yoğunluğunun 0,47 kg/m3 ve tanklardaki LNG buhar basıncının 170 mbar olduğu durumda saatlik Kaynama Gazı Miktarı, yaklaşık 5.600 Sm3’tür. Kaynama Gazı yönetimi için terminalde yer alan kompresör ile bu Kaynama Gazının kayıp olmadan yönetilebilmesi için BDLNG işletme şartlarını dikkate alarak gerekli çabayı gösterecektir. Ancak, Kaynama Gazının kompresör vasıtasıyla yönetilemediği hallerde söz konusu miktar, kayıp olarak değerlendirilecektir.</w:t>
      </w:r>
    </w:p>
    <w:p w:rsidR="00A12CD5" w:rsidRDefault="00A12CD5" w:rsidP="00A12CD5">
      <w:pPr>
        <w:pStyle w:val="ListeParagraf"/>
        <w:ind w:left="1491"/>
        <w:rPr>
          <w:i/>
        </w:rPr>
      </w:pPr>
    </w:p>
    <w:p w:rsidR="00A12CD5" w:rsidRDefault="00A12CD5" w:rsidP="000A5A56">
      <w:pPr>
        <w:pStyle w:val="ListeParagraf"/>
        <w:numPr>
          <w:ilvl w:val="0"/>
          <w:numId w:val="61"/>
        </w:numPr>
        <w:spacing w:after="160" w:line="259" w:lineRule="auto"/>
      </w:pPr>
      <w:r w:rsidRPr="00DA2EFC">
        <w:t xml:space="preserve">KUE </w:t>
      </w:r>
      <w:r w:rsidRPr="00A12CD5">
        <w:t xml:space="preserve">3.4.1.2. </w:t>
      </w:r>
      <w:r w:rsidRPr="00DA2EFC">
        <w:t>maddesi aşağıdaki şekilde değiştirilmiştir:</w:t>
      </w:r>
    </w:p>
    <w:p w:rsidR="00A12CD5" w:rsidRDefault="00A12CD5" w:rsidP="00A12CD5">
      <w:pPr>
        <w:pStyle w:val="ListeParagraf"/>
      </w:pPr>
    </w:p>
    <w:p w:rsidR="00A12CD5" w:rsidRPr="00A12CD5" w:rsidRDefault="00A12CD5" w:rsidP="00A12CD5">
      <w:pPr>
        <w:pStyle w:val="ListeParagraf"/>
        <w:ind w:left="1491"/>
        <w:rPr>
          <w:b/>
          <w:i/>
        </w:rPr>
      </w:pPr>
      <w:r w:rsidRPr="00A12CD5">
        <w:rPr>
          <w:b/>
          <w:i/>
        </w:rPr>
        <w:t>3.4.1.2. Kapasite Talep Başvuru Formunda Bulunması Gereken Bilgiler</w:t>
      </w:r>
    </w:p>
    <w:p w:rsidR="00A12CD5" w:rsidRPr="00A12CD5" w:rsidRDefault="00A12CD5" w:rsidP="00A12CD5">
      <w:pPr>
        <w:pStyle w:val="ListeParagraf"/>
        <w:ind w:left="1491"/>
        <w:rPr>
          <w:i/>
        </w:rPr>
      </w:pPr>
    </w:p>
    <w:p w:rsidR="00A12CD5" w:rsidRPr="00A12CD5" w:rsidRDefault="00A12CD5" w:rsidP="00A12CD5">
      <w:pPr>
        <w:pStyle w:val="ListeParagraf"/>
        <w:ind w:left="1491"/>
        <w:rPr>
          <w:i/>
        </w:rPr>
      </w:pPr>
      <w:r w:rsidRPr="00A12CD5">
        <w:rPr>
          <w:i/>
        </w:rPr>
        <w:t>Kapasite Talep Başvuru Formunda aşağıdaki bilgiler yer alacaktır:</w:t>
      </w:r>
    </w:p>
    <w:p w:rsidR="00A12CD5" w:rsidRPr="00A12CD5" w:rsidRDefault="00A12CD5" w:rsidP="00A12CD5">
      <w:pPr>
        <w:pStyle w:val="ListeParagraf"/>
        <w:ind w:left="1491"/>
        <w:rPr>
          <w:i/>
        </w:rPr>
      </w:pPr>
    </w:p>
    <w:p w:rsidR="00A12CD5" w:rsidRPr="00A12CD5" w:rsidRDefault="00A12CD5" w:rsidP="00A12CD5">
      <w:pPr>
        <w:pStyle w:val="ListeParagraf"/>
        <w:ind w:left="1491"/>
        <w:rPr>
          <w:i/>
        </w:rPr>
      </w:pPr>
      <w:r w:rsidRPr="00A12CD5">
        <w:rPr>
          <w:i/>
        </w:rPr>
        <w:t>a.</w:t>
      </w:r>
      <w:r>
        <w:rPr>
          <w:i/>
        </w:rPr>
        <w:t xml:space="preserve"> </w:t>
      </w:r>
      <w:r w:rsidRPr="00A12CD5">
        <w:rPr>
          <w:i/>
        </w:rPr>
        <w:t>Başvuru Sahibinin getireceği LNG’ye ilişkin olarak;</w:t>
      </w:r>
    </w:p>
    <w:p w:rsidR="00A12CD5" w:rsidRPr="00A12CD5" w:rsidRDefault="00A12CD5" w:rsidP="00A12CD5">
      <w:pPr>
        <w:pStyle w:val="ListeParagraf"/>
        <w:ind w:left="1491"/>
        <w:rPr>
          <w:i/>
        </w:rPr>
      </w:pPr>
    </w:p>
    <w:p w:rsidR="00A12CD5" w:rsidRPr="00A12CD5" w:rsidRDefault="00A12CD5" w:rsidP="00A12CD5">
      <w:pPr>
        <w:pStyle w:val="ListeParagraf"/>
        <w:ind w:left="1491"/>
        <w:rPr>
          <w:i/>
        </w:rPr>
      </w:pPr>
      <w:r w:rsidRPr="00A12CD5">
        <w:rPr>
          <w:i/>
        </w:rPr>
        <w:t>1.</w:t>
      </w:r>
      <w:r>
        <w:rPr>
          <w:i/>
        </w:rPr>
        <w:t xml:space="preserve"> </w:t>
      </w:r>
      <w:r w:rsidRPr="00A12CD5">
        <w:rPr>
          <w:i/>
        </w:rPr>
        <w:t>BDLNG tarafından ilan edilen yıllık Maksimum Gazlaştırma Kapasitesinden Başvuru Sahibince rezerve edilmesi talep edilen miktar,</w:t>
      </w:r>
    </w:p>
    <w:p w:rsidR="00A12CD5" w:rsidRPr="00A12CD5" w:rsidRDefault="00A12CD5" w:rsidP="00A12CD5">
      <w:pPr>
        <w:pStyle w:val="ListeParagraf"/>
        <w:ind w:left="1491"/>
        <w:rPr>
          <w:i/>
        </w:rPr>
      </w:pPr>
      <w:r w:rsidRPr="00A12CD5">
        <w:rPr>
          <w:i/>
        </w:rPr>
        <w:t>2.</w:t>
      </w:r>
      <w:r>
        <w:rPr>
          <w:i/>
        </w:rPr>
        <w:t xml:space="preserve"> </w:t>
      </w:r>
      <w:r w:rsidRPr="00A12CD5">
        <w:rPr>
          <w:i/>
        </w:rPr>
        <w:t>Başvuru Sahibince talep edilen rezerve kapasite miktarına ilişkin olarak;</w:t>
      </w:r>
    </w:p>
    <w:p w:rsidR="00A12CD5" w:rsidRPr="00A12CD5" w:rsidRDefault="00A12CD5" w:rsidP="00A12CD5">
      <w:pPr>
        <w:pStyle w:val="ListeParagraf"/>
        <w:ind w:left="1491"/>
        <w:rPr>
          <w:i/>
        </w:rPr>
      </w:pPr>
    </w:p>
    <w:p w:rsidR="00A12CD5" w:rsidRPr="00A12CD5" w:rsidRDefault="00A12CD5" w:rsidP="00A12CD5">
      <w:pPr>
        <w:pStyle w:val="ListeParagraf"/>
        <w:ind w:left="1491"/>
        <w:rPr>
          <w:i/>
        </w:rPr>
      </w:pPr>
      <w:r w:rsidRPr="00A12CD5">
        <w:rPr>
          <w:i/>
        </w:rPr>
        <w:t>i.</w:t>
      </w:r>
      <w:r>
        <w:rPr>
          <w:i/>
        </w:rPr>
        <w:t xml:space="preserve"> </w:t>
      </w:r>
      <w:r w:rsidRPr="00A12CD5">
        <w:rPr>
          <w:i/>
        </w:rPr>
        <w:t>Başvuru yapılan miktarlara ilişkin gemilerin geliş tarihlerinin yer aldığı tarih aralığı (her biri “Pencere” olarak adlandırılacak 7 (yedi) günlük süreler halinde ve BDLNG tarafından yayınlanan takvime uygun olarak),</w:t>
      </w:r>
    </w:p>
    <w:p w:rsidR="00A12CD5" w:rsidRPr="00A12CD5" w:rsidRDefault="00A12CD5" w:rsidP="00A12CD5">
      <w:pPr>
        <w:pStyle w:val="ListeParagraf"/>
        <w:ind w:left="1491"/>
        <w:rPr>
          <w:i/>
        </w:rPr>
      </w:pPr>
      <w:r w:rsidRPr="00A12CD5">
        <w:rPr>
          <w:i/>
        </w:rPr>
        <w:t>ii.</w:t>
      </w:r>
      <w:r>
        <w:rPr>
          <w:i/>
        </w:rPr>
        <w:t xml:space="preserve"> </w:t>
      </w:r>
      <w:r w:rsidRPr="00A12CD5">
        <w:rPr>
          <w:i/>
        </w:rPr>
        <w:t xml:space="preserve">İlgili Pencere içinde ± 2 (iki) gün toleransla Gemi geliş tarihleri, </w:t>
      </w:r>
    </w:p>
    <w:p w:rsidR="00A12CD5" w:rsidRPr="00A12CD5" w:rsidRDefault="00A12CD5" w:rsidP="00A12CD5">
      <w:pPr>
        <w:pStyle w:val="ListeParagraf"/>
        <w:ind w:left="1491"/>
        <w:rPr>
          <w:i/>
        </w:rPr>
      </w:pPr>
      <w:r w:rsidRPr="00A12CD5">
        <w:rPr>
          <w:i/>
        </w:rPr>
        <w:t>iii.</w:t>
      </w:r>
      <w:r>
        <w:rPr>
          <w:i/>
        </w:rPr>
        <w:t xml:space="preserve"> </w:t>
      </w:r>
      <w:r w:rsidRPr="00A12CD5">
        <w:rPr>
          <w:i/>
        </w:rPr>
        <w:t>Her bir Geminin getireceği tahmini LNG miktarı,</w:t>
      </w:r>
    </w:p>
    <w:p w:rsidR="00A12CD5" w:rsidRPr="00A12CD5" w:rsidRDefault="00A12CD5" w:rsidP="00A12CD5">
      <w:pPr>
        <w:pStyle w:val="ListeParagraf"/>
        <w:ind w:left="1491"/>
        <w:rPr>
          <w:i/>
        </w:rPr>
      </w:pPr>
    </w:p>
    <w:p w:rsidR="00A12CD5" w:rsidRDefault="00A12CD5" w:rsidP="00A12CD5">
      <w:pPr>
        <w:pStyle w:val="ListeParagraf"/>
        <w:ind w:left="1491"/>
        <w:rPr>
          <w:i/>
        </w:rPr>
      </w:pPr>
      <w:r w:rsidRPr="00A12CD5">
        <w:rPr>
          <w:i/>
        </w:rPr>
        <w:t>3.</w:t>
      </w:r>
      <w:r>
        <w:rPr>
          <w:i/>
        </w:rPr>
        <w:t xml:space="preserve"> </w:t>
      </w:r>
      <w:r w:rsidRPr="00A12CD5">
        <w:rPr>
          <w:i/>
        </w:rPr>
        <w:t>Başvuru Sahibince getirilecek LNG’nin taşınmasında kullanılacak Deniz Tankerlerine ilişkin genel ve teknik bilgiler,</w:t>
      </w:r>
    </w:p>
    <w:p w:rsidR="00A12CD5" w:rsidRPr="00A12CD5" w:rsidRDefault="00A12CD5" w:rsidP="00A12CD5">
      <w:pPr>
        <w:pStyle w:val="ListeParagraf"/>
        <w:ind w:left="1491"/>
        <w:rPr>
          <w:i/>
        </w:rPr>
      </w:pPr>
    </w:p>
    <w:p w:rsidR="00A12CD5" w:rsidRPr="00A12CD5" w:rsidRDefault="00A12CD5" w:rsidP="00A12CD5">
      <w:pPr>
        <w:pStyle w:val="ListeParagraf"/>
        <w:ind w:left="1491"/>
        <w:rPr>
          <w:i/>
        </w:rPr>
      </w:pPr>
      <w:r w:rsidRPr="00A12CD5">
        <w:rPr>
          <w:i/>
        </w:rPr>
        <w:t>4.</w:t>
      </w:r>
      <w:r>
        <w:rPr>
          <w:i/>
        </w:rPr>
        <w:t xml:space="preserve"> </w:t>
      </w:r>
      <w:r w:rsidRPr="00A12CD5">
        <w:rPr>
          <w:i/>
        </w:rPr>
        <w:t>LNG tedarikçisinden temin edilecek aşağıdaki bilgileri kapsayan beyan:</w:t>
      </w:r>
    </w:p>
    <w:p w:rsidR="00A12CD5" w:rsidRPr="00A12CD5" w:rsidRDefault="00A12CD5" w:rsidP="00A12CD5">
      <w:pPr>
        <w:pStyle w:val="ListeParagraf"/>
        <w:ind w:left="1491"/>
        <w:rPr>
          <w:i/>
        </w:rPr>
      </w:pPr>
    </w:p>
    <w:p w:rsidR="00A12CD5" w:rsidRPr="00A12CD5" w:rsidRDefault="00A12CD5" w:rsidP="00A12CD5">
      <w:pPr>
        <w:pStyle w:val="ListeParagraf"/>
        <w:ind w:left="1491"/>
        <w:rPr>
          <w:i/>
        </w:rPr>
      </w:pPr>
      <w:r w:rsidRPr="00A12CD5">
        <w:rPr>
          <w:i/>
        </w:rPr>
        <w:t>i.</w:t>
      </w:r>
      <w:r>
        <w:rPr>
          <w:i/>
        </w:rPr>
        <w:t xml:space="preserve"> </w:t>
      </w:r>
      <w:r w:rsidRPr="00A12CD5">
        <w:rPr>
          <w:i/>
        </w:rPr>
        <w:t xml:space="preserve">İthalata başlama tarihi, </w:t>
      </w:r>
    </w:p>
    <w:p w:rsidR="00A12CD5" w:rsidRPr="00A12CD5" w:rsidRDefault="00A12CD5" w:rsidP="00A12CD5">
      <w:pPr>
        <w:pStyle w:val="ListeParagraf"/>
        <w:ind w:left="1491"/>
        <w:rPr>
          <w:i/>
        </w:rPr>
      </w:pPr>
      <w:r w:rsidRPr="00A12CD5">
        <w:rPr>
          <w:i/>
        </w:rPr>
        <w:t>ii.</w:t>
      </w:r>
      <w:r>
        <w:rPr>
          <w:i/>
        </w:rPr>
        <w:t xml:space="preserve"> </w:t>
      </w:r>
      <w:r w:rsidRPr="00A12CD5">
        <w:rPr>
          <w:i/>
        </w:rPr>
        <w:t xml:space="preserve">Sözleşmenin süresi veya teslimat tarih aralığı, </w:t>
      </w:r>
    </w:p>
    <w:p w:rsidR="00A12CD5" w:rsidRPr="00A12CD5" w:rsidRDefault="00A12CD5" w:rsidP="00A12CD5">
      <w:pPr>
        <w:pStyle w:val="ListeParagraf"/>
        <w:ind w:left="1491"/>
        <w:rPr>
          <w:i/>
        </w:rPr>
      </w:pPr>
      <w:r w:rsidRPr="00A12CD5">
        <w:rPr>
          <w:i/>
        </w:rPr>
        <w:t>iii.</w:t>
      </w:r>
      <w:r>
        <w:rPr>
          <w:i/>
        </w:rPr>
        <w:t xml:space="preserve"> </w:t>
      </w:r>
      <w:r w:rsidRPr="00A12CD5">
        <w:rPr>
          <w:i/>
        </w:rPr>
        <w:t>Yıllık toplam miktar veya kargo sayısı ve kargoların miktarı, yıllık miktarın 3’er aylık dağılımları,</w:t>
      </w:r>
    </w:p>
    <w:p w:rsidR="00A12CD5" w:rsidRPr="00A12CD5" w:rsidRDefault="00A12CD5" w:rsidP="00A12CD5">
      <w:pPr>
        <w:pStyle w:val="ListeParagraf"/>
        <w:ind w:left="1491"/>
        <w:rPr>
          <w:i/>
        </w:rPr>
      </w:pPr>
    </w:p>
    <w:p w:rsidR="00A12CD5" w:rsidRDefault="00A12CD5" w:rsidP="00A12CD5">
      <w:pPr>
        <w:pStyle w:val="ListeParagraf"/>
        <w:ind w:left="1491"/>
        <w:rPr>
          <w:i/>
        </w:rPr>
      </w:pPr>
      <w:r w:rsidRPr="00A12CD5">
        <w:rPr>
          <w:i/>
        </w:rPr>
        <w:t>5.</w:t>
      </w:r>
      <w:r>
        <w:rPr>
          <w:i/>
        </w:rPr>
        <w:t xml:space="preserve"> </w:t>
      </w:r>
      <w:r w:rsidRPr="00A12CD5">
        <w:rPr>
          <w:i/>
        </w:rPr>
        <w:t>Başvuru Sahibince getirilecek LNG’nin Gaz halindeki kalite değerleri (Madde 10’da verilen analiz değerlerine uygun olacaktır),</w:t>
      </w:r>
    </w:p>
    <w:p w:rsidR="00A12CD5" w:rsidRPr="00A12CD5" w:rsidRDefault="00A12CD5" w:rsidP="00A12CD5">
      <w:pPr>
        <w:pStyle w:val="ListeParagraf"/>
        <w:ind w:left="1491"/>
        <w:rPr>
          <w:i/>
        </w:rPr>
      </w:pPr>
    </w:p>
    <w:p w:rsidR="00A12CD5" w:rsidRDefault="00A12CD5" w:rsidP="00A12CD5">
      <w:pPr>
        <w:pStyle w:val="ListeParagraf"/>
        <w:ind w:left="1491"/>
        <w:rPr>
          <w:i/>
        </w:rPr>
      </w:pPr>
      <w:r w:rsidRPr="00A12CD5">
        <w:rPr>
          <w:i/>
        </w:rPr>
        <w:t>6.</w:t>
      </w:r>
      <w:r>
        <w:rPr>
          <w:i/>
        </w:rPr>
        <w:t xml:space="preserve"> </w:t>
      </w:r>
      <w:r w:rsidRPr="00A12CD5">
        <w:rPr>
          <w:i/>
        </w:rPr>
        <w:t>Toptan Satış veya İhracat Lisansı olan Başvuru Sahipleri için, İthalatçı Şirket ile yaptıkları sözleşmenin sevkiyata ilişkin hükümleri (BDLNG, THS imzalayan Toptan Satış Şirketlerinin, İthalatçı Şirketlerden satın aldıkları LNG’yi, Terminal Kabul Noktasında teslim aldığını kabul edecektir),</w:t>
      </w:r>
    </w:p>
    <w:p w:rsidR="00A12CD5" w:rsidRPr="00A12CD5" w:rsidRDefault="00A12CD5" w:rsidP="00A12CD5">
      <w:pPr>
        <w:pStyle w:val="ListeParagraf"/>
        <w:ind w:left="1491"/>
        <w:rPr>
          <w:i/>
        </w:rPr>
      </w:pPr>
    </w:p>
    <w:p w:rsidR="00A12CD5" w:rsidRPr="00A12CD5" w:rsidRDefault="00A12CD5" w:rsidP="00A12CD5">
      <w:pPr>
        <w:pStyle w:val="ListeParagraf"/>
        <w:ind w:left="1491"/>
        <w:rPr>
          <w:i/>
        </w:rPr>
      </w:pPr>
      <w:r w:rsidRPr="00A12CD5">
        <w:rPr>
          <w:i/>
        </w:rPr>
        <w:t>7.</w:t>
      </w:r>
      <w:r>
        <w:rPr>
          <w:i/>
        </w:rPr>
        <w:t xml:space="preserve"> </w:t>
      </w:r>
      <w:r w:rsidRPr="00A12CD5">
        <w:rPr>
          <w:i/>
        </w:rPr>
        <w:t>Aynı kargo içerisinde birden fazla Hizmet Alanın LNG’sinin boşaltılacak olması halinde, boşaltılacak olan LNG’nin ilgili Hizmet Alanlar arasındaki tahsisatına ilişkin bu Hizmet Alanların sunacağı protokol ek olarak konulacaktır.</w:t>
      </w:r>
    </w:p>
    <w:p w:rsidR="00A12CD5" w:rsidRPr="00A12CD5" w:rsidRDefault="00A12CD5" w:rsidP="00A12CD5">
      <w:pPr>
        <w:pStyle w:val="ListeParagraf"/>
        <w:ind w:left="1491"/>
        <w:rPr>
          <w:i/>
        </w:rPr>
      </w:pPr>
    </w:p>
    <w:p w:rsidR="00A12CD5" w:rsidRPr="00A12CD5" w:rsidRDefault="00A12CD5" w:rsidP="00A12CD5">
      <w:pPr>
        <w:pStyle w:val="ListeParagraf"/>
        <w:ind w:left="1491"/>
        <w:rPr>
          <w:i/>
        </w:rPr>
      </w:pPr>
      <w:r w:rsidRPr="00A12CD5">
        <w:rPr>
          <w:i/>
        </w:rPr>
        <w:t>b.</w:t>
      </w:r>
      <w:r>
        <w:rPr>
          <w:i/>
        </w:rPr>
        <w:t xml:space="preserve"> </w:t>
      </w:r>
      <w:r w:rsidRPr="00A12CD5">
        <w:rPr>
          <w:i/>
        </w:rPr>
        <w:t>Başvuru Sahibine ait gazlaştırılacak LNG’ye ilişkin olarak, gazlaştırılacak LNG’nin günlük minimum ve maksimum miktarları ve yıllık miktarın aylık bazda dağılımı.</w:t>
      </w:r>
    </w:p>
    <w:p w:rsidR="00A12CD5" w:rsidRPr="00A12CD5" w:rsidRDefault="00A12CD5" w:rsidP="00A12CD5">
      <w:pPr>
        <w:pStyle w:val="ListeParagraf"/>
        <w:ind w:left="1491"/>
        <w:rPr>
          <w:i/>
        </w:rPr>
      </w:pPr>
    </w:p>
    <w:p w:rsidR="00A12CD5" w:rsidRPr="00A12CD5" w:rsidRDefault="00A12CD5" w:rsidP="00A12CD5">
      <w:pPr>
        <w:pStyle w:val="ListeParagraf"/>
        <w:ind w:left="1491"/>
        <w:rPr>
          <w:i/>
        </w:rPr>
      </w:pPr>
      <w:r w:rsidRPr="00A12CD5">
        <w:rPr>
          <w:i/>
        </w:rPr>
        <w:t>Başvuru Sahibinin Kapasite Talep Başvuru Formunu doldurup BDLNG’ye yazılı olarak teslim etmesi, bu KUE hükümlerini de kabul ettiği manasına gelir.</w:t>
      </w:r>
    </w:p>
    <w:p w:rsidR="00A12CD5" w:rsidRPr="00A12CD5" w:rsidRDefault="00A12CD5" w:rsidP="00A12CD5">
      <w:pPr>
        <w:pStyle w:val="ListeParagraf"/>
        <w:ind w:left="1491"/>
        <w:rPr>
          <w:i/>
        </w:rPr>
      </w:pPr>
    </w:p>
    <w:p w:rsidR="00A12CD5" w:rsidRPr="00A12CD5" w:rsidRDefault="00A12CD5" w:rsidP="00A12CD5">
      <w:pPr>
        <w:pStyle w:val="ListeParagraf"/>
        <w:ind w:left="1491"/>
        <w:rPr>
          <w:i/>
        </w:rPr>
      </w:pPr>
      <w:r w:rsidRPr="00A12CD5">
        <w:rPr>
          <w:i/>
        </w:rPr>
        <w:t>Kapasite başvurularında istenen ve işbu maddede detayları verilen bilgi ve belgeler, Uzun Dönemli Kapasite Rezervasyonu sahibi Hizmet Alanlar tarafından ilk Gaz Yılını müteakip her Gaz Yılı için BDLNG’ye ayrıca sunulur.</w:t>
      </w:r>
    </w:p>
    <w:p w:rsidR="00A12CD5" w:rsidRPr="00A12CD5" w:rsidRDefault="00A12CD5" w:rsidP="00A12CD5">
      <w:pPr>
        <w:pStyle w:val="ListeParagraf"/>
        <w:ind w:left="1491"/>
        <w:rPr>
          <w:i/>
        </w:rPr>
      </w:pPr>
    </w:p>
    <w:p w:rsidR="00A12CD5" w:rsidRPr="00DA2EFC" w:rsidRDefault="00A12CD5" w:rsidP="00A12CD5">
      <w:pPr>
        <w:pStyle w:val="ListeParagraf"/>
        <w:ind w:left="1491"/>
        <w:rPr>
          <w:i/>
        </w:rPr>
      </w:pPr>
      <w:r w:rsidRPr="00A12CD5">
        <w:rPr>
          <w:i/>
        </w:rPr>
        <w:t xml:space="preserve">BDLNG’ye verilmiş olan bilgilerde eksiklik veya yeterli açıklama bulunmaması nedeniyle tereddüt oluşması halinde Sistemin emniyetli ve verimli işlemesini teminen BDLNG, ek bilgi belge talep edebilir. Bu tür durumlarda başvuru sahibi makul bir gerekçeye dayanmaksızın 5 (beş) İş Günü içinde eksik bilgi ve belgeleri tamamlamaz ise talebini geri çekmiş sayılır. İstenen bilgi ve belgelerin 5 (beş) İş Günü içerisinde temin edilememesinin makul bir gerekçeye dayanması </w:t>
      </w:r>
      <w:r w:rsidRPr="00A12CD5">
        <w:rPr>
          <w:i/>
        </w:rPr>
        <w:lastRenderedPageBreak/>
        <w:t>halinde gerekçesi ile birlikte istenen bilgi ve belgeler en kısa sürede temin edilir. İstenen bilgi ve belgeler kapasite rezervasyon takvimini aksatmayacak şekilde BDLNG’ye ulaştırılır.</w:t>
      </w:r>
    </w:p>
    <w:p w:rsidR="00DA2EFC" w:rsidRDefault="00DA2EFC" w:rsidP="00500BA8">
      <w:pPr>
        <w:pStyle w:val="ListeParagraf"/>
        <w:spacing w:after="160" w:line="259" w:lineRule="auto"/>
      </w:pPr>
    </w:p>
    <w:p w:rsidR="00A12CD5" w:rsidRDefault="00A12CD5" w:rsidP="000A5A56">
      <w:pPr>
        <w:pStyle w:val="ListeParagraf"/>
        <w:numPr>
          <w:ilvl w:val="0"/>
          <w:numId w:val="61"/>
        </w:numPr>
        <w:spacing w:after="160" w:line="259" w:lineRule="auto"/>
      </w:pPr>
      <w:r w:rsidRPr="00DA2EFC">
        <w:t xml:space="preserve">KUE </w:t>
      </w:r>
      <w:r w:rsidRPr="00A12CD5">
        <w:t xml:space="preserve">4.1. </w:t>
      </w:r>
      <w:r w:rsidRPr="00DA2EFC">
        <w:t>maddesi aşağıdaki şekilde değiştirilmiştir:</w:t>
      </w:r>
    </w:p>
    <w:p w:rsidR="00A12CD5" w:rsidRDefault="00A12CD5" w:rsidP="00A12CD5">
      <w:pPr>
        <w:pStyle w:val="ListeParagraf"/>
      </w:pPr>
    </w:p>
    <w:p w:rsidR="00A12CD5" w:rsidRPr="00A12CD5" w:rsidRDefault="00A12CD5" w:rsidP="00A12CD5">
      <w:pPr>
        <w:pStyle w:val="ListeParagraf"/>
        <w:ind w:left="1491"/>
        <w:rPr>
          <w:b/>
          <w:i/>
        </w:rPr>
      </w:pPr>
      <w:r w:rsidRPr="00A12CD5">
        <w:rPr>
          <w:b/>
          <w:i/>
        </w:rPr>
        <w:t>4.1. Kapasite Başvurusuna İlişkin Dönemler ve Başvuru Takvimi</w:t>
      </w:r>
    </w:p>
    <w:p w:rsidR="00A12CD5" w:rsidRPr="00A12CD5" w:rsidRDefault="00A12CD5" w:rsidP="00A12CD5">
      <w:pPr>
        <w:pStyle w:val="ListeParagraf"/>
        <w:ind w:left="1491"/>
        <w:rPr>
          <w:i/>
        </w:rPr>
      </w:pPr>
    </w:p>
    <w:p w:rsidR="00A12CD5" w:rsidRPr="00A12CD5" w:rsidRDefault="00A12CD5" w:rsidP="00A12CD5">
      <w:pPr>
        <w:pStyle w:val="ListeParagraf"/>
        <w:ind w:left="1491"/>
        <w:rPr>
          <w:i/>
        </w:rPr>
      </w:pPr>
      <w:r w:rsidRPr="00A12CD5">
        <w:rPr>
          <w:i/>
        </w:rPr>
        <w:t xml:space="preserve">BDLNG, LNG Terminalinin gazlaştırma kapasitesinin bu KUE’de belirtilen süreler için depolama maksatlı kullanılacağı, Terminalin ana işlevinin depolara boşaltılan LNG’nin sınırlı bir süre sonunda gazlaştırılarak Doğal Gaz Ana İletim Şebekesine gönderileceği prensipleri ile Terminal gazlaştırma kapasitesi ve özelliklerini göz önünde bulundurarak ve Terminal Hizmetine ilişkin kapasite rezervasyonlarını Kapasite ve </w:t>
      </w:r>
      <w:r w:rsidR="00274939" w:rsidRPr="00A12CD5">
        <w:rPr>
          <w:i/>
        </w:rPr>
        <w:t>Âtıl</w:t>
      </w:r>
      <w:r w:rsidRPr="00A12CD5">
        <w:rPr>
          <w:i/>
        </w:rPr>
        <w:t xml:space="preserve"> Kapasite başvuru takvimlerini dikkate alarak yapar. </w:t>
      </w:r>
    </w:p>
    <w:p w:rsidR="00A12CD5" w:rsidRPr="00A12CD5" w:rsidRDefault="00A12CD5" w:rsidP="00A12CD5">
      <w:pPr>
        <w:pStyle w:val="ListeParagraf"/>
        <w:ind w:left="1491"/>
        <w:rPr>
          <w:i/>
        </w:rPr>
      </w:pPr>
    </w:p>
    <w:p w:rsidR="00A12CD5" w:rsidRPr="00A12CD5" w:rsidRDefault="00A12CD5" w:rsidP="00A12CD5">
      <w:pPr>
        <w:pStyle w:val="ListeParagraf"/>
        <w:ind w:left="1491"/>
        <w:rPr>
          <w:i/>
        </w:rPr>
      </w:pPr>
      <w:r w:rsidRPr="00A12CD5">
        <w:rPr>
          <w:i/>
        </w:rPr>
        <w:t>Bu doğrultuda, THS'lere esas olacak kapasite rezervasyonları her Gaz Yılı öncesinde talep edilecek toplam hizmet için yapılacak olup, BDLNG tarafından emniyetli bir şekilde, kesintisiz hizmet prensibi ile sağlanabilecek yıllık hizmet kapasiteleri, günlük maksimum sağlanabilecek gazlaştırma kapasitesi doğrultusunda, her Gaz Yılı öncesinde 15 Temmuz tarihi itibarıyla ilan edilir.</w:t>
      </w:r>
    </w:p>
    <w:p w:rsidR="00A12CD5" w:rsidRPr="00A12CD5" w:rsidRDefault="00A12CD5" w:rsidP="00A12CD5">
      <w:pPr>
        <w:pStyle w:val="ListeParagraf"/>
        <w:ind w:left="1491"/>
        <w:rPr>
          <w:i/>
        </w:rPr>
      </w:pPr>
    </w:p>
    <w:p w:rsidR="00A12CD5" w:rsidRPr="00A12CD5" w:rsidRDefault="00A12CD5" w:rsidP="00A12CD5">
      <w:pPr>
        <w:pStyle w:val="ListeParagraf"/>
        <w:ind w:left="1491"/>
        <w:rPr>
          <w:i/>
        </w:rPr>
      </w:pPr>
      <w:r w:rsidRPr="00A12CD5">
        <w:rPr>
          <w:i/>
        </w:rPr>
        <w:t>BDLNG kapasite tahsislerini yaparken aşağıda verilen Terminal imkanlarını ve özelliklerini göz önünde bulundurur:</w:t>
      </w:r>
    </w:p>
    <w:p w:rsidR="00A12CD5" w:rsidRPr="00A12CD5" w:rsidRDefault="00A12CD5" w:rsidP="00A12CD5">
      <w:pPr>
        <w:pStyle w:val="ListeParagraf"/>
        <w:ind w:left="1491"/>
        <w:rPr>
          <w:i/>
        </w:rPr>
      </w:pPr>
    </w:p>
    <w:p w:rsidR="00A12CD5" w:rsidRPr="00A12CD5" w:rsidRDefault="00A12CD5" w:rsidP="00A12CD5">
      <w:pPr>
        <w:pStyle w:val="ListeParagraf"/>
        <w:ind w:left="1491"/>
        <w:rPr>
          <w:i/>
        </w:rPr>
      </w:pPr>
      <w:r w:rsidRPr="00A12CD5">
        <w:rPr>
          <w:i/>
        </w:rPr>
        <w:t>1. Gemiden FSRU depolama tanklarına maksimum boşaltım hızı 10.000 m3/saat LNG’dir.</w:t>
      </w:r>
    </w:p>
    <w:p w:rsidR="00A12CD5" w:rsidRPr="00A12CD5" w:rsidRDefault="00A12CD5" w:rsidP="00A12CD5">
      <w:pPr>
        <w:pStyle w:val="ListeParagraf"/>
        <w:ind w:left="1491"/>
        <w:rPr>
          <w:i/>
        </w:rPr>
      </w:pPr>
    </w:p>
    <w:p w:rsidR="00A12CD5" w:rsidRPr="00A12CD5" w:rsidRDefault="00A12CD5" w:rsidP="00A12CD5">
      <w:pPr>
        <w:pStyle w:val="ListeParagraf"/>
        <w:ind w:left="1491"/>
        <w:rPr>
          <w:i/>
        </w:rPr>
      </w:pPr>
      <w:r w:rsidRPr="00A12CD5">
        <w:rPr>
          <w:i/>
        </w:rPr>
        <w:t>2. Terminal minimum gönderim kapasitesi 100 m3/saat LNG (= 58.000 Sm3/saat Gaz) Bu değerin altına düşülmesi durumunda Zero Send Out çalışma moduna geçilir.</w:t>
      </w:r>
    </w:p>
    <w:p w:rsidR="00A12CD5" w:rsidRPr="00A12CD5" w:rsidRDefault="00A12CD5" w:rsidP="00A12CD5">
      <w:pPr>
        <w:pStyle w:val="ListeParagraf"/>
        <w:ind w:left="1491"/>
        <w:rPr>
          <w:i/>
        </w:rPr>
      </w:pPr>
    </w:p>
    <w:p w:rsidR="00A12CD5" w:rsidRPr="00A12CD5" w:rsidRDefault="00A12CD5" w:rsidP="00A12CD5">
      <w:pPr>
        <w:pStyle w:val="ListeParagraf"/>
        <w:ind w:left="1491"/>
        <w:rPr>
          <w:i/>
        </w:rPr>
      </w:pPr>
      <w:r w:rsidRPr="00A12CD5">
        <w:rPr>
          <w:i/>
        </w:rPr>
        <w:t>3. Terminalin Günlük Gazlaştırma Kapasitesi 21 milyon Sm3/gün olup uygun koşullar oluşması halinde bu miktar yaklaşık pik çekişlerde 28 milyon Sm3/gün (Azami Günlük Gazlaştırma Kapasitesi)’e kadar çıkabilmektedir.</w:t>
      </w:r>
    </w:p>
    <w:p w:rsidR="00A12CD5" w:rsidRDefault="00A12CD5" w:rsidP="00500BA8">
      <w:pPr>
        <w:pStyle w:val="ListeParagraf"/>
        <w:spacing w:after="160" w:line="259" w:lineRule="auto"/>
      </w:pPr>
    </w:p>
    <w:p w:rsidR="00A12CD5" w:rsidRDefault="00A12CD5" w:rsidP="000A5A56">
      <w:pPr>
        <w:pStyle w:val="ListeParagraf"/>
        <w:numPr>
          <w:ilvl w:val="0"/>
          <w:numId w:val="61"/>
        </w:numPr>
        <w:spacing w:after="160" w:line="259" w:lineRule="auto"/>
      </w:pPr>
      <w:r w:rsidRPr="00DA2EFC">
        <w:t xml:space="preserve">KUE </w:t>
      </w:r>
      <w:r w:rsidRPr="00A12CD5">
        <w:t xml:space="preserve">5.1.1. </w:t>
      </w:r>
      <w:r w:rsidRPr="00DA2EFC">
        <w:t>maddesi aşağıdaki şekilde değiştirilmiştir:</w:t>
      </w:r>
    </w:p>
    <w:p w:rsidR="00A12CD5" w:rsidRDefault="00A12CD5" w:rsidP="00A12CD5">
      <w:pPr>
        <w:pStyle w:val="ListeParagraf"/>
      </w:pPr>
    </w:p>
    <w:p w:rsidR="00A12CD5" w:rsidRPr="00A12CD5" w:rsidRDefault="00A12CD5" w:rsidP="00A12CD5">
      <w:pPr>
        <w:pStyle w:val="ListeParagraf"/>
        <w:ind w:left="1491"/>
        <w:rPr>
          <w:b/>
          <w:i/>
        </w:rPr>
      </w:pPr>
      <w:r w:rsidRPr="00A12CD5">
        <w:rPr>
          <w:b/>
          <w:i/>
        </w:rPr>
        <w:t>5.1.1. Terminal Hizmetleri Kapsamında, LNG’nin BDLNG’ye Teslim Edilmesine Yönelik Programlar</w:t>
      </w:r>
    </w:p>
    <w:p w:rsidR="00A12CD5" w:rsidRPr="00A12CD5" w:rsidRDefault="00A12CD5" w:rsidP="00A12CD5">
      <w:pPr>
        <w:pStyle w:val="ListeParagraf"/>
        <w:ind w:left="1491"/>
        <w:rPr>
          <w:i/>
        </w:rPr>
      </w:pPr>
    </w:p>
    <w:p w:rsidR="00A12CD5" w:rsidRPr="00A12CD5" w:rsidRDefault="00A12CD5" w:rsidP="00A12CD5">
      <w:pPr>
        <w:pStyle w:val="ListeParagraf"/>
        <w:ind w:left="1491"/>
        <w:rPr>
          <w:i/>
        </w:rPr>
      </w:pPr>
      <w:r w:rsidRPr="00A12CD5">
        <w:rPr>
          <w:i/>
        </w:rPr>
        <w:t>Teorik olarak BDLNG Terminaline boşaltım yapacak gemi/kargo sayısı, yıllık azami 50 (elli)’dir.  Ancak bu sayı, gemi takvimi belirlendikten sonra kargo büyüklüklerine göre artış veya azalış gösterebilir. Gemi geliş tarihleri, her bir 7 (yedi) günlük Pencereye en fazla 1 (bir) kargo olmak üzere ve her bir Gemi geliş tarihinin bir önceki ve bir sonraki Gemi geliş tarihiyle arasında en az 6 (altı) gün olacak şekilde düzenlenecektir. Terminalin ekonomik, verimli ve güvenli şekilde işletilebilmesini teminen ve ayrıca Mücbir Sebep, Acil Durum veya Bakım Programı dolayısıyla gerektiği durumlarda boşaltımı yapılabilecek kargo sayısı ve Terminal Kabul Programına ilişkin Pencere ve LNG boşaltım tarihleri arasındaki süreler, BDLNG tarafından düşürülebilir veya artırılabilir.</w:t>
      </w:r>
    </w:p>
    <w:p w:rsidR="00A12CD5" w:rsidRPr="00A12CD5" w:rsidRDefault="00A12CD5" w:rsidP="00A12CD5">
      <w:pPr>
        <w:pStyle w:val="ListeParagraf"/>
        <w:ind w:left="1491"/>
        <w:rPr>
          <w:i/>
        </w:rPr>
      </w:pPr>
    </w:p>
    <w:p w:rsidR="00A12CD5" w:rsidRPr="00A12CD5" w:rsidRDefault="00A12CD5" w:rsidP="00A12CD5">
      <w:pPr>
        <w:pStyle w:val="ListeParagraf"/>
        <w:ind w:left="1491"/>
        <w:rPr>
          <w:i/>
        </w:rPr>
      </w:pPr>
      <w:r w:rsidRPr="00A12CD5">
        <w:rPr>
          <w:i/>
        </w:rPr>
        <w:t>Her bir program, Hizmet Alanın THS numarasını ve depoya alınacak LNG miktarları ile ilgili olarak aşağıda istenen bilgileri gösterir.</w:t>
      </w:r>
    </w:p>
    <w:p w:rsidR="00A12CD5" w:rsidRPr="00A12CD5" w:rsidRDefault="00A12CD5" w:rsidP="00A12CD5">
      <w:pPr>
        <w:pStyle w:val="ListeParagraf"/>
        <w:ind w:left="1491"/>
        <w:rPr>
          <w:i/>
        </w:rPr>
      </w:pPr>
    </w:p>
    <w:p w:rsidR="00A12CD5" w:rsidRPr="00A12CD5" w:rsidRDefault="00A12CD5" w:rsidP="00A12CD5">
      <w:pPr>
        <w:pStyle w:val="ListeParagraf"/>
        <w:ind w:left="1491"/>
        <w:rPr>
          <w:i/>
        </w:rPr>
      </w:pPr>
      <w:r w:rsidRPr="00A12CD5">
        <w:rPr>
          <w:i/>
        </w:rPr>
        <w:t>1.</w:t>
      </w:r>
      <w:r w:rsidRPr="00A12CD5">
        <w:rPr>
          <w:i/>
        </w:rPr>
        <w:tab/>
        <w:t>LNG’nin BDLNG Terminaline getirileceği gün/günler,</w:t>
      </w:r>
    </w:p>
    <w:p w:rsidR="00A12CD5" w:rsidRPr="00A12CD5" w:rsidRDefault="00A12CD5" w:rsidP="00A12CD5">
      <w:pPr>
        <w:pStyle w:val="ListeParagraf"/>
        <w:ind w:left="1491"/>
        <w:rPr>
          <w:i/>
        </w:rPr>
      </w:pPr>
      <w:r w:rsidRPr="00A12CD5">
        <w:rPr>
          <w:i/>
        </w:rPr>
        <w:t>2.</w:t>
      </w:r>
      <w:r w:rsidRPr="00A12CD5">
        <w:rPr>
          <w:i/>
        </w:rPr>
        <w:tab/>
        <w:t>Getirilecek LNG miktarları,</w:t>
      </w:r>
    </w:p>
    <w:p w:rsidR="00A12CD5" w:rsidRPr="00A12CD5" w:rsidRDefault="00A12CD5" w:rsidP="00A12CD5">
      <w:pPr>
        <w:pStyle w:val="ListeParagraf"/>
        <w:ind w:left="1491"/>
        <w:rPr>
          <w:i/>
        </w:rPr>
      </w:pPr>
      <w:r w:rsidRPr="00A12CD5">
        <w:rPr>
          <w:i/>
        </w:rPr>
        <w:t>3.</w:t>
      </w:r>
      <w:r w:rsidRPr="00A12CD5">
        <w:rPr>
          <w:i/>
        </w:rPr>
        <w:tab/>
        <w:t>LNG’nin tahmini bileşimi ve kalorifik değeri,</w:t>
      </w:r>
    </w:p>
    <w:p w:rsidR="00A12CD5" w:rsidRPr="00A12CD5" w:rsidRDefault="00A12CD5" w:rsidP="00A12CD5">
      <w:pPr>
        <w:pStyle w:val="ListeParagraf"/>
        <w:ind w:left="1491"/>
        <w:rPr>
          <w:i/>
        </w:rPr>
      </w:pPr>
      <w:r w:rsidRPr="00A12CD5">
        <w:rPr>
          <w:i/>
        </w:rPr>
        <w:t>4.</w:t>
      </w:r>
      <w:r w:rsidRPr="00A12CD5">
        <w:rPr>
          <w:i/>
        </w:rPr>
        <w:tab/>
        <w:t>LNG’nin ithal edildiği ülke,</w:t>
      </w:r>
    </w:p>
    <w:p w:rsidR="00A12CD5" w:rsidRPr="00A12CD5" w:rsidRDefault="00A12CD5" w:rsidP="00A12CD5">
      <w:pPr>
        <w:pStyle w:val="ListeParagraf"/>
        <w:ind w:left="1491"/>
        <w:rPr>
          <w:i/>
        </w:rPr>
      </w:pPr>
      <w:r w:rsidRPr="00A12CD5">
        <w:rPr>
          <w:i/>
        </w:rPr>
        <w:t>5.</w:t>
      </w:r>
      <w:r w:rsidRPr="00A12CD5">
        <w:rPr>
          <w:i/>
        </w:rPr>
        <w:tab/>
        <w:t>LNG’nin Terminale ulaştığındaki tahmini doymuş basıncı ve sıcaklığı,</w:t>
      </w:r>
    </w:p>
    <w:p w:rsidR="00A12CD5" w:rsidRPr="00A12CD5" w:rsidRDefault="00A12CD5" w:rsidP="00A12CD5">
      <w:pPr>
        <w:pStyle w:val="ListeParagraf"/>
        <w:ind w:left="1491"/>
        <w:rPr>
          <w:i/>
        </w:rPr>
      </w:pPr>
      <w:r w:rsidRPr="00A12CD5">
        <w:rPr>
          <w:i/>
        </w:rPr>
        <w:t>6.</w:t>
      </w:r>
      <w:r w:rsidRPr="00A12CD5">
        <w:rPr>
          <w:i/>
        </w:rPr>
        <w:tab/>
        <w:t>Teslimat Noktası da dahil olmak üzere geminin boşaltımı sırasında oluşan Kaynama Gazı yönetim programı (BDLNG’nin, diğer Hizmet Alanların Teslimat Programlarını da göz önüne alarak yapacağı yönlendirme doğrultusunda belirlenecektir),</w:t>
      </w:r>
    </w:p>
    <w:p w:rsidR="00A12CD5" w:rsidRPr="00A12CD5" w:rsidRDefault="00A12CD5" w:rsidP="00A12CD5">
      <w:pPr>
        <w:pStyle w:val="ListeParagraf"/>
        <w:ind w:left="1491"/>
        <w:rPr>
          <w:i/>
        </w:rPr>
      </w:pPr>
      <w:r w:rsidRPr="00A12CD5">
        <w:rPr>
          <w:i/>
        </w:rPr>
        <w:t>7.</w:t>
      </w:r>
      <w:r w:rsidRPr="00A12CD5">
        <w:rPr>
          <w:i/>
        </w:rPr>
        <w:tab/>
        <w:t>LNG gemisine ilişkin bilgiler (uygunluğu BDLNG tarafından onaylanmalıdır).</w:t>
      </w:r>
    </w:p>
    <w:p w:rsidR="00A12CD5" w:rsidRDefault="00A12CD5" w:rsidP="00500BA8">
      <w:pPr>
        <w:pStyle w:val="ListeParagraf"/>
        <w:spacing w:after="160" w:line="259" w:lineRule="auto"/>
      </w:pPr>
    </w:p>
    <w:p w:rsidR="00A12CD5" w:rsidRDefault="00A12CD5" w:rsidP="000A5A56">
      <w:pPr>
        <w:pStyle w:val="ListeParagraf"/>
        <w:numPr>
          <w:ilvl w:val="0"/>
          <w:numId w:val="61"/>
        </w:numPr>
        <w:spacing w:after="160" w:line="259" w:lineRule="auto"/>
      </w:pPr>
      <w:r w:rsidRPr="00DA2EFC">
        <w:t xml:space="preserve">KUE </w:t>
      </w:r>
      <w:r w:rsidRPr="00A12CD5">
        <w:t>5.1.</w:t>
      </w:r>
      <w:r>
        <w:t>5</w:t>
      </w:r>
      <w:r w:rsidRPr="00A12CD5">
        <w:t xml:space="preserve">. </w:t>
      </w:r>
      <w:r w:rsidRPr="00DA2EFC">
        <w:t>maddesi aşağıdaki şekilde değiştirilmiştir:</w:t>
      </w:r>
    </w:p>
    <w:p w:rsidR="00A12CD5" w:rsidRDefault="00A12CD5" w:rsidP="00A12CD5">
      <w:pPr>
        <w:pStyle w:val="ListeParagraf"/>
      </w:pPr>
    </w:p>
    <w:p w:rsidR="00A12CD5" w:rsidRPr="00A12CD5" w:rsidRDefault="00A12CD5" w:rsidP="00A12CD5">
      <w:pPr>
        <w:pStyle w:val="ListeParagraf"/>
        <w:ind w:left="1491"/>
        <w:rPr>
          <w:b/>
          <w:i/>
        </w:rPr>
      </w:pPr>
      <w:r w:rsidRPr="00A12CD5">
        <w:rPr>
          <w:b/>
          <w:i/>
        </w:rPr>
        <w:t>5.1.5. Programların İbraz Edilme Yolları</w:t>
      </w:r>
    </w:p>
    <w:p w:rsidR="00A12CD5" w:rsidRPr="00A12CD5" w:rsidRDefault="00A12CD5" w:rsidP="00A12CD5">
      <w:pPr>
        <w:pStyle w:val="ListeParagraf"/>
        <w:ind w:left="1491"/>
        <w:rPr>
          <w:i/>
        </w:rPr>
      </w:pPr>
    </w:p>
    <w:p w:rsidR="00A12CD5" w:rsidRPr="00A12CD5" w:rsidRDefault="00A12CD5" w:rsidP="00A12CD5">
      <w:pPr>
        <w:pStyle w:val="ListeParagraf"/>
        <w:ind w:left="1491"/>
        <w:rPr>
          <w:i/>
        </w:rPr>
      </w:pPr>
      <w:r w:rsidRPr="00A12CD5">
        <w:rPr>
          <w:i/>
        </w:rPr>
        <w:t>Programlar yazılı olarak aşağıdaki adrese ibraz edilebilir veya Boşaltım Programları kayıtlı elektronik posta (KEP) yoluyla, Teslimat Programları DEBT yoluyla bildirilebilir.</w:t>
      </w:r>
    </w:p>
    <w:p w:rsidR="00A12CD5" w:rsidRPr="00A12CD5" w:rsidRDefault="00A12CD5" w:rsidP="00A12CD5">
      <w:pPr>
        <w:pStyle w:val="ListeParagraf"/>
        <w:ind w:left="1491"/>
        <w:rPr>
          <w:i/>
        </w:rPr>
      </w:pPr>
    </w:p>
    <w:p w:rsidR="00A12CD5" w:rsidRPr="00A12CD5" w:rsidRDefault="00A12CD5" w:rsidP="00A12CD5">
      <w:pPr>
        <w:pStyle w:val="ListeParagraf"/>
        <w:ind w:left="1491"/>
        <w:rPr>
          <w:i/>
        </w:rPr>
      </w:pPr>
      <w:r w:rsidRPr="00A12CD5">
        <w:rPr>
          <w:i/>
        </w:rPr>
        <w:t>BOTAŞ Petrol İşletmeleri Bölge Müdürlüğü Dörtyol Terminali</w:t>
      </w:r>
    </w:p>
    <w:p w:rsidR="00A12CD5" w:rsidRPr="00A12CD5" w:rsidRDefault="00A12CD5" w:rsidP="00A12CD5">
      <w:pPr>
        <w:pStyle w:val="ListeParagraf"/>
        <w:ind w:left="1491"/>
        <w:rPr>
          <w:i/>
        </w:rPr>
      </w:pPr>
      <w:r w:rsidRPr="00A12CD5">
        <w:rPr>
          <w:i/>
        </w:rPr>
        <w:t>Yeniyurt Mevkii, Dörtyol, Hatay</w:t>
      </w:r>
    </w:p>
    <w:p w:rsidR="00A12CD5" w:rsidRDefault="00A12CD5" w:rsidP="00A12CD5">
      <w:pPr>
        <w:pStyle w:val="ListeParagraf"/>
        <w:ind w:left="1491"/>
        <w:rPr>
          <w:i/>
        </w:rPr>
      </w:pPr>
      <w:r w:rsidRPr="00A12CD5">
        <w:rPr>
          <w:i/>
        </w:rPr>
        <w:t xml:space="preserve">KEP adresi:  </w:t>
      </w:r>
      <w:hyperlink r:id="rId20" w:history="1">
        <w:r w:rsidRPr="00274939">
          <w:rPr>
            <w:rStyle w:val="Kpr"/>
            <w:i/>
            <w:color w:val="auto"/>
          </w:rPr>
          <w:t>botas.petrol-ibm@hs01.kep.tr</w:t>
        </w:r>
      </w:hyperlink>
    </w:p>
    <w:p w:rsidR="00A12CD5" w:rsidRDefault="00A12CD5" w:rsidP="00A12CD5">
      <w:pPr>
        <w:pStyle w:val="ListeParagraf"/>
        <w:ind w:left="1491"/>
        <w:rPr>
          <w:i/>
        </w:rPr>
      </w:pPr>
    </w:p>
    <w:p w:rsidR="00A12CD5" w:rsidRDefault="00A12CD5" w:rsidP="000A5A56">
      <w:pPr>
        <w:pStyle w:val="ListeParagraf"/>
        <w:numPr>
          <w:ilvl w:val="0"/>
          <w:numId w:val="61"/>
        </w:numPr>
        <w:spacing w:after="160" w:line="259" w:lineRule="auto"/>
      </w:pPr>
      <w:r w:rsidRPr="00DA2EFC">
        <w:t xml:space="preserve">KUE </w:t>
      </w:r>
      <w:r w:rsidRPr="00A12CD5">
        <w:t xml:space="preserve">7.2.7. </w:t>
      </w:r>
      <w:r w:rsidRPr="00DA2EFC">
        <w:t>maddesi aşağıdaki şekilde değiştirilmiştir:</w:t>
      </w:r>
    </w:p>
    <w:p w:rsidR="00A12CD5" w:rsidRDefault="00A12CD5" w:rsidP="00A12CD5">
      <w:pPr>
        <w:pStyle w:val="ListeParagraf"/>
      </w:pPr>
    </w:p>
    <w:p w:rsidR="00A12CD5" w:rsidRPr="00A12CD5" w:rsidRDefault="00A12CD5" w:rsidP="00A12CD5">
      <w:pPr>
        <w:pStyle w:val="ListeParagraf"/>
        <w:ind w:left="1491"/>
        <w:rPr>
          <w:i/>
        </w:rPr>
      </w:pPr>
      <w:r w:rsidRPr="00A12CD5">
        <w:rPr>
          <w:i/>
        </w:rPr>
        <w:t>7.2.7. Boşaltım Süresi, konvansiyonel büyüklükte (140.000 m³ LNG taşıyan) bir Geminin “Hazır Olma Bildirimi” verdiği noktadan yükünü boşalttıktan sonra tekrar aynı noktaya çekilinceye kadar geçen süre olup 42 (kırkiki) saattir. Bu miktarı aşan her bir 5.000 m³ için Boşaltım Süresine 1 (bir) saat eklenir.</w:t>
      </w:r>
    </w:p>
    <w:p w:rsidR="00A12CD5" w:rsidRPr="00A12CD5" w:rsidRDefault="00A12CD5" w:rsidP="00A12CD5">
      <w:pPr>
        <w:pStyle w:val="ListeParagraf"/>
        <w:ind w:left="1491"/>
        <w:rPr>
          <w:i/>
        </w:rPr>
      </w:pPr>
    </w:p>
    <w:p w:rsidR="00A12CD5" w:rsidRPr="00A12CD5" w:rsidRDefault="00A12CD5" w:rsidP="00A12CD5">
      <w:pPr>
        <w:pStyle w:val="ListeParagraf"/>
        <w:ind w:left="1491"/>
        <w:rPr>
          <w:i/>
        </w:rPr>
      </w:pPr>
      <w:r w:rsidRPr="00A12CD5">
        <w:rPr>
          <w:i/>
        </w:rPr>
        <w:t>Aşağıda verilen süreler Boşaltım Süresinden sayılmayacaktır;</w:t>
      </w:r>
    </w:p>
    <w:p w:rsidR="00A12CD5" w:rsidRPr="00A12CD5" w:rsidRDefault="00A12CD5" w:rsidP="00A12CD5">
      <w:pPr>
        <w:pStyle w:val="ListeParagraf"/>
        <w:ind w:left="1491"/>
        <w:rPr>
          <w:i/>
        </w:rPr>
      </w:pPr>
    </w:p>
    <w:p w:rsidR="00A12CD5" w:rsidRPr="00A12CD5" w:rsidRDefault="00A12CD5" w:rsidP="00A12CD5">
      <w:pPr>
        <w:pStyle w:val="ListeParagraf"/>
        <w:ind w:left="1491"/>
        <w:rPr>
          <w:i/>
        </w:rPr>
      </w:pPr>
      <w:r w:rsidRPr="00A12CD5">
        <w:rPr>
          <w:i/>
        </w:rPr>
        <w:t>a) İskenderun Liman Başkanlığı tarafından Geminin Terminale yanaşmasına/ayrılmasına müsaade edilmeyen süreler,</w:t>
      </w:r>
    </w:p>
    <w:p w:rsidR="00A12CD5" w:rsidRPr="00A12CD5" w:rsidRDefault="00A12CD5" w:rsidP="00A12CD5">
      <w:pPr>
        <w:pStyle w:val="ListeParagraf"/>
        <w:ind w:left="1491"/>
        <w:rPr>
          <w:i/>
        </w:rPr>
      </w:pPr>
    </w:p>
    <w:p w:rsidR="00A12CD5" w:rsidRPr="00A12CD5" w:rsidRDefault="00A12CD5" w:rsidP="00A12CD5">
      <w:pPr>
        <w:pStyle w:val="ListeParagraf"/>
        <w:ind w:left="1491"/>
        <w:rPr>
          <w:i/>
        </w:rPr>
      </w:pPr>
      <w:r w:rsidRPr="00A12CD5">
        <w:rPr>
          <w:i/>
        </w:rPr>
        <w:t>b) Kötü hava koşulları nedeniyle Geminin Terminale yanaşmak için beklediği süreler,</w:t>
      </w:r>
    </w:p>
    <w:p w:rsidR="00A12CD5" w:rsidRPr="00A12CD5" w:rsidRDefault="00A12CD5" w:rsidP="00A12CD5">
      <w:pPr>
        <w:pStyle w:val="ListeParagraf"/>
        <w:ind w:left="1491"/>
        <w:rPr>
          <w:i/>
        </w:rPr>
      </w:pPr>
    </w:p>
    <w:p w:rsidR="00A12CD5" w:rsidRPr="00A12CD5" w:rsidRDefault="00A12CD5" w:rsidP="00A12CD5">
      <w:pPr>
        <w:pStyle w:val="ListeParagraf"/>
        <w:ind w:left="1491"/>
        <w:rPr>
          <w:i/>
        </w:rPr>
      </w:pPr>
      <w:r w:rsidRPr="00A12CD5">
        <w:rPr>
          <w:i/>
        </w:rPr>
        <w:t>c) Hizmet Alan Gemisi'nin kaptanı, mürettebatı, sahibi veya işletenine atfedilebilecek kusurlar nedeniyle harcanan süreler,</w:t>
      </w:r>
    </w:p>
    <w:p w:rsidR="00A12CD5" w:rsidRPr="00A12CD5" w:rsidRDefault="00A12CD5" w:rsidP="00A12CD5">
      <w:pPr>
        <w:pStyle w:val="ListeParagraf"/>
        <w:ind w:left="1491"/>
        <w:rPr>
          <w:i/>
        </w:rPr>
      </w:pPr>
    </w:p>
    <w:p w:rsidR="00A12CD5" w:rsidRDefault="00A12CD5" w:rsidP="00A12CD5">
      <w:pPr>
        <w:pStyle w:val="ListeParagraf"/>
        <w:ind w:left="1491"/>
        <w:rPr>
          <w:i/>
        </w:rPr>
      </w:pPr>
      <w:r w:rsidRPr="00A12CD5">
        <w:rPr>
          <w:i/>
        </w:rPr>
        <w:t>d) Mücbir Sebep durumları nedeniyle geçen süreler.</w:t>
      </w:r>
    </w:p>
    <w:p w:rsidR="00A12CD5" w:rsidRDefault="00A12CD5" w:rsidP="00A12CD5">
      <w:pPr>
        <w:pStyle w:val="ListeParagraf"/>
        <w:ind w:left="1491"/>
        <w:rPr>
          <w:i/>
        </w:rPr>
      </w:pPr>
    </w:p>
    <w:p w:rsidR="00A12CD5" w:rsidRDefault="00A12CD5" w:rsidP="000A5A56">
      <w:pPr>
        <w:pStyle w:val="ListeParagraf"/>
        <w:numPr>
          <w:ilvl w:val="0"/>
          <w:numId w:val="61"/>
        </w:numPr>
        <w:spacing w:after="160" w:line="259" w:lineRule="auto"/>
      </w:pPr>
      <w:r w:rsidRPr="00DA2EFC">
        <w:t xml:space="preserve">KUE </w:t>
      </w:r>
      <w:r w:rsidRPr="00A12CD5">
        <w:t xml:space="preserve">7.4.2. </w:t>
      </w:r>
      <w:r w:rsidRPr="00DA2EFC">
        <w:t>maddesi aşağıdaki şekilde değiştirilmiştir:</w:t>
      </w:r>
    </w:p>
    <w:p w:rsidR="00A12CD5" w:rsidRDefault="00A12CD5" w:rsidP="00A12CD5">
      <w:pPr>
        <w:pStyle w:val="ListeParagraf"/>
      </w:pPr>
    </w:p>
    <w:p w:rsidR="00A12CD5" w:rsidRPr="00A12CD5" w:rsidRDefault="00A12CD5" w:rsidP="00A12CD5">
      <w:pPr>
        <w:pStyle w:val="ListeParagraf"/>
        <w:ind w:left="1491"/>
        <w:rPr>
          <w:i/>
        </w:rPr>
      </w:pPr>
      <w:r w:rsidRPr="00A12CD5">
        <w:rPr>
          <w:b/>
          <w:i/>
        </w:rPr>
        <w:t>7.4.2.</w:t>
      </w:r>
      <w:r w:rsidRPr="00A12CD5">
        <w:rPr>
          <w:i/>
        </w:rPr>
        <w:t xml:space="preserve"> BDLNG, herhangi bir gün için tespit edilen toplam Gazlaştırılmış LNG Teslimat Programı, Asgari Gazlaştırma Miktarı (58.000 Sm3/saat)’ndan az olursa, Gazlaştırılmış LNG gönderimi yapmayabilir.</w:t>
      </w:r>
    </w:p>
    <w:p w:rsidR="00A12CD5" w:rsidRDefault="00A12CD5" w:rsidP="00A12CD5">
      <w:pPr>
        <w:pStyle w:val="ListeParagraf"/>
        <w:ind w:left="1491"/>
        <w:rPr>
          <w:i/>
        </w:rPr>
      </w:pPr>
    </w:p>
    <w:p w:rsidR="00A12CD5" w:rsidRDefault="00A12CD5" w:rsidP="000A5A56">
      <w:pPr>
        <w:pStyle w:val="ListeParagraf"/>
        <w:numPr>
          <w:ilvl w:val="0"/>
          <w:numId w:val="61"/>
        </w:numPr>
        <w:spacing w:after="160" w:line="259" w:lineRule="auto"/>
      </w:pPr>
      <w:r w:rsidRPr="00DA2EFC">
        <w:t>KUE</w:t>
      </w:r>
      <w:r w:rsidRPr="00A12CD5">
        <w:t xml:space="preserve"> 7.5.1. </w:t>
      </w:r>
      <w:r w:rsidRPr="00DA2EFC">
        <w:t>maddesi aşağıdaki şekilde değiştirilmiştir:</w:t>
      </w:r>
    </w:p>
    <w:p w:rsidR="00A12CD5" w:rsidRDefault="00A12CD5" w:rsidP="00A12CD5">
      <w:pPr>
        <w:pStyle w:val="ListeParagraf"/>
      </w:pPr>
    </w:p>
    <w:p w:rsidR="00A12CD5" w:rsidRDefault="00A12CD5" w:rsidP="00A12CD5">
      <w:pPr>
        <w:pStyle w:val="ListeParagraf"/>
        <w:ind w:left="1491"/>
        <w:rPr>
          <w:i/>
        </w:rPr>
      </w:pPr>
      <w:r w:rsidRPr="00A12CD5">
        <w:rPr>
          <w:b/>
          <w:i/>
        </w:rPr>
        <w:t xml:space="preserve">7.5.1. </w:t>
      </w:r>
      <w:r w:rsidRPr="00B43367">
        <w:rPr>
          <w:i/>
        </w:rPr>
        <w:t>Her bir Hizmet Alan, Terminal tanklarında sürekli tutulması gereken Topuk LNG’ye Madde 7.5.2’de belirtilen paylaşım şekli ile katkıda bulunmak ve gerektiği süre boyunca Terminal tanklarında payına düşen Topuk LNG’yi tutmakla yükümlüdür. Topuk LNG Miktarı, yaklaşık olarak toplam 7.500 m3 LNG’dir. Topuk LNG miktarı, bir sonraki kargonun geliş tarihine göre BDLNG tarafından artırılabilir veya azaltılabilir. Topuk LNG miktarında herhangi bir değişiklik yapılması durumunda BDLNG, DEBT yoluyla Hizmet Alanlara değişikliği ve değişikliğe yol açan sebepleri bildirecektir.</w:t>
      </w:r>
    </w:p>
    <w:p w:rsidR="00A12CD5" w:rsidRDefault="00A12CD5" w:rsidP="00A12CD5">
      <w:pPr>
        <w:pStyle w:val="ListeParagraf"/>
        <w:ind w:left="1491"/>
        <w:rPr>
          <w:i/>
        </w:rPr>
      </w:pPr>
    </w:p>
    <w:p w:rsidR="00B43367" w:rsidRDefault="00B43367" w:rsidP="000A5A56">
      <w:pPr>
        <w:pStyle w:val="ListeParagraf"/>
        <w:numPr>
          <w:ilvl w:val="0"/>
          <w:numId w:val="61"/>
        </w:numPr>
        <w:spacing w:after="160" w:line="259" w:lineRule="auto"/>
      </w:pPr>
      <w:r w:rsidRPr="00DA2EFC">
        <w:t>KUE</w:t>
      </w:r>
      <w:r w:rsidRPr="00A12CD5">
        <w:t xml:space="preserve"> </w:t>
      </w:r>
      <w:r w:rsidRPr="00B43367">
        <w:t xml:space="preserve">8.1.2. </w:t>
      </w:r>
      <w:r w:rsidRPr="00DA2EFC">
        <w:t>maddesi aşağıdaki şekilde değiştirilmiştir:</w:t>
      </w:r>
    </w:p>
    <w:p w:rsidR="00B43367" w:rsidRDefault="00B43367" w:rsidP="00B43367">
      <w:pPr>
        <w:pStyle w:val="ListeParagraf"/>
      </w:pPr>
    </w:p>
    <w:p w:rsidR="00B43367" w:rsidRPr="00B43367" w:rsidRDefault="00B43367" w:rsidP="00B43367">
      <w:pPr>
        <w:pStyle w:val="ListeParagraf"/>
        <w:ind w:left="1491"/>
        <w:rPr>
          <w:b/>
          <w:i/>
        </w:rPr>
      </w:pPr>
      <w:r w:rsidRPr="00B43367">
        <w:rPr>
          <w:b/>
          <w:i/>
        </w:rPr>
        <w:t>8.1.2. Gemi Boşaltımının Olduğu ve Ertesi Günde Kaynama Gazı</w:t>
      </w:r>
    </w:p>
    <w:p w:rsidR="00B43367" w:rsidRPr="00B43367" w:rsidRDefault="00B43367" w:rsidP="00B43367">
      <w:pPr>
        <w:pStyle w:val="ListeParagraf"/>
        <w:ind w:left="1491"/>
        <w:rPr>
          <w:b/>
          <w:i/>
        </w:rPr>
      </w:pPr>
    </w:p>
    <w:p w:rsidR="00B43367" w:rsidRPr="00B43367" w:rsidRDefault="00B43367" w:rsidP="00B43367">
      <w:pPr>
        <w:pStyle w:val="ListeParagraf"/>
        <w:ind w:left="1491"/>
        <w:rPr>
          <w:i/>
        </w:rPr>
      </w:pPr>
      <w:r w:rsidRPr="00B43367">
        <w:rPr>
          <w:i/>
        </w:rPr>
        <w:t>Herhangi bir Hizmet Alan Gemisinin boşaltılması esnasında oluşan Kaynama Gazının, mevcut kompresör sistemleri ile (eğer yeterince sevkiyat varsa) ortamdan alınması için BDLNG, gerekli çabayı gösterecektir.</w:t>
      </w:r>
    </w:p>
    <w:p w:rsidR="00B43367" w:rsidRPr="00B43367" w:rsidRDefault="00B43367" w:rsidP="00B43367">
      <w:pPr>
        <w:pStyle w:val="ListeParagraf"/>
        <w:ind w:left="1491"/>
        <w:rPr>
          <w:i/>
        </w:rPr>
      </w:pPr>
    </w:p>
    <w:p w:rsidR="00B43367" w:rsidRPr="00B43367" w:rsidRDefault="00B43367" w:rsidP="00B43367">
      <w:pPr>
        <w:pStyle w:val="ListeParagraf"/>
        <w:ind w:left="1491"/>
        <w:rPr>
          <w:i/>
        </w:rPr>
      </w:pPr>
      <w:r w:rsidRPr="00B43367">
        <w:rPr>
          <w:i/>
        </w:rPr>
        <w:t>Gemi boşaltımının yapıldığı sırada oluşan Kaynama Gazını yönetebilmek için yeterli sevkiyat yapılamaz ise Hizmet Alan ile LNG Gemisi işleticisi arasında imzalanan anlaşma, Kaynama Gazı üretimini azaltmak için düşük hızlarda Geminin boşaltılmasına ve buna bağlı olarak Gemi boşaltma zamanının uzamasına müsaade ediyorsa bundan faydalanılır. Yeterli sevkiyat yapılamaz veya Gemi boşaltım hızı düşürülemez ise oluşan fazla Kaynama Gazı mecburen yakılır veya sistemden uzaklaştırılır. Yakılan veya sistemden uzaklaştırılan bu Gaz gemisi boşaltılan Hizmet Alan adına tanka alınan LNG miktarından düşülür.</w:t>
      </w:r>
    </w:p>
    <w:p w:rsidR="00B43367" w:rsidRPr="00B43367" w:rsidRDefault="00B43367" w:rsidP="00B43367">
      <w:pPr>
        <w:pStyle w:val="ListeParagraf"/>
        <w:ind w:left="1491"/>
        <w:rPr>
          <w:i/>
        </w:rPr>
      </w:pPr>
    </w:p>
    <w:p w:rsidR="00B43367" w:rsidRPr="00B43367" w:rsidRDefault="00B43367" w:rsidP="00B43367">
      <w:pPr>
        <w:pStyle w:val="ListeParagraf"/>
        <w:ind w:left="1491"/>
        <w:rPr>
          <w:i/>
        </w:rPr>
      </w:pPr>
      <w:r w:rsidRPr="00B43367">
        <w:rPr>
          <w:i/>
        </w:rPr>
        <w:t>Her ne kadar Konvansiyonel tip Gemi boşaltımı 42 (kırkiki) saatte tamamlansa</w:t>
      </w:r>
      <w:r w:rsidR="00274939">
        <w:rPr>
          <w:i/>
        </w:rPr>
        <w:t xml:space="preserve"> </w:t>
      </w:r>
      <w:r w:rsidRPr="00B43367">
        <w:rPr>
          <w:i/>
        </w:rPr>
        <w:t>da bazı durumlarda boşaltılan LNG’nin sıcaklığı ve kimyasal kompozisyonundan ve depolarda bulunan mevcut LNG ile karışmasından dolayı yüksek Kaynama Gazı üretimi ertesi gün de devam etmektedir. Bu durumdan ötürü Kaynama Gazı yakılır ise Gemi boşaltımının bitiş saatini takip eden 24 (yirmidört) saat içinde yakılan bu Gaz, gemisi boşaltılan Hizmet Alanın depoda bulunan LNG miktarından düşülür. Boşaltımın ardından 24 (yirmidört) saat içinde ikinci bir Gemi boşaltmaya alınırsa, boşaltımın başlaması ile ilk Gemiden gelecek Kaynama Gazı artış miktarı dikkate alınmaz. Bununla birlikte BDLNG, her bir Hizmet Alan için Kaynama Gazı miktarının adil olarak belirlenmesi hususunda gerekli değerlendirmeleri yapar.</w:t>
      </w:r>
    </w:p>
    <w:p w:rsidR="00B43367" w:rsidRPr="00B43367" w:rsidRDefault="00B43367" w:rsidP="00B43367">
      <w:pPr>
        <w:pStyle w:val="ListeParagraf"/>
        <w:ind w:left="1491"/>
        <w:rPr>
          <w:i/>
        </w:rPr>
      </w:pPr>
    </w:p>
    <w:p w:rsidR="00B43367" w:rsidRDefault="00B43367" w:rsidP="00B43367">
      <w:pPr>
        <w:pStyle w:val="ListeParagraf"/>
        <w:ind w:left="1491"/>
        <w:rPr>
          <w:i/>
        </w:rPr>
      </w:pPr>
      <w:r w:rsidRPr="00B43367">
        <w:rPr>
          <w:i/>
        </w:rPr>
        <w:t xml:space="preserve">Gemi boşaltımı esnasında ve ertesi gün oluşan Kaynama Gazının yönetimi konusunda Gemisi boşaltılan Hizmet Alandan Kaynama Gazının yönetimi konusunda bir program istenir. Hizmet Alanın sunduğu Kaynama Gazı yönetimi ile Gemi boşaltımı ve ikinci gün için sunulan Kaynama Gazı yönetimi ile oluşan Kaynama Gazı, ortamdan alınamaz ise fazla Gaz, sistemden </w:t>
      </w:r>
      <w:r w:rsidRPr="00B43367">
        <w:rPr>
          <w:i/>
        </w:rPr>
        <w:lastRenderedPageBreak/>
        <w:t>uzaklaştırılır. Bu şekilde sistemden uzaklaştırılan Gaz, Gemisi boşaltılan Hizmet Alanın LNG tanklarındaki LNG miktarından düşülür.</w:t>
      </w:r>
    </w:p>
    <w:p w:rsidR="00B43367" w:rsidRDefault="00B43367" w:rsidP="00B43367">
      <w:pPr>
        <w:pStyle w:val="ListeParagraf"/>
        <w:ind w:left="1491"/>
        <w:rPr>
          <w:i/>
        </w:rPr>
      </w:pPr>
    </w:p>
    <w:p w:rsidR="00B43367" w:rsidRDefault="00B43367" w:rsidP="000A5A56">
      <w:pPr>
        <w:pStyle w:val="ListeParagraf"/>
        <w:numPr>
          <w:ilvl w:val="0"/>
          <w:numId w:val="61"/>
        </w:numPr>
        <w:spacing w:after="160" w:line="259" w:lineRule="auto"/>
      </w:pPr>
      <w:r w:rsidRPr="00DA2EFC">
        <w:t>KUE</w:t>
      </w:r>
      <w:r w:rsidRPr="00A12CD5">
        <w:t xml:space="preserve"> </w:t>
      </w:r>
      <w:r w:rsidRPr="00B43367">
        <w:t xml:space="preserve">23.4. </w:t>
      </w:r>
      <w:r w:rsidRPr="00DA2EFC">
        <w:t>maddesi aşağıdaki şekilde değiştirilmiştir:</w:t>
      </w:r>
    </w:p>
    <w:p w:rsidR="00B43367" w:rsidRDefault="00B43367" w:rsidP="00B43367">
      <w:pPr>
        <w:pStyle w:val="ListeParagraf"/>
      </w:pPr>
    </w:p>
    <w:p w:rsidR="00B43367" w:rsidRDefault="00B43367" w:rsidP="00B43367">
      <w:pPr>
        <w:pStyle w:val="ListeParagraf"/>
        <w:ind w:left="1491"/>
        <w:rPr>
          <w:i/>
        </w:rPr>
      </w:pPr>
      <w:r w:rsidRPr="00274939">
        <w:rPr>
          <w:i/>
        </w:rPr>
        <w:t>23.4.</w:t>
      </w:r>
      <w:r w:rsidRPr="00B43367">
        <w:rPr>
          <w:i/>
        </w:rPr>
        <w:t>2022 ve 2023 yılları içerisinde Gazlaştırılmış LNG teslimi için miktar ölçümü, FSRU üzerinde mevcut sayaçlar ile yapılacak olup daha sonrasında karada kurulacak ölçüm istasyonu verileri, ilgili miktarlara esas teşkil edecektir.</w:t>
      </w:r>
    </w:p>
    <w:p w:rsidR="00B43367" w:rsidRDefault="00B43367" w:rsidP="00B43367">
      <w:pPr>
        <w:pStyle w:val="ListeParagraf"/>
        <w:ind w:left="1491"/>
        <w:rPr>
          <w:i/>
        </w:rPr>
      </w:pPr>
    </w:p>
    <w:p w:rsidR="009B4A8B" w:rsidRDefault="009B4A8B" w:rsidP="000A5A56">
      <w:pPr>
        <w:pStyle w:val="ListeParagraf"/>
        <w:numPr>
          <w:ilvl w:val="0"/>
          <w:numId w:val="8"/>
        </w:numPr>
        <w:spacing w:after="160" w:line="259" w:lineRule="auto"/>
      </w:pPr>
      <w:r>
        <w:t xml:space="preserve">30.12.2022 tarihli ve 32059 sayılı Resmî </w:t>
      </w:r>
      <w:r w:rsidR="00274939">
        <w:t>Gazetede</w:t>
      </w:r>
      <w:r>
        <w:t xml:space="preserve"> yayımlanan 29.12.2022 tarihli ve 11520 sayılı Kurul Kararı ile </w:t>
      </w:r>
      <w:r w:rsidRPr="009B4A8B">
        <w:t>Doğal Gaz İletim Lisansı Sahibi Şirketlerin Tarifelerine Esas Gelir Tavanlarının Belirlenmesine İlişkin Usul ve Esasların</w:t>
      </w:r>
      <w:r w:rsidRPr="00DA2EFC">
        <w:t xml:space="preserve"> </w:t>
      </w:r>
    </w:p>
    <w:p w:rsidR="009B4A8B" w:rsidRPr="00A43E74" w:rsidRDefault="009B4A8B" w:rsidP="009B4A8B">
      <w:pPr>
        <w:pStyle w:val="ListeParagraf"/>
        <w:ind w:left="1004"/>
        <w:rPr>
          <w:i/>
        </w:rPr>
      </w:pPr>
    </w:p>
    <w:p w:rsidR="009B4A8B" w:rsidRDefault="009B4A8B" w:rsidP="000A5A56">
      <w:pPr>
        <w:pStyle w:val="ListeParagraf"/>
        <w:numPr>
          <w:ilvl w:val="0"/>
          <w:numId w:val="61"/>
        </w:numPr>
        <w:spacing w:after="160" w:line="259" w:lineRule="auto"/>
      </w:pPr>
      <w:r w:rsidRPr="009B4A8B">
        <w:t>14 üncü maddesine aşağıdaki fıkra eklenmiştir.</w:t>
      </w:r>
    </w:p>
    <w:p w:rsidR="009B4A8B" w:rsidRDefault="009B4A8B" w:rsidP="009B4A8B">
      <w:pPr>
        <w:pStyle w:val="ListeParagraf"/>
      </w:pPr>
    </w:p>
    <w:p w:rsidR="00331245" w:rsidRDefault="009B4A8B" w:rsidP="009B4A8B">
      <w:pPr>
        <w:pStyle w:val="ListeParagraf"/>
        <w:ind w:left="1491"/>
        <w:rPr>
          <w:i/>
        </w:rPr>
      </w:pPr>
      <w:r w:rsidRPr="009B4A8B">
        <w:rPr>
          <w:i/>
        </w:rPr>
        <w:t>“(5) Yıllık gelir gereksinimi hesaplamalarına esas teşkil eden düzenlenmiş işletme giderleri içerisinde yer alan ve Kurul tarafından kontrol edilemeyen mahiyette olduğuna karar verilen işletme gideri kalemlerinde tarife uygulama dönemi içerisinde meydana gelen değişiklikler, 15 inci madde uyarınca yapılan gelir tavanı hesaplamalarında dikkate alınır. Söz konusu değişikliklerin tespitinde dikkate alınacak parametreler Kurul tarafından ayrıca belirlenir.”</w:t>
      </w:r>
    </w:p>
    <w:p w:rsidR="009B4A8B" w:rsidRDefault="009B4A8B" w:rsidP="009B4A8B">
      <w:pPr>
        <w:pStyle w:val="ListeParagraf"/>
      </w:pPr>
    </w:p>
    <w:p w:rsidR="009B4A8B" w:rsidRDefault="009B4A8B" w:rsidP="000A5A56">
      <w:pPr>
        <w:pStyle w:val="ListeParagraf"/>
        <w:numPr>
          <w:ilvl w:val="0"/>
          <w:numId w:val="61"/>
        </w:numPr>
        <w:spacing w:after="160" w:line="259" w:lineRule="auto"/>
      </w:pPr>
      <w:r w:rsidRPr="009B4A8B">
        <w:t>15 inci maddesinin birinci fıkrası aşağıdaki şekilde değiştirilmiştir.</w:t>
      </w:r>
    </w:p>
    <w:p w:rsidR="009B4A8B" w:rsidRDefault="009B4A8B" w:rsidP="009B4A8B">
      <w:pPr>
        <w:pStyle w:val="ListeParagraf"/>
      </w:pPr>
    </w:p>
    <w:p w:rsidR="009B4A8B" w:rsidRPr="009B4A8B" w:rsidRDefault="009B4A8B" w:rsidP="009B4A8B">
      <w:pPr>
        <w:pStyle w:val="ListeParagraf"/>
        <w:ind w:left="1491"/>
        <w:rPr>
          <w:i/>
        </w:rPr>
      </w:pPr>
      <w:r w:rsidRPr="009B4A8B">
        <w:rPr>
          <w:i/>
        </w:rPr>
        <w:t>“(1) İletim şirketinin her tarife yılı için belirlenecek iletim ve sevkiyat kontrolüne ilişkin birim bedellerin hesaplanmasında Eşitlik (10)’a göre hesaplanan gelir tavanı esas alınır.</w:t>
      </w:r>
    </w:p>
    <w:p w:rsidR="009B4A8B" w:rsidRDefault="009B4A8B" w:rsidP="009B4A8B">
      <w:pPr>
        <w:pStyle w:val="ListeParagraf"/>
        <w:ind w:left="1491"/>
        <w:rPr>
          <w:i/>
        </w:rPr>
      </w:pPr>
      <w:r w:rsidRPr="009B4A8B">
        <w:rPr>
          <w:i/>
        </w:rPr>
        <w:t>GTt = GGGt * (1¬¬¬- Xt )+ KİGBt +GFDBt</w:t>
      </w:r>
      <w:r w:rsidRPr="009B4A8B">
        <w:rPr>
          <w:i/>
        </w:rPr>
        <w:tab/>
      </w:r>
      <w:r w:rsidRPr="009B4A8B">
        <w:rPr>
          <w:i/>
        </w:rPr>
        <w:tab/>
      </w:r>
      <w:r w:rsidRPr="009B4A8B">
        <w:rPr>
          <w:i/>
        </w:rPr>
        <w:tab/>
      </w:r>
      <w:r w:rsidRPr="009B4A8B">
        <w:rPr>
          <w:i/>
        </w:rPr>
        <w:tab/>
      </w:r>
      <w:r w:rsidRPr="009B4A8B">
        <w:rPr>
          <w:i/>
        </w:rPr>
        <w:tab/>
      </w:r>
      <w:r w:rsidRPr="009B4A8B">
        <w:rPr>
          <w:i/>
        </w:rPr>
        <w:tab/>
      </w:r>
      <w:r w:rsidRPr="009B4A8B">
        <w:rPr>
          <w:i/>
        </w:rPr>
        <w:tab/>
        <w:t>(10)</w:t>
      </w:r>
    </w:p>
    <w:p w:rsidR="009B4A8B" w:rsidRPr="009B4A8B" w:rsidRDefault="009B4A8B" w:rsidP="009B4A8B">
      <w:pPr>
        <w:pStyle w:val="ListeParagraf"/>
        <w:ind w:left="1491"/>
        <w:rPr>
          <w:i/>
        </w:rPr>
      </w:pPr>
    </w:p>
    <w:p w:rsidR="009B4A8B" w:rsidRPr="009B4A8B" w:rsidRDefault="009B4A8B" w:rsidP="009B4A8B">
      <w:pPr>
        <w:pStyle w:val="ListeParagraf"/>
        <w:ind w:left="1491"/>
        <w:rPr>
          <w:i/>
        </w:rPr>
      </w:pPr>
      <w:r w:rsidRPr="009B4A8B">
        <w:rPr>
          <w:i/>
        </w:rPr>
        <w:t>t</w:t>
      </w:r>
      <w:r w:rsidRPr="009B4A8B">
        <w:rPr>
          <w:i/>
        </w:rPr>
        <w:tab/>
        <w:t xml:space="preserve">: Tarife Uygulama Dönemindeki her bir Tarife Yılını, </w:t>
      </w:r>
    </w:p>
    <w:p w:rsidR="009B4A8B" w:rsidRPr="009B4A8B" w:rsidRDefault="009B4A8B" w:rsidP="009B4A8B">
      <w:pPr>
        <w:pStyle w:val="ListeParagraf"/>
        <w:ind w:left="1491"/>
        <w:rPr>
          <w:i/>
        </w:rPr>
      </w:pPr>
      <w:r w:rsidRPr="009B4A8B">
        <w:rPr>
          <w:i/>
        </w:rPr>
        <w:t>GTt</w:t>
      </w:r>
      <w:r w:rsidRPr="009B4A8B">
        <w:rPr>
          <w:i/>
        </w:rPr>
        <w:tab/>
        <w:t xml:space="preserve">: t Tarife Yılı Gelir Tavanını, </w:t>
      </w:r>
    </w:p>
    <w:p w:rsidR="009B4A8B" w:rsidRPr="009B4A8B" w:rsidRDefault="009B4A8B" w:rsidP="009B4A8B">
      <w:pPr>
        <w:pStyle w:val="ListeParagraf"/>
        <w:ind w:left="1491"/>
        <w:rPr>
          <w:i/>
        </w:rPr>
      </w:pPr>
      <w:r w:rsidRPr="009B4A8B">
        <w:rPr>
          <w:i/>
        </w:rPr>
        <w:t>GGGt</w:t>
      </w:r>
      <w:r w:rsidRPr="009B4A8B">
        <w:rPr>
          <w:i/>
        </w:rPr>
        <w:tab/>
        <w:t xml:space="preserve">: t Tarife Yılına ilişkin Eşitlik (11)’e göre hesaplanan güncellenmiş Gelir Gereksinimini, </w:t>
      </w:r>
    </w:p>
    <w:p w:rsidR="009B4A8B" w:rsidRPr="009B4A8B" w:rsidRDefault="009B4A8B" w:rsidP="009B4A8B">
      <w:pPr>
        <w:pStyle w:val="ListeParagraf"/>
        <w:ind w:left="1491"/>
        <w:rPr>
          <w:i/>
        </w:rPr>
      </w:pPr>
      <w:r w:rsidRPr="009B4A8B">
        <w:rPr>
          <w:i/>
        </w:rPr>
        <w:t>Xt</w:t>
      </w:r>
      <w:r w:rsidRPr="009B4A8B">
        <w:rPr>
          <w:i/>
        </w:rPr>
        <w:tab/>
        <w:t>: t Tarife Yılı için uygulama dönemi başında belirlenen verimlilik parametresini,</w:t>
      </w:r>
    </w:p>
    <w:p w:rsidR="009B4A8B" w:rsidRPr="009B4A8B" w:rsidRDefault="009B4A8B" w:rsidP="009B4A8B">
      <w:pPr>
        <w:pStyle w:val="ListeParagraf"/>
        <w:ind w:left="1491"/>
        <w:rPr>
          <w:i/>
        </w:rPr>
      </w:pPr>
      <w:r w:rsidRPr="009B4A8B">
        <w:rPr>
          <w:i/>
        </w:rPr>
        <w:t xml:space="preserve">KİGBt </w:t>
      </w:r>
      <w:r w:rsidRPr="009B4A8B">
        <w:rPr>
          <w:i/>
        </w:rPr>
        <w:tab/>
        <w:t>: t tarife yılı gelir tavanı hesaplamalarında dikkate alınacak ve 14 üncü maddenin beşinci fıkrası kapsamında tespit edilen kontrol edilemeyen işletme giderlerinde meydana gelen sapmayı,</w:t>
      </w:r>
    </w:p>
    <w:p w:rsidR="009B4A8B" w:rsidRPr="009B4A8B" w:rsidRDefault="009B4A8B" w:rsidP="009B4A8B">
      <w:pPr>
        <w:pStyle w:val="ListeParagraf"/>
        <w:ind w:left="1491"/>
        <w:rPr>
          <w:i/>
        </w:rPr>
      </w:pPr>
      <w:r w:rsidRPr="009B4A8B">
        <w:rPr>
          <w:i/>
        </w:rPr>
        <w:t>GFDBt</w:t>
      </w:r>
      <w:r w:rsidRPr="009B4A8B">
        <w:rPr>
          <w:i/>
        </w:rPr>
        <w:tab/>
        <w:t>: t Tarife Yılı için Eşitlik (12)’e göre hesaplanan Gelir Farkı Düzeltme Bileşenini gösterir.”</w:t>
      </w:r>
    </w:p>
    <w:p w:rsidR="009B4A8B" w:rsidRDefault="009B4A8B" w:rsidP="009B4A8B">
      <w:pPr>
        <w:pStyle w:val="ListeParagraf"/>
      </w:pPr>
    </w:p>
    <w:p w:rsidR="00F07769" w:rsidRDefault="00F07769" w:rsidP="000A5A56">
      <w:pPr>
        <w:pStyle w:val="ListeParagraf"/>
        <w:numPr>
          <w:ilvl w:val="0"/>
          <w:numId w:val="8"/>
        </w:numPr>
        <w:spacing w:after="160" w:line="259" w:lineRule="auto"/>
      </w:pPr>
      <w:r>
        <w:t xml:space="preserve">30.12.2022 tarihli ve 32059 sayılı Resmî </w:t>
      </w:r>
      <w:r w:rsidR="00274939">
        <w:t>Gazetede</w:t>
      </w:r>
      <w:r>
        <w:t xml:space="preserve"> yayımlanan 29.12.2022 tarihli ve 11521 sayılı Kurul Kararı ile 03/10/2013 tarihli ve 4638-1 sayılı Kurul Kararı ile kabul edilen </w:t>
      </w:r>
      <w:r w:rsidRPr="00274939">
        <w:rPr>
          <w:b/>
        </w:rPr>
        <w:t>“Doğal Gaz İletim Lisansı Sahibi Şirketlerin Tarifelerine Esas Gelir Tavanlarının Belirlenmesine İlişkin Usul ve Esaslar”</w:t>
      </w:r>
      <w:r>
        <w:t xml:space="preserve"> çerçevesinde 23/05/2003 tarihli ve DİL/148-17/021 numaralı iletim lisansı sahibi Boru Hatları İle Petrol Taşıma Anonim Şirketi’nin (BOTAŞ) dördüncü tarife uygulama dönemine ilişkin iletim ve sevkiyat kontrol tarifelerine esas yıllık gelir gereksinimlerinin belirlenmesine yönelik karar verilmiştir.</w:t>
      </w:r>
    </w:p>
    <w:p w:rsidR="00F07769" w:rsidRDefault="00F07769" w:rsidP="00F07769">
      <w:pPr>
        <w:pStyle w:val="ListeParagraf"/>
        <w:ind w:left="1004"/>
        <w:rPr>
          <w:i/>
        </w:rPr>
      </w:pPr>
    </w:p>
    <w:p w:rsidR="00F07769" w:rsidRDefault="00F07769" w:rsidP="000A5A56">
      <w:pPr>
        <w:pStyle w:val="ListeParagraf"/>
        <w:numPr>
          <w:ilvl w:val="0"/>
          <w:numId w:val="8"/>
        </w:numPr>
        <w:spacing w:after="160" w:line="259" w:lineRule="auto"/>
      </w:pPr>
      <w:r>
        <w:t xml:space="preserve">30.12.2022 tarihli ve 32059 sayılı Resmî </w:t>
      </w:r>
      <w:r w:rsidR="00274939">
        <w:t>Gazetede</w:t>
      </w:r>
      <w:r>
        <w:t xml:space="preserve"> yayımlanan 29.12.2022 tarihli ve 11522 sayılı Kurul Kararı ile </w:t>
      </w:r>
      <w:r w:rsidRPr="00F07769">
        <w:t xml:space="preserve">03/10/2013 tarihli ve 4638-1 sayılı Kurul Kararı ile kabul edilen </w:t>
      </w:r>
      <w:r w:rsidRPr="00274939">
        <w:rPr>
          <w:b/>
        </w:rPr>
        <w:t xml:space="preserve">“Doğal Gaz İletim Lisansı Sahibi </w:t>
      </w:r>
      <w:r w:rsidRPr="00274939">
        <w:rPr>
          <w:b/>
        </w:rPr>
        <w:lastRenderedPageBreak/>
        <w:t>Şirketlerin Tarifelerine Esas Gelir Tavanlarının Belirlenmesine İlişkin Usul ve Esaslar”</w:t>
      </w:r>
      <w:r w:rsidRPr="00F07769">
        <w:t xml:space="preserve"> çerçevesinde 23/05/2003 tarihli ve DİL/148-17/021 numaralı iletim lisansı sahibi Boru Hatları İle Petrol Taşıma Anonim Şirketi’nin (BOTAŞ) 2023-2025 tarife uygulama dönemine ilişkin ekteki Yöntem Bildiriminin onaylanmasına</w:t>
      </w:r>
      <w:r>
        <w:t xml:space="preserve"> karar verilmiştir.</w:t>
      </w:r>
    </w:p>
    <w:p w:rsidR="00F07769" w:rsidRDefault="00F07769" w:rsidP="00F07769">
      <w:pPr>
        <w:pStyle w:val="ListeParagraf"/>
      </w:pPr>
    </w:p>
    <w:p w:rsidR="00F07769" w:rsidRDefault="00F07769" w:rsidP="000A5A56">
      <w:pPr>
        <w:pStyle w:val="ListeParagraf"/>
        <w:numPr>
          <w:ilvl w:val="0"/>
          <w:numId w:val="8"/>
        </w:numPr>
        <w:spacing w:after="160" w:line="259" w:lineRule="auto"/>
      </w:pPr>
      <w:r>
        <w:t xml:space="preserve">30.12.2022 tarihli ve 32059 sayılı Resmî </w:t>
      </w:r>
      <w:r w:rsidR="00274939">
        <w:t>Gazetede</w:t>
      </w:r>
      <w:r>
        <w:t xml:space="preserve"> yayımlanan 29.12.2022 tarihli ve 11523 sayılı Kurul Kararı ile </w:t>
      </w:r>
      <w:r w:rsidRPr="00F07769">
        <w:t xml:space="preserve">03/10/2013 tarihli ve 4638-1 sayılı Kurul Kararı ile kabul edilen </w:t>
      </w:r>
      <w:r w:rsidRPr="00274939">
        <w:rPr>
          <w:b/>
        </w:rPr>
        <w:t>“Doğal Gaz İletim Lisansı Sahibi Şirketlerin Tarifelerine Esas Gelir Tavanlarının Belirlenmesine İlişkin Usul ve Esaslar”</w:t>
      </w:r>
      <w:r w:rsidRPr="00F07769">
        <w:t xml:space="preserve"> çerçevesinde 23/05/2003 tarihli ve DİL/148-17/021 numaralı iletim lisansı sahibi Boru Hatları İle Petrol Taşıma Anonim Şirketi’nin (BOTAŞ) 2023 yılına ait gelir tavanı ile ilgi yıl için uygulanacak iletim ve sevkiyat kontrol bedellerinin belirlenmesine yönelik</w:t>
      </w:r>
      <w:r>
        <w:t xml:space="preserve"> karar verilmiştir.</w:t>
      </w:r>
    </w:p>
    <w:p w:rsidR="00AE0367" w:rsidRDefault="00AE0367" w:rsidP="00AE0367">
      <w:pPr>
        <w:pStyle w:val="ListeParagraf"/>
      </w:pPr>
    </w:p>
    <w:p w:rsidR="009F0E99" w:rsidRDefault="009F0E99" w:rsidP="000A5A56">
      <w:pPr>
        <w:pStyle w:val="ListeParagraf"/>
        <w:numPr>
          <w:ilvl w:val="0"/>
          <w:numId w:val="8"/>
        </w:numPr>
        <w:spacing w:after="160" w:line="259" w:lineRule="auto"/>
      </w:pPr>
      <w:r>
        <w:t xml:space="preserve">30.12.2022 tarihli ve 32059 sayılı Resmî </w:t>
      </w:r>
      <w:r w:rsidR="00274939">
        <w:t>Gazetede</w:t>
      </w:r>
      <w:r>
        <w:t xml:space="preserve"> yayımlanan 29.12.2022 tarihli ve 11506 sayılı Kurul Kararı ile </w:t>
      </w:r>
      <w:r w:rsidRPr="009F0E99">
        <w:t>4646 sayılı Doğal Gaz Piyasası Kanunu ve ilgili mevzuat kapsamında doğal gaz piyasasında faaliyet gösteren/gösterecek gerçek ve tüzel kişiler tarafından Kuruma elektronik ortamda yapılabilecek başvurulara ilişkin olarak alınmış olan “04/04/2019 tarihli ve 8522 sayılı Kurul Kararı”nın</w:t>
      </w:r>
    </w:p>
    <w:p w:rsidR="009F0E99" w:rsidRDefault="009F0E99" w:rsidP="009F0E99">
      <w:pPr>
        <w:pStyle w:val="ListeParagraf"/>
      </w:pPr>
    </w:p>
    <w:p w:rsidR="009F0E99" w:rsidRDefault="009F0E99" w:rsidP="000A5A56">
      <w:pPr>
        <w:pStyle w:val="ListeParagraf"/>
        <w:numPr>
          <w:ilvl w:val="0"/>
          <w:numId w:val="61"/>
        </w:numPr>
        <w:spacing w:after="160" w:line="259" w:lineRule="auto"/>
      </w:pPr>
      <w:r w:rsidRPr="009F0E99">
        <w:t>2 nci maddesinin birinci fıkrasının birinci cümlesi aşağıdaki şekilde değiştirilmiştir.</w:t>
      </w:r>
    </w:p>
    <w:p w:rsidR="009F0E99" w:rsidRPr="009F0E99" w:rsidRDefault="009F0E99" w:rsidP="009F0E99">
      <w:pPr>
        <w:pStyle w:val="ListeParagraf"/>
        <w:ind w:left="1491"/>
        <w:rPr>
          <w:i/>
        </w:rPr>
      </w:pPr>
    </w:p>
    <w:p w:rsidR="009F0E99" w:rsidRPr="009F0E99" w:rsidRDefault="009F0E99" w:rsidP="009F0E99">
      <w:pPr>
        <w:pStyle w:val="ListeParagraf"/>
        <w:ind w:left="1491"/>
        <w:rPr>
          <w:i/>
        </w:rPr>
      </w:pPr>
      <w:r w:rsidRPr="009F0E99">
        <w:rPr>
          <w:i/>
        </w:rPr>
        <w:t>“1 inci maddede belirtilen başvurular 31/12/2023 tarihine kadar yazılı olarak da alınmaya devam edilir.”</w:t>
      </w:r>
    </w:p>
    <w:p w:rsidR="009F0E99" w:rsidRDefault="009F0E99" w:rsidP="00AE0367">
      <w:pPr>
        <w:pStyle w:val="ListeParagraf"/>
      </w:pPr>
    </w:p>
    <w:p w:rsidR="00AE0367" w:rsidRDefault="00AE0367" w:rsidP="000A5A56">
      <w:pPr>
        <w:pStyle w:val="ListeParagraf"/>
        <w:numPr>
          <w:ilvl w:val="0"/>
          <w:numId w:val="8"/>
        </w:numPr>
        <w:spacing w:after="160" w:line="259" w:lineRule="auto"/>
      </w:pPr>
      <w:r>
        <w:t xml:space="preserve">30.12.2022 tarihli ve 32059 sayılı Resmî </w:t>
      </w:r>
      <w:r w:rsidR="00274939">
        <w:t>Gazetede</w:t>
      </w:r>
      <w:r>
        <w:t xml:space="preserve"> yayımlanan </w:t>
      </w:r>
      <w:r w:rsidR="009F0E99">
        <w:t>29</w:t>
      </w:r>
      <w:r>
        <w:t xml:space="preserve">.12.2022 tarihli ve 11525 sayılı Kurul Kararı ile </w:t>
      </w:r>
      <w:r w:rsidRPr="00AE0367">
        <w:t>Doğal Gaz Piyasasında faaliyet gösteren lisans sahiplerinin, 2022 yılı faaliyetleri için 2023 yılında ödemekle yükümlü oldukları, 2023 yılında uygulanacak katılma payı oranına ilişkin aşağıdaki Karar alınmıştır.</w:t>
      </w:r>
    </w:p>
    <w:p w:rsidR="00AE0367" w:rsidRDefault="00AE0367" w:rsidP="00AE0367">
      <w:pPr>
        <w:pStyle w:val="ListeParagraf"/>
      </w:pPr>
    </w:p>
    <w:p w:rsidR="00AE0367" w:rsidRPr="00AE0367" w:rsidRDefault="00AE0367" w:rsidP="00AE0367">
      <w:pPr>
        <w:pStyle w:val="ListeParagraf"/>
        <w:ind w:left="1491"/>
        <w:rPr>
          <w:i/>
        </w:rPr>
      </w:pPr>
      <w:r w:rsidRPr="00AE0367">
        <w:rPr>
          <w:i/>
        </w:rPr>
        <w:t xml:space="preserve">MADDE 1- 4628 sayılı Enerji Piyasası Düzenleme Kurumunun Teşkilat ve Görevleri Hakkında Kanununun 5 inci maddesinin yedinci fıkrasının (i) bendi ve 10 uncu maddesinin 4646 sayılı Doğal Gaz Piyasası Kanununun 19 uncu maddesi ile değişik (B) fıkrasının (a) bendi ile Doğal Gaz Piyasası Lisans Yönetmeliğinin 13 üncü ve Doğal Gaz Piyasası Sertifika Yönetmeliğinin 13 üncü maddeleri uyarınca,   </w:t>
      </w:r>
    </w:p>
    <w:p w:rsidR="00AE0367" w:rsidRPr="00AE0367" w:rsidRDefault="00AE0367" w:rsidP="00AE0367">
      <w:pPr>
        <w:pStyle w:val="ListeParagraf"/>
        <w:ind w:left="1491"/>
        <w:rPr>
          <w:i/>
        </w:rPr>
      </w:pPr>
    </w:p>
    <w:p w:rsidR="00AE0367" w:rsidRPr="00AE0367" w:rsidRDefault="00AE0367" w:rsidP="000A5A56">
      <w:pPr>
        <w:pStyle w:val="ListeParagraf"/>
        <w:numPr>
          <w:ilvl w:val="0"/>
          <w:numId w:val="63"/>
        </w:numPr>
        <w:rPr>
          <w:i/>
        </w:rPr>
      </w:pPr>
      <w:r w:rsidRPr="00AE0367">
        <w:rPr>
          <w:i/>
        </w:rPr>
        <w:t>Doğal Gaz Piyasasında faaliyet gösteren lisans sahibi tüzel kişilerin 2023 yılında ödemekle yükümlü oldukları 2022 yılı katılma payına ilişkin oran, 2022 yılı faaliyet dönemine ilişkin olarak düzenleyecekleri gelir tablolarında yer alan safi satış hasılatı tutarının %0,05 (onbindebeş)’i,</w:t>
      </w:r>
    </w:p>
    <w:p w:rsidR="00AE0367" w:rsidRPr="00AE0367" w:rsidRDefault="00AE0367" w:rsidP="00AE0367">
      <w:pPr>
        <w:pStyle w:val="ListeParagraf"/>
        <w:ind w:left="1491"/>
        <w:rPr>
          <w:i/>
        </w:rPr>
      </w:pPr>
      <w:r w:rsidRPr="00AE0367">
        <w:rPr>
          <w:i/>
        </w:rPr>
        <w:t xml:space="preserve"> </w:t>
      </w:r>
    </w:p>
    <w:p w:rsidR="00AE0367" w:rsidRPr="00AE0367" w:rsidRDefault="00AE0367" w:rsidP="000A5A56">
      <w:pPr>
        <w:pStyle w:val="ListeParagraf"/>
        <w:numPr>
          <w:ilvl w:val="0"/>
          <w:numId w:val="63"/>
        </w:numPr>
        <w:rPr>
          <w:i/>
        </w:rPr>
      </w:pPr>
      <w:r w:rsidRPr="00AE0367">
        <w:rPr>
          <w:i/>
        </w:rPr>
        <w:t>Doğal Gaz Piyasasında faaliyet gösteren sertifika sahibi tüzel kişilerin 2023 yılında ödemekle yükümlü oldukları katılma payına ilişkin oran 2022 yılı faaliyetleri için 0 (sıfır),</w:t>
      </w:r>
    </w:p>
    <w:p w:rsidR="00AE0367" w:rsidRPr="00AE0367" w:rsidRDefault="00AE0367" w:rsidP="00AE0367">
      <w:pPr>
        <w:pStyle w:val="ListeParagraf"/>
        <w:ind w:left="1491"/>
        <w:rPr>
          <w:i/>
        </w:rPr>
      </w:pPr>
    </w:p>
    <w:p w:rsidR="00AE0367" w:rsidRPr="00AE0367" w:rsidRDefault="00AE0367" w:rsidP="00AE0367">
      <w:pPr>
        <w:pStyle w:val="ListeParagraf"/>
        <w:ind w:left="1491"/>
        <w:rPr>
          <w:i/>
        </w:rPr>
      </w:pPr>
      <w:r w:rsidRPr="00AE0367">
        <w:rPr>
          <w:i/>
        </w:rPr>
        <w:t xml:space="preserve"> olarak belirlenmiştir.</w:t>
      </w:r>
    </w:p>
    <w:p w:rsidR="00AE0367" w:rsidRDefault="00AE0367" w:rsidP="00AE0367">
      <w:pPr>
        <w:spacing w:after="0" w:line="240" w:lineRule="auto"/>
        <w:ind w:left="1287"/>
        <w:rPr>
          <w:rFonts w:ascii="Times New Roman" w:eastAsia="Times New Roman" w:hAnsi="Times New Roman"/>
          <w:sz w:val="24"/>
          <w:szCs w:val="24"/>
          <w:lang w:eastAsia="tr-TR"/>
        </w:rPr>
      </w:pPr>
      <w:r w:rsidRPr="008B6A9F">
        <w:rPr>
          <w:rFonts w:ascii="Times New Roman" w:eastAsia="Times New Roman" w:hAnsi="Times New Roman"/>
          <w:sz w:val="24"/>
          <w:szCs w:val="24"/>
          <w:lang w:eastAsia="tr-TR"/>
        </w:rPr>
        <w:t xml:space="preserve"> </w:t>
      </w:r>
    </w:p>
    <w:p w:rsidR="00AE0367" w:rsidRPr="00AE0367" w:rsidRDefault="00AE0367" w:rsidP="000A5A56">
      <w:pPr>
        <w:pStyle w:val="ListeParagraf"/>
        <w:numPr>
          <w:ilvl w:val="0"/>
          <w:numId w:val="63"/>
        </w:numPr>
        <w:rPr>
          <w:i/>
        </w:rPr>
      </w:pPr>
      <w:r w:rsidRPr="00AE0367">
        <w:rPr>
          <w:i/>
        </w:rPr>
        <w:lastRenderedPageBreak/>
        <w:t>(Ek bent: RG-30/12/2022-32059) Kurum tarafından katılma payı mükelleflerinden lisans türüne göre tahsil edilecek katılma payı tutarı, 100.000.000.- (Yüzmilyon) TL'yi aşmayacak şekilde hesaplanır.</w:t>
      </w:r>
    </w:p>
    <w:p w:rsidR="00F07769" w:rsidRPr="00A43E74" w:rsidRDefault="00F07769" w:rsidP="00F07769">
      <w:pPr>
        <w:pStyle w:val="ListeParagraf"/>
        <w:ind w:left="1004"/>
        <w:rPr>
          <w:i/>
        </w:rPr>
      </w:pPr>
    </w:p>
    <w:p w:rsidR="00794A7D" w:rsidRPr="00ED32C1" w:rsidRDefault="00ED32C1" w:rsidP="000A5A56">
      <w:pPr>
        <w:pStyle w:val="ListeParagraf"/>
        <w:numPr>
          <w:ilvl w:val="0"/>
          <w:numId w:val="29"/>
        </w:numPr>
        <w:spacing w:after="160" w:line="259" w:lineRule="auto"/>
      </w:pPr>
      <w:r>
        <w:rPr>
          <w:rFonts w:cstheme="minorHAnsi"/>
          <w:lang w:eastAsia="tr-TR"/>
        </w:rPr>
        <w:t>30</w:t>
      </w:r>
      <w:r w:rsidR="00794A7D" w:rsidRPr="00ED32C1">
        <w:rPr>
          <w:rFonts w:cstheme="minorHAnsi"/>
          <w:lang w:eastAsia="tr-TR"/>
        </w:rPr>
        <w:t>.1</w:t>
      </w:r>
      <w:r>
        <w:rPr>
          <w:rFonts w:cstheme="minorHAnsi"/>
          <w:lang w:eastAsia="tr-TR"/>
        </w:rPr>
        <w:t>0</w:t>
      </w:r>
      <w:r w:rsidR="00794A7D" w:rsidRPr="00ED32C1">
        <w:rPr>
          <w:rFonts w:cstheme="minorHAnsi"/>
          <w:lang w:eastAsia="tr-TR"/>
        </w:rPr>
        <w:t>.202</w:t>
      </w:r>
      <w:r>
        <w:rPr>
          <w:rFonts w:cstheme="minorHAnsi"/>
          <w:lang w:eastAsia="tr-TR"/>
        </w:rPr>
        <w:t>2</w:t>
      </w:r>
      <w:r w:rsidR="00794A7D" w:rsidRPr="00ED32C1">
        <w:rPr>
          <w:rFonts w:cstheme="minorHAnsi"/>
          <w:lang w:eastAsia="tr-TR"/>
        </w:rPr>
        <w:t xml:space="preserve"> tarihli ve 31</w:t>
      </w:r>
      <w:r>
        <w:rPr>
          <w:rFonts w:cstheme="minorHAnsi"/>
          <w:lang w:eastAsia="tr-TR"/>
        </w:rPr>
        <w:t>998</w:t>
      </w:r>
      <w:r w:rsidR="00794A7D" w:rsidRPr="00ED32C1">
        <w:rPr>
          <w:rFonts w:cstheme="minorHAnsi"/>
          <w:lang w:eastAsia="tr-TR"/>
        </w:rPr>
        <w:t xml:space="preserve"> sayılı Resmî </w:t>
      </w:r>
      <w:r w:rsidR="00274939">
        <w:rPr>
          <w:rFonts w:cstheme="minorHAnsi"/>
          <w:lang w:eastAsia="tr-TR"/>
        </w:rPr>
        <w:t>Gazetede</w:t>
      </w:r>
      <w:r w:rsidR="00794A7D" w:rsidRPr="00ED32C1">
        <w:rPr>
          <w:rFonts w:cstheme="minorHAnsi"/>
          <w:lang w:eastAsia="tr-TR"/>
        </w:rPr>
        <w:t xml:space="preserve"> yayımlanan </w:t>
      </w:r>
      <w:r>
        <w:rPr>
          <w:rFonts w:cstheme="minorHAnsi"/>
          <w:lang w:eastAsia="tr-TR"/>
        </w:rPr>
        <w:t>27</w:t>
      </w:r>
      <w:r w:rsidR="00794A7D" w:rsidRPr="00ED32C1">
        <w:rPr>
          <w:rFonts w:cstheme="minorHAnsi"/>
          <w:lang w:eastAsia="tr-TR"/>
        </w:rPr>
        <w:t>.1</w:t>
      </w:r>
      <w:r>
        <w:rPr>
          <w:rFonts w:cstheme="minorHAnsi"/>
          <w:lang w:eastAsia="tr-TR"/>
        </w:rPr>
        <w:t>0</w:t>
      </w:r>
      <w:r w:rsidR="00794A7D" w:rsidRPr="00ED32C1">
        <w:rPr>
          <w:rFonts w:cstheme="minorHAnsi"/>
          <w:lang w:eastAsia="tr-TR"/>
        </w:rPr>
        <w:t>.202</w:t>
      </w:r>
      <w:r>
        <w:rPr>
          <w:rFonts w:cstheme="minorHAnsi"/>
          <w:lang w:eastAsia="tr-TR"/>
        </w:rPr>
        <w:t>2</w:t>
      </w:r>
      <w:r w:rsidR="00794A7D" w:rsidRPr="00ED32C1">
        <w:rPr>
          <w:rFonts w:cstheme="minorHAnsi"/>
          <w:lang w:eastAsia="tr-TR"/>
        </w:rPr>
        <w:t xml:space="preserve"> tarihli ve </w:t>
      </w:r>
      <w:r>
        <w:rPr>
          <w:rFonts w:cstheme="minorHAnsi"/>
          <w:lang w:eastAsia="tr-TR"/>
        </w:rPr>
        <w:t>11335</w:t>
      </w:r>
      <w:r w:rsidR="00794A7D" w:rsidRPr="00ED32C1">
        <w:rPr>
          <w:rFonts w:cstheme="minorHAnsi"/>
          <w:lang w:eastAsia="tr-TR"/>
        </w:rPr>
        <w:t xml:space="preserve"> sayılı Kurul Kararı ile doğal gaz piyasasında serbest tüketici olma sınırına ilişkin olarak 2015 yılı boyunca uygulanmak üzere alınan ve 26.12.2014 tarihli ve 29217 sayılı Resmî </w:t>
      </w:r>
      <w:r w:rsidR="00274939">
        <w:rPr>
          <w:rFonts w:cstheme="minorHAnsi"/>
          <w:lang w:eastAsia="tr-TR"/>
        </w:rPr>
        <w:t>Gazetede</w:t>
      </w:r>
      <w:r w:rsidR="00794A7D" w:rsidRPr="00ED32C1">
        <w:rPr>
          <w:rFonts w:cstheme="minorHAnsi"/>
          <w:lang w:eastAsia="tr-TR"/>
        </w:rPr>
        <w:t xml:space="preserve"> yayımlanan 18.12.2014 tarihli ve 5362 sayılı Kurul Kararının 202</w:t>
      </w:r>
      <w:r>
        <w:rPr>
          <w:rFonts w:cstheme="minorHAnsi"/>
          <w:lang w:eastAsia="tr-TR"/>
        </w:rPr>
        <w:t>3</w:t>
      </w:r>
      <w:r w:rsidR="00794A7D" w:rsidRPr="00ED32C1">
        <w:rPr>
          <w:rFonts w:cstheme="minorHAnsi"/>
          <w:lang w:eastAsia="tr-TR"/>
        </w:rPr>
        <w:t xml:space="preserve"> yılı boyunca aynen uygulanmasına karar verilmiştir.</w:t>
      </w:r>
      <w:r w:rsidR="002B3553" w:rsidRPr="00ED32C1">
        <w:rPr>
          <w:rFonts w:cstheme="minorHAnsi"/>
          <w:lang w:eastAsia="tr-TR"/>
        </w:rPr>
        <w:t xml:space="preserve"> </w:t>
      </w:r>
      <w:r w:rsidR="002B3553" w:rsidRPr="00ED32C1">
        <w:t>Yıllar itibarıyla doğal gaz piyasasında serbest tüketici limitinin değişimi Tablo 2.3’te yer almaktadır.</w:t>
      </w:r>
    </w:p>
    <w:p w:rsidR="002B3553" w:rsidRPr="002B3553" w:rsidRDefault="002B3553" w:rsidP="002B3553">
      <w:pPr>
        <w:pStyle w:val="ListeParagraf"/>
        <w:tabs>
          <w:tab w:val="left" w:pos="284"/>
          <w:tab w:val="left" w:pos="709"/>
          <w:tab w:val="left" w:pos="851"/>
        </w:tabs>
        <w:spacing w:after="0"/>
      </w:pPr>
    </w:p>
    <w:p w:rsidR="002B3553" w:rsidRPr="00410B0D" w:rsidRDefault="002B3553" w:rsidP="002B3553">
      <w:pPr>
        <w:pStyle w:val="Balk5"/>
        <w:spacing w:before="0"/>
        <w:jc w:val="center"/>
        <w:rPr>
          <w:rStyle w:val="Gl"/>
          <w:color w:val="000000" w:themeColor="text1"/>
        </w:rPr>
      </w:pPr>
      <w:bookmarkStart w:id="105" w:name="_Toc132713890"/>
      <w:r w:rsidRPr="00601061">
        <w:rPr>
          <w:rStyle w:val="Gl"/>
          <w:rFonts w:cstheme="minorHAnsi"/>
          <w:color w:val="000000" w:themeColor="text1"/>
        </w:rPr>
        <w:t>Tablo 2.</w:t>
      </w:r>
      <w:r>
        <w:rPr>
          <w:rStyle w:val="Gl"/>
          <w:rFonts w:cstheme="minorHAnsi"/>
          <w:color w:val="000000" w:themeColor="text1"/>
        </w:rPr>
        <w:t>3</w:t>
      </w:r>
      <w:r w:rsidRPr="00601061">
        <w:rPr>
          <w:rStyle w:val="Gl"/>
          <w:rFonts w:cstheme="minorHAnsi"/>
          <w:color w:val="000000" w:themeColor="text1"/>
        </w:rPr>
        <w:t>: Yıllar İtibarıyla Doğal Gaz Piyasasında Serbest Tüketici Limitinin Değişimi (2005-202</w:t>
      </w:r>
      <w:r w:rsidR="007E5E11">
        <w:rPr>
          <w:rStyle w:val="Gl"/>
          <w:rFonts w:cstheme="minorHAnsi"/>
          <w:color w:val="000000" w:themeColor="text1"/>
        </w:rPr>
        <w:t>2</w:t>
      </w:r>
      <w:r w:rsidRPr="00601061">
        <w:rPr>
          <w:rStyle w:val="Gl"/>
          <w:rFonts w:cstheme="minorHAnsi"/>
          <w:color w:val="000000" w:themeColor="text1"/>
        </w:rPr>
        <w:t>)</w:t>
      </w:r>
      <w:bookmarkEnd w:id="105"/>
    </w:p>
    <w:tbl>
      <w:tblPr>
        <w:tblW w:w="4502"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1276"/>
        <w:gridCol w:w="2126"/>
        <w:gridCol w:w="3404"/>
        <w:gridCol w:w="2119"/>
      </w:tblGrid>
      <w:tr w:rsidR="002B3553" w:rsidRPr="00410B0D" w:rsidTr="00782DC6">
        <w:trPr>
          <w:trHeight w:val="300"/>
          <w:tblHeader/>
          <w:jc w:val="center"/>
        </w:trPr>
        <w:tc>
          <w:tcPr>
            <w:tcW w:w="715" w:type="pct"/>
            <w:vMerge w:val="restart"/>
            <w:shd w:val="clear" w:color="auto" w:fill="6E9ECA"/>
            <w:vAlign w:val="center"/>
            <w:hideMark/>
          </w:tcPr>
          <w:p w:rsidR="002B3553" w:rsidRPr="00410B0D" w:rsidRDefault="002B3553" w:rsidP="00782DC6">
            <w:pPr>
              <w:spacing w:after="0" w:line="240" w:lineRule="auto"/>
              <w:jc w:val="center"/>
              <w:rPr>
                <w:rFonts w:eastAsia="Times New Roman"/>
                <w:b/>
                <w:bCs/>
                <w:color w:val="FFFFFF" w:themeColor="background1"/>
                <w:lang w:eastAsia="tr-TR"/>
              </w:rPr>
            </w:pPr>
            <w:r w:rsidRPr="00410B0D">
              <w:rPr>
                <w:rFonts w:eastAsia="Times New Roman"/>
                <w:b/>
                <w:bCs/>
                <w:color w:val="FFFFFF" w:themeColor="background1"/>
                <w:lang w:eastAsia="tr-TR"/>
              </w:rPr>
              <w:t>Uygulanan Yıl</w:t>
            </w:r>
          </w:p>
        </w:tc>
        <w:tc>
          <w:tcPr>
            <w:tcW w:w="1191" w:type="pct"/>
            <w:vMerge w:val="restart"/>
            <w:shd w:val="clear" w:color="auto" w:fill="6E9ECA"/>
            <w:vAlign w:val="center"/>
            <w:hideMark/>
          </w:tcPr>
          <w:p w:rsidR="002B3553" w:rsidRPr="00410B0D" w:rsidRDefault="002B3553" w:rsidP="00782DC6">
            <w:pPr>
              <w:spacing w:after="0" w:line="240" w:lineRule="auto"/>
              <w:jc w:val="center"/>
              <w:rPr>
                <w:rFonts w:eastAsia="Times New Roman"/>
                <w:b/>
                <w:bCs/>
                <w:color w:val="FFFFFF" w:themeColor="background1"/>
                <w:lang w:eastAsia="tr-TR"/>
              </w:rPr>
            </w:pPr>
            <w:r w:rsidRPr="00410B0D">
              <w:rPr>
                <w:rFonts w:eastAsia="Times New Roman"/>
                <w:b/>
                <w:bCs/>
                <w:color w:val="FFFFFF" w:themeColor="background1"/>
                <w:lang w:eastAsia="tr-TR"/>
              </w:rPr>
              <w:t>Kurul Karar Sayısı</w:t>
            </w:r>
          </w:p>
        </w:tc>
        <w:tc>
          <w:tcPr>
            <w:tcW w:w="3094" w:type="pct"/>
            <w:gridSpan w:val="2"/>
            <w:shd w:val="clear" w:color="auto" w:fill="6E9ECA"/>
            <w:vAlign w:val="bottom"/>
            <w:hideMark/>
          </w:tcPr>
          <w:p w:rsidR="002B3553" w:rsidRPr="00410B0D" w:rsidRDefault="002B3553" w:rsidP="00782DC6">
            <w:pPr>
              <w:spacing w:after="0" w:line="240" w:lineRule="auto"/>
              <w:jc w:val="center"/>
              <w:rPr>
                <w:rFonts w:eastAsia="Times New Roman"/>
                <w:b/>
                <w:bCs/>
                <w:color w:val="FFFFFF" w:themeColor="background1"/>
                <w:lang w:eastAsia="tr-TR"/>
              </w:rPr>
            </w:pPr>
            <w:r w:rsidRPr="00410B0D">
              <w:rPr>
                <w:rFonts w:eastAsia="Times New Roman"/>
                <w:b/>
                <w:bCs/>
                <w:color w:val="FFFFFF" w:themeColor="background1"/>
                <w:lang w:eastAsia="tr-TR"/>
              </w:rPr>
              <w:t>Serbest Tüketici Limiti</w:t>
            </w:r>
            <w:r>
              <w:rPr>
                <w:rFonts w:eastAsia="Times New Roman"/>
                <w:b/>
                <w:bCs/>
                <w:color w:val="FFFFFF" w:themeColor="background1"/>
                <w:lang w:eastAsia="tr-TR"/>
              </w:rPr>
              <w:t xml:space="preserve"> </w:t>
            </w:r>
            <w:r w:rsidRPr="00410B0D">
              <w:rPr>
                <w:rFonts w:eastAsia="Times New Roman"/>
                <w:b/>
                <w:bCs/>
                <w:color w:val="FFFFFF" w:themeColor="background1"/>
                <w:lang w:eastAsia="tr-TR"/>
              </w:rPr>
              <w:t>(m</w:t>
            </w:r>
            <w:r w:rsidRPr="00410B0D">
              <w:rPr>
                <w:rFonts w:eastAsia="Times New Roman"/>
                <w:b/>
                <w:bCs/>
                <w:color w:val="FFFFFF" w:themeColor="background1"/>
                <w:vertAlign w:val="superscript"/>
                <w:lang w:eastAsia="tr-TR"/>
              </w:rPr>
              <w:t>3</w:t>
            </w:r>
            <w:r w:rsidRPr="00410B0D">
              <w:rPr>
                <w:rFonts w:eastAsia="Times New Roman"/>
                <w:b/>
                <w:bCs/>
                <w:color w:val="FFFFFF" w:themeColor="background1"/>
                <w:lang w:eastAsia="tr-TR"/>
              </w:rPr>
              <w:t>)</w:t>
            </w:r>
          </w:p>
        </w:tc>
      </w:tr>
      <w:tr w:rsidR="002B3553" w:rsidRPr="00410B0D" w:rsidTr="00782DC6">
        <w:trPr>
          <w:trHeight w:val="900"/>
          <w:tblHeader/>
          <w:jc w:val="center"/>
        </w:trPr>
        <w:tc>
          <w:tcPr>
            <w:tcW w:w="715" w:type="pct"/>
            <w:vMerge/>
            <w:shd w:val="clear" w:color="auto" w:fill="6E9ECA"/>
            <w:vAlign w:val="center"/>
            <w:hideMark/>
          </w:tcPr>
          <w:p w:rsidR="002B3553" w:rsidRPr="00410B0D" w:rsidRDefault="002B3553" w:rsidP="00782DC6">
            <w:pPr>
              <w:spacing w:after="0" w:line="240" w:lineRule="auto"/>
              <w:jc w:val="center"/>
              <w:rPr>
                <w:rFonts w:eastAsia="Times New Roman"/>
                <w:b/>
                <w:bCs/>
                <w:color w:val="FFFFFF" w:themeColor="background1"/>
                <w:lang w:eastAsia="tr-TR"/>
              </w:rPr>
            </w:pPr>
          </w:p>
        </w:tc>
        <w:tc>
          <w:tcPr>
            <w:tcW w:w="1191" w:type="pct"/>
            <w:vMerge/>
            <w:shd w:val="clear" w:color="auto" w:fill="6E9ECA"/>
            <w:vAlign w:val="center"/>
            <w:hideMark/>
          </w:tcPr>
          <w:p w:rsidR="002B3553" w:rsidRPr="00410B0D" w:rsidRDefault="002B3553" w:rsidP="00782DC6">
            <w:pPr>
              <w:spacing w:after="0" w:line="240" w:lineRule="auto"/>
              <w:jc w:val="center"/>
              <w:rPr>
                <w:rFonts w:eastAsia="Times New Roman"/>
                <w:b/>
                <w:bCs/>
                <w:color w:val="FFFFFF" w:themeColor="background1"/>
                <w:lang w:eastAsia="tr-TR"/>
              </w:rPr>
            </w:pPr>
          </w:p>
        </w:tc>
        <w:tc>
          <w:tcPr>
            <w:tcW w:w="1907" w:type="pct"/>
            <w:shd w:val="clear" w:color="auto" w:fill="6E9ECA"/>
            <w:vAlign w:val="center"/>
            <w:hideMark/>
          </w:tcPr>
          <w:p w:rsidR="002B3553" w:rsidRPr="00410B0D" w:rsidRDefault="002B3553" w:rsidP="00782DC6">
            <w:pPr>
              <w:spacing w:after="0" w:line="240" w:lineRule="auto"/>
              <w:jc w:val="center"/>
              <w:rPr>
                <w:rFonts w:eastAsia="Times New Roman"/>
                <w:b/>
                <w:bCs/>
                <w:color w:val="FFFFFF" w:themeColor="background1"/>
                <w:lang w:eastAsia="tr-TR"/>
              </w:rPr>
            </w:pPr>
            <w:r w:rsidRPr="00410B0D">
              <w:rPr>
                <w:rFonts w:eastAsia="Times New Roman"/>
                <w:b/>
                <w:bCs/>
                <w:color w:val="FFFFFF" w:themeColor="background1"/>
                <w:lang w:eastAsia="tr-TR"/>
              </w:rPr>
              <w:t xml:space="preserve">Mevcut </w:t>
            </w:r>
            <w:r w:rsidR="00151CF9" w:rsidRPr="00410B0D">
              <w:rPr>
                <w:rFonts w:eastAsia="Times New Roman"/>
                <w:b/>
                <w:bCs/>
                <w:color w:val="FFFFFF" w:themeColor="background1"/>
                <w:lang w:eastAsia="tr-TR"/>
              </w:rPr>
              <w:t xml:space="preserve">Şirketler </w:t>
            </w:r>
            <w:r w:rsidR="00151CF9">
              <w:rPr>
                <w:rFonts w:eastAsia="Times New Roman"/>
                <w:b/>
                <w:bCs/>
                <w:color w:val="FFFFFF" w:themeColor="background1"/>
                <w:lang w:eastAsia="tr-TR"/>
              </w:rPr>
              <w:t>v</w:t>
            </w:r>
            <w:r w:rsidR="00151CF9" w:rsidRPr="00410B0D">
              <w:rPr>
                <w:rFonts w:eastAsia="Times New Roman"/>
                <w:b/>
                <w:bCs/>
                <w:color w:val="FFFFFF" w:themeColor="background1"/>
                <w:lang w:eastAsia="tr-TR"/>
              </w:rPr>
              <w:t>e Lisans Yürürlük Tarihinden İtibaren 5 Senesi Dolan İhaleli Şirketler</w:t>
            </w:r>
          </w:p>
        </w:tc>
        <w:tc>
          <w:tcPr>
            <w:tcW w:w="1187" w:type="pct"/>
            <w:shd w:val="clear" w:color="auto" w:fill="6E9ECA"/>
            <w:vAlign w:val="center"/>
            <w:hideMark/>
          </w:tcPr>
          <w:p w:rsidR="002B3553" w:rsidRPr="00410B0D" w:rsidRDefault="002B3553" w:rsidP="00782DC6">
            <w:pPr>
              <w:spacing w:after="0" w:line="240" w:lineRule="auto"/>
              <w:jc w:val="center"/>
              <w:rPr>
                <w:rFonts w:eastAsia="Times New Roman"/>
                <w:b/>
                <w:bCs/>
                <w:color w:val="FFFFFF" w:themeColor="background1"/>
                <w:lang w:eastAsia="tr-TR"/>
              </w:rPr>
            </w:pPr>
            <w:r w:rsidRPr="00410B0D">
              <w:rPr>
                <w:rFonts w:eastAsia="Times New Roman"/>
                <w:b/>
                <w:bCs/>
                <w:color w:val="FFFFFF" w:themeColor="background1"/>
                <w:lang w:eastAsia="tr-TR"/>
              </w:rPr>
              <w:t xml:space="preserve">İhale </w:t>
            </w:r>
            <w:r w:rsidR="00151CF9">
              <w:rPr>
                <w:rFonts w:eastAsia="Times New Roman"/>
                <w:b/>
                <w:bCs/>
                <w:color w:val="FFFFFF" w:themeColor="background1"/>
                <w:lang w:eastAsia="tr-TR"/>
              </w:rPr>
              <w:t>i</w:t>
            </w:r>
            <w:r w:rsidR="00151CF9" w:rsidRPr="00410B0D">
              <w:rPr>
                <w:rFonts w:eastAsia="Times New Roman"/>
                <w:b/>
                <w:bCs/>
                <w:color w:val="FFFFFF" w:themeColor="background1"/>
                <w:lang w:eastAsia="tr-TR"/>
              </w:rPr>
              <w:t>le Lisans Alan Diğer Şirketler</w:t>
            </w:r>
          </w:p>
        </w:tc>
      </w:tr>
      <w:tr w:rsidR="002B3553" w:rsidRPr="00410B0D" w:rsidTr="00782DC6">
        <w:trPr>
          <w:trHeight w:val="315"/>
          <w:jc w:val="center"/>
        </w:trPr>
        <w:tc>
          <w:tcPr>
            <w:tcW w:w="715" w:type="pct"/>
            <w:shd w:val="clear" w:color="auto" w:fill="auto"/>
            <w:noWrap/>
            <w:vAlign w:val="center"/>
            <w:hideMark/>
          </w:tcPr>
          <w:p w:rsidR="002B3553" w:rsidRPr="00410B0D" w:rsidRDefault="002B3553" w:rsidP="00782DC6">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2005</w:t>
            </w:r>
          </w:p>
        </w:tc>
        <w:tc>
          <w:tcPr>
            <w:tcW w:w="1191" w:type="pct"/>
            <w:shd w:val="clear" w:color="auto" w:fill="auto"/>
            <w:noWrap/>
            <w:vAlign w:val="center"/>
            <w:hideMark/>
          </w:tcPr>
          <w:p w:rsidR="002B3553" w:rsidRPr="00410B0D" w:rsidRDefault="002B3553" w:rsidP="00782DC6">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408</w:t>
            </w:r>
          </w:p>
        </w:tc>
        <w:tc>
          <w:tcPr>
            <w:tcW w:w="1907" w:type="pct"/>
            <w:shd w:val="clear" w:color="auto" w:fill="auto"/>
            <w:noWrap/>
            <w:vAlign w:val="bottom"/>
            <w:hideMark/>
          </w:tcPr>
          <w:p w:rsidR="002B3553" w:rsidRPr="00410B0D" w:rsidRDefault="002B3553" w:rsidP="00782DC6">
            <w:pPr>
              <w:spacing w:after="0" w:line="240" w:lineRule="auto"/>
              <w:jc w:val="right"/>
              <w:rPr>
                <w:rFonts w:eastAsia="Times New Roman"/>
                <w:color w:val="000000" w:themeColor="text1"/>
                <w:lang w:eastAsia="tr-TR"/>
              </w:rPr>
            </w:pPr>
            <w:r w:rsidRPr="00410B0D">
              <w:rPr>
                <w:rFonts w:eastAsia="Times New Roman"/>
                <w:color w:val="000000" w:themeColor="text1"/>
                <w:lang w:eastAsia="tr-TR"/>
              </w:rPr>
              <w:t xml:space="preserve">1.000.000 </w:t>
            </w:r>
          </w:p>
        </w:tc>
        <w:tc>
          <w:tcPr>
            <w:tcW w:w="1187" w:type="pct"/>
            <w:shd w:val="clear" w:color="auto" w:fill="auto"/>
            <w:noWrap/>
            <w:vAlign w:val="bottom"/>
            <w:hideMark/>
          </w:tcPr>
          <w:p w:rsidR="002B3553" w:rsidRPr="00410B0D" w:rsidRDefault="002B3553" w:rsidP="00782DC6">
            <w:pPr>
              <w:spacing w:after="0" w:line="240" w:lineRule="auto"/>
              <w:jc w:val="right"/>
              <w:rPr>
                <w:rFonts w:eastAsia="Times New Roman"/>
                <w:color w:val="000000" w:themeColor="text1"/>
                <w:lang w:eastAsia="tr-TR"/>
              </w:rPr>
            </w:pPr>
            <w:r w:rsidRPr="00410B0D">
              <w:rPr>
                <w:rFonts w:eastAsia="Times New Roman"/>
                <w:color w:val="000000" w:themeColor="text1"/>
                <w:lang w:eastAsia="tr-TR"/>
              </w:rPr>
              <w:t xml:space="preserve">15.000.000 </w:t>
            </w:r>
          </w:p>
        </w:tc>
      </w:tr>
      <w:tr w:rsidR="002B3553" w:rsidRPr="00410B0D" w:rsidTr="00782DC6">
        <w:trPr>
          <w:trHeight w:val="315"/>
          <w:jc w:val="center"/>
        </w:trPr>
        <w:tc>
          <w:tcPr>
            <w:tcW w:w="715" w:type="pct"/>
            <w:shd w:val="clear" w:color="auto" w:fill="auto"/>
            <w:noWrap/>
            <w:vAlign w:val="center"/>
            <w:hideMark/>
          </w:tcPr>
          <w:p w:rsidR="002B3553" w:rsidRPr="00410B0D" w:rsidRDefault="002B3553" w:rsidP="00782DC6">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2006</w:t>
            </w:r>
          </w:p>
        </w:tc>
        <w:tc>
          <w:tcPr>
            <w:tcW w:w="1191" w:type="pct"/>
            <w:shd w:val="clear" w:color="auto" w:fill="auto"/>
            <w:noWrap/>
            <w:vAlign w:val="center"/>
            <w:hideMark/>
          </w:tcPr>
          <w:p w:rsidR="002B3553" w:rsidRPr="00410B0D" w:rsidRDefault="002B3553" w:rsidP="00782DC6">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629</w:t>
            </w:r>
          </w:p>
        </w:tc>
        <w:tc>
          <w:tcPr>
            <w:tcW w:w="1907" w:type="pct"/>
            <w:shd w:val="clear" w:color="auto" w:fill="auto"/>
            <w:noWrap/>
            <w:vAlign w:val="bottom"/>
            <w:hideMark/>
          </w:tcPr>
          <w:p w:rsidR="002B3553" w:rsidRPr="00410B0D" w:rsidRDefault="002B3553" w:rsidP="00782DC6">
            <w:pPr>
              <w:spacing w:after="0" w:line="240" w:lineRule="auto"/>
              <w:jc w:val="right"/>
              <w:rPr>
                <w:rFonts w:eastAsia="Times New Roman"/>
                <w:color w:val="000000" w:themeColor="text1"/>
                <w:lang w:eastAsia="tr-TR"/>
              </w:rPr>
            </w:pPr>
            <w:r w:rsidRPr="00410B0D">
              <w:rPr>
                <w:rFonts w:eastAsia="Times New Roman"/>
                <w:color w:val="000000" w:themeColor="text1"/>
                <w:lang w:eastAsia="tr-TR"/>
              </w:rPr>
              <w:t xml:space="preserve">1.000.000 </w:t>
            </w:r>
          </w:p>
        </w:tc>
        <w:tc>
          <w:tcPr>
            <w:tcW w:w="1187" w:type="pct"/>
            <w:shd w:val="clear" w:color="auto" w:fill="auto"/>
            <w:noWrap/>
            <w:vAlign w:val="bottom"/>
            <w:hideMark/>
          </w:tcPr>
          <w:p w:rsidR="002B3553" w:rsidRPr="00410B0D" w:rsidRDefault="002B3553" w:rsidP="00782DC6">
            <w:pPr>
              <w:spacing w:after="0" w:line="240" w:lineRule="auto"/>
              <w:jc w:val="right"/>
              <w:rPr>
                <w:rFonts w:eastAsia="Times New Roman"/>
                <w:color w:val="000000" w:themeColor="text1"/>
                <w:lang w:eastAsia="tr-TR"/>
              </w:rPr>
            </w:pPr>
            <w:r w:rsidRPr="00410B0D">
              <w:rPr>
                <w:rFonts w:eastAsia="Times New Roman"/>
                <w:color w:val="000000" w:themeColor="text1"/>
                <w:lang w:eastAsia="tr-TR"/>
              </w:rPr>
              <w:t xml:space="preserve">15.000.000 </w:t>
            </w:r>
          </w:p>
        </w:tc>
      </w:tr>
      <w:tr w:rsidR="002B3553" w:rsidRPr="00410B0D" w:rsidTr="00782DC6">
        <w:trPr>
          <w:trHeight w:val="315"/>
          <w:jc w:val="center"/>
        </w:trPr>
        <w:tc>
          <w:tcPr>
            <w:tcW w:w="715" w:type="pct"/>
            <w:shd w:val="clear" w:color="auto" w:fill="auto"/>
            <w:noWrap/>
            <w:vAlign w:val="center"/>
            <w:hideMark/>
          </w:tcPr>
          <w:p w:rsidR="002B3553" w:rsidRPr="00410B0D" w:rsidRDefault="002B3553" w:rsidP="00782DC6">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2007</w:t>
            </w:r>
          </w:p>
        </w:tc>
        <w:tc>
          <w:tcPr>
            <w:tcW w:w="1191" w:type="pct"/>
            <w:shd w:val="clear" w:color="auto" w:fill="auto"/>
            <w:noWrap/>
            <w:vAlign w:val="center"/>
            <w:hideMark/>
          </w:tcPr>
          <w:p w:rsidR="002B3553" w:rsidRPr="00410B0D" w:rsidRDefault="002B3553" w:rsidP="00782DC6">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1032</w:t>
            </w:r>
          </w:p>
        </w:tc>
        <w:tc>
          <w:tcPr>
            <w:tcW w:w="1907" w:type="pct"/>
            <w:shd w:val="clear" w:color="auto" w:fill="auto"/>
            <w:noWrap/>
            <w:vAlign w:val="bottom"/>
            <w:hideMark/>
          </w:tcPr>
          <w:p w:rsidR="002B3553" w:rsidRPr="00410B0D" w:rsidRDefault="002B3553" w:rsidP="00782DC6">
            <w:pPr>
              <w:spacing w:after="0" w:line="240" w:lineRule="auto"/>
              <w:jc w:val="right"/>
              <w:rPr>
                <w:rFonts w:eastAsia="Times New Roman"/>
                <w:color w:val="000000" w:themeColor="text1"/>
                <w:lang w:eastAsia="tr-TR"/>
              </w:rPr>
            </w:pPr>
            <w:r w:rsidRPr="00410B0D">
              <w:rPr>
                <w:rFonts w:eastAsia="Times New Roman"/>
                <w:color w:val="000000" w:themeColor="text1"/>
                <w:lang w:eastAsia="tr-TR"/>
              </w:rPr>
              <w:t xml:space="preserve">1.000.000 </w:t>
            </w:r>
          </w:p>
        </w:tc>
        <w:tc>
          <w:tcPr>
            <w:tcW w:w="1187" w:type="pct"/>
            <w:shd w:val="clear" w:color="auto" w:fill="auto"/>
            <w:noWrap/>
            <w:vAlign w:val="bottom"/>
            <w:hideMark/>
          </w:tcPr>
          <w:p w:rsidR="002B3553" w:rsidRPr="00410B0D" w:rsidRDefault="002B3553" w:rsidP="00782DC6">
            <w:pPr>
              <w:spacing w:after="0" w:line="240" w:lineRule="auto"/>
              <w:jc w:val="right"/>
              <w:rPr>
                <w:rFonts w:eastAsia="Times New Roman"/>
                <w:color w:val="000000" w:themeColor="text1"/>
                <w:lang w:eastAsia="tr-TR"/>
              </w:rPr>
            </w:pPr>
            <w:r w:rsidRPr="00410B0D">
              <w:rPr>
                <w:rFonts w:eastAsia="Times New Roman"/>
                <w:color w:val="000000" w:themeColor="text1"/>
                <w:lang w:eastAsia="tr-TR"/>
              </w:rPr>
              <w:t xml:space="preserve">15.000.000 </w:t>
            </w:r>
          </w:p>
        </w:tc>
      </w:tr>
      <w:tr w:rsidR="002B3553" w:rsidRPr="00410B0D" w:rsidTr="00782DC6">
        <w:trPr>
          <w:trHeight w:val="315"/>
          <w:jc w:val="center"/>
        </w:trPr>
        <w:tc>
          <w:tcPr>
            <w:tcW w:w="715" w:type="pct"/>
            <w:shd w:val="clear" w:color="auto" w:fill="auto"/>
            <w:noWrap/>
            <w:vAlign w:val="center"/>
            <w:hideMark/>
          </w:tcPr>
          <w:p w:rsidR="002B3553" w:rsidRPr="00410B0D" w:rsidRDefault="002B3553" w:rsidP="00782DC6">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2008</w:t>
            </w:r>
          </w:p>
        </w:tc>
        <w:tc>
          <w:tcPr>
            <w:tcW w:w="1191" w:type="pct"/>
            <w:shd w:val="clear" w:color="auto" w:fill="auto"/>
            <w:noWrap/>
            <w:vAlign w:val="center"/>
            <w:hideMark/>
          </w:tcPr>
          <w:p w:rsidR="002B3553" w:rsidRPr="00410B0D" w:rsidRDefault="002B3553" w:rsidP="00782DC6">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1438 ve 1808/1</w:t>
            </w:r>
          </w:p>
        </w:tc>
        <w:tc>
          <w:tcPr>
            <w:tcW w:w="1907" w:type="pct"/>
            <w:shd w:val="clear" w:color="auto" w:fill="auto"/>
            <w:noWrap/>
            <w:vAlign w:val="bottom"/>
            <w:hideMark/>
          </w:tcPr>
          <w:p w:rsidR="002B3553" w:rsidRPr="00410B0D" w:rsidRDefault="002B3553" w:rsidP="00782DC6">
            <w:pPr>
              <w:spacing w:after="0" w:line="240" w:lineRule="auto"/>
              <w:jc w:val="right"/>
              <w:rPr>
                <w:rFonts w:eastAsia="Times New Roman"/>
                <w:color w:val="000000" w:themeColor="text1"/>
                <w:lang w:eastAsia="tr-TR"/>
              </w:rPr>
            </w:pPr>
            <w:r w:rsidRPr="00410B0D">
              <w:rPr>
                <w:rFonts w:eastAsia="Times New Roman"/>
                <w:color w:val="000000" w:themeColor="text1"/>
                <w:lang w:eastAsia="tr-TR"/>
              </w:rPr>
              <w:t xml:space="preserve">1.000.000 </w:t>
            </w:r>
          </w:p>
        </w:tc>
        <w:tc>
          <w:tcPr>
            <w:tcW w:w="1187" w:type="pct"/>
            <w:shd w:val="clear" w:color="auto" w:fill="auto"/>
            <w:noWrap/>
            <w:vAlign w:val="bottom"/>
            <w:hideMark/>
          </w:tcPr>
          <w:p w:rsidR="002B3553" w:rsidRPr="00410B0D" w:rsidRDefault="002B3553" w:rsidP="00782DC6">
            <w:pPr>
              <w:spacing w:after="0" w:line="240" w:lineRule="auto"/>
              <w:jc w:val="right"/>
              <w:rPr>
                <w:rFonts w:eastAsia="Times New Roman"/>
                <w:color w:val="000000" w:themeColor="text1"/>
                <w:lang w:eastAsia="tr-TR"/>
              </w:rPr>
            </w:pPr>
            <w:r w:rsidRPr="00410B0D">
              <w:rPr>
                <w:rFonts w:eastAsia="Times New Roman"/>
                <w:color w:val="000000" w:themeColor="text1"/>
                <w:lang w:eastAsia="tr-TR"/>
              </w:rPr>
              <w:t xml:space="preserve">15.000.000 </w:t>
            </w:r>
          </w:p>
        </w:tc>
      </w:tr>
      <w:tr w:rsidR="002B3553" w:rsidRPr="00410B0D" w:rsidTr="00782DC6">
        <w:trPr>
          <w:trHeight w:val="315"/>
          <w:jc w:val="center"/>
        </w:trPr>
        <w:tc>
          <w:tcPr>
            <w:tcW w:w="715" w:type="pct"/>
            <w:shd w:val="clear" w:color="auto" w:fill="auto"/>
            <w:noWrap/>
            <w:vAlign w:val="center"/>
            <w:hideMark/>
          </w:tcPr>
          <w:p w:rsidR="002B3553" w:rsidRPr="00410B0D" w:rsidRDefault="002B3553" w:rsidP="00782DC6">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2009</w:t>
            </w:r>
          </w:p>
        </w:tc>
        <w:tc>
          <w:tcPr>
            <w:tcW w:w="1191" w:type="pct"/>
            <w:shd w:val="clear" w:color="auto" w:fill="auto"/>
            <w:noWrap/>
            <w:vAlign w:val="center"/>
            <w:hideMark/>
          </w:tcPr>
          <w:p w:rsidR="002B3553" w:rsidRPr="00410B0D" w:rsidRDefault="002B3553" w:rsidP="00782DC6">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1896/1</w:t>
            </w:r>
          </w:p>
        </w:tc>
        <w:tc>
          <w:tcPr>
            <w:tcW w:w="1907" w:type="pct"/>
            <w:shd w:val="clear" w:color="auto" w:fill="auto"/>
            <w:noWrap/>
            <w:vAlign w:val="bottom"/>
            <w:hideMark/>
          </w:tcPr>
          <w:p w:rsidR="002B3553" w:rsidRPr="00410B0D" w:rsidRDefault="002B3553" w:rsidP="00782DC6">
            <w:pPr>
              <w:spacing w:after="0" w:line="240" w:lineRule="auto"/>
              <w:jc w:val="right"/>
              <w:rPr>
                <w:rFonts w:eastAsia="Times New Roman"/>
                <w:color w:val="000000" w:themeColor="text1"/>
                <w:lang w:eastAsia="tr-TR"/>
              </w:rPr>
            </w:pPr>
            <w:r w:rsidRPr="00410B0D">
              <w:rPr>
                <w:rFonts w:eastAsia="Times New Roman"/>
                <w:color w:val="000000" w:themeColor="text1"/>
                <w:lang w:eastAsia="tr-TR"/>
              </w:rPr>
              <w:t xml:space="preserve">1.000.000 </w:t>
            </w:r>
          </w:p>
        </w:tc>
        <w:tc>
          <w:tcPr>
            <w:tcW w:w="1187" w:type="pct"/>
            <w:shd w:val="clear" w:color="auto" w:fill="auto"/>
            <w:noWrap/>
            <w:vAlign w:val="bottom"/>
            <w:hideMark/>
          </w:tcPr>
          <w:p w:rsidR="002B3553" w:rsidRPr="00410B0D" w:rsidRDefault="002B3553" w:rsidP="00782DC6">
            <w:pPr>
              <w:spacing w:after="0" w:line="240" w:lineRule="auto"/>
              <w:jc w:val="right"/>
              <w:rPr>
                <w:rFonts w:eastAsia="Times New Roman"/>
                <w:color w:val="000000" w:themeColor="text1"/>
                <w:lang w:eastAsia="tr-TR"/>
              </w:rPr>
            </w:pPr>
            <w:r w:rsidRPr="00410B0D">
              <w:rPr>
                <w:rFonts w:eastAsia="Times New Roman"/>
                <w:color w:val="000000" w:themeColor="text1"/>
                <w:lang w:eastAsia="tr-TR"/>
              </w:rPr>
              <w:t xml:space="preserve">15.000.000 </w:t>
            </w:r>
          </w:p>
        </w:tc>
      </w:tr>
      <w:tr w:rsidR="002B3553" w:rsidRPr="00410B0D" w:rsidTr="00782DC6">
        <w:trPr>
          <w:trHeight w:val="315"/>
          <w:jc w:val="center"/>
        </w:trPr>
        <w:tc>
          <w:tcPr>
            <w:tcW w:w="715" w:type="pct"/>
            <w:shd w:val="clear" w:color="auto" w:fill="auto"/>
            <w:noWrap/>
            <w:vAlign w:val="center"/>
            <w:hideMark/>
          </w:tcPr>
          <w:p w:rsidR="002B3553" w:rsidRPr="00410B0D" w:rsidRDefault="002B3553" w:rsidP="00782DC6">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2010</w:t>
            </w:r>
          </w:p>
        </w:tc>
        <w:tc>
          <w:tcPr>
            <w:tcW w:w="1191" w:type="pct"/>
            <w:shd w:val="clear" w:color="auto" w:fill="auto"/>
            <w:noWrap/>
            <w:vAlign w:val="center"/>
            <w:hideMark/>
          </w:tcPr>
          <w:p w:rsidR="002B3553" w:rsidRPr="00410B0D" w:rsidRDefault="002B3553" w:rsidP="00782DC6">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2378</w:t>
            </w:r>
          </w:p>
        </w:tc>
        <w:tc>
          <w:tcPr>
            <w:tcW w:w="1907" w:type="pct"/>
            <w:shd w:val="clear" w:color="auto" w:fill="auto"/>
            <w:noWrap/>
            <w:vAlign w:val="bottom"/>
            <w:hideMark/>
          </w:tcPr>
          <w:p w:rsidR="002B3553" w:rsidRPr="00410B0D" w:rsidRDefault="002B3553" w:rsidP="00782DC6">
            <w:pPr>
              <w:spacing w:after="0" w:line="240" w:lineRule="auto"/>
              <w:jc w:val="right"/>
              <w:rPr>
                <w:rFonts w:eastAsia="Times New Roman"/>
                <w:color w:val="000000" w:themeColor="text1"/>
                <w:lang w:eastAsia="tr-TR"/>
              </w:rPr>
            </w:pPr>
            <w:r w:rsidRPr="00410B0D">
              <w:rPr>
                <w:rFonts w:eastAsia="Times New Roman"/>
                <w:color w:val="000000" w:themeColor="text1"/>
                <w:lang w:eastAsia="tr-TR"/>
              </w:rPr>
              <w:t xml:space="preserve">800.000 </w:t>
            </w:r>
          </w:p>
        </w:tc>
        <w:tc>
          <w:tcPr>
            <w:tcW w:w="1187" w:type="pct"/>
            <w:shd w:val="clear" w:color="auto" w:fill="auto"/>
            <w:noWrap/>
            <w:vAlign w:val="bottom"/>
            <w:hideMark/>
          </w:tcPr>
          <w:p w:rsidR="002B3553" w:rsidRPr="00410B0D" w:rsidRDefault="002B3553" w:rsidP="00782DC6">
            <w:pPr>
              <w:spacing w:after="0" w:line="240" w:lineRule="auto"/>
              <w:jc w:val="right"/>
              <w:rPr>
                <w:rFonts w:eastAsia="Times New Roman"/>
                <w:color w:val="000000" w:themeColor="text1"/>
                <w:lang w:eastAsia="tr-TR"/>
              </w:rPr>
            </w:pPr>
            <w:r w:rsidRPr="00410B0D">
              <w:rPr>
                <w:rFonts w:eastAsia="Times New Roman"/>
                <w:color w:val="000000" w:themeColor="text1"/>
                <w:lang w:eastAsia="tr-TR"/>
              </w:rPr>
              <w:t xml:space="preserve">15.000.000 </w:t>
            </w:r>
          </w:p>
        </w:tc>
      </w:tr>
      <w:tr w:rsidR="002B3553" w:rsidRPr="00410B0D" w:rsidTr="00782DC6">
        <w:trPr>
          <w:trHeight w:val="315"/>
          <w:jc w:val="center"/>
        </w:trPr>
        <w:tc>
          <w:tcPr>
            <w:tcW w:w="715" w:type="pct"/>
            <w:shd w:val="clear" w:color="auto" w:fill="auto"/>
            <w:noWrap/>
            <w:vAlign w:val="center"/>
            <w:hideMark/>
          </w:tcPr>
          <w:p w:rsidR="002B3553" w:rsidRPr="00410B0D" w:rsidRDefault="002B3553" w:rsidP="00782DC6">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2011</w:t>
            </w:r>
          </w:p>
        </w:tc>
        <w:tc>
          <w:tcPr>
            <w:tcW w:w="1191" w:type="pct"/>
            <w:shd w:val="clear" w:color="auto" w:fill="auto"/>
            <w:noWrap/>
            <w:vAlign w:val="center"/>
            <w:hideMark/>
          </w:tcPr>
          <w:p w:rsidR="002B3553" w:rsidRPr="00410B0D" w:rsidRDefault="002B3553" w:rsidP="00782DC6">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2966</w:t>
            </w:r>
          </w:p>
        </w:tc>
        <w:tc>
          <w:tcPr>
            <w:tcW w:w="1907" w:type="pct"/>
            <w:shd w:val="clear" w:color="auto" w:fill="auto"/>
            <w:noWrap/>
            <w:vAlign w:val="bottom"/>
            <w:hideMark/>
          </w:tcPr>
          <w:p w:rsidR="002B3553" w:rsidRPr="00410B0D" w:rsidRDefault="002B3553" w:rsidP="00782DC6">
            <w:pPr>
              <w:spacing w:after="0" w:line="240" w:lineRule="auto"/>
              <w:jc w:val="right"/>
              <w:rPr>
                <w:rFonts w:eastAsia="Times New Roman"/>
                <w:color w:val="000000" w:themeColor="text1"/>
                <w:lang w:eastAsia="tr-TR"/>
              </w:rPr>
            </w:pPr>
            <w:r w:rsidRPr="00410B0D">
              <w:rPr>
                <w:rFonts w:eastAsia="Times New Roman"/>
                <w:color w:val="000000" w:themeColor="text1"/>
                <w:lang w:eastAsia="tr-TR"/>
              </w:rPr>
              <w:t xml:space="preserve">700.000 </w:t>
            </w:r>
          </w:p>
        </w:tc>
        <w:tc>
          <w:tcPr>
            <w:tcW w:w="1187" w:type="pct"/>
            <w:shd w:val="clear" w:color="auto" w:fill="auto"/>
            <w:noWrap/>
            <w:vAlign w:val="bottom"/>
            <w:hideMark/>
          </w:tcPr>
          <w:p w:rsidR="002B3553" w:rsidRPr="00410B0D" w:rsidRDefault="002B3553" w:rsidP="00782DC6">
            <w:pPr>
              <w:spacing w:after="0" w:line="240" w:lineRule="auto"/>
              <w:jc w:val="right"/>
              <w:rPr>
                <w:rFonts w:eastAsia="Times New Roman"/>
                <w:color w:val="000000" w:themeColor="text1"/>
                <w:lang w:eastAsia="tr-TR"/>
              </w:rPr>
            </w:pPr>
            <w:r w:rsidRPr="00410B0D">
              <w:rPr>
                <w:rFonts w:eastAsia="Times New Roman"/>
                <w:color w:val="000000" w:themeColor="text1"/>
                <w:lang w:eastAsia="tr-TR"/>
              </w:rPr>
              <w:t xml:space="preserve">15.000.000 </w:t>
            </w:r>
          </w:p>
        </w:tc>
      </w:tr>
      <w:tr w:rsidR="002B3553" w:rsidRPr="00410B0D" w:rsidTr="00782DC6">
        <w:trPr>
          <w:trHeight w:val="315"/>
          <w:jc w:val="center"/>
        </w:trPr>
        <w:tc>
          <w:tcPr>
            <w:tcW w:w="715" w:type="pct"/>
            <w:shd w:val="clear" w:color="auto" w:fill="auto"/>
            <w:noWrap/>
            <w:vAlign w:val="center"/>
            <w:hideMark/>
          </w:tcPr>
          <w:p w:rsidR="002B3553" w:rsidRPr="00410B0D" w:rsidRDefault="002B3553" w:rsidP="00782DC6">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2012</w:t>
            </w:r>
          </w:p>
        </w:tc>
        <w:tc>
          <w:tcPr>
            <w:tcW w:w="1191" w:type="pct"/>
            <w:shd w:val="clear" w:color="auto" w:fill="auto"/>
            <w:noWrap/>
            <w:vAlign w:val="center"/>
            <w:hideMark/>
          </w:tcPr>
          <w:p w:rsidR="002B3553" w:rsidRPr="00410B0D" w:rsidRDefault="002B3553" w:rsidP="00782DC6">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3600</w:t>
            </w:r>
          </w:p>
        </w:tc>
        <w:tc>
          <w:tcPr>
            <w:tcW w:w="1907" w:type="pct"/>
            <w:shd w:val="clear" w:color="auto" w:fill="auto"/>
            <w:noWrap/>
            <w:vAlign w:val="bottom"/>
            <w:hideMark/>
          </w:tcPr>
          <w:p w:rsidR="002B3553" w:rsidRPr="00410B0D" w:rsidRDefault="002B3553" w:rsidP="00782DC6">
            <w:pPr>
              <w:spacing w:after="0" w:line="240" w:lineRule="auto"/>
              <w:jc w:val="right"/>
              <w:rPr>
                <w:rFonts w:eastAsia="Times New Roman"/>
                <w:color w:val="000000" w:themeColor="text1"/>
                <w:lang w:eastAsia="tr-TR"/>
              </w:rPr>
            </w:pPr>
            <w:r w:rsidRPr="00410B0D">
              <w:rPr>
                <w:rFonts w:eastAsia="Times New Roman"/>
                <w:color w:val="000000" w:themeColor="text1"/>
                <w:lang w:eastAsia="tr-TR"/>
              </w:rPr>
              <w:t xml:space="preserve">300.000 </w:t>
            </w:r>
          </w:p>
        </w:tc>
        <w:tc>
          <w:tcPr>
            <w:tcW w:w="1187" w:type="pct"/>
            <w:shd w:val="clear" w:color="auto" w:fill="auto"/>
            <w:noWrap/>
            <w:vAlign w:val="bottom"/>
            <w:hideMark/>
          </w:tcPr>
          <w:p w:rsidR="002B3553" w:rsidRPr="00410B0D" w:rsidRDefault="002B3553" w:rsidP="00782DC6">
            <w:pPr>
              <w:spacing w:after="0" w:line="240" w:lineRule="auto"/>
              <w:jc w:val="right"/>
              <w:rPr>
                <w:rFonts w:eastAsia="Times New Roman"/>
                <w:color w:val="000000" w:themeColor="text1"/>
                <w:lang w:eastAsia="tr-TR"/>
              </w:rPr>
            </w:pPr>
            <w:r w:rsidRPr="00410B0D">
              <w:rPr>
                <w:rFonts w:eastAsia="Times New Roman"/>
                <w:color w:val="000000" w:themeColor="text1"/>
                <w:lang w:eastAsia="tr-TR"/>
              </w:rPr>
              <w:t xml:space="preserve">15.000.000 </w:t>
            </w:r>
          </w:p>
        </w:tc>
      </w:tr>
      <w:tr w:rsidR="002B3553" w:rsidRPr="00410B0D" w:rsidTr="00782DC6">
        <w:trPr>
          <w:trHeight w:val="1078"/>
          <w:jc w:val="center"/>
        </w:trPr>
        <w:tc>
          <w:tcPr>
            <w:tcW w:w="715" w:type="pct"/>
            <w:shd w:val="clear" w:color="auto" w:fill="auto"/>
            <w:noWrap/>
            <w:vAlign w:val="center"/>
            <w:hideMark/>
          </w:tcPr>
          <w:p w:rsidR="002B3553" w:rsidRPr="00410B0D" w:rsidRDefault="002B3553" w:rsidP="00782DC6">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2013</w:t>
            </w:r>
          </w:p>
        </w:tc>
        <w:tc>
          <w:tcPr>
            <w:tcW w:w="1191" w:type="pct"/>
            <w:shd w:val="clear" w:color="auto" w:fill="auto"/>
            <w:noWrap/>
            <w:vAlign w:val="center"/>
            <w:hideMark/>
          </w:tcPr>
          <w:p w:rsidR="002B3553" w:rsidRPr="00410B0D" w:rsidRDefault="002B3553" w:rsidP="00782DC6">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4168</w:t>
            </w:r>
          </w:p>
        </w:tc>
        <w:tc>
          <w:tcPr>
            <w:tcW w:w="1907" w:type="pct"/>
            <w:shd w:val="clear" w:color="auto" w:fill="auto"/>
            <w:vAlign w:val="bottom"/>
            <w:hideMark/>
          </w:tcPr>
          <w:p w:rsidR="002B3553" w:rsidRPr="00410B0D" w:rsidRDefault="002B3553" w:rsidP="00782DC6">
            <w:pPr>
              <w:spacing w:after="0" w:line="240" w:lineRule="auto"/>
              <w:rPr>
                <w:rFonts w:eastAsia="Times New Roman"/>
                <w:color w:val="000000" w:themeColor="text1"/>
                <w:lang w:eastAsia="tr-TR"/>
              </w:rPr>
            </w:pPr>
            <w:r w:rsidRPr="00410B0D">
              <w:rPr>
                <w:rFonts w:eastAsia="Times New Roman"/>
                <w:color w:val="000000" w:themeColor="text1"/>
                <w:lang w:eastAsia="tr-TR"/>
              </w:rPr>
              <w:t>Kullanımı 300.000 m</w:t>
            </w:r>
            <w:r w:rsidRPr="00410B0D">
              <w:rPr>
                <w:rFonts w:eastAsia="Times New Roman"/>
                <w:color w:val="000000" w:themeColor="text1"/>
                <w:vertAlign w:val="superscript"/>
                <w:lang w:eastAsia="tr-TR"/>
              </w:rPr>
              <w:t>3</w:t>
            </w:r>
            <w:r w:rsidRPr="00410B0D">
              <w:rPr>
                <w:rFonts w:eastAsia="Times New Roman"/>
                <w:color w:val="000000" w:themeColor="text1"/>
                <w:lang w:eastAsia="tr-TR"/>
              </w:rPr>
              <w:t xml:space="preserve"> altında kalan konut tüketicileri</w:t>
            </w:r>
            <w:r>
              <w:rPr>
                <w:rFonts w:eastAsia="Times New Roman"/>
                <w:color w:val="000000" w:themeColor="text1"/>
                <w:lang w:eastAsia="tr-TR"/>
              </w:rPr>
              <w:t xml:space="preserve"> </w:t>
            </w:r>
            <w:r w:rsidRPr="00410B0D">
              <w:rPr>
                <w:rFonts w:eastAsia="Times New Roman"/>
                <w:color w:val="000000" w:themeColor="text1"/>
                <w:lang w:eastAsia="tr-TR"/>
              </w:rPr>
              <w:t>(evsel tüketiciler) hariç olmak üzere, tüm tüketiciler serbest tüketicidir.*</w:t>
            </w:r>
          </w:p>
        </w:tc>
        <w:tc>
          <w:tcPr>
            <w:tcW w:w="1187" w:type="pct"/>
            <w:shd w:val="clear" w:color="auto" w:fill="auto"/>
            <w:vAlign w:val="center"/>
            <w:hideMark/>
          </w:tcPr>
          <w:p w:rsidR="002B3553" w:rsidRPr="00410B0D" w:rsidRDefault="002B3553" w:rsidP="00151CF9">
            <w:pPr>
              <w:spacing w:after="0" w:line="240" w:lineRule="auto"/>
              <w:jc w:val="left"/>
              <w:rPr>
                <w:rFonts w:eastAsia="Times New Roman"/>
                <w:color w:val="000000" w:themeColor="text1"/>
                <w:lang w:eastAsia="tr-TR"/>
              </w:rPr>
            </w:pPr>
            <w:r w:rsidRPr="00410B0D">
              <w:rPr>
                <w:rFonts w:eastAsia="Times New Roman"/>
                <w:color w:val="000000" w:themeColor="text1"/>
                <w:lang w:eastAsia="tr-TR"/>
              </w:rPr>
              <w:t>İhale ilanında ve lisansında belirtilmiştir.</w:t>
            </w:r>
          </w:p>
        </w:tc>
      </w:tr>
      <w:tr w:rsidR="002B3553" w:rsidRPr="00410B0D" w:rsidTr="00782DC6">
        <w:trPr>
          <w:trHeight w:val="1135"/>
          <w:jc w:val="center"/>
        </w:trPr>
        <w:tc>
          <w:tcPr>
            <w:tcW w:w="715" w:type="pct"/>
            <w:shd w:val="clear" w:color="auto" w:fill="auto"/>
            <w:noWrap/>
            <w:vAlign w:val="center"/>
            <w:hideMark/>
          </w:tcPr>
          <w:p w:rsidR="002B3553" w:rsidRPr="00410B0D" w:rsidRDefault="002B3553" w:rsidP="00782DC6">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2014</w:t>
            </w:r>
          </w:p>
        </w:tc>
        <w:tc>
          <w:tcPr>
            <w:tcW w:w="1191" w:type="pct"/>
            <w:shd w:val="clear" w:color="auto" w:fill="auto"/>
            <w:noWrap/>
            <w:vAlign w:val="center"/>
            <w:hideMark/>
          </w:tcPr>
          <w:p w:rsidR="002B3553" w:rsidRPr="00410B0D" w:rsidRDefault="002B3553" w:rsidP="00782DC6">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4793</w:t>
            </w:r>
          </w:p>
        </w:tc>
        <w:tc>
          <w:tcPr>
            <w:tcW w:w="1907" w:type="pct"/>
            <w:shd w:val="clear" w:color="auto" w:fill="auto"/>
            <w:vAlign w:val="bottom"/>
            <w:hideMark/>
          </w:tcPr>
          <w:p w:rsidR="002B3553" w:rsidRPr="00410B0D" w:rsidRDefault="002B3553" w:rsidP="00782DC6">
            <w:pPr>
              <w:spacing w:after="0" w:line="240" w:lineRule="auto"/>
              <w:rPr>
                <w:rFonts w:eastAsia="Times New Roman"/>
                <w:color w:val="000000" w:themeColor="text1"/>
                <w:lang w:eastAsia="tr-TR"/>
              </w:rPr>
            </w:pPr>
            <w:r w:rsidRPr="00410B0D">
              <w:rPr>
                <w:rFonts w:eastAsia="Times New Roman"/>
                <w:color w:val="000000" w:themeColor="text1"/>
                <w:lang w:eastAsia="tr-TR"/>
              </w:rPr>
              <w:t>Kullanımı 100.000 m</w:t>
            </w:r>
            <w:r w:rsidRPr="00410B0D">
              <w:rPr>
                <w:rFonts w:eastAsia="Times New Roman"/>
                <w:color w:val="000000" w:themeColor="text1"/>
                <w:vertAlign w:val="superscript"/>
                <w:lang w:eastAsia="tr-TR"/>
              </w:rPr>
              <w:t xml:space="preserve">3 </w:t>
            </w:r>
            <w:r w:rsidRPr="00410B0D">
              <w:rPr>
                <w:rFonts w:eastAsia="Times New Roman"/>
                <w:color w:val="000000" w:themeColor="text1"/>
                <w:lang w:eastAsia="tr-TR"/>
              </w:rPr>
              <w:t>altında kalan konut tüketicileri</w:t>
            </w:r>
            <w:r>
              <w:rPr>
                <w:rFonts w:eastAsia="Times New Roman"/>
                <w:color w:val="000000" w:themeColor="text1"/>
                <w:lang w:eastAsia="tr-TR"/>
              </w:rPr>
              <w:t xml:space="preserve"> </w:t>
            </w:r>
            <w:r w:rsidRPr="00410B0D">
              <w:rPr>
                <w:rFonts w:eastAsia="Times New Roman"/>
                <w:color w:val="000000" w:themeColor="text1"/>
                <w:lang w:eastAsia="tr-TR"/>
              </w:rPr>
              <w:t>(evsel tüketiciler) hariç olmak üzere, tüm tüketiciler serbest tüketicidir.*</w:t>
            </w:r>
          </w:p>
        </w:tc>
        <w:tc>
          <w:tcPr>
            <w:tcW w:w="1187" w:type="pct"/>
            <w:shd w:val="clear" w:color="auto" w:fill="auto"/>
            <w:vAlign w:val="center"/>
            <w:hideMark/>
          </w:tcPr>
          <w:p w:rsidR="002B3553" w:rsidRPr="00410B0D" w:rsidRDefault="002B3553" w:rsidP="00151CF9">
            <w:pPr>
              <w:spacing w:after="0" w:line="240" w:lineRule="auto"/>
              <w:jc w:val="left"/>
              <w:rPr>
                <w:rFonts w:eastAsia="Times New Roman"/>
                <w:color w:val="000000" w:themeColor="text1"/>
                <w:lang w:eastAsia="tr-TR"/>
              </w:rPr>
            </w:pPr>
            <w:r w:rsidRPr="00410B0D">
              <w:rPr>
                <w:rFonts w:eastAsia="Times New Roman"/>
                <w:color w:val="000000" w:themeColor="text1"/>
                <w:lang w:eastAsia="tr-TR"/>
              </w:rPr>
              <w:t>İhale ilanında ve lisansında belirtilmiştir.</w:t>
            </w:r>
          </w:p>
        </w:tc>
      </w:tr>
      <w:tr w:rsidR="002B3553" w:rsidRPr="00410B0D" w:rsidTr="00782DC6">
        <w:trPr>
          <w:trHeight w:val="1110"/>
          <w:jc w:val="center"/>
        </w:trPr>
        <w:tc>
          <w:tcPr>
            <w:tcW w:w="715" w:type="pct"/>
            <w:shd w:val="clear" w:color="auto" w:fill="auto"/>
            <w:noWrap/>
            <w:vAlign w:val="center"/>
            <w:hideMark/>
          </w:tcPr>
          <w:p w:rsidR="002B3553" w:rsidRPr="00410B0D" w:rsidRDefault="002B3553" w:rsidP="00782DC6">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2015</w:t>
            </w:r>
          </w:p>
        </w:tc>
        <w:tc>
          <w:tcPr>
            <w:tcW w:w="1191" w:type="pct"/>
            <w:shd w:val="clear" w:color="auto" w:fill="auto"/>
            <w:noWrap/>
            <w:vAlign w:val="center"/>
            <w:hideMark/>
          </w:tcPr>
          <w:p w:rsidR="002B3553" w:rsidRPr="00410B0D" w:rsidRDefault="002B3553" w:rsidP="00782DC6">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5362</w:t>
            </w:r>
          </w:p>
        </w:tc>
        <w:tc>
          <w:tcPr>
            <w:tcW w:w="1907" w:type="pct"/>
            <w:shd w:val="clear" w:color="auto" w:fill="auto"/>
            <w:vAlign w:val="bottom"/>
            <w:hideMark/>
          </w:tcPr>
          <w:p w:rsidR="002B3553" w:rsidRPr="00410B0D" w:rsidRDefault="002B3553" w:rsidP="00782DC6">
            <w:pPr>
              <w:spacing w:after="0" w:line="240" w:lineRule="auto"/>
              <w:rPr>
                <w:rFonts w:eastAsia="Times New Roman"/>
                <w:color w:val="000000" w:themeColor="text1"/>
                <w:lang w:eastAsia="tr-TR"/>
              </w:rPr>
            </w:pPr>
            <w:r w:rsidRPr="00410B0D">
              <w:rPr>
                <w:rFonts w:eastAsia="Times New Roman"/>
                <w:color w:val="000000" w:themeColor="text1"/>
                <w:lang w:eastAsia="tr-TR"/>
              </w:rPr>
              <w:t>Kullanımı 75.000 m</w:t>
            </w:r>
            <w:r w:rsidRPr="00410B0D">
              <w:rPr>
                <w:rFonts w:eastAsia="Times New Roman"/>
                <w:color w:val="000000" w:themeColor="text1"/>
                <w:vertAlign w:val="superscript"/>
                <w:lang w:eastAsia="tr-TR"/>
              </w:rPr>
              <w:t>3</w:t>
            </w:r>
            <w:r w:rsidRPr="00410B0D">
              <w:rPr>
                <w:rFonts w:eastAsia="Times New Roman"/>
                <w:color w:val="000000" w:themeColor="text1"/>
                <w:lang w:eastAsia="tr-TR"/>
              </w:rPr>
              <w:t xml:space="preserve"> altında kalan konut tüketicileri</w:t>
            </w:r>
            <w:r>
              <w:rPr>
                <w:rFonts w:eastAsia="Times New Roman"/>
                <w:color w:val="000000" w:themeColor="text1"/>
                <w:lang w:eastAsia="tr-TR"/>
              </w:rPr>
              <w:t xml:space="preserve"> </w:t>
            </w:r>
            <w:r w:rsidRPr="00410B0D">
              <w:rPr>
                <w:rFonts w:eastAsia="Times New Roman"/>
                <w:color w:val="000000" w:themeColor="text1"/>
                <w:lang w:eastAsia="tr-TR"/>
              </w:rPr>
              <w:t>(evsel tüketiciler) hariç olmak üzere, tüm tüketiciler serbest tüketicidir.*</w:t>
            </w:r>
          </w:p>
        </w:tc>
        <w:tc>
          <w:tcPr>
            <w:tcW w:w="1187" w:type="pct"/>
            <w:shd w:val="clear" w:color="auto" w:fill="auto"/>
            <w:vAlign w:val="center"/>
            <w:hideMark/>
          </w:tcPr>
          <w:p w:rsidR="002B3553" w:rsidRPr="00410B0D" w:rsidRDefault="002B3553" w:rsidP="00151CF9">
            <w:pPr>
              <w:spacing w:after="0" w:line="240" w:lineRule="auto"/>
              <w:jc w:val="left"/>
              <w:rPr>
                <w:rFonts w:eastAsia="Times New Roman"/>
                <w:color w:val="000000" w:themeColor="text1"/>
                <w:lang w:eastAsia="tr-TR"/>
              </w:rPr>
            </w:pPr>
            <w:r w:rsidRPr="00410B0D">
              <w:rPr>
                <w:rFonts w:eastAsia="Times New Roman"/>
                <w:color w:val="000000" w:themeColor="text1"/>
                <w:lang w:eastAsia="tr-TR"/>
              </w:rPr>
              <w:t>İhale ilanında ve lisansında belirtilmiştir.</w:t>
            </w:r>
          </w:p>
        </w:tc>
      </w:tr>
      <w:tr w:rsidR="002B3553" w:rsidRPr="00410B0D" w:rsidTr="00782DC6">
        <w:trPr>
          <w:trHeight w:val="1033"/>
          <w:jc w:val="center"/>
        </w:trPr>
        <w:tc>
          <w:tcPr>
            <w:tcW w:w="715" w:type="pct"/>
            <w:shd w:val="clear" w:color="auto" w:fill="auto"/>
            <w:noWrap/>
            <w:vAlign w:val="center"/>
          </w:tcPr>
          <w:p w:rsidR="002B3553" w:rsidRPr="00410B0D" w:rsidRDefault="002B3553" w:rsidP="00782DC6">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2016</w:t>
            </w:r>
          </w:p>
        </w:tc>
        <w:tc>
          <w:tcPr>
            <w:tcW w:w="1191" w:type="pct"/>
            <w:shd w:val="clear" w:color="auto" w:fill="auto"/>
            <w:noWrap/>
            <w:vAlign w:val="center"/>
          </w:tcPr>
          <w:p w:rsidR="002B3553" w:rsidRPr="00410B0D" w:rsidRDefault="002B3553" w:rsidP="00782DC6">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5920</w:t>
            </w:r>
          </w:p>
        </w:tc>
        <w:tc>
          <w:tcPr>
            <w:tcW w:w="1907" w:type="pct"/>
            <w:shd w:val="clear" w:color="auto" w:fill="auto"/>
            <w:vAlign w:val="bottom"/>
          </w:tcPr>
          <w:p w:rsidR="002B3553" w:rsidRPr="00410B0D" w:rsidRDefault="002B3553" w:rsidP="00782DC6">
            <w:pPr>
              <w:spacing w:after="0" w:line="240" w:lineRule="auto"/>
              <w:rPr>
                <w:rFonts w:eastAsia="Times New Roman"/>
                <w:color w:val="000000" w:themeColor="text1"/>
                <w:lang w:eastAsia="tr-TR"/>
              </w:rPr>
            </w:pPr>
            <w:r w:rsidRPr="00410B0D">
              <w:rPr>
                <w:rFonts w:eastAsia="Times New Roman"/>
                <w:color w:val="000000" w:themeColor="text1"/>
                <w:lang w:eastAsia="tr-TR"/>
              </w:rPr>
              <w:t>Kullanımı 75.000 m</w:t>
            </w:r>
            <w:r w:rsidRPr="00410B0D">
              <w:rPr>
                <w:rFonts w:eastAsia="Times New Roman"/>
                <w:color w:val="000000" w:themeColor="text1"/>
                <w:vertAlign w:val="superscript"/>
                <w:lang w:eastAsia="tr-TR"/>
              </w:rPr>
              <w:t>3</w:t>
            </w:r>
            <w:r w:rsidRPr="00410B0D">
              <w:rPr>
                <w:rFonts w:eastAsia="Times New Roman"/>
                <w:color w:val="000000" w:themeColor="text1"/>
                <w:lang w:eastAsia="tr-TR"/>
              </w:rPr>
              <w:t xml:space="preserve"> altında kalan konut tüketicileri</w:t>
            </w:r>
            <w:r>
              <w:rPr>
                <w:rFonts w:eastAsia="Times New Roman"/>
                <w:color w:val="000000" w:themeColor="text1"/>
                <w:lang w:eastAsia="tr-TR"/>
              </w:rPr>
              <w:t xml:space="preserve"> </w:t>
            </w:r>
            <w:r w:rsidRPr="00410B0D">
              <w:rPr>
                <w:rFonts w:eastAsia="Times New Roman"/>
                <w:color w:val="000000" w:themeColor="text1"/>
                <w:lang w:eastAsia="tr-TR"/>
              </w:rPr>
              <w:t>(evsel tüketiciler) hariç olmak üzere, tüm tüketiciler serbest tüketicidir.*</w:t>
            </w:r>
          </w:p>
        </w:tc>
        <w:tc>
          <w:tcPr>
            <w:tcW w:w="1187" w:type="pct"/>
            <w:shd w:val="clear" w:color="auto" w:fill="auto"/>
            <w:vAlign w:val="center"/>
          </w:tcPr>
          <w:p w:rsidR="002B3553" w:rsidRPr="00410B0D" w:rsidRDefault="002B3553" w:rsidP="00151CF9">
            <w:pPr>
              <w:spacing w:after="0" w:line="240" w:lineRule="auto"/>
              <w:jc w:val="left"/>
              <w:rPr>
                <w:rFonts w:eastAsia="Times New Roman"/>
                <w:color w:val="000000" w:themeColor="text1"/>
                <w:lang w:eastAsia="tr-TR"/>
              </w:rPr>
            </w:pPr>
            <w:r w:rsidRPr="00410B0D">
              <w:rPr>
                <w:rFonts w:eastAsia="Times New Roman"/>
                <w:color w:val="000000" w:themeColor="text1"/>
                <w:lang w:eastAsia="tr-TR"/>
              </w:rPr>
              <w:t>İhale ilanında ve lisansında belirtilmiştir.</w:t>
            </w:r>
          </w:p>
        </w:tc>
      </w:tr>
      <w:tr w:rsidR="002B3553" w:rsidRPr="00410B0D" w:rsidTr="00782DC6">
        <w:trPr>
          <w:trHeight w:val="964"/>
          <w:jc w:val="center"/>
        </w:trPr>
        <w:tc>
          <w:tcPr>
            <w:tcW w:w="715" w:type="pct"/>
            <w:shd w:val="clear" w:color="auto" w:fill="auto"/>
            <w:noWrap/>
            <w:vAlign w:val="center"/>
          </w:tcPr>
          <w:p w:rsidR="002B3553" w:rsidRPr="00410B0D" w:rsidRDefault="002B3553" w:rsidP="00782DC6">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2017</w:t>
            </w:r>
          </w:p>
        </w:tc>
        <w:tc>
          <w:tcPr>
            <w:tcW w:w="1191" w:type="pct"/>
            <w:shd w:val="clear" w:color="auto" w:fill="auto"/>
            <w:noWrap/>
            <w:vAlign w:val="center"/>
          </w:tcPr>
          <w:p w:rsidR="002B3553" w:rsidRPr="00410B0D" w:rsidRDefault="002B3553" w:rsidP="00782DC6">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6778</w:t>
            </w:r>
          </w:p>
        </w:tc>
        <w:tc>
          <w:tcPr>
            <w:tcW w:w="1907" w:type="pct"/>
            <w:shd w:val="clear" w:color="auto" w:fill="auto"/>
            <w:vAlign w:val="bottom"/>
          </w:tcPr>
          <w:p w:rsidR="002B3553" w:rsidRPr="00410B0D" w:rsidRDefault="002B3553" w:rsidP="00782DC6">
            <w:pPr>
              <w:spacing w:after="0" w:line="240" w:lineRule="auto"/>
              <w:rPr>
                <w:rFonts w:eastAsia="Times New Roman"/>
                <w:color w:val="000000" w:themeColor="text1"/>
                <w:lang w:eastAsia="tr-TR"/>
              </w:rPr>
            </w:pPr>
            <w:r w:rsidRPr="00410B0D">
              <w:rPr>
                <w:rFonts w:eastAsia="Times New Roman"/>
                <w:color w:val="000000" w:themeColor="text1"/>
                <w:lang w:eastAsia="tr-TR"/>
              </w:rPr>
              <w:t>Kullanımı 75.000 m</w:t>
            </w:r>
            <w:r w:rsidRPr="00410B0D">
              <w:rPr>
                <w:rFonts w:eastAsia="Times New Roman"/>
                <w:color w:val="000000" w:themeColor="text1"/>
                <w:vertAlign w:val="superscript"/>
                <w:lang w:eastAsia="tr-TR"/>
              </w:rPr>
              <w:t>3</w:t>
            </w:r>
            <w:r w:rsidRPr="00410B0D">
              <w:rPr>
                <w:rFonts w:eastAsia="Times New Roman"/>
                <w:color w:val="000000" w:themeColor="text1"/>
                <w:lang w:eastAsia="tr-TR"/>
              </w:rPr>
              <w:t xml:space="preserve"> altında kalan konut tüketicileri</w:t>
            </w:r>
            <w:r>
              <w:rPr>
                <w:rFonts w:eastAsia="Times New Roman"/>
                <w:color w:val="000000" w:themeColor="text1"/>
                <w:lang w:eastAsia="tr-TR"/>
              </w:rPr>
              <w:t xml:space="preserve"> </w:t>
            </w:r>
            <w:r w:rsidRPr="00410B0D">
              <w:rPr>
                <w:rFonts w:eastAsia="Times New Roman"/>
                <w:color w:val="000000" w:themeColor="text1"/>
                <w:lang w:eastAsia="tr-TR"/>
              </w:rPr>
              <w:t>(evsel tüketiciler) hariç olmak üzere, tüm tüketiciler serbest tüketicidir.*</w:t>
            </w:r>
          </w:p>
        </w:tc>
        <w:tc>
          <w:tcPr>
            <w:tcW w:w="1187" w:type="pct"/>
            <w:shd w:val="clear" w:color="auto" w:fill="auto"/>
            <w:vAlign w:val="center"/>
          </w:tcPr>
          <w:p w:rsidR="002B3553" w:rsidRPr="00410B0D" w:rsidRDefault="002B3553" w:rsidP="00151CF9">
            <w:pPr>
              <w:spacing w:after="0" w:line="240" w:lineRule="auto"/>
              <w:jc w:val="left"/>
              <w:rPr>
                <w:rFonts w:eastAsia="Times New Roman"/>
                <w:color w:val="000000" w:themeColor="text1"/>
                <w:lang w:eastAsia="tr-TR"/>
              </w:rPr>
            </w:pPr>
            <w:r w:rsidRPr="00410B0D">
              <w:rPr>
                <w:rFonts w:eastAsia="Times New Roman"/>
                <w:color w:val="000000" w:themeColor="text1"/>
                <w:lang w:eastAsia="tr-TR"/>
              </w:rPr>
              <w:t>İhale ilanında ve lisansında belirtilmiştir.</w:t>
            </w:r>
          </w:p>
        </w:tc>
      </w:tr>
      <w:tr w:rsidR="002B3553" w:rsidRPr="00410B0D" w:rsidTr="00782DC6">
        <w:trPr>
          <w:trHeight w:val="964"/>
          <w:jc w:val="center"/>
        </w:trPr>
        <w:tc>
          <w:tcPr>
            <w:tcW w:w="715" w:type="pct"/>
            <w:shd w:val="clear" w:color="auto" w:fill="auto"/>
            <w:noWrap/>
            <w:vAlign w:val="center"/>
          </w:tcPr>
          <w:p w:rsidR="002B3553" w:rsidRPr="00410B0D" w:rsidRDefault="002B3553" w:rsidP="00782DC6">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2018</w:t>
            </w:r>
          </w:p>
        </w:tc>
        <w:tc>
          <w:tcPr>
            <w:tcW w:w="1191" w:type="pct"/>
            <w:shd w:val="clear" w:color="auto" w:fill="auto"/>
            <w:noWrap/>
            <w:vAlign w:val="center"/>
          </w:tcPr>
          <w:p w:rsidR="002B3553" w:rsidRPr="00410B0D" w:rsidRDefault="002B3553" w:rsidP="00782DC6">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7537</w:t>
            </w:r>
          </w:p>
        </w:tc>
        <w:tc>
          <w:tcPr>
            <w:tcW w:w="1907" w:type="pct"/>
            <w:shd w:val="clear" w:color="auto" w:fill="auto"/>
            <w:vAlign w:val="bottom"/>
          </w:tcPr>
          <w:p w:rsidR="002B3553" w:rsidRPr="00410B0D" w:rsidRDefault="002B3553" w:rsidP="00782DC6">
            <w:pPr>
              <w:spacing w:after="0" w:line="240" w:lineRule="auto"/>
              <w:rPr>
                <w:rFonts w:eastAsia="Times New Roman"/>
                <w:color w:val="000000" w:themeColor="text1"/>
                <w:lang w:eastAsia="tr-TR"/>
              </w:rPr>
            </w:pPr>
            <w:r w:rsidRPr="00410B0D">
              <w:rPr>
                <w:rFonts w:eastAsia="Times New Roman"/>
                <w:color w:val="000000" w:themeColor="text1"/>
                <w:lang w:eastAsia="tr-TR"/>
              </w:rPr>
              <w:t>Kullanımı 75.000 m</w:t>
            </w:r>
            <w:r w:rsidRPr="00410B0D">
              <w:rPr>
                <w:rFonts w:eastAsia="Times New Roman"/>
                <w:color w:val="000000" w:themeColor="text1"/>
                <w:vertAlign w:val="superscript"/>
                <w:lang w:eastAsia="tr-TR"/>
              </w:rPr>
              <w:t>3</w:t>
            </w:r>
            <w:r w:rsidRPr="00410B0D">
              <w:rPr>
                <w:rFonts w:eastAsia="Times New Roman"/>
                <w:color w:val="000000" w:themeColor="text1"/>
                <w:lang w:eastAsia="tr-TR"/>
              </w:rPr>
              <w:t xml:space="preserve"> altında kalan konut tüketicileri</w:t>
            </w:r>
            <w:r>
              <w:rPr>
                <w:rFonts w:eastAsia="Times New Roman"/>
                <w:color w:val="000000" w:themeColor="text1"/>
                <w:lang w:eastAsia="tr-TR"/>
              </w:rPr>
              <w:t xml:space="preserve"> </w:t>
            </w:r>
            <w:r w:rsidRPr="00410B0D">
              <w:rPr>
                <w:rFonts w:eastAsia="Times New Roman"/>
                <w:color w:val="000000" w:themeColor="text1"/>
                <w:lang w:eastAsia="tr-TR"/>
              </w:rPr>
              <w:t>(evsel tüketiciler) hariç olmak üzere, tüm tüketiciler serbest tüketicidir.*</w:t>
            </w:r>
          </w:p>
        </w:tc>
        <w:tc>
          <w:tcPr>
            <w:tcW w:w="1187" w:type="pct"/>
            <w:shd w:val="clear" w:color="auto" w:fill="auto"/>
            <w:vAlign w:val="center"/>
          </w:tcPr>
          <w:p w:rsidR="002B3553" w:rsidRPr="00410B0D" w:rsidRDefault="002B3553" w:rsidP="00151CF9">
            <w:pPr>
              <w:spacing w:after="0" w:line="240" w:lineRule="auto"/>
              <w:jc w:val="left"/>
              <w:rPr>
                <w:rFonts w:eastAsia="Times New Roman"/>
                <w:color w:val="000000" w:themeColor="text1"/>
                <w:lang w:eastAsia="tr-TR"/>
              </w:rPr>
            </w:pPr>
            <w:r w:rsidRPr="00410B0D">
              <w:rPr>
                <w:rFonts w:eastAsia="Times New Roman"/>
                <w:color w:val="000000" w:themeColor="text1"/>
                <w:lang w:eastAsia="tr-TR"/>
              </w:rPr>
              <w:t>İhale ilanında ve lisansında belirtilmiştir.</w:t>
            </w:r>
          </w:p>
        </w:tc>
      </w:tr>
      <w:tr w:rsidR="002B3553" w:rsidRPr="00410B0D" w:rsidTr="00782DC6">
        <w:trPr>
          <w:trHeight w:val="964"/>
          <w:jc w:val="center"/>
        </w:trPr>
        <w:tc>
          <w:tcPr>
            <w:tcW w:w="715" w:type="pct"/>
            <w:shd w:val="clear" w:color="auto" w:fill="auto"/>
            <w:noWrap/>
            <w:vAlign w:val="center"/>
          </w:tcPr>
          <w:p w:rsidR="002B3553" w:rsidRPr="00410B0D" w:rsidRDefault="002B3553" w:rsidP="00782DC6">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lastRenderedPageBreak/>
              <w:t>2019</w:t>
            </w:r>
          </w:p>
        </w:tc>
        <w:tc>
          <w:tcPr>
            <w:tcW w:w="1191" w:type="pct"/>
            <w:shd w:val="clear" w:color="auto" w:fill="auto"/>
            <w:noWrap/>
            <w:vAlign w:val="center"/>
          </w:tcPr>
          <w:p w:rsidR="002B3553" w:rsidRPr="00410B0D" w:rsidRDefault="002B3553" w:rsidP="00782DC6">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8265</w:t>
            </w:r>
          </w:p>
        </w:tc>
        <w:tc>
          <w:tcPr>
            <w:tcW w:w="1907" w:type="pct"/>
            <w:shd w:val="clear" w:color="auto" w:fill="auto"/>
            <w:vAlign w:val="bottom"/>
          </w:tcPr>
          <w:p w:rsidR="002B3553" w:rsidRPr="00410B0D" w:rsidRDefault="002B3553" w:rsidP="00782DC6">
            <w:pPr>
              <w:spacing w:after="0" w:line="240" w:lineRule="auto"/>
              <w:rPr>
                <w:rFonts w:eastAsia="Times New Roman"/>
                <w:color w:val="000000" w:themeColor="text1"/>
                <w:lang w:eastAsia="tr-TR"/>
              </w:rPr>
            </w:pPr>
            <w:r w:rsidRPr="00410B0D">
              <w:rPr>
                <w:rFonts w:eastAsia="Times New Roman"/>
                <w:color w:val="000000" w:themeColor="text1"/>
                <w:lang w:eastAsia="tr-TR"/>
              </w:rPr>
              <w:t>Kullanımı 75.000 m</w:t>
            </w:r>
            <w:r w:rsidRPr="00410B0D">
              <w:rPr>
                <w:rFonts w:eastAsia="Times New Roman"/>
                <w:color w:val="000000" w:themeColor="text1"/>
                <w:vertAlign w:val="superscript"/>
                <w:lang w:eastAsia="tr-TR"/>
              </w:rPr>
              <w:t>3</w:t>
            </w:r>
            <w:r w:rsidRPr="00410B0D">
              <w:rPr>
                <w:rFonts w:eastAsia="Times New Roman"/>
                <w:color w:val="000000" w:themeColor="text1"/>
                <w:lang w:eastAsia="tr-TR"/>
              </w:rPr>
              <w:t xml:space="preserve"> altında kalan konut tüketicileri</w:t>
            </w:r>
            <w:r>
              <w:rPr>
                <w:rFonts w:eastAsia="Times New Roman"/>
                <w:color w:val="000000" w:themeColor="text1"/>
                <w:lang w:eastAsia="tr-TR"/>
              </w:rPr>
              <w:t xml:space="preserve"> </w:t>
            </w:r>
            <w:r w:rsidRPr="00410B0D">
              <w:rPr>
                <w:rFonts w:eastAsia="Times New Roman"/>
                <w:color w:val="000000" w:themeColor="text1"/>
                <w:lang w:eastAsia="tr-TR"/>
              </w:rPr>
              <w:t>(evsel tüketiciler) hariç olmak üzere, tüm tüketiciler serbest tüketicidir.*</w:t>
            </w:r>
          </w:p>
        </w:tc>
        <w:tc>
          <w:tcPr>
            <w:tcW w:w="1187" w:type="pct"/>
            <w:shd w:val="clear" w:color="auto" w:fill="auto"/>
            <w:vAlign w:val="center"/>
          </w:tcPr>
          <w:p w:rsidR="002B3553" w:rsidRPr="00410B0D" w:rsidRDefault="002B3553" w:rsidP="00151CF9">
            <w:pPr>
              <w:spacing w:after="0" w:line="240" w:lineRule="auto"/>
              <w:jc w:val="left"/>
              <w:rPr>
                <w:rFonts w:eastAsia="Times New Roman"/>
                <w:color w:val="000000" w:themeColor="text1"/>
                <w:lang w:eastAsia="tr-TR"/>
              </w:rPr>
            </w:pPr>
            <w:r w:rsidRPr="00410B0D">
              <w:rPr>
                <w:rFonts w:eastAsia="Times New Roman"/>
                <w:color w:val="000000" w:themeColor="text1"/>
                <w:lang w:eastAsia="tr-TR"/>
              </w:rPr>
              <w:t>İhale ilanında ve lisansında belirtilmiştir.</w:t>
            </w:r>
          </w:p>
        </w:tc>
      </w:tr>
      <w:tr w:rsidR="002B3553" w:rsidRPr="00410B0D" w:rsidTr="00782DC6">
        <w:trPr>
          <w:trHeight w:val="964"/>
          <w:jc w:val="center"/>
        </w:trPr>
        <w:tc>
          <w:tcPr>
            <w:tcW w:w="715" w:type="pct"/>
            <w:shd w:val="clear" w:color="auto" w:fill="auto"/>
            <w:noWrap/>
            <w:vAlign w:val="center"/>
          </w:tcPr>
          <w:p w:rsidR="002B3553" w:rsidRPr="00410B0D" w:rsidRDefault="002B3553" w:rsidP="00782DC6">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2020</w:t>
            </w:r>
          </w:p>
        </w:tc>
        <w:tc>
          <w:tcPr>
            <w:tcW w:w="1191" w:type="pct"/>
            <w:shd w:val="clear" w:color="auto" w:fill="auto"/>
            <w:noWrap/>
            <w:vAlign w:val="center"/>
          </w:tcPr>
          <w:p w:rsidR="002B3553" w:rsidRPr="00410B0D" w:rsidRDefault="002B3553" w:rsidP="00782DC6">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8996</w:t>
            </w:r>
          </w:p>
        </w:tc>
        <w:tc>
          <w:tcPr>
            <w:tcW w:w="1907" w:type="pct"/>
            <w:shd w:val="clear" w:color="auto" w:fill="auto"/>
            <w:vAlign w:val="bottom"/>
          </w:tcPr>
          <w:p w:rsidR="002B3553" w:rsidRPr="00410B0D" w:rsidRDefault="002B3553" w:rsidP="00782DC6">
            <w:pPr>
              <w:spacing w:after="0" w:line="240" w:lineRule="auto"/>
              <w:rPr>
                <w:rFonts w:eastAsia="Times New Roman"/>
                <w:color w:val="000000" w:themeColor="text1"/>
                <w:lang w:eastAsia="tr-TR"/>
              </w:rPr>
            </w:pPr>
            <w:r w:rsidRPr="00410B0D">
              <w:rPr>
                <w:rFonts w:eastAsia="Times New Roman"/>
                <w:color w:val="000000" w:themeColor="text1"/>
                <w:lang w:eastAsia="tr-TR"/>
              </w:rPr>
              <w:t>Kullanımı 75.000 m</w:t>
            </w:r>
            <w:r w:rsidRPr="00410B0D">
              <w:rPr>
                <w:rFonts w:eastAsia="Times New Roman"/>
                <w:color w:val="000000" w:themeColor="text1"/>
                <w:vertAlign w:val="superscript"/>
                <w:lang w:eastAsia="tr-TR"/>
              </w:rPr>
              <w:t>3</w:t>
            </w:r>
            <w:r w:rsidRPr="00410B0D">
              <w:rPr>
                <w:rFonts w:eastAsia="Times New Roman"/>
                <w:color w:val="000000" w:themeColor="text1"/>
                <w:lang w:eastAsia="tr-TR"/>
              </w:rPr>
              <w:t xml:space="preserve"> altında kalan konut tüketicileri</w:t>
            </w:r>
            <w:r>
              <w:rPr>
                <w:rFonts w:eastAsia="Times New Roman"/>
                <w:color w:val="000000" w:themeColor="text1"/>
                <w:lang w:eastAsia="tr-TR"/>
              </w:rPr>
              <w:t xml:space="preserve"> </w:t>
            </w:r>
            <w:r w:rsidRPr="00410B0D">
              <w:rPr>
                <w:rFonts w:eastAsia="Times New Roman"/>
                <w:color w:val="000000" w:themeColor="text1"/>
                <w:lang w:eastAsia="tr-TR"/>
              </w:rPr>
              <w:t>(evsel tüketiciler) hariç olmak üzere, tüm tüketiciler serbest tüketicidir.*</w:t>
            </w:r>
          </w:p>
        </w:tc>
        <w:tc>
          <w:tcPr>
            <w:tcW w:w="1187" w:type="pct"/>
            <w:shd w:val="clear" w:color="auto" w:fill="auto"/>
            <w:vAlign w:val="center"/>
          </w:tcPr>
          <w:p w:rsidR="002B3553" w:rsidRPr="00410B0D" w:rsidRDefault="002B3553" w:rsidP="00151CF9">
            <w:pPr>
              <w:spacing w:after="0" w:line="240" w:lineRule="auto"/>
              <w:jc w:val="left"/>
              <w:rPr>
                <w:rFonts w:eastAsia="Times New Roman"/>
                <w:color w:val="000000" w:themeColor="text1"/>
                <w:lang w:eastAsia="tr-TR"/>
              </w:rPr>
            </w:pPr>
            <w:r w:rsidRPr="00410B0D">
              <w:rPr>
                <w:rFonts w:eastAsia="Times New Roman"/>
                <w:color w:val="000000" w:themeColor="text1"/>
                <w:lang w:eastAsia="tr-TR"/>
              </w:rPr>
              <w:t>İhale ilanında ve lisansında belirtilmiştir.</w:t>
            </w:r>
          </w:p>
        </w:tc>
      </w:tr>
      <w:tr w:rsidR="002B3553" w:rsidRPr="00410B0D" w:rsidTr="00782DC6">
        <w:trPr>
          <w:trHeight w:val="1124"/>
          <w:jc w:val="center"/>
        </w:trPr>
        <w:tc>
          <w:tcPr>
            <w:tcW w:w="715" w:type="pct"/>
            <w:shd w:val="clear" w:color="auto" w:fill="auto"/>
            <w:noWrap/>
            <w:vAlign w:val="center"/>
          </w:tcPr>
          <w:p w:rsidR="002B3553" w:rsidRPr="00410B0D" w:rsidRDefault="002B3553" w:rsidP="00782DC6">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2021</w:t>
            </w:r>
          </w:p>
        </w:tc>
        <w:tc>
          <w:tcPr>
            <w:tcW w:w="1191" w:type="pct"/>
            <w:shd w:val="clear" w:color="auto" w:fill="auto"/>
            <w:noWrap/>
            <w:vAlign w:val="center"/>
          </w:tcPr>
          <w:p w:rsidR="002B3553" w:rsidRPr="00410B0D" w:rsidRDefault="002B3553" w:rsidP="00782DC6">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9818</w:t>
            </w:r>
          </w:p>
        </w:tc>
        <w:tc>
          <w:tcPr>
            <w:tcW w:w="1907" w:type="pct"/>
            <w:shd w:val="clear" w:color="auto" w:fill="auto"/>
            <w:vAlign w:val="bottom"/>
          </w:tcPr>
          <w:p w:rsidR="002B3553" w:rsidRPr="00410B0D" w:rsidRDefault="002B3553" w:rsidP="00782DC6">
            <w:pPr>
              <w:spacing w:after="0" w:line="240" w:lineRule="auto"/>
              <w:rPr>
                <w:rFonts w:eastAsia="Times New Roman"/>
                <w:color w:val="000000" w:themeColor="text1"/>
                <w:lang w:eastAsia="tr-TR"/>
              </w:rPr>
            </w:pPr>
            <w:r w:rsidRPr="00410B0D">
              <w:rPr>
                <w:rFonts w:eastAsia="Times New Roman"/>
                <w:color w:val="000000" w:themeColor="text1"/>
                <w:lang w:eastAsia="tr-TR"/>
              </w:rPr>
              <w:t>Kullanımı 75.000 m</w:t>
            </w:r>
            <w:r w:rsidRPr="00410B0D">
              <w:rPr>
                <w:rFonts w:eastAsia="Times New Roman"/>
                <w:color w:val="000000" w:themeColor="text1"/>
                <w:vertAlign w:val="superscript"/>
                <w:lang w:eastAsia="tr-TR"/>
              </w:rPr>
              <w:t>3</w:t>
            </w:r>
            <w:r w:rsidRPr="00410B0D">
              <w:rPr>
                <w:rFonts w:eastAsia="Times New Roman"/>
                <w:color w:val="000000" w:themeColor="text1"/>
                <w:lang w:eastAsia="tr-TR"/>
              </w:rPr>
              <w:t xml:space="preserve"> altında kalan konut tüketicileri</w:t>
            </w:r>
            <w:r>
              <w:rPr>
                <w:rFonts w:eastAsia="Times New Roman"/>
                <w:color w:val="000000" w:themeColor="text1"/>
                <w:lang w:eastAsia="tr-TR"/>
              </w:rPr>
              <w:t xml:space="preserve"> </w:t>
            </w:r>
            <w:r w:rsidRPr="00410B0D">
              <w:rPr>
                <w:rFonts w:eastAsia="Times New Roman"/>
                <w:color w:val="000000" w:themeColor="text1"/>
                <w:lang w:eastAsia="tr-TR"/>
              </w:rPr>
              <w:t>(evsel tüketiciler) hariç olmak üzere, tüm tüketiciler serbest tüketicidir.*</w:t>
            </w:r>
          </w:p>
        </w:tc>
        <w:tc>
          <w:tcPr>
            <w:tcW w:w="1187" w:type="pct"/>
            <w:shd w:val="clear" w:color="auto" w:fill="auto"/>
            <w:vAlign w:val="center"/>
          </w:tcPr>
          <w:p w:rsidR="002B3553" w:rsidRPr="00410B0D" w:rsidRDefault="002B3553" w:rsidP="00151CF9">
            <w:pPr>
              <w:spacing w:after="0" w:line="240" w:lineRule="auto"/>
              <w:jc w:val="left"/>
              <w:rPr>
                <w:rFonts w:eastAsia="Times New Roman"/>
                <w:color w:val="000000" w:themeColor="text1"/>
                <w:lang w:eastAsia="tr-TR"/>
              </w:rPr>
            </w:pPr>
            <w:r w:rsidRPr="00410B0D">
              <w:rPr>
                <w:rFonts w:eastAsia="Times New Roman"/>
                <w:color w:val="000000" w:themeColor="text1"/>
                <w:lang w:eastAsia="tr-TR"/>
              </w:rPr>
              <w:t>İhale ilanında ve lisansında belirtilmiştir.</w:t>
            </w:r>
          </w:p>
        </w:tc>
      </w:tr>
      <w:tr w:rsidR="002B3553" w:rsidRPr="00410B0D" w:rsidTr="00782DC6">
        <w:trPr>
          <w:trHeight w:val="1124"/>
          <w:jc w:val="center"/>
        </w:trPr>
        <w:tc>
          <w:tcPr>
            <w:tcW w:w="715" w:type="pct"/>
            <w:shd w:val="clear" w:color="auto" w:fill="auto"/>
            <w:noWrap/>
            <w:vAlign w:val="center"/>
          </w:tcPr>
          <w:p w:rsidR="002B3553" w:rsidRPr="00410B0D" w:rsidRDefault="002B3553" w:rsidP="00782DC6">
            <w:pPr>
              <w:spacing w:after="0" w:line="240" w:lineRule="auto"/>
              <w:jc w:val="center"/>
              <w:rPr>
                <w:rFonts w:eastAsia="Times New Roman"/>
                <w:color w:val="000000" w:themeColor="text1"/>
                <w:lang w:eastAsia="tr-TR"/>
              </w:rPr>
            </w:pPr>
            <w:r>
              <w:rPr>
                <w:rFonts w:eastAsia="Times New Roman"/>
                <w:color w:val="000000" w:themeColor="text1"/>
                <w:lang w:eastAsia="tr-TR"/>
              </w:rPr>
              <w:t>2022</w:t>
            </w:r>
          </w:p>
        </w:tc>
        <w:tc>
          <w:tcPr>
            <w:tcW w:w="1191" w:type="pct"/>
            <w:shd w:val="clear" w:color="auto" w:fill="auto"/>
            <w:noWrap/>
            <w:vAlign w:val="center"/>
          </w:tcPr>
          <w:p w:rsidR="002B3553" w:rsidRPr="00410B0D" w:rsidRDefault="0022475D" w:rsidP="00782DC6">
            <w:pPr>
              <w:spacing w:after="0" w:line="240" w:lineRule="auto"/>
              <w:jc w:val="center"/>
              <w:rPr>
                <w:rFonts w:eastAsia="Times New Roman"/>
                <w:color w:val="000000" w:themeColor="text1"/>
                <w:lang w:eastAsia="tr-TR"/>
              </w:rPr>
            </w:pPr>
            <w:r>
              <w:rPr>
                <w:rFonts w:eastAsia="Times New Roman"/>
                <w:color w:val="000000" w:themeColor="text1"/>
                <w:lang w:eastAsia="tr-TR"/>
              </w:rPr>
              <w:t>10627</w:t>
            </w:r>
          </w:p>
        </w:tc>
        <w:tc>
          <w:tcPr>
            <w:tcW w:w="1907" w:type="pct"/>
            <w:shd w:val="clear" w:color="auto" w:fill="auto"/>
            <w:vAlign w:val="bottom"/>
          </w:tcPr>
          <w:p w:rsidR="002B3553" w:rsidRPr="00410B0D" w:rsidRDefault="0022475D" w:rsidP="00782DC6">
            <w:pPr>
              <w:spacing w:after="0" w:line="240" w:lineRule="auto"/>
              <w:rPr>
                <w:rFonts w:eastAsia="Times New Roman"/>
                <w:color w:val="000000" w:themeColor="text1"/>
                <w:lang w:eastAsia="tr-TR"/>
              </w:rPr>
            </w:pPr>
            <w:r w:rsidRPr="00410B0D">
              <w:rPr>
                <w:rFonts w:eastAsia="Times New Roman"/>
                <w:color w:val="000000" w:themeColor="text1"/>
                <w:lang w:eastAsia="tr-TR"/>
              </w:rPr>
              <w:t>Kullanımı 75.000 m</w:t>
            </w:r>
            <w:r w:rsidRPr="00410B0D">
              <w:rPr>
                <w:rFonts w:eastAsia="Times New Roman"/>
                <w:color w:val="000000" w:themeColor="text1"/>
                <w:vertAlign w:val="superscript"/>
                <w:lang w:eastAsia="tr-TR"/>
              </w:rPr>
              <w:t>3</w:t>
            </w:r>
            <w:r w:rsidRPr="00410B0D">
              <w:rPr>
                <w:rFonts w:eastAsia="Times New Roman"/>
                <w:color w:val="000000" w:themeColor="text1"/>
                <w:lang w:eastAsia="tr-TR"/>
              </w:rPr>
              <w:t xml:space="preserve"> altında kalan konut tüketicileri</w:t>
            </w:r>
            <w:r>
              <w:rPr>
                <w:rFonts w:eastAsia="Times New Roman"/>
                <w:color w:val="000000" w:themeColor="text1"/>
                <w:lang w:eastAsia="tr-TR"/>
              </w:rPr>
              <w:t xml:space="preserve"> </w:t>
            </w:r>
            <w:r w:rsidRPr="00410B0D">
              <w:rPr>
                <w:rFonts w:eastAsia="Times New Roman"/>
                <w:color w:val="000000" w:themeColor="text1"/>
                <w:lang w:eastAsia="tr-TR"/>
              </w:rPr>
              <w:t>(evsel tüketiciler) hariç olmak üzere, tüm tüketiciler serbest tüketicidir.*</w:t>
            </w:r>
          </w:p>
        </w:tc>
        <w:tc>
          <w:tcPr>
            <w:tcW w:w="1187" w:type="pct"/>
            <w:shd w:val="clear" w:color="auto" w:fill="auto"/>
            <w:vAlign w:val="center"/>
          </w:tcPr>
          <w:p w:rsidR="002B3553" w:rsidRPr="00410B0D" w:rsidRDefault="0022475D" w:rsidP="00151CF9">
            <w:pPr>
              <w:spacing w:after="0" w:line="240" w:lineRule="auto"/>
              <w:jc w:val="left"/>
              <w:rPr>
                <w:rFonts w:eastAsia="Times New Roman"/>
                <w:color w:val="000000" w:themeColor="text1"/>
                <w:lang w:eastAsia="tr-TR"/>
              </w:rPr>
            </w:pPr>
            <w:r w:rsidRPr="00410B0D">
              <w:rPr>
                <w:rFonts w:eastAsia="Times New Roman"/>
                <w:color w:val="000000" w:themeColor="text1"/>
                <w:lang w:eastAsia="tr-TR"/>
              </w:rPr>
              <w:t>İhale ilanında ve lisansında belirtilmiştir.</w:t>
            </w:r>
          </w:p>
        </w:tc>
      </w:tr>
      <w:tr w:rsidR="007E5E11" w:rsidRPr="00410B0D" w:rsidTr="00782DC6">
        <w:trPr>
          <w:trHeight w:val="1124"/>
          <w:jc w:val="center"/>
        </w:trPr>
        <w:tc>
          <w:tcPr>
            <w:tcW w:w="715" w:type="pct"/>
            <w:shd w:val="clear" w:color="auto" w:fill="auto"/>
            <w:noWrap/>
            <w:vAlign w:val="center"/>
          </w:tcPr>
          <w:p w:rsidR="007E5E11" w:rsidRDefault="007E5E11" w:rsidP="007E5E11">
            <w:pPr>
              <w:spacing w:after="0" w:line="240" w:lineRule="auto"/>
              <w:jc w:val="center"/>
              <w:rPr>
                <w:rFonts w:eastAsia="Times New Roman"/>
                <w:color w:val="000000" w:themeColor="text1"/>
                <w:lang w:eastAsia="tr-TR"/>
              </w:rPr>
            </w:pPr>
            <w:r>
              <w:rPr>
                <w:rFonts w:eastAsia="Times New Roman"/>
                <w:color w:val="000000" w:themeColor="text1"/>
                <w:lang w:eastAsia="tr-TR"/>
              </w:rPr>
              <w:t>2023</w:t>
            </w:r>
          </w:p>
        </w:tc>
        <w:tc>
          <w:tcPr>
            <w:tcW w:w="1191" w:type="pct"/>
            <w:shd w:val="clear" w:color="auto" w:fill="auto"/>
            <w:noWrap/>
            <w:vAlign w:val="center"/>
          </w:tcPr>
          <w:p w:rsidR="007E5E11" w:rsidRDefault="007E5E11" w:rsidP="007E5E11">
            <w:pPr>
              <w:spacing w:after="0" w:line="240" w:lineRule="auto"/>
              <w:jc w:val="center"/>
              <w:rPr>
                <w:rFonts w:eastAsia="Times New Roman"/>
                <w:color w:val="000000" w:themeColor="text1"/>
                <w:lang w:eastAsia="tr-TR"/>
              </w:rPr>
            </w:pPr>
            <w:r>
              <w:rPr>
                <w:rFonts w:eastAsia="Times New Roman"/>
                <w:color w:val="000000" w:themeColor="text1"/>
                <w:lang w:eastAsia="tr-TR"/>
              </w:rPr>
              <w:t>11335</w:t>
            </w:r>
          </w:p>
        </w:tc>
        <w:tc>
          <w:tcPr>
            <w:tcW w:w="1907" w:type="pct"/>
            <w:shd w:val="clear" w:color="auto" w:fill="auto"/>
            <w:vAlign w:val="bottom"/>
          </w:tcPr>
          <w:p w:rsidR="007E5E11" w:rsidRPr="00410B0D" w:rsidRDefault="007E5E11" w:rsidP="007E5E11">
            <w:pPr>
              <w:spacing w:after="0" w:line="240" w:lineRule="auto"/>
              <w:rPr>
                <w:rFonts w:eastAsia="Times New Roman"/>
                <w:color w:val="000000" w:themeColor="text1"/>
                <w:lang w:eastAsia="tr-TR"/>
              </w:rPr>
            </w:pPr>
            <w:r w:rsidRPr="00410B0D">
              <w:rPr>
                <w:rFonts w:eastAsia="Times New Roman"/>
                <w:color w:val="000000" w:themeColor="text1"/>
                <w:lang w:eastAsia="tr-TR"/>
              </w:rPr>
              <w:t>Kullanımı 75.000 m</w:t>
            </w:r>
            <w:r w:rsidRPr="00410B0D">
              <w:rPr>
                <w:rFonts w:eastAsia="Times New Roman"/>
                <w:color w:val="000000" w:themeColor="text1"/>
                <w:vertAlign w:val="superscript"/>
                <w:lang w:eastAsia="tr-TR"/>
              </w:rPr>
              <w:t>3</w:t>
            </w:r>
            <w:r w:rsidRPr="00410B0D">
              <w:rPr>
                <w:rFonts w:eastAsia="Times New Roman"/>
                <w:color w:val="000000" w:themeColor="text1"/>
                <w:lang w:eastAsia="tr-TR"/>
              </w:rPr>
              <w:t xml:space="preserve"> altında kalan konut tüketicileri</w:t>
            </w:r>
            <w:r>
              <w:rPr>
                <w:rFonts w:eastAsia="Times New Roman"/>
                <w:color w:val="000000" w:themeColor="text1"/>
                <w:lang w:eastAsia="tr-TR"/>
              </w:rPr>
              <w:t xml:space="preserve"> </w:t>
            </w:r>
            <w:r w:rsidRPr="00410B0D">
              <w:rPr>
                <w:rFonts w:eastAsia="Times New Roman"/>
                <w:color w:val="000000" w:themeColor="text1"/>
                <w:lang w:eastAsia="tr-TR"/>
              </w:rPr>
              <w:t>(evsel tüketiciler) hariç olmak üzere, tüm tüketiciler serbest tüketicidir.*</w:t>
            </w:r>
          </w:p>
        </w:tc>
        <w:tc>
          <w:tcPr>
            <w:tcW w:w="1187" w:type="pct"/>
            <w:shd w:val="clear" w:color="auto" w:fill="auto"/>
            <w:vAlign w:val="center"/>
          </w:tcPr>
          <w:p w:rsidR="007E5E11" w:rsidRPr="00410B0D" w:rsidRDefault="007E5E11" w:rsidP="00151CF9">
            <w:pPr>
              <w:spacing w:after="0" w:line="240" w:lineRule="auto"/>
              <w:jc w:val="left"/>
              <w:rPr>
                <w:rFonts w:eastAsia="Times New Roman"/>
                <w:color w:val="000000" w:themeColor="text1"/>
                <w:lang w:eastAsia="tr-TR"/>
              </w:rPr>
            </w:pPr>
            <w:r w:rsidRPr="00410B0D">
              <w:rPr>
                <w:rFonts w:eastAsia="Times New Roman"/>
                <w:color w:val="000000" w:themeColor="text1"/>
                <w:lang w:eastAsia="tr-TR"/>
              </w:rPr>
              <w:t>İhale ilanında ve lisansında belirtilmiştir.</w:t>
            </w:r>
          </w:p>
        </w:tc>
      </w:tr>
    </w:tbl>
    <w:p w:rsidR="00622946" w:rsidRDefault="002B3553" w:rsidP="00057117">
      <w:pPr>
        <w:pStyle w:val="ListeParagraf"/>
        <w:ind w:left="426"/>
        <w:rPr>
          <w:sz w:val="20"/>
          <w:szCs w:val="20"/>
        </w:rPr>
      </w:pPr>
      <w:r w:rsidRPr="00410B0D">
        <w:rPr>
          <w:color w:val="000000" w:themeColor="text1"/>
          <w:sz w:val="20"/>
          <w:szCs w:val="20"/>
        </w:rPr>
        <w:t>*</w:t>
      </w:r>
      <w:r w:rsidRPr="00410B0D">
        <w:rPr>
          <w:sz w:val="20"/>
          <w:szCs w:val="20"/>
        </w:rPr>
        <w:t xml:space="preserve"> </w:t>
      </w:r>
      <w:r w:rsidRPr="00057117">
        <w:rPr>
          <w:i/>
          <w:sz w:val="20"/>
          <w:szCs w:val="20"/>
        </w:rPr>
        <w:t>Konut tüketicileri için serbest tüketici limiti hesabında, tek sayaçtan ölçülen tüketim miktarı dikkate alınmaktadır</w:t>
      </w:r>
      <w:r w:rsidRPr="00410B0D">
        <w:rPr>
          <w:sz w:val="20"/>
          <w:szCs w:val="20"/>
        </w:rPr>
        <w:t>.</w:t>
      </w:r>
    </w:p>
    <w:p w:rsidR="00ED3C2B" w:rsidRDefault="00ED3C2B" w:rsidP="007F076F">
      <w:pPr>
        <w:contextualSpacing/>
        <w:rPr>
          <w:b/>
        </w:rPr>
      </w:pPr>
      <w:r w:rsidRPr="00ED3C2B">
        <w:rPr>
          <w:b/>
        </w:rPr>
        <w:t>Spot Boru Gazı İthalatına İlişkin İlan Edilen Talep Çağrıları ve Talep Toplama/Yarışma Sonuçları</w:t>
      </w:r>
      <w:r w:rsidR="004A4FC7">
        <w:rPr>
          <w:b/>
        </w:rPr>
        <w:t>;</w:t>
      </w:r>
    </w:p>
    <w:p w:rsidR="00ED3C2B" w:rsidRDefault="00ED3C2B" w:rsidP="00ED3C2B">
      <w:r w:rsidRPr="00ED3C2B">
        <w:t xml:space="preserve">19.09.2019 tarihli ve 30893 sayılı Resmî </w:t>
      </w:r>
      <w:r w:rsidR="00274939">
        <w:t>Gazetede</w:t>
      </w:r>
      <w:r w:rsidRPr="00ED3C2B">
        <w:t xml:space="preserve"> yayımlanan </w:t>
      </w:r>
      <w:r w:rsidRPr="00151CF9">
        <w:rPr>
          <w:b/>
        </w:rPr>
        <w:t>“Spot Boru Gazı İthalat Miktarı ve Uygulama Yönteminin Belirlenmesine İlişkin Usul ve Esaslar”</w:t>
      </w:r>
      <w:r w:rsidRPr="00ED3C2B">
        <w:t xml:space="preserve"> kapsamında Kurum</w:t>
      </w:r>
      <w:r w:rsidR="005A1C72">
        <w:t>ca</w:t>
      </w:r>
      <w:r w:rsidRPr="00ED3C2B">
        <w:t xml:space="preserve"> her ay yıllık, çeyreklik ve aylık olarak ilan edilen talep çağrıları kapsamında düzenlenen talep toplama/yarışmalar, 202</w:t>
      </w:r>
      <w:r w:rsidR="001B4019">
        <w:t>2</w:t>
      </w:r>
      <w:r w:rsidRPr="00ED3C2B">
        <w:t xml:space="preserve"> yılında aşağıdaki şekilde sonuçlanmıştır:</w:t>
      </w:r>
    </w:p>
    <w:p w:rsidR="001B4019" w:rsidRPr="00844FB7" w:rsidRDefault="001B4019" w:rsidP="00844FB7">
      <w:pPr>
        <w:widowControl w:val="0"/>
        <w:numPr>
          <w:ilvl w:val="0"/>
          <w:numId w:val="73"/>
        </w:numPr>
        <w:spacing w:after="240" w:line="240" w:lineRule="auto"/>
        <w:contextualSpacing/>
      </w:pPr>
      <w:r w:rsidRPr="00844FB7">
        <w:rPr>
          <w:b/>
        </w:rPr>
        <w:t>2022/1-A: TANAP Trakya, TANAP Seyitgazi ve Türkgözü Giriş Noktalarına</w:t>
      </w:r>
      <w:r w:rsidRPr="00844FB7">
        <w:t xml:space="preserve"> ilişkin olarak </w:t>
      </w:r>
      <w:r w:rsidRPr="00844FB7">
        <w:rPr>
          <w:b/>
        </w:rPr>
        <w:t>2022, 2023 ve 2024 Gaz Yılları için</w:t>
      </w:r>
      <w:r w:rsidRPr="00844FB7">
        <w:t xml:space="preserve"> hazırlanan ve 19/08/2021 tarihli ve 10369-2 sayılı Kurul Kararı ile kabul edilen Talep Çağrısı (2022/1-A) kapsamında, </w:t>
      </w:r>
      <w:r w:rsidRPr="00844FB7">
        <w:rPr>
          <w:b/>
        </w:rPr>
        <w:t>Türkgözü Giriş Noktası üzerinden</w:t>
      </w:r>
      <w:r w:rsidRPr="00844FB7">
        <w:t xml:space="preserve"> 2022, 2023 ve 2024 Gaz Yılı kapasite ürünleri için başvuru yapan DİT/7624-2/432 numaralı İthalat (Spot) Lisansı sahibi </w:t>
      </w:r>
      <w:r w:rsidRPr="00844FB7">
        <w:rPr>
          <w:b/>
        </w:rPr>
        <w:t>BOTAŞ</w:t>
      </w:r>
      <w:r w:rsidRPr="00844FB7">
        <w:t xml:space="preserve">, 06 Eylül 2021 tarihinde yapılan talep toplama sonucunda </w:t>
      </w:r>
      <w:r w:rsidRPr="00844FB7">
        <w:rPr>
          <w:b/>
        </w:rPr>
        <w:t>Türkgözü Giriş Noktası’ndan 2022 Gaz Yılı için 7.177.000 m3/gün, 2023 Gaz Yılı için 10.519.000 m3/gün ve 2024 Gaz Yılı için 10.519.000 m3/gün’lük</w:t>
      </w:r>
      <w:r w:rsidRPr="00844FB7">
        <w:t xml:space="preserve"> spot kapasite rezervasyonu yapmaya hak kazanmıştır. TANAP Seyitgazi ve TANAP Trakya Giriş Noktaları özelinde ise herhangi bir başvuru tarafımıza ulaşmamıştır.</w:t>
      </w:r>
    </w:p>
    <w:p w:rsidR="001B4019" w:rsidRPr="00844FB7" w:rsidRDefault="001B4019" w:rsidP="001B4019">
      <w:pPr>
        <w:widowControl w:val="0"/>
        <w:spacing w:after="240" w:line="240" w:lineRule="auto"/>
        <w:ind w:left="360"/>
        <w:contextualSpacing/>
        <w:rPr>
          <w:b/>
        </w:rPr>
      </w:pPr>
    </w:p>
    <w:p w:rsidR="001B4019" w:rsidRPr="00844FB7" w:rsidRDefault="001B4019" w:rsidP="00844FB7">
      <w:pPr>
        <w:widowControl w:val="0"/>
        <w:numPr>
          <w:ilvl w:val="0"/>
          <w:numId w:val="73"/>
        </w:numPr>
        <w:spacing w:after="240" w:line="240" w:lineRule="auto"/>
        <w:contextualSpacing/>
      </w:pPr>
      <w:r w:rsidRPr="00844FB7">
        <w:rPr>
          <w:b/>
        </w:rPr>
        <w:t>2022/1-B ve 2022/1-C:</w:t>
      </w:r>
      <w:r w:rsidRPr="00844FB7">
        <w:t xml:space="preserve"> Daha önce, 2022/1-A Talep Çağrısı metniyle 2022, 2023 ve 2024 Gaz Yılları için TANAP Trakya, TANAP Seyitgazi ve Türkgözü Giriş Noktaları özelinde yıllık spot kapasite ürünlerinin sunulduğundan bahsedilmiştir. Anılan giriş noktaları ve spot kapasite ürünleri dışında, </w:t>
      </w:r>
      <w:r w:rsidRPr="00844FB7">
        <w:rPr>
          <w:b/>
        </w:rPr>
        <w:t>2022 Gaz Yılı öncesinde sunulacak olan yıllık, birinci çeyreklik ve birinci aylık spot kapasite ürünleri</w:t>
      </w:r>
      <w:r w:rsidRPr="00844FB7">
        <w:t xml:space="preserve"> hakkında ise 02/12/2021 tarihli ve 10592 sayılı Kurul Kararıyla </w:t>
      </w:r>
      <w:r w:rsidRPr="00844FB7">
        <w:rPr>
          <w:b/>
        </w:rPr>
        <w:t>2022/1-B Talep Çağrısı</w:t>
      </w:r>
      <w:r w:rsidRPr="00844FB7">
        <w:t xml:space="preserve"> metnine ilan edilmiş ve bu doğrultuda sadece </w:t>
      </w:r>
      <w:r w:rsidRPr="00844FB7">
        <w:rPr>
          <w:b/>
        </w:rPr>
        <w:t>Kıyıköy Giriş Noktası</w:t>
      </w:r>
      <w:r w:rsidRPr="00844FB7">
        <w:t xml:space="preserve"> üzerinden DİT/7624-2/432 numaralı İthalat (Spot) Lisansı sahibi </w:t>
      </w:r>
      <w:r w:rsidRPr="00844FB7">
        <w:rPr>
          <w:b/>
        </w:rPr>
        <w:t>BOTAŞ</w:t>
      </w:r>
      <w:r w:rsidRPr="00844FB7">
        <w:t xml:space="preserve"> ile DİT/4240-3/287 numaralı İthalat (Spot) Lisansı sahibi </w:t>
      </w:r>
      <w:r w:rsidRPr="00844FB7">
        <w:rPr>
          <w:b/>
        </w:rPr>
        <w:t>Bosphorus Gaz Corporation A.Ş.</w:t>
      </w:r>
      <w:r w:rsidRPr="00844FB7">
        <w:t xml:space="preserve"> tarafından başvuru yapılmıştır. Söz konusu talep çağrısı ile spot boru gazı ithalatına yönelik olarak ilan edilen diğer Giriş Noktaları hakkındaysa herhangi bir başvuru tarafımıza ulaşmamıştır. 21 Aralık 2021 tarihinde yapılması planlanan talep toplama aşaması </w:t>
      </w:r>
      <w:r w:rsidRPr="00844FB7">
        <w:lastRenderedPageBreak/>
        <w:t xml:space="preserve">öncesinde </w:t>
      </w:r>
      <w:r w:rsidRPr="00844FB7">
        <w:rPr>
          <w:b/>
        </w:rPr>
        <w:t>Kıyıköy Giriş Noktası’nda özelinde Maksimum Ayrılabilir Kapasite (MAK) miktarındaki artış başta olmak üzere</w:t>
      </w:r>
      <w:r w:rsidRPr="00844FB7">
        <w:t xml:space="preserve"> yaşanan bazı önemli gelişmeler nedeniyle söz konusu talep toplama tarihi ertelenmiş ve 23/12/2021 tarihli ve 10666 sayılı Kurul Kararı ile </w:t>
      </w:r>
      <w:r w:rsidRPr="00844FB7">
        <w:rPr>
          <w:b/>
        </w:rPr>
        <w:t>sadece Kıyıköy Giriş Noktası için yeniden ilan edilen</w:t>
      </w:r>
      <w:r w:rsidRPr="00844FB7">
        <w:t xml:space="preserve"> </w:t>
      </w:r>
      <w:r w:rsidRPr="00844FB7">
        <w:rPr>
          <w:b/>
        </w:rPr>
        <w:t>2022/1-C Talep Çağrısı</w:t>
      </w:r>
      <w:r w:rsidRPr="00844FB7">
        <w:t xml:space="preserve"> metni çerçevesinde, 29 Aralık 2021 tarihinde gerçekleştirilen talep toplama aşaması neticesinde </w:t>
      </w:r>
      <w:r w:rsidRPr="00844FB7">
        <w:rPr>
          <w:b/>
        </w:rPr>
        <w:t>BOTAŞ, Kıyıköy Giriş Noktası üzerinden 2022 Gaz Yılı için 5.075.000 m</w:t>
      </w:r>
      <w:r w:rsidRPr="00844FB7">
        <w:rPr>
          <w:b/>
          <w:vertAlign w:val="superscript"/>
        </w:rPr>
        <w:t>3</w:t>
      </w:r>
      <w:r w:rsidRPr="00844FB7">
        <w:rPr>
          <w:b/>
        </w:rPr>
        <w:t>/Gün, birinci çeyreklik dönem için 6.766.000 m</w:t>
      </w:r>
      <w:r w:rsidRPr="00844FB7">
        <w:rPr>
          <w:b/>
          <w:vertAlign w:val="superscript"/>
        </w:rPr>
        <w:t>3</w:t>
      </w:r>
      <w:r w:rsidRPr="00844FB7">
        <w:rPr>
          <w:b/>
        </w:rPr>
        <w:t>/Gün ve birinci aylık dönem için ise 5.075.000 m</w:t>
      </w:r>
      <w:r w:rsidRPr="00844FB7">
        <w:rPr>
          <w:b/>
          <w:vertAlign w:val="superscript"/>
        </w:rPr>
        <w:t>3</w:t>
      </w:r>
      <w:r w:rsidRPr="00844FB7">
        <w:rPr>
          <w:b/>
        </w:rPr>
        <w:t xml:space="preserve">/Gün’lük </w:t>
      </w:r>
      <w:r w:rsidRPr="00844FB7">
        <w:t>bir miktarda spot kapasiteyi rezerve etmeye hak kazanmıştır.</w:t>
      </w:r>
    </w:p>
    <w:p w:rsidR="001B4019" w:rsidRPr="00844FB7" w:rsidRDefault="001B4019" w:rsidP="001B4019">
      <w:pPr>
        <w:widowControl w:val="0"/>
        <w:spacing w:after="240" w:line="240" w:lineRule="auto"/>
        <w:ind w:left="360"/>
        <w:contextualSpacing/>
      </w:pPr>
    </w:p>
    <w:p w:rsidR="001B4019" w:rsidRPr="00844FB7" w:rsidRDefault="001B4019" w:rsidP="00844FB7">
      <w:pPr>
        <w:widowControl w:val="0"/>
        <w:numPr>
          <w:ilvl w:val="0"/>
          <w:numId w:val="73"/>
        </w:numPr>
        <w:spacing w:after="240" w:line="240" w:lineRule="auto"/>
        <w:contextualSpacing/>
      </w:pPr>
      <w:r w:rsidRPr="00844FB7">
        <w:rPr>
          <w:b/>
        </w:rPr>
        <w:t>2022/2: 2022 Gaz Yılı Şubat Ayı (A2)</w:t>
      </w:r>
      <w:r w:rsidRPr="00844FB7">
        <w:t xml:space="preserve"> spot kapasite ürünü için hazırlanan ve 13/01/2022 tarihli ve 10724-2 sayılı Kurul Kararı ile kabul edilen Talep Çağrısı metni (2022/2) kapsamında, 26 Ocak 2022 tarihinde gerçekleştirilen talep toplama sonucunda; </w:t>
      </w:r>
      <w:r w:rsidRPr="00844FB7">
        <w:rPr>
          <w:b/>
        </w:rPr>
        <w:t>Kıyıköy Giriş Noktası üzerinden</w:t>
      </w:r>
      <w:r w:rsidRPr="00844FB7">
        <w:t xml:space="preserve"> Şubat Ayı (A2) kapasite ürünü için başvuru yapan DİT/7624-2/432 numaralı İthalat (Spot) Lisansı sahibi </w:t>
      </w:r>
      <w:r w:rsidRPr="00844FB7">
        <w:rPr>
          <w:b/>
        </w:rPr>
        <w:t>BOTAŞ</w:t>
      </w:r>
      <w:r w:rsidRPr="00844FB7">
        <w:t xml:space="preserve">, </w:t>
      </w:r>
      <w:r w:rsidRPr="00844FB7">
        <w:rPr>
          <w:b/>
        </w:rPr>
        <w:t xml:space="preserve">5.075.000 m3/gün; Türkgözü Giriş Noktası üzerinden </w:t>
      </w:r>
      <w:r w:rsidRPr="00844FB7">
        <w:t xml:space="preserve"> Şubat Ayı (A2) kapasite ürünü için başvuru yapan DİT/9289-2/497 numaralı İthalat (Spot) Lisansı sahibi </w:t>
      </w:r>
      <w:r w:rsidRPr="00844FB7">
        <w:rPr>
          <w:b/>
        </w:rPr>
        <w:t xml:space="preserve">SOCAR Enerji Ticaret A.Ş. ise 4.000.000 m3/gün </w:t>
      </w:r>
      <w:r w:rsidRPr="00844FB7">
        <w:t xml:space="preserve">miktar için spot kapasite rezervasyonu yapmaya hak kazanmıştır. </w:t>
      </w:r>
    </w:p>
    <w:p w:rsidR="001B4019" w:rsidRPr="00844FB7" w:rsidRDefault="001B4019" w:rsidP="001B4019">
      <w:pPr>
        <w:widowControl w:val="0"/>
        <w:spacing w:after="240" w:line="240" w:lineRule="auto"/>
        <w:ind w:left="360"/>
        <w:contextualSpacing/>
      </w:pPr>
    </w:p>
    <w:p w:rsidR="001B4019" w:rsidRPr="00844FB7" w:rsidRDefault="001B4019" w:rsidP="00844FB7">
      <w:pPr>
        <w:widowControl w:val="0"/>
        <w:numPr>
          <w:ilvl w:val="0"/>
          <w:numId w:val="73"/>
        </w:numPr>
        <w:spacing w:after="240" w:line="240" w:lineRule="auto"/>
        <w:contextualSpacing/>
      </w:pPr>
      <w:r w:rsidRPr="00844FB7">
        <w:rPr>
          <w:b/>
        </w:rPr>
        <w:t>2022/3: 2022 Gaz Yılı Mart Ayı (A3)</w:t>
      </w:r>
      <w:r w:rsidRPr="00844FB7">
        <w:t xml:space="preserve"> spot kapasite ürünü için hazırlanan ve 10/02/2022 tarihli ve 10775 sayılı Kurul Kararı ile kabul edilen Talep Çağrısı metni (2022/3) kapsamında, 24 Şubat 2022 tarihinde gerçekleştirilen talep toplama sonucunda, </w:t>
      </w:r>
      <w:r w:rsidRPr="00844FB7">
        <w:rPr>
          <w:b/>
        </w:rPr>
        <w:t>Kıyıköy Giriş Noktası üzerinden</w:t>
      </w:r>
      <w:r w:rsidRPr="00844FB7">
        <w:t xml:space="preserve"> Mart Ayı (A3) kapasite ürünü için başvuru yapan DİT/7624-2/432 numaralı İthalat (Spot) Lisansı sahibi </w:t>
      </w:r>
      <w:r w:rsidRPr="00844FB7">
        <w:rPr>
          <w:b/>
        </w:rPr>
        <w:t>BOTAŞ</w:t>
      </w:r>
      <w:r w:rsidRPr="00844FB7">
        <w:t xml:space="preserve">, </w:t>
      </w:r>
      <w:r w:rsidRPr="00844FB7">
        <w:rPr>
          <w:b/>
        </w:rPr>
        <w:t xml:space="preserve">5.075.000 m3/gün’lük </w:t>
      </w:r>
      <w:r w:rsidRPr="00844FB7">
        <w:t xml:space="preserve">bir miktar için spot kapasite rezervasyonu yapmaya hak kazanmıştır. </w:t>
      </w:r>
    </w:p>
    <w:p w:rsidR="001B4019" w:rsidRPr="00844FB7" w:rsidRDefault="001B4019" w:rsidP="001B4019">
      <w:pPr>
        <w:widowControl w:val="0"/>
        <w:spacing w:after="240" w:line="240" w:lineRule="auto"/>
        <w:ind w:left="360"/>
        <w:contextualSpacing/>
      </w:pPr>
    </w:p>
    <w:p w:rsidR="001B4019" w:rsidRPr="00844FB7" w:rsidRDefault="001B4019" w:rsidP="00844FB7">
      <w:pPr>
        <w:widowControl w:val="0"/>
        <w:numPr>
          <w:ilvl w:val="0"/>
          <w:numId w:val="73"/>
        </w:numPr>
        <w:spacing w:after="240" w:line="240" w:lineRule="auto"/>
        <w:contextualSpacing/>
      </w:pPr>
      <w:r w:rsidRPr="00844FB7">
        <w:rPr>
          <w:b/>
        </w:rPr>
        <w:t>2022/4: 2022 Gaz Yılı İkinci Çeyrek (Ç2) ve Nisan Ayı (A4)</w:t>
      </w:r>
      <w:r w:rsidRPr="00844FB7">
        <w:t xml:space="preserve"> spot kapasite ürünleri için hazırlanan ve 10/03/2022 tarihli ve 10835-6 sayılı Kurul Kararı ile kabul edilen Talep Çağrısı metni (2022/4) kapsamında, 25 Mart 2022 tarihinde gerçekleştirilen talep toplama sonucunda, </w:t>
      </w:r>
      <w:r w:rsidRPr="00844FB7">
        <w:rPr>
          <w:b/>
        </w:rPr>
        <w:t>Kıyıköy Giriş Noktası üzerinden</w:t>
      </w:r>
      <w:r w:rsidRPr="00844FB7">
        <w:t xml:space="preserve"> İkinci Çeyrek (Ç2) ve Nisan Ayı (A4) kapasite ürünü için başvuru yapan DİT/7624-2/432 numaralı İthalat (Spot) Lisansı sahibi </w:t>
      </w:r>
      <w:r w:rsidRPr="00844FB7">
        <w:rPr>
          <w:b/>
        </w:rPr>
        <w:t>BOTAŞ</w:t>
      </w:r>
      <w:r w:rsidRPr="00844FB7">
        <w:t xml:space="preserve">, çeyreklik kapasite için </w:t>
      </w:r>
      <w:r w:rsidRPr="00844FB7">
        <w:rPr>
          <w:b/>
        </w:rPr>
        <w:t>6.766.000 m3/gün’lük</w:t>
      </w:r>
      <w:r w:rsidRPr="00844FB7">
        <w:t xml:space="preserve">, aylık kapasite için ise </w:t>
      </w:r>
      <w:r w:rsidRPr="00844FB7">
        <w:rPr>
          <w:b/>
        </w:rPr>
        <w:t xml:space="preserve">5.075.000 m3/gün’lük </w:t>
      </w:r>
      <w:r w:rsidRPr="00844FB7">
        <w:t xml:space="preserve">bir miktar bildiriminde bulunarak spot kapasite rezervasyonu yapmaya hak kazanmıştır. </w:t>
      </w:r>
    </w:p>
    <w:p w:rsidR="001B4019" w:rsidRPr="00844FB7" w:rsidRDefault="001B4019" w:rsidP="001B4019">
      <w:pPr>
        <w:widowControl w:val="0"/>
        <w:spacing w:after="240" w:line="240" w:lineRule="auto"/>
        <w:ind w:left="360"/>
        <w:contextualSpacing/>
      </w:pPr>
    </w:p>
    <w:p w:rsidR="001B4019" w:rsidRPr="00844FB7" w:rsidRDefault="001B4019" w:rsidP="00844FB7">
      <w:pPr>
        <w:widowControl w:val="0"/>
        <w:numPr>
          <w:ilvl w:val="0"/>
          <w:numId w:val="73"/>
        </w:numPr>
        <w:spacing w:after="240" w:line="240" w:lineRule="auto"/>
        <w:contextualSpacing/>
      </w:pPr>
      <w:r w:rsidRPr="00844FB7">
        <w:rPr>
          <w:b/>
        </w:rPr>
        <w:t>2022/5: 2022 Gaz Yılı Mayıs Ayı (A5)</w:t>
      </w:r>
      <w:r w:rsidRPr="00844FB7">
        <w:t xml:space="preserve"> spot kapasite ürünleri için hazırlanan ve 07/04/2022 tarihli ve 10916-5 sayılı Kurul Kararı ile kabul edilen Talep Çağrısı metni (2022/5) kapsamında, 22 Nisan 2022 tarihinde gerçekleştirilen talep toplama sonucunda, </w:t>
      </w:r>
      <w:r w:rsidRPr="00844FB7">
        <w:rPr>
          <w:b/>
        </w:rPr>
        <w:t>Kıyıköy Giriş Noktası üzerinden</w:t>
      </w:r>
      <w:r w:rsidRPr="00844FB7">
        <w:t xml:space="preserve"> Mayıs Ayı (A5) kapasite ürünü için başvuru yapan DİT/7624-2/432 numaralı İthalat (Spot) Lisansı sahibi </w:t>
      </w:r>
      <w:r w:rsidRPr="00844FB7">
        <w:rPr>
          <w:b/>
        </w:rPr>
        <w:t>BOTAŞ</w:t>
      </w:r>
      <w:r w:rsidRPr="00844FB7">
        <w:t xml:space="preserve"> </w:t>
      </w:r>
      <w:r w:rsidRPr="00844FB7">
        <w:rPr>
          <w:b/>
        </w:rPr>
        <w:t xml:space="preserve">5.075.000 m3/gün’lük </w:t>
      </w:r>
      <w:r w:rsidRPr="00844FB7">
        <w:t xml:space="preserve">bir miktar bildiriminde bulunarak spot kapasite rezervasyonu yapmaya hak kazanmıştır. </w:t>
      </w:r>
    </w:p>
    <w:p w:rsidR="001B4019" w:rsidRPr="00844FB7" w:rsidRDefault="001B4019" w:rsidP="001B4019">
      <w:pPr>
        <w:widowControl w:val="0"/>
        <w:spacing w:after="240" w:line="240" w:lineRule="auto"/>
        <w:ind w:left="360"/>
        <w:contextualSpacing/>
      </w:pPr>
    </w:p>
    <w:p w:rsidR="001B4019" w:rsidRPr="00844FB7" w:rsidRDefault="001B4019" w:rsidP="00844FB7">
      <w:pPr>
        <w:widowControl w:val="0"/>
        <w:numPr>
          <w:ilvl w:val="0"/>
          <w:numId w:val="73"/>
        </w:numPr>
        <w:spacing w:after="240" w:line="240" w:lineRule="auto"/>
        <w:contextualSpacing/>
      </w:pPr>
      <w:r w:rsidRPr="00844FB7">
        <w:rPr>
          <w:b/>
        </w:rPr>
        <w:t>2022/6: 2022 Gaz Yılı Haziran Ayı (A6)</w:t>
      </w:r>
      <w:r w:rsidRPr="00844FB7">
        <w:t xml:space="preserve"> spot kapasite ürünleri için hazırlanan ve 12/05/2022 tarihli ve 10972-9 sayılı Kurul Kararı ile kabul edilen Talep Çağrısı metni (2022/6) kapsamında, 27 Mayıs 2022 tarihinde gerçekleştirilen talep toplama sonucunda, </w:t>
      </w:r>
      <w:r w:rsidRPr="00844FB7">
        <w:rPr>
          <w:b/>
        </w:rPr>
        <w:t>Kıyıköy Giriş Noktası üzerinden</w:t>
      </w:r>
      <w:r w:rsidRPr="00844FB7">
        <w:t xml:space="preserve"> Haziran Ayı (A6) kapasite ürünü için başvuru yapan DİT/7624-2/432 numaralı İthalat (Spot) Lisansı sahibi </w:t>
      </w:r>
      <w:r w:rsidRPr="00844FB7">
        <w:rPr>
          <w:b/>
        </w:rPr>
        <w:t>BOTAŞ</w:t>
      </w:r>
      <w:r w:rsidRPr="00844FB7">
        <w:t xml:space="preserve"> </w:t>
      </w:r>
      <w:r w:rsidRPr="00844FB7">
        <w:rPr>
          <w:b/>
        </w:rPr>
        <w:t xml:space="preserve">5.075.000 m3/gün’lük </w:t>
      </w:r>
      <w:r w:rsidRPr="00844FB7">
        <w:t xml:space="preserve">bir miktar bildiriminde bulunarak spot kapasite rezervasyonu yapmaya hak kazanmıştır. </w:t>
      </w:r>
    </w:p>
    <w:p w:rsidR="001B4019" w:rsidRPr="00844FB7" w:rsidRDefault="001B4019" w:rsidP="001B4019">
      <w:pPr>
        <w:widowControl w:val="0"/>
        <w:spacing w:after="240" w:line="240" w:lineRule="auto"/>
        <w:ind w:left="360"/>
        <w:contextualSpacing/>
      </w:pPr>
    </w:p>
    <w:p w:rsidR="001B4019" w:rsidRPr="00844FB7" w:rsidRDefault="001B4019" w:rsidP="00844FB7">
      <w:pPr>
        <w:widowControl w:val="0"/>
        <w:numPr>
          <w:ilvl w:val="0"/>
          <w:numId w:val="73"/>
        </w:numPr>
        <w:spacing w:after="240" w:line="240" w:lineRule="auto"/>
        <w:contextualSpacing/>
      </w:pPr>
      <w:r w:rsidRPr="00844FB7">
        <w:rPr>
          <w:b/>
        </w:rPr>
        <w:t xml:space="preserve">2022/7: 2022 Gaz Yılı Üçüncü Çeyrek (Ç3) ve Temmuz Ayı (A7) </w:t>
      </w:r>
      <w:r w:rsidRPr="00844FB7">
        <w:t xml:space="preserve">spot kapasite ürünleri için hazırlanan ve 09/06/2022 tarihli ve 11010-5 sayılı Kurul Kararı ile kabul edilen Talep Çağrısı metni (2022/7) kapsamında, 24 Haziran 2022 tarihinde gerçekleştirilen talep toplama sonucunda, </w:t>
      </w:r>
      <w:r w:rsidRPr="00844FB7">
        <w:rPr>
          <w:b/>
        </w:rPr>
        <w:t>Kıyıköy Giriş Noktası üzerinden</w:t>
      </w:r>
      <w:r w:rsidRPr="00844FB7">
        <w:t xml:space="preserve"> Üçüncü Çeyrek (Ç3) ve Temmuz Ayı (A7) kapasite ürünleri için başvuru yapan DİT/7624-2/432 numaralı İthalat (Spot) Lisansı sahibi </w:t>
      </w:r>
      <w:r w:rsidRPr="00844FB7">
        <w:rPr>
          <w:b/>
        </w:rPr>
        <w:t>BOTAŞ</w:t>
      </w:r>
      <w:r w:rsidRPr="00844FB7">
        <w:t xml:space="preserve">, çeyreklik kapasite için </w:t>
      </w:r>
      <w:r w:rsidRPr="00844FB7">
        <w:rPr>
          <w:b/>
        </w:rPr>
        <w:t>6.766.000 m3/gün’lük</w:t>
      </w:r>
      <w:r w:rsidRPr="00844FB7">
        <w:t xml:space="preserve">, aylık kapasite için ise </w:t>
      </w:r>
      <w:r w:rsidRPr="00844FB7">
        <w:rPr>
          <w:b/>
        </w:rPr>
        <w:t xml:space="preserve">4.902.000 m3/gün’lük </w:t>
      </w:r>
      <w:r w:rsidRPr="00844FB7">
        <w:t>bir miktar bildiriminde bulunarak spot kapasite rezervasyonu yapmaya hak kazanmıştır.</w:t>
      </w:r>
    </w:p>
    <w:p w:rsidR="001B4019" w:rsidRPr="00844FB7" w:rsidRDefault="001B4019" w:rsidP="001B4019">
      <w:pPr>
        <w:widowControl w:val="0"/>
        <w:spacing w:after="240" w:line="240" w:lineRule="auto"/>
        <w:ind w:left="360"/>
        <w:contextualSpacing/>
      </w:pPr>
    </w:p>
    <w:p w:rsidR="001B4019" w:rsidRPr="00844FB7" w:rsidRDefault="001B4019" w:rsidP="00844FB7">
      <w:pPr>
        <w:widowControl w:val="0"/>
        <w:numPr>
          <w:ilvl w:val="0"/>
          <w:numId w:val="73"/>
        </w:numPr>
        <w:spacing w:after="240" w:line="240" w:lineRule="auto"/>
        <w:contextualSpacing/>
      </w:pPr>
      <w:r w:rsidRPr="00844FB7">
        <w:rPr>
          <w:b/>
        </w:rPr>
        <w:t>2022/8: 2022 Gaz Yılı Ağustos Ayı (A8)</w:t>
      </w:r>
      <w:r w:rsidRPr="00844FB7">
        <w:t xml:space="preserve"> spot kapasite ürünleri için hazırlanan ve 06/07/2022 tarihli ve 11060-1 sayılı Kurul Kararı ile kabul edilen Talep Çağrısı metni (2022/8) kapsamında, 22 Temmuz 2022 tarihinde gerçekleştirilen talep toplama sonucunda, </w:t>
      </w:r>
      <w:r w:rsidRPr="00844FB7">
        <w:rPr>
          <w:b/>
        </w:rPr>
        <w:t>Kıyıköy Giriş Noktası üzerinden</w:t>
      </w:r>
      <w:r w:rsidRPr="00844FB7">
        <w:t xml:space="preserve"> Ağustos Ayı (A8) kapasite ürünü </w:t>
      </w:r>
      <w:r w:rsidRPr="00844FB7">
        <w:lastRenderedPageBreak/>
        <w:t xml:space="preserve">için başvuru yapan DİT/7624-2/432 numaralı İthalat (Spot) Lisansı sahibi </w:t>
      </w:r>
      <w:r w:rsidRPr="00844FB7">
        <w:rPr>
          <w:b/>
        </w:rPr>
        <w:t>BOTAŞ</w:t>
      </w:r>
      <w:r w:rsidRPr="00844FB7">
        <w:t xml:space="preserve"> </w:t>
      </w:r>
      <w:r w:rsidRPr="00844FB7">
        <w:rPr>
          <w:b/>
        </w:rPr>
        <w:t xml:space="preserve">4.809.000 m3/gün’lük </w:t>
      </w:r>
      <w:r w:rsidRPr="00844FB7">
        <w:t xml:space="preserve">bir miktar bildiriminde bulunarak spot kapasite rezervasyonu yapmaya hak kazanmıştır. </w:t>
      </w:r>
    </w:p>
    <w:p w:rsidR="001B4019" w:rsidRPr="00844FB7" w:rsidRDefault="001B4019" w:rsidP="001B4019">
      <w:pPr>
        <w:widowControl w:val="0"/>
        <w:spacing w:after="240" w:line="240" w:lineRule="auto"/>
        <w:ind w:left="360"/>
        <w:contextualSpacing/>
      </w:pPr>
    </w:p>
    <w:p w:rsidR="001B4019" w:rsidRPr="00844FB7" w:rsidRDefault="001B4019" w:rsidP="00844FB7">
      <w:pPr>
        <w:widowControl w:val="0"/>
        <w:numPr>
          <w:ilvl w:val="0"/>
          <w:numId w:val="73"/>
        </w:numPr>
        <w:spacing w:after="240" w:line="240" w:lineRule="auto"/>
        <w:contextualSpacing/>
      </w:pPr>
      <w:r w:rsidRPr="00844FB7">
        <w:rPr>
          <w:b/>
        </w:rPr>
        <w:t>2022/9: 2022 Gaz Yılı Eylül Ayı (A9)</w:t>
      </w:r>
      <w:r w:rsidRPr="00844FB7">
        <w:t xml:space="preserve"> spot kapasite ürünleri için hazırlanan ve 11/08/2022 tarihli ve 11117-5 sayılı Kurul Kararı ile kabul edilen Talep Çağrısı metni (2022/9) kapsamında, 25 Ağustos 2022 tarihinde gerçekleştirilen talep toplama sonucunda, </w:t>
      </w:r>
      <w:r w:rsidRPr="00844FB7">
        <w:rPr>
          <w:b/>
        </w:rPr>
        <w:t>Kıyıköy Giriş Noktası üzerinden</w:t>
      </w:r>
      <w:r w:rsidRPr="00844FB7">
        <w:t xml:space="preserve"> Eylül Ayı (A9) kapasite ürünü için başvuru yapan DİT/7624-2/432 numaralı İthalat (Spot) Lisansı sahibi </w:t>
      </w:r>
      <w:r w:rsidRPr="00844FB7">
        <w:rPr>
          <w:b/>
        </w:rPr>
        <w:t>BOTAŞ</w:t>
      </w:r>
      <w:r w:rsidRPr="00844FB7">
        <w:t xml:space="preserve"> </w:t>
      </w:r>
      <w:r w:rsidRPr="00844FB7">
        <w:rPr>
          <w:b/>
        </w:rPr>
        <w:t xml:space="preserve">4.809.000 m3/gün’lük </w:t>
      </w:r>
      <w:r w:rsidRPr="00844FB7">
        <w:t xml:space="preserve">bir miktar bildiriminde bulunarak spot kapasite rezervasyonu yapmaya hak kazanmıştır. </w:t>
      </w:r>
    </w:p>
    <w:p w:rsidR="001B4019" w:rsidRPr="00844FB7" w:rsidRDefault="001B4019" w:rsidP="001B4019">
      <w:pPr>
        <w:widowControl w:val="0"/>
        <w:spacing w:after="240" w:line="240" w:lineRule="auto"/>
        <w:ind w:left="360"/>
        <w:contextualSpacing/>
      </w:pPr>
    </w:p>
    <w:p w:rsidR="001B4019" w:rsidRPr="00844FB7" w:rsidRDefault="001B4019" w:rsidP="00844FB7">
      <w:pPr>
        <w:widowControl w:val="0"/>
        <w:numPr>
          <w:ilvl w:val="0"/>
          <w:numId w:val="73"/>
        </w:numPr>
        <w:spacing w:after="240" w:line="240" w:lineRule="auto"/>
        <w:contextualSpacing/>
      </w:pPr>
      <w:r w:rsidRPr="00844FB7">
        <w:rPr>
          <w:b/>
        </w:rPr>
        <w:t xml:space="preserve">2022/10: 2022 Gaz Yılı Dördüncü Çeyrek (Ç4) ve Ekim Ayı (A10) </w:t>
      </w:r>
      <w:r w:rsidRPr="00844FB7">
        <w:t xml:space="preserve">spot kapasite ürünleri için hazırlanan ve 08/09/2022 tarihli ve 11182-2 sayılı Kurul Kararı ile kabul edilen Talep Çağrısı metni (2022/10) kapsamında, 23 Eylül 2022 tarihinde gerçekleştirilen talep toplama sonucunda, </w:t>
      </w:r>
      <w:r w:rsidRPr="00844FB7">
        <w:rPr>
          <w:b/>
        </w:rPr>
        <w:t>Kıyıköy Giriş Noktası üzerinden</w:t>
      </w:r>
      <w:r w:rsidRPr="00844FB7">
        <w:t xml:space="preserve"> Dördüncü Çeyrek (Ç4) ve Ekim Ayı (A10) kapasite ürünleri için başvuru yapan DİT/7624-2/432 numaralı İthalat (Spot) Lisansı sahibi </w:t>
      </w:r>
      <w:r w:rsidRPr="00844FB7">
        <w:rPr>
          <w:b/>
        </w:rPr>
        <w:t>BOTAŞ</w:t>
      </w:r>
      <w:r w:rsidRPr="00844FB7">
        <w:t xml:space="preserve">, çeyreklik kapasite için </w:t>
      </w:r>
      <w:r w:rsidRPr="00844FB7">
        <w:rPr>
          <w:b/>
        </w:rPr>
        <w:t>6.766.000 m3/gün’lük</w:t>
      </w:r>
      <w:r w:rsidRPr="00844FB7">
        <w:t xml:space="preserve">, aylık kapasite için ise </w:t>
      </w:r>
      <w:r w:rsidRPr="00844FB7">
        <w:rPr>
          <w:b/>
        </w:rPr>
        <w:t xml:space="preserve">4.809.000 m3/gün’lük </w:t>
      </w:r>
      <w:r w:rsidRPr="00844FB7">
        <w:t xml:space="preserve">bir miktar bildiriminde bulunarak spot kapasite rezervasyonu yapmaya hak kazanmıştır. Bununla birlikte, </w:t>
      </w:r>
      <w:r w:rsidRPr="00844FB7">
        <w:rPr>
          <w:b/>
        </w:rPr>
        <w:t>DİT/10408-1/516 numaralı İthalat (Spot) Lisansı sahibi ALEPH A.Ş.</w:t>
      </w:r>
      <w:r w:rsidRPr="00844FB7">
        <w:t xml:space="preserve"> </w:t>
      </w:r>
      <w:r w:rsidRPr="00844FB7">
        <w:rPr>
          <w:b/>
        </w:rPr>
        <w:t>Gürbulak Giriş Noktası</w:t>
      </w:r>
      <w:r w:rsidRPr="00844FB7">
        <w:t xml:space="preserve"> üzerinden Ekim Ayı (A10) spot kapasite ürününe başvuru yapmış, ancak başvuruya konu evrak Usul ve Esaslar ile Talep Çağrısı metninde (2022/10) yer alan hükümlere uygun olmaması nedeniyle reddedilmiş olup, bahse konu Şirket talep toplama aşamasına katılmaya hak kazanamamıştır. </w:t>
      </w:r>
    </w:p>
    <w:p w:rsidR="001B4019" w:rsidRPr="00844FB7" w:rsidRDefault="001B4019" w:rsidP="001B4019">
      <w:pPr>
        <w:widowControl w:val="0"/>
        <w:spacing w:after="240" w:line="240" w:lineRule="auto"/>
        <w:ind w:left="360"/>
        <w:contextualSpacing/>
      </w:pPr>
    </w:p>
    <w:p w:rsidR="001B4019" w:rsidRPr="00844FB7" w:rsidRDefault="001B4019" w:rsidP="00844FB7">
      <w:pPr>
        <w:widowControl w:val="0"/>
        <w:numPr>
          <w:ilvl w:val="0"/>
          <w:numId w:val="73"/>
        </w:numPr>
        <w:spacing w:after="240" w:line="240" w:lineRule="auto"/>
        <w:contextualSpacing/>
      </w:pPr>
      <w:r w:rsidRPr="00844FB7">
        <w:rPr>
          <w:b/>
        </w:rPr>
        <w:t>2022/11: 2022 Gaz Yılı Kasım Ayı (A11)</w:t>
      </w:r>
      <w:r w:rsidRPr="00844FB7">
        <w:t xml:space="preserve"> spot kapasite ürünleri için hazırlanan ve 06/10/2022 tarihli ve 11278-3 sayılı Kurul Kararı ile kabul edilen Talep Çağrısı metni (2022/11) kapsamında, 24 Ekim 2022 tarihinde gerçekleştirilen talep toplama sonucunda, </w:t>
      </w:r>
      <w:r w:rsidRPr="00844FB7">
        <w:rPr>
          <w:b/>
        </w:rPr>
        <w:t>Kıyıköy Giriş Noktası üzerinden</w:t>
      </w:r>
      <w:r w:rsidRPr="00844FB7">
        <w:t xml:space="preserve"> Kasım Ayı (A11) kapasite ürünü için başvuru yapan DİT/7624-2/432 numaralı İthalat (Spot) Lisansı sahibi </w:t>
      </w:r>
      <w:r w:rsidRPr="00844FB7">
        <w:rPr>
          <w:b/>
        </w:rPr>
        <w:t>BOTAŞ</w:t>
      </w:r>
      <w:r w:rsidRPr="00844FB7">
        <w:t xml:space="preserve"> </w:t>
      </w:r>
      <w:r w:rsidRPr="00844FB7">
        <w:rPr>
          <w:b/>
        </w:rPr>
        <w:t xml:space="preserve">4.809.000 m3/gün’lük </w:t>
      </w:r>
      <w:r w:rsidRPr="00844FB7">
        <w:t xml:space="preserve">bir miktar bildiriminde bulunarak spot kapasite rezervasyonu yapmaya hak kazanmıştır. </w:t>
      </w:r>
    </w:p>
    <w:p w:rsidR="001B4019" w:rsidRPr="00844FB7" w:rsidRDefault="001B4019" w:rsidP="00844FB7">
      <w:pPr>
        <w:spacing w:after="160" w:line="259" w:lineRule="auto"/>
        <w:ind w:left="720"/>
        <w:contextualSpacing/>
      </w:pPr>
    </w:p>
    <w:p w:rsidR="001B4019" w:rsidRDefault="001B4019" w:rsidP="00844FB7">
      <w:pPr>
        <w:widowControl w:val="0"/>
        <w:numPr>
          <w:ilvl w:val="0"/>
          <w:numId w:val="73"/>
        </w:numPr>
        <w:spacing w:after="240" w:line="240" w:lineRule="auto"/>
        <w:contextualSpacing/>
      </w:pPr>
      <w:r w:rsidRPr="00844FB7">
        <w:rPr>
          <w:b/>
        </w:rPr>
        <w:t>2022/12: 2022 Gaz Yılı Aralık Ayı (A12)</w:t>
      </w:r>
      <w:r w:rsidRPr="00844FB7">
        <w:t xml:space="preserve"> spot kapasite ürünleri için hazırlanan ve 10/11/2022 tarihli ve 11374-12 sayılı Kurul Kararı ile kabul edilen Talep Çağrısı metni (2022/12) kapsamında, Aralık Ayı (A12) kapasite ürünü için 24 Kasım 2022 tarihinde gerçekleştirilen talep toplama sonucunda; </w:t>
      </w:r>
      <w:r w:rsidRPr="00844FB7">
        <w:rPr>
          <w:b/>
        </w:rPr>
        <w:t>Kıyıköy Giriş Noktası üzerinden</w:t>
      </w:r>
      <w:r w:rsidRPr="00844FB7">
        <w:t xml:space="preserve"> başvuru yapan DİT/7624-2/432 numaralı İthalat (Spot) Lisansı sahibi </w:t>
      </w:r>
      <w:r w:rsidRPr="00844FB7">
        <w:rPr>
          <w:b/>
        </w:rPr>
        <w:t>BOTAŞ</w:t>
      </w:r>
      <w:r w:rsidRPr="00844FB7">
        <w:t xml:space="preserve"> </w:t>
      </w:r>
      <w:r w:rsidRPr="00844FB7">
        <w:rPr>
          <w:b/>
        </w:rPr>
        <w:t>4.809.000 m3/gün’lük</w:t>
      </w:r>
      <w:r w:rsidRPr="00844FB7">
        <w:t xml:space="preserve">, </w:t>
      </w:r>
      <w:r w:rsidRPr="00844FB7">
        <w:rPr>
          <w:b/>
        </w:rPr>
        <w:t xml:space="preserve">Türkgözü Giriş Noktası üzerinden </w:t>
      </w:r>
      <w:r w:rsidRPr="00844FB7">
        <w:t xml:space="preserve">başvuru yapan DİT/9289-2/497 numaralı İthalat (Spot) Lisansı sahibi </w:t>
      </w:r>
      <w:r w:rsidRPr="00844FB7">
        <w:rPr>
          <w:b/>
        </w:rPr>
        <w:t>SOCAR Enerji Ticaret A.Ş.</w:t>
      </w:r>
      <w:r w:rsidRPr="00844FB7">
        <w:t xml:space="preserve"> </w:t>
      </w:r>
      <w:r w:rsidRPr="00844FB7">
        <w:rPr>
          <w:b/>
        </w:rPr>
        <w:t>5.000.000 m3/gün’lük</w:t>
      </w:r>
      <w:r w:rsidRPr="00844FB7">
        <w:t xml:space="preserve">, </w:t>
      </w:r>
      <w:r w:rsidRPr="00844FB7">
        <w:rPr>
          <w:b/>
        </w:rPr>
        <w:t xml:space="preserve">Gürbulak Giriş Noktası üzerinden </w:t>
      </w:r>
      <w:r w:rsidRPr="00844FB7">
        <w:t xml:space="preserve">başvuru yapan DİT/10408-1/516 numaralı İthalat (Spot) Lisansı sahibi </w:t>
      </w:r>
      <w:r w:rsidRPr="00844FB7">
        <w:rPr>
          <w:b/>
        </w:rPr>
        <w:t xml:space="preserve">ALEPH A.Ş. 1.500.000 m3/gün’lük </w:t>
      </w:r>
      <w:r w:rsidRPr="00844FB7">
        <w:t xml:space="preserve">bir miktar bildiriminde bulunarak spot kapasite rezervasyonu yapmaya hak kazanmışlardır. </w:t>
      </w:r>
    </w:p>
    <w:p w:rsidR="00ED32C1" w:rsidRPr="00844FB7" w:rsidRDefault="00ED32C1" w:rsidP="00ED32C1">
      <w:pPr>
        <w:widowControl w:val="0"/>
        <w:spacing w:after="240" w:line="240" w:lineRule="auto"/>
        <w:ind w:left="360"/>
        <w:contextualSpacing/>
      </w:pPr>
    </w:p>
    <w:p w:rsidR="009D1A52" w:rsidRPr="00D16166" w:rsidRDefault="001D2DA2" w:rsidP="00D16166">
      <w:pPr>
        <w:tabs>
          <w:tab w:val="left" w:pos="284"/>
          <w:tab w:val="left" w:pos="567"/>
          <w:tab w:val="left" w:pos="709"/>
          <w:tab w:val="left" w:pos="851"/>
        </w:tabs>
        <w:spacing w:before="240" w:after="120"/>
        <w:rPr>
          <w:b/>
        </w:rPr>
      </w:pPr>
      <w:r w:rsidRPr="00D16166">
        <w:rPr>
          <w:b/>
        </w:rPr>
        <w:t>Doğal Gaz Dağıtım Lisansı İhalelerine İlişkin Bilgiler;</w:t>
      </w:r>
    </w:p>
    <w:p w:rsidR="009D1A52" w:rsidRDefault="001D2DA2" w:rsidP="009D1A52">
      <w:pPr>
        <w:pStyle w:val="ListeParagraf"/>
        <w:numPr>
          <w:ilvl w:val="0"/>
          <w:numId w:val="2"/>
        </w:numPr>
        <w:tabs>
          <w:tab w:val="left" w:pos="284"/>
          <w:tab w:val="left" w:pos="567"/>
          <w:tab w:val="left" w:pos="709"/>
          <w:tab w:val="left" w:pos="851"/>
        </w:tabs>
        <w:spacing w:after="0" w:line="269" w:lineRule="auto"/>
      </w:pPr>
      <w:r w:rsidRPr="002B3553">
        <w:rPr>
          <w:color w:val="FF0000"/>
        </w:rPr>
        <w:t xml:space="preserve">   </w:t>
      </w:r>
      <w:r w:rsidR="009D1A52" w:rsidRPr="00410B0D">
        <w:t xml:space="preserve">       4646 sayılı Doğal Gaz Piyasası Kanununun yayımlandığı 2001 yılından günümüze kadar geçen dönemde, Kanun ve ikincil mevzuat hükümleri çerçevesinde gerçekleştirilen şehir içi doğal gaz dağıtım lisansı ihaleleri ile doğal gazın yaygınlaştırılması ve doğal gaz dağıtım faaliyetinin özel sektör tarafından yürütülmesi sağlanmıştır. </w:t>
      </w:r>
    </w:p>
    <w:p w:rsidR="009D1A52" w:rsidRPr="00410B0D" w:rsidRDefault="009D1A52" w:rsidP="009D1A52">
      <w:pPr>
        <w:pStyle w:val="ListeParagraf"/>
        <w:tabs>
          <w:tab w:val="left" w:pos="284"/>
          <w:tab w:val="left" w:pos="567"/>
          <w:tab w:val="left" w:pos="709"/>
          <w:tab w:val="left" w:pos="851"/>
        </w:tabs>
        <w:spacing w:after="0" w:line="269" w:lineRule="auto"/>
        <w:ind w:left="1065"/>
      </w:pPr>
    </w:p>
    <w:p w:rsidR="009D1A52" w:rsidRDefault="009D1A52" w:rsidP="009D1A52">
      <w:pPr>
        <w:pStyle w:val="ListeParagraf"/>
        <w:numPr>
          <w:ilvl w:val="0"/>
          <w:numId w:val="2"/>
        </w:numPr>
        <w:tabs>
          <w:tab w:val="left" w:pos="284"/>
          <w:tab w:val="left" w:pos="567"/>
          <w:tab w:val="left" w:pos="709"/>
          <w:tab w:val="left" w:pos="851"/>
        </w:tabs>
        <w:spacing w:after="0" w:line="269" w:lineRule="auto"/>
      </w:pPr>
      <w:r>
        <w:t xml:space="preserve">          </w:t>
      </w:r>
      <w:r w:rsidRPr="00410B0D">
        <w:t xml:space="preserve">Kanun gereği, şehir içi doğal gaz dağıtım hizmeti, EPDK tarafından açılan ihaleyi kazanarak dağıtım lisansı alan şirket tarafından yerine getirilmektedir. Şirketler tarafından verilen teklifler, ilgili mevzuatta belirtilen usul ve esaslara göre, bir kWh doğal gazın sunumu için tek bir bedel olarak verilen birim hizmet ve amortisman bedeli üzerinden değerlendirilmektedir.    </w:t>
      </w:r>
    </w:p>
    <w:p w:rsidR="009D1A52" w:rsidRPr="00410B0D" w:rsidRDefault="009D1A52" w:rsidP="009D1A52">
      <w:pPr>
        <w:pStyle w:val="ListeParagraf"/>
        <w:tabs>
          <w:tab w:val="left" w:pos="284"/>
          <w:tab w:val="left" w:pos="567"/>
          <w:tab w:val="left" w:pos="709"/>
          <w:tab w:val="left" w:pos="851"/>
        </w:tabs>
        <w:spacing w:after="0" w:line="269" w:lineRule="auto"/>
        <w:ind w:left="1065"/>
      </w:pPr>
    </w:p>
    <w:p w:rsidR="009D1A52" w:rsidRDefault="009D1A52" w:rsidP="009D1A52">
      <w:pPr>
        <w:pStyle w:val="ListeParagraf"/>
        <w:numPr>
          <w:ilvl w:val="0"/>
          <w:numId w:val="2"/>
        </w:numPr>
        <w:tabs>
          <w:tab w:val="left" w:pos="284"/>
          <w:tab w:val="left" w:pos="567"/>
          <w:tab w:val="left" w:pos="709"/>
          <w:tab w:val="left" w:pos="851"/>
        </w:tabs>
        <w:spacing w:after="0" w:line="269" w:lineRule="auto"/>
      </w:pPr>
      <w:r w:rsidRPr="00410B0D">
        <w:t xml:space="preserve">          4646 sayılı Doğal Gaz Piyasası Kanunu kapsamında EPDK tarafından bugüne kadar yapılan ihaleler ve Kanun öncesi verilen dağıtım lisansları sonucunda 81 ilimizde ve </w:t>
      </w:r>
      <w:r w:rsidR="00AF5904">
        <w:t>749</w:t>
      </w:r>
      <w:r w:rsidRPr="00410B0D">
        <w:t xml:space="preserve"> ilçe</w:t>
      </w:r>
      <w:r w:rsidR="00AF5904">
        <w:t xml:space="preserve"> ve beldemizde </w:t>
      </w:r>
      <w:r w:rsidRPr="00410B0D">
        <w:t xml:space="preserve">hâlihazırda fiilen doğal gaz kullanımına başlanmıştır. Doğal gaz kullanımının ülke geneline yaygınlaştırılması </w:t>
      </w:r>
      <w:r w:rsidRPr="00410B0D">
        <w:lastRenderedPageBreak/>
        <w:t xml:space="preserve">hedefi doğrultusunda daha önceki yıllarda ihalesine çıkılmasına rağmen başarısızlıkla sonuçlanan Artvin, Hakkâri ve Şırnak illerimize doğal gaz ulaştırılması amacıyla açılan ihaleler Mart 2017 içerisinde gerçekleştirilmiş ve başarıyla sonuçlandırılmıştır. Mevcut durumda lisanslama işlemleri tamamlanmış olup 2018 yılında bu illerimizde doğal gaz arzı gerçekleştirilmiştir. Böylece, hâlihazırda 81 ilimizde </w:t>
      </w:r>
      <w:r w:rsidR="00241675">
        <w:t>d</w:t>
      </w:r>
      <w:r w:rsidRPr="00410B0D">
        <w:t xml:space="preserve">oğal </w:t>
      </w:r>
      <w:r w:rsidR="00241675">
        <w:t>g</w:t>
      </w:r>
      <w:r w:rsidRPr="00410B0D">
        <w:t>az kullanımına imkân sağlanmıştır.</w:t>
      </w:r>
    </w:p>
    <w:p w:rsidR="009D1A52" w:rsidRPr="00410B0D" w:rsidRDefault="009D1A52" w:rsidP="009D1A52">
      <w:pPr>
        <w:pStyle w:val="ListeParagraf"/>
        <w:tabs>
          <w:tab w:val="left" w:pos="284"/>
          <w:tab w:val="left" w:pos="567"/>
          <w:tab w:val="left" w:pos="709"/>
          <w:tab w:val="left" w:pos="851"/>
        </w:tabs>
        <w:spacing w:after="0" w:line="269" w:lineRule="auto"/>
        <w:ind w:left="1065"/>
      </w:pPr>
    </w:p>
    <w:p w:rsidR="009D1A52" w:rsidRDefault="009D1A52" w:rsidP="009D1A52">
      <w:pPr>
        <w:pStyle w:val="ListeParagraf"/>
        <w:numPr>
          <w:ilvl w:val="0"/>
          <w:numId w:val="2"/>
        </w:numPr>
        <w:tabs>
          <w:tab w:val="left" w:pos="284"/>
        </w:tabs>
        <w:spacing w:after="0" w:line="269" w:lineRule="auto"/>
      </w:pPr>
      <w:r w:rsidRPr="00410B0D">
        <w:t>Doğal gaz kullanımının ülke genelinde yaygınlaştırılması hedefi doğrultusunda, mevcut doğal gaz dağıtım bölgesi lisans kapsamı dışında kalan merkez nüfusu 10 bin ve 20 bin üzerindeki ilçelerimize doğal gaz ulaştırılması amacıyla alınan Bakanlar Kurulu Kararları kapsamında gerekli çalışmalar yürütülmekte olup söz konusu ilçelerin doğal gaz dağıtım bölgeleri kapsamına alınması işlemleri ve yatırım süreçleri takip edilmektedir. 4646 sayılı Kanundan öncesi faaliyetlerini gerçekleştirmekte olan 7 dağıtım şirketi ve Kurum</w:t>
      </w:r>
      <w:r w:rsidR="005A1C72">
        <w:t>ca</w:t>
      </w:r>
      <w:r w:rsidRPr="00410B0D">
        <w:t xml:space="preserve"> yapılan ihaleler neticesinde lisans verilen 65 dağıtım şirketi ile birlikte ilgili mevzuat çerçevesinde hâlihazırda toplam 72 adet “Doğal Gaz Dağıtım Lisansı” verilmiştir.</w:t>
      </w:r>
    </w:p>
    <w:p w:rsidR="009D1A52" w:rsidRPr="00410B0D" w:rsidRDefault="009D1A52" w:rsidP="009D1A52">
      <w:pPr>
        <w:pStyle w:val="ListeParagraf"/>
        <w:tabs>
          <w:tab w:val="left" w:pos="284"/>
        </w:tabs>
        <w:spacing w:after="0" w:line="269" w:lineRule="auto"/>
        <w:ind w:left="1065"/>
      </w:pPr>
    </w:p>
    <w:p w:rsidR="009D1A52" w:rsidRPr="00410B0D" w:rsidRDefault="009D1A52" w:rsidP="009D1A52">
      <w:pPr>
        <w:pStyle w:val="ListeParagraf"/>
        <w:numPr>
          <w:ilvl w:val="0"/>
          <w:numId w:val="2"/>
        </w:numPr>
        <w:tabs>
          <w:tab w:val="left" w:pos="284"/>
          <w:tab w:val="left" w:pos="567"/>
          <w:tab w:val="left" w:pos="709"/>
          <w:tab w:val="left" w:pos="851"/>
        </w:tabs>
        <w:spacing w:after="0" w:line="269" w:lineRule="auto"/>
      </w:pPr>
      <w:r w:rsidRPr="00410B0D">
        <w:t xml:space="preserve">          İstanbul Gaz Dağıtım Sanayi ve Ticaret Anonim Şirketi (İGDAŞ) haricindeki tüm dağıtım bölgelerinde doğal gaz dağıtımı özel sektör eliyle yapılmaktadır.</w:t>
      </w:r>
    </w:p>
    <w:p w:rsidR="001D2DA2" w:rsidRPr="0022475D" w:rsidRDefault="001D2DA2" w:rsidP="0022475D">
      <w:pPr>
        <w:pStyle w:val="ListeParagraf"/>
        <w:tabs>
          <w:tab w:val="left" w:pos="284"/>
          <w:tab w:val="left" w:pos="567"/>
          <w:tab w:val="left" w:pos="709"/>
          <w:tab w:val="left" w:pos="851"/>
        </w:tabs>
        <w:spacing w:after="0" w:line="269" w:lineRule="auto"/>
        <w:ind w:left="1065"/>
        <w:rPr>
          <w:rFonts w:eastAsiaTheme="minorHAnsi" w:cs="Calibri"/>
        </w:rPr>
      </w:pPr>
      <w:r w:rsidRPr="002B3553">
        <w:rPr>
          <w:color w:val="FF0000"/>
        </w:rPr>
        <w:t xml:space="preserve">       </w:t>
      </w:r>
    </w:p>
    <w:p w:rsidR="0022475D" w:rsidRPr="00410B0D" w:rsidRDefault="0022475D" w:rsidP="0022475D">
      <w:pPr>
        <w:pStyle w:val="ListeParagraf"/>
        <w:numPr>
          <w:ilvl w:val="0"/>
          <w:numId w:val="2"/>
        </w:numPr>
        <w:tabs>
          <w:tab w:val="left" w:pos="284"/>
          <w:tab w:val="left" w:pos="567"/>
          <w:tab w:val="left" w:pos="709"/>
          <w:tab w:val="left" w:pos="851"/>
        </w:tabs>
        <w:spacing w:after="0" w:line="269" w:lineRule="auto"/>
        <w:rPr>
          <w:rFonts w:eastAsiaTheme="minorHAnsi" w:cs="Calibri"/>
        </w:rPr>
        <w:sectPr w:rsidR="0022475D" w:rsidRPr="00410B0D" w:rsidSect="00F922DE">
          <w:footerReference w:type="first" r:id="rId21"/>
          <w:pgSz w:w="11906" w:h="16838"/>
          <w:pgMar w:top="1418" w:right="566" w:bottom="1418" w:left="1418" w:header="709" w:footer="709" w:gutter="0"/>
          <w:cols w:space="708"/>
          <w:docGrid w:linePitch="360"/>
        </w:sectPr>
      </w:pPr>
    </w:p>
    <w:p w:rsidR="001D2DA2" w:rsidRPr="00410B0D" w:rsidRDefault="001D2DA2" w:rsidP="000A5A56">
      <w:pPr>
        <w:pStyle w:val="Balk2"/>
        <w:numPr>
          <w:ilvl w:val="1"/>
          <w:numId w:val="11"/>
        </w:numPr>
        <w:spacing w:before="0" w:after="240"/>
        <w:rPr>
          <w:rFonts w:asciiTheme="minorHAnsi" w:hAnsiTheme="minorHAnsi"/>
          <w:color w:val="auto"/>
          <w:sz w:val="22"/>
          <w:szCs w:val="22"/>
        </w:rPr>
      </w:pPr>
      <w:bookmarkStart w:id="106" w:name="_Toc442431242"/>
      <w:bookmarkStart w:id="107" w:name="_Toc6684437"/>
      <w:bookmarkStart w:id="108" w:name="_Toc132713770"/>
      <w:r w:rsidRPr="00410B0D">
        <w:rPr>
          <w:rFonts w:asciiTheme="minorHAnsi" w:hAnsiTheme="minorHAnsi"/>
          <w:color w:val="auto"/>
          <w:sz w:val="22"/>
          <w:szCs w:val="22"/>
        </w:rPr>
        <w:lastRenderedPageBreak/>
        <w:t>Petrol Piyasası Mevzuatı</w:t>
      </w:r>
      <w:bookmarkEnd w:id="106"/>
      <w:bookmarkEnd w:id="107"/>
      <w:bookmarkEnd w:id="108"/>
    </w:p>
    <w:p w:rsidR="001D2DA2" w:rsidRPr="00410B0D" w:rsidRDefault="001D2DA2" w:rsidP="000A5A56">
      <w:pPr>
        <w:pStyle w:val="Balk3"/>
        <w:numPr>
          <w:ilvl w:val="2"/>
          <w:numId w:val="11"/>
        </w:numPr>
        <w:spacing w:before="0" w:after="240"/>
        <w:rPr>
          <w:rFonts w:asciiTheme="minorHAnsi" w:hAnsiTheme="minorHAnsi"/>
          <w:color w:val="auto"/>
        </w:rPr>
      </w:pPr>
      <w:bookmarkStart w:id="109" w:name="_Toc442431244"/>
      <w:bookmarkStart w:id="110" w:name="_Toc6684439"/>
      <w:bookmarkStart w:id="111" w:name="_Toc132713771"/>
      <w:r w:rsidRPr="00410B0D">
        <w:rPr>
          <w:rFonts w:asciiTheme="minorHAnsi" w:hAnsiTheme="minorHAnsi"/>
          <w:color w:val="auto"/>
        </w:rPr>
        <w:t>Yönetmelikler</w:t>
      </w:r>
      <w:bookmarkEnd w:id="109"/>
      <w:bookmarkEnd w:id="110"/>
      <w:bookmarkEnd w:id="111"/>
    </w:p>
    <w:p w:rsidR="001D2DA2" w:rsidRDefault="000756F6" w:rsidP="001D2DA2">
      <w:pPr>
        <w:spacing w:after="0"/>
        <w:rPr>
          <w:color w:val="000000" w:themeColor="text1"/>
        </w:rPr>
      </w:pPr>
      <w:r w:rsidRPr="00410B0D">
        <w:rPr>
          <w:color w:val="000000" w:themeColor="text1"/>
        </w:rPr>
        <w:t>202</w:t>
      </w:r>
      <w:r w:rsidR="00F6634E">
        <w:rPr>
          <w:color w:val="000000" w:themeColor="text1"/>
        </w:rPr>
        <w:t>2</w:t>
      </w:r>
      <w:r w:rsidR="001D2DA2" w:rsidRPr="00410B0D">
        <w:rPr>
          <w:color w:val="000000" w:themeColor="text1"/>
        </w:rPr>
        <w:t xml:space="preserve"> yılında petrol piyasasında aşağıda belirtilen Yönetmelik çalışmaları yapılmıştır: </w:t>
      </w:r>
    </w:p>
    <w:p w:rsidR="00DC14F4" w:rsidRDefault="00DC14F4" w:rsidP="001D2DA2">
      <w:pPr>
        <w:spacing w:after="0"/>
        <w:rPr>
          <w:color w:val="000000" w:themeColor="text1"/>
        </w:rPr>
      </w:pPr>
    </w:p>
    <w:p w:rsidR="00F6634E" w:rsidRPr="00F6634E" w:rsidRDefault="00F6634E" w:rsidP="000A5A56">
      <w:pPr>
        <w:numPr>
          <w:ilvl w:val="0"/>
          <w:numId w:val="26"/>
        </w:numPr>
        <w:spacing w:after="0"/>
        <w:contextualSpacing/>
        <w:rPr>
          <w:rFonts w:ascii="Calibri" w:hAnsi="Calibri"/>
          <w:b/>
          <w:bCs/>
        </w:rPr>
      </w:pPr>
      <w:r w:rsidRPr="00F6634E">
        <w:rPr>
          <w:rFonts w:ascii="Calibri" w:hAnsi="Calibri"/>
          <w:bCs/>
        </w:rPr>
        <w:t xml:space="preserve">07.04.2022 tarihli ve 31802 sayılı Resmî </w:t>
      </w:r>
      <w:r w:rsidR="00274939">
        <w:rPr>
          <w:rFonts w:ascii="Calibri" w:hAnsi="Calibri"/>
          <w:bCs/>
        </w:rPr>
        <w:t>Gazetede</w:t>
      </w:r>
      <w:r w:rsidRPr="00F6634E">
        <w:rPr>
          <w:rFonts w:ascii="Calibri" w:hAnsi="Calibri"/>
          <w:bCs/>
        </w:rPr>
        <w:t xml:space="preserve"> yayımlanan Değişiklik Yönetmeliği ile</w:t>
      </w:r>
      <w:r w:rsidRPr="00F6634E">
        <w:rPr>
          <w:rFonts w:ascii="Calibri" w:hAnsi="Calibri"/>
          <w:b/>
          <w:bCs/>
        </w:rPr>
        <w:t xml:space="preserve"> Petrol Piyasası Lisans Yönetmeliğinin</w:t>
      </w:r>
      <w:r w:rsidRPr="00F6634E">
        <w:rPr>
          <w:rFonts w:ascii="Calibri" w:hAnsi="Calibri"/>
          <w:bCs/>
        </w:rPr>
        <w:t xml:space="preserve"> 17 nci maddesinin birinci fıkrasına aşağıdaki bent eklenmiştir</w:t>
      </w:r>
      <w:r w:rsidRPr="00F6634E">
        <w:rPr>
          <w:rFonts w:ascii="Calibri" w:hAnsi="Calibri"/>
          <w:b/>
          <w:bCs/>
        </w:rPr>
        <w:t>.</w:t>
      </w:r>
    </w:p>
    <w:p w:rsidR="00F6634E" w:rsidRPr="00F6634E" w:rsidRDefault="00F6634E" w:rsidP="00F6634E">
      <w:pPr>
        <w:spacing w:after="0"/>
        <w:ind w:left="720"/>
        <w:contextualSpacing/>
        <w:rPr>
          <w:rFonts w:ascii="Calibri" w:hAnsi="Calibri"/>
          <w:b/>
          <w:bCs/>
        </w:rPr>
      </w:pPr>
    </w:p>
    <w:p w:rsidR="00DC14F4" w:rsidRDefault="00F6634E" w:rsidP="00F6634E">
      <w:pPr>
        <w:pStyle w:val="ListeParagraf"/>
        <w:ind w:left="1430"/>
        <w:rPr>
          <w:i/>
        </w:rPr>
      </w:pPr>
      <w:r w:rsidRPr="00F6634E">
        <w:rPr>
          <w:rFonts w:ascii="Calibri" w:hAnsi="Calibri"/>
          <w:bCs/>
          <w:i/>
        </w:rPr>
        <w:t>“ı) Lisans sahibinin vergi mükellefiyetinin herhangi bir sebepten dolayı terkin edildiğinin veya vergi mükellefiyetini ortadan kaldıran benzeri durumların tespit edilmesi halinde,”</w:t>
      </w:r>
    </w:p>
    <w:p w:rsidR="00DC14F4" w:rsidRDefault="00DC14F4" w:rsidP="00DC14F4">
      <w:pPr>
        <w:pStyle w:val="ListeParagraf"/>
        <w:ind w:left="1430"/>
        <w:rPr>
          <w:i/>
        </w:rPr>
      </w:pPr>
    </w:p>
    <w:p w:rsidR="00F6634E" w:rsidRPr="00DC5B3B" w:rsidRDefault="00F6634E" w:rsidP="000A5A56">
      <w:pPr>
        <w:pStyle w:val="ListeParagraf"/>
        <w:numPr>
          <w:ilvl w:val="0"/>
          <w:numId w:val="35"/>
        </w:numPr>
        <w:spacing w:after="160" w:line="259" w:lineRule="auto"/>
        <w:rPr>
          <w:b/>
        </w:rPr>
      </w:pPr>
      <w:r>
        <w:t>2</w:t>
      </w:r>
      <w:r w:rsidR="00DE08D4">
        <w:t>8</w:t>
      </w:r>
      <w:r>
        <w:t>.0</w:t>
      </w:r>
      <w:r w:rsidR="00DE08D4">
        <w:t>7</w:t>
      </w:r>
      <w:r>
        <w:t>.202</w:t>
      </w:r>
      <w:r w:rsidR="00DE08D4">
        <w:t>2</w:t>
      </w:r>
      <w:r>
        <w:t xml:space="preserve"> tarih ve 31</w:t>
      </w:r>
      <w:r w:rsidR="00DE08D4">
        <w:t>906</w:t>
      </w:r>
      <w:r>
        <w:t xml:space="preserve"> sayılı </w:t>
      </w:r>
      <w:r w:rsidRPr="00CA6453">
        <w:t xml:space="preserve">Resmî </w:t>
      </w:r>
      <w:r w:rsidR="00274939">
        <w:t>Gazetede</w:t>
      </w:r>
      <w:r w:rsidRPr="00CA6453">
        <w:t xml:space="preserve"> yayımlanan</w:t>
      </w:r>
      <w:r>
        <w:t xml:space="preserve"> Değişiklik </w:t>
      </w:r>
      <w:r w:rsidR="00DE08D4">
        <w:t xml:space="preserve">Yönetmeliği </w:t>
      </w:r>
      <w:r>
        <w:t xml:space="preserve">ile </w:t>
      </w:r>
      <w:r w:rsidR="00DE08D4" w:rsidRPr="00DE08D4">
        <w:rPr>
          <w:b/>
        </w:rPr>
        <w:t xml:space="preserve">Petrol Piyasası Lisans Yönetmeliğinin </w:t>
      </w:r>
      <w:r w:rsidR="00DE08D4" w:rsidRPr="00DE08D4">
        <w:t>16 ncı maddesine aşağıdaki fıkra eklenmiştir.</w:t>
      </w:r>
    </w:p>
    <w:p w:rsidR="00F6634E" w:rsidRDefault="00F6634E" w:rsidP="00F6634E">
      <w:pPr>
        <w:pStyle w:val="ListeParagraf"/>
      </w:pPr>
    </w:p>
    <w:p w:rsidR="00F6634E" w:rsidRDefault="00DE08D4" w:rsidP="00F6634E">
      <w:pPr>
        <w:pStyle w:val="ListeParagraf"/>
        <w:ind w:left="1430"/>
        <w:rPr>
          <w:i/>
        </w:rPr>
      </w:pPr>
      <w:r w:rsidRPr="00DE08D4">
        <w:rPr>
          <w:i/>
        </w:rPr>
        <w:t>“Bayilik lisansı süre uzatımı başvuruları, başvuru belgelerinin eksiksiz olması ve ilgili mevzuatta belirtilen diğer şartları sağlaması koşuluyla bu maddenin ikinci fıkrasında yer alan iki aylık süre şartı uygulanmaksızın sonuçlandırılır. Başvuru belgelerinin herhangi birinde eksiklik olması veya ilgili mevzuatta belirtilen koşullardan herhangi birinin sağlanmaması durumunda başvuru iade edilir.”</w:t>
      </w:r>
    </w:p>
    <w:p w:rsidR="00F6634E" w:rsidRDefault="00F6634E" w:rsidP="00DC14F4">
      <w:pPr>
        <w:pStyle w:val="ListeParagraf"/>
        <w:ind w:left="1430"/>
        <w:rPr>
          <w:i/>
        </w:rPr>
      </w:pPr>
    </w:p>
    <w:p w:rsidR="00DE08D4" w:rsidRPr="00DC5B3B" w:rsidRDefault="00DE08D4" w:rsidP="000A5A56">
      <w:pPr>
        <w:pStyle w:val="ListeParagraf"/>
        <w:numPr>
          <w:ilvl w:val="0"/>
          <w:numId w:val="35"/>
        </w:numPr>
        <w:spacing w:after="160" w:line="259" w:lineRule="auto"/>
        <w:rPr>
          <w:b/>
        </w:rPr>
      </w:pPr>
      <w:r>
        <w:t xml:space="preserve">23.09.2022 tarih ve 31962 sayılı </w:t>
      </w:r>
      <w:r w:rsidRPr="00CA6453">
        <w:t xml:space="preserve">Resmî </w:t>
      </w:r>
      <w:r w:rsidR="00274939">
        <w:t>Gazetede</w:t>
      </w:r>
      <w:r w:rsidRPr="00CA6453">
        <w:t xml:space="preserve"> yayımlanan</w:t>
      </w:r>
      <w:r>
        <w:t xml:space="preserve"> Değişiklik Yönetmeliği ile </w:t>
      </w:r>
      <w:r w:rsidRPr="00DE08D4">
        <w:rPr>
          <w:b/>
        </w:rPr>
        <w:t xml:space="preserve">Petrol Piyasasında Yapılacak Denetimler ile Ön Araştırma ve Soruşturmalarda Takip Edilecek Usul ve Esaslar Hakkında Yönetmeliğin </w:t>
      </w:r>
      <w:r w:rsidRPr="00DE08D4">
        <w:t>19 uncu maddesinin yedinci fıkrası aşağıdaki şekilde değiştirilmiştir.</w:t>
      </w:r>
    </w:p>
    <w:p w:rsidR="00DE08D4" w:rsidRDefault="00DE08D4" w:rsidP="00DE08D4">
      <w:pPr>
        <w:pStyle w:val="ListeParagraf"/>
      </w:pPr>
    </w:p>
    <w:p w:rsidR="00DE08D4" w:rsidRDefault="00DE08D4" w:rsidP="00DE08D4">
      <w:pPr>
        <w:pStyle w:val="ListeParagraf"/>
        <w:ind w:left="1430"/>
        <w:rPr>
          <w:i/>
        </w:rPr>
      </w:pPr>
      <w:r w:rsidRPr="00DE08D4">
        <w:rPr>
          <w:i/>
        </w:rPr>
        <w:t xml:space="preserve">“(7) Lisans iptalleri Kurumca yapılacak soruşturma neticesine göre karara bağlanır. 213 sayılı Kanunda yer alan vergi kaçakçılığı suçları dahil kaçakçılık fiillerine ilişkin olarak mahkemelerden kesinleşmiş </w:t>
      </w:r>
      <w:r w:rsidR="00151CF9" w:rsidRPr="00DE08D4">
        <w:rPr>
          <w:i/>
        </w:rPr>
        <w:t>mahkûmiyet</w:t>
      </w:r>
      <w:r w:rsidRPr="00DE08D4">
        <w:rPr>
          <w:i/>
        </w:rPr>
        <w:t xml:space="preserve"> kararı gelmesi halinde, mevcut lisansın iptaline ilişkin işlemler bu Yönetmelik hükümlerine tabi olmaksızın lisans işlemlerini yürüten ilgili Daire Başkanlığı tarafından yerine getirilir.”</w:t>
      </w:r>
    </w:p>
    <w:p w:rsidR="001D2DA2" w:rsidRPr="00D22724" w:rsidRDefault="001D2DA2" w:rsidP="000A5A56">
      <w:pPr>
        <w:pStyle w:val="Balk3"/>
        <w:numPr>
          <w:ilvl w:val="2"/>
          <w:numId w:val="11"/>
        </w:numPr>
        <w:spacing w:after="240"/>
        <w:rPr>
          <w:rFonts w:asciiTheme="minorHAnsi" w:hAnsiTheme="minorHAnsi"/>
          <w:color w:val="auto"/>
        </w:rPr>
      </w:pPr>
      <w:bookmarkStart w:id="112" w:name="_Toc442431245"/>
      <w:bookmarkStart w:id="113" w:name="_Toc6684440"/>
      <w:bookmarkStart w:id="114" w:name="_Toc132713772"/>
      <w:r w:rsidRPr="00410B0D">
        <w:rPr>
          <w:rFonts w:asciiTheme="minorHAnsi" w:hAnsiTheme="minorHAnsi"/>
          <w:color w:val="auto"/>
        </w:rPr>
        <w:t>Tebliğler</w:t>
      </w:r>
      <w:bookmarkEnd w:id="112"/>
      <w:bookmarkEnd w:id="113"/>
      <w:bookmarkEnd w:id="114"/>
    </w:p>
    <w:p w:rsidR="001D2DA2" w:rsidRDefault="0009547B" w:rsidP="001D2DA2">
      <w:pPr>
        <w:spacing w:after="0"/>
        <w:rPr>
          <w:color w:val="000000" w:themeColor="text1"/>
        </w:rPr>
      </w:pPr>
      <w:r w:rsidRPr="00410B0D">
        <w:rPr>
          <w:color w:val="000000" w:themeColor="text1"/>
        </w:rPr>
        <w:t>202</w:t>
      </w:r>
      <w:r w:rsidR="002E39B8">
        <w:rPr>
          <w:color w:val="000000" w:themeColor="text1"/>
        </w:rPr>
        <w:t>2</w:t>
      </w:r>
      <w:r w:rsidR="001D2DA2" w:rsidRPr="00410B0D">
        <w:rPr>
          <w:color w:val="000000" w:themeColor="text1"/>
        </w:rPr>
        <w:t xml:space="preserve"> yılında petrol piyasasında aşağıda belirtilen Tebliğ çalışmaları yapılmıştır:</w:t>
      </w:r>
    </w:p>
    <w:p w:rsidR="002E39B8" w:rsidRDefault="002E39B8" w:rsidP="001D2DA2">
      <w:pPr>
        <w:spacing w:after="0"/>
        <w:rPr>
          <w:color w:val="000000" w:themeColor="text1"/>
        </w:rPr>
      </w:pPr>
    </w:p>
    <w:p w:rsidR="00414047" w:rsidRDefault="00873EA8" w:rsidP="00F23EE3">
      <w:pPr>
        <w:pStyle w:val="ListeParagraf"/>
        <w:numPr>
          <w:ilvl w:val="0"/>
          <w:numId w:val="35"/>
        </w:numPr>
        <w:spacing w:after="160" w:line="259" w:lineRule="auto"/>
      </w:pPr>
      <w:r w:rsidRPr="00873EA8">
        <w:t xml:space="preserve">28.12.2022 tarihli ve 32057 sayılı Resmî </w:t>
      </w:r>
      <w:r w:rsidR="00274939">
        <w:t>Gazetede</w:t>
      </w:r>
      <w:r w:rsidRPr="00873EA8">
        <w:t xml:space="preserve"> yayımlanan, amacı , 4/12/2003 tarihli ve 5015 sayılı Petrol Piyasası Kanununun 19 uncu maddesinde düzenlenmiş olan idari para cezalarının, 24/11/2022 tarihli ve 32023 sayılı Resmî </w:t>
      </w:r>
      <w:r w:rsidR="00274939">
        <w:t>Gazetede</w:t>
      </w:r>
      <w:r w:rsidRPr="00873EA8">
        <w:t xml:space="preserve"> yayımlanan Vergi Usul Kanunu Genel Tebliği (Sıra No: 542)’nde 2022 yılı için yeniden değerleme oranı olarak tespit edilen % 122,93 (yüz yirmi iki virgül doksan üç) oranında artırılarak yeniden belirlenmesi üzerine 28.12.2022 tarihli ve 32057 sayılı Tebliğ ile 2023 yılında  uygulanacak idari para cezaları belirlenmiştir.</w:t>
      </w:r>
    </w:p>
    <w:p w:rsidR="00873EA8" w:rsidRPr="00873EA8" w:rsidRDefault="00873EA8" w:rsidP="00873EA8">
      <w:pPr>
        <w:pStyle w:val="ListeParagraf"/>
        <w:spacing w:after="160" w:line="259" w:lineRule="auto"/>
      </w:pPr>
    </w:p>
    <w:p w:rsidR="00DC14F4" w:rsidRDefault="000036BF" w:rsidP="000A5A56">
      <w:pPr>
        <w:pStyle w:val="ListeParagraf"/>
        <w:numPr>
          <w:ilvl w:val="0"/>
          <w:numId w:val="35"/>
        </w:numPr>
        <w:spacing w:after="160" w:line="259" w:lineRule="auto"/>
        <w:rPr>
          <w:b/>
        </w:rPr>
      </w:pPr>
      <w:bookmarkStart w:id="115" w:name="_Toc442431246"/>
      <w:r>
        <w:t>01</w:t>
      </w:r>
      <w:r w:rsidR="00DC14F4" w:rsidRPr="003F058E">
        <w:t>.</w:t>
      </w:r>
      <w:r>
        <w:t>04</w:t>
      </w:r>
      <w:r w:rsidR="00DC14F4" w:rsidRPr="003F058E">
        <w:t>.202</w:t>
      </w:r>
      <w:r>
        <w:t>2</w:t>
      </w:r>
      <w:r w:rsidR="00DC14F4" w:rsidRPr="003F058E">
        <w:t xml:space="preserve"> tarih ve 31</w:t>
      </w:r>
      <w:r w:rsidR="00DC14F4">
        <w:t>7</w:t>
      </w:r>
      <w:r>
        <w:t>96</w:t>
      </w:r>
      <w:r w:rsidR="00DC14F4" w:rsidRPr="003F058E">
        <w:t xml:space="preserve"> sayılı Resmî </w:t>
      </w:r>
      <w:r w:rsidR="00274939">
        <w:t>Gazetede</w:t>
      </w:r>
      <w:r w:rsidR="00DC14F4" w:rsidRPr="003F058E">
        <w:t xml:space="preserve"> yayımlanan Değişiklik Tebliği ile </w:t>
      </w:r>
      <w:r w:rsidRPr="000036BF">
        <w:rPr>
          <w:b/>
        </w:rPr>
        <w:t>Benzin Türlerine Etanol Harmanlanması Hakkında</w:t>
      </w:r>
      <w:r w:rsidR="00DC14F4" w:rsidRPr="003F058E">
        <w:rPr>
          <w:b/>
        </w:rPr>
        <w:t xml:space="preserve"> </w:t>
      </w:r>
      <w:r w:rsidRPr="000036BF">
        <w:rPr>
          <w:b/>
        </w:rPr>
        <w:t xml:space="preserve">Tebliğe </w:t>
      </w:r>
      <w:r w:rsidRPr="000036BF">
        <w:t>aşağıdaki geçici madde eklenmiştir.</w:t>
      </w:r>
    </w:p>
    <w:p w:rsidR="00DC14F4" w:rsidRPr="003F058E" w:rsidRDefault="00DC14F4" w:rsidP="00DC14F4">
      <w:pPr>
        <w:pStyle w:val="ListeParagraf"/>
        <w:rPr>
          <w:b/>
        </w:rPr>
      </w:pPr>
    </w:p>
    <w:p w:rsidR="000036BF" w:rsidRPr="000036BF" w:rsidRDefault="000036BF" w:rsidP="000036BF">
      <w:pPr>
        <w:pStyle w:val="ListeParagraf"/>
        <w:ind w:left="1440"/>
        <w:rPr>
          <w:i/>
        </w:rPr>
      </w:pPr>
      <w:r w:rsidRPr="000036BF">
        <w:rPr>
          <w:i/>
        </w:rPr>
        <w:t>“2022 yılı harmanlama yükümlülüğü</w:t>
      </w:r>
    </w:p>
    <w:p w:rsidR="00DC14F4" w:rsidRDefault="000036BF" w:rsidP="000036BF">
      <w:pPr>
        <w:pStyle w:val="ListeParagraf"/>
        <w:ind w:left="1440"/>
        <w:rPr>
          <w:i/>
        </w:rPr>
      </w:pPr>
      <w:r w:rsidRPr="000036BF">
        <w:rPr>
          <w:i/>
        </w:rPr>
        <w:lastRenderedPageBreak/>
        <w:t>GEÇİCİ MADDE 2- (1) Bu Tebliğin 5 inci maddesinin birinci ve ikinci fıkralarında yer alan %3 (V/V) oranındaki harmanlama yükümlülüğü, 2022 yılı için %2 (V/V) olarak uygulanır.”</w:t>
      </w:r>
    </w:p>
    <w:p w:rsidR="00DC14F4" w:rsidRDefault="00DC14F4" w:rsidP="00DC14F4">
      <w:pPr>
        <w:pStyle w:val="ListeParagraf"/>
        <w:ind w:left="1440"/>
        <w:rPr>
          <w:i/>
        </w:rPr>
      </w:pPr>
    </w:p>
    <w:p w:rsidR="004738AE" w:rsidRDefault="004738AE" w:rsidP="000A5A56">
      <w:pPr>
        <w:pStyle w:val="ListeParagraf"/>
        <w:numPr>
          <w:ilvl w:val="0"/>
          <w:numId w:val="35"/>
        </w:numPr>
        <w:spacing w:after="160" w:line="259" w:lineRule="auto"/>
        <w:rPr>
          <w:b/>
        </w:rPr>
      </w:pPr>
      <w:r>
        <w:t>24</w:t>
      </w:r>
      <w:r w:rsidRPr="003F058E">
        <w:t>.</w:t>
      </w:r>
      <w:r>
        <w:t>06</w:t>
      </w:r>
      <w:r w:rsidRPr="003F058E">
        <w:t>.202</w:t>
      </w:r>
      <w:r>
        <w:t>2</w:t>
      </w:r>
      <w:r w:rsidRPr="003F058E">
        <w:t xml:space="preserve"> tarih ve </w:t>
      </w:r>
      <w:r>
        <w:t>31876</w:t>
      </w:r>
      <w:r w:rsidRPr="003F058E">
        <w:t xml:space="preserve"> sayılı Resmî </w:t>
      </w:r>
      <w:r w:rsidR="00274939">
        <w:t>Gazetede</w:t>
      </w:r>
      <w:r w:rsidRPr="003F058E">
        <w:t xml:space="preserve"> yayımlanan Değişiklik Tebliği ile </w:t>
      </w:r>
      <w:r w:rsidRPr="000036BF">
        <w:rPr>
          <w:b/>
        </w:rPr>
        <w:t>Benzin Türlerine Etanol Harmanlanması Hakkında</w:t>
      </w:r>
      <w:r w:rsidRPr="003F058E">
        <w:rPr>
          <w:b/>
        </w:rPr>
        <w:t xml:space="preserve"> </w:t>
      </w:r>
      <w:r w:rsidRPr="000036BF">
        <w:rPr>
          <w:b/>
        </w:rPr>
        <w:t>Tebliğ</w:t>
      </w:r>
      <w:r>
        <w:rPr>
          <w:b/>
        </w:rPr>
        <w:t>in</w:t>
      </w:r>
      <w:r w:rsidRPr="000036BF">
        <w:rPr>
          <w:b/>
        </w:rPr>
        <w:t xml:space="preserve"> </w:t>
      </w:r>
    </w:p>
    <w:p w:rsidR="004738AE" w:rsidRDefault="004738AE" w:rsidP="004738AE">
      <w:pPr>
        <w:pStyle w:val="ListeParagraf"/>
        <w:ind w:left="1440"/>
        <w:rPr>
          <w:i/>
        </w:rPr>
      </w:pPr>
    </w:p>
    <w:p w:rsidR="004738AE" w:rsidRPr="004738AE" w:rsidRDefault="004738AE" w:rsidP="000A5A56">
      <w:pPr>
        <w:pStyle w:val="ListeParagraf"/>
        <w:numPr>
          <w:ilvl w:val="0"/>
          <w:numId w:val="39"/>
        </w:numPr>
        <w:spacing w:after="160" w:line="259" w:lineRule="auto"/>
        <w:jc w:val="left"/>
      </w:pPr>
      <w:r w:rsidRPr="004738AE">
        <w:t xml:space="preserve">4 üncü maddesinin birinci fıkrasının (b) bendinde yer alan </w:t>
      </w:r>
      <w:r w:rsidRPr="004738AE">
        <w:rPr>
          <w:i/>
        </w:rPr>
        <w:t>“Tütün ve Alkol Piyasası Düzenleme Kurumu”</w:t>
      </w:r>
      <w:r w:rsidRPr="004738AE">
        <w:t xml:space="preserve"> ibaresi </w:t>
      </w:r>
      <w:r w:rsidRPr="004738AE">
        <w:rPr>
          <w:i/>
        </w:rPr>
        <w:t>“Tarım ve Orman Bakanlığı”</w:t>
      </w:r>
      <w:r w:rsidRPr="004738AE">
        <w:t xml:space="preserve"> şeklinde değiştirilmiştir.</w:t>
      </w:r>
    </w:p>
    <w:p w:rsidR="004738AE" w:rsidRDefault="004738AE" w:rsidP="004738AE">
      <w:pPr>
        <w:pStyle w:val="ListeParagraf"/>
        <w:ind w:left="1440"/>
        <w:rPr>
          <w:i/>
        </w:rPr>
      </w:pPr>
    </w:p>
    <w:p w:rsidR="004738AE" w:rsidRPr="004738AE" w:rsidRDefault="004738AE" w:rsidP="000A5A56">
      <w:pPr>
        <w:pStyle w:val="ListeParagraf"/>
        <w:numPr>
          <w:ilvl w:val="0"/>
          <w:numId w:val="39"/>
        </w:numPr>
        <w:spacing w:after="160" w:line="259" w:lineRule="auto"/>
        <w:jc w:val="left"/>
      </w:pPr>
      <w:r w:rsidRPr="004738AE">
        <w:t>5 inci maddesine aşağıdaki fıkra eklenmiştir.</w:t>
      </w:r>
    </w:p>
    <w:p w:rsidR="004738AE" w:rsidRDefault="004738AE" w:rsidP="004738AE">
      <w:pPr>
        <w:pStyle w:val="ListeParagraf"/>
        <w:ind w:left="1440"/>
        <w:rPr>
          <w:i/>
        </w:rPr>
      </w:pPr>
    </w:p>
    <w:p w:rsidR="004738AE" w:rsidRDefault="004738AE" w:rsidP="004738AE">
      <w:pPr>
        <w:pStyle w:val="ListeParagraf"/>
        <w:ind w:left="1440"/>
        <w:rPr>
          <w:i/>
        </w:rPr>
      </w:pPr>
      <w:r w:rsidRPr="004738AE">
        <w:rPr>
          <w:i/>
        </w:rPr>
        <w:t>“(3) Bu maddenin birinci ve ikinci fıkralarında tanımlanan etanol harmanlama yükümlülüğünden fazla olan veya eksik kalan etanol miktarı gelecek takvim yılının yükümlülüğünün hesaplanmasında ayrıca dikkate alınır. Bir yükümlülük dönemindeki eksik harmanlama nedeniyle uygulanan idari para cezası bir sonraki dönem yapılacak mahsuplaşma işlemine engel teşkil etmez.”</w:t>
      </w:r>
    </w:p>
    <w:p w:rsidR="004738AE" w:rsidRDefault="004738AE" w:rsidP="00DC14F4">
      <w:pPr>
        <w:pStyle w:val="ListeParagraf"/>
        <w:ind w:left="1440"/>
        <w:rPr>
          <w:i/>
        </w:rPr>
      </w:pPr>
    </w:p>
    <w:p w:rsidR="004738AE" w:rsidRPr="004738AE" w:rsidRDefault="004738AE" w:rsidP="000A5A56">
      <w:pPr>
        <w:pStyle w:val="ListeParagraf"/>
        <w:numPr>
          <w:ilvl w:val="0"/>
          <w:numId w:val="39"/>
        </w:numPr>
        <w:spacing w:after="160" w:line="259" w:lineRule="auto"/>
        <w:jc w:val="left"/>
      </w:pPr>
      <w:r w:rsidRPr="004738AE">
        <w:t>Aşağıdaki</w:t>
      </w:r>
      <w:r>
        <w:t xml:space="preserve"> </w:t>
      </w:r>
      <w:r w:rsidRPr="004738AE">
        <w:t>geçici madde eklenmiştir.</w:t>
      </w:r>
    </w:p>
    <w:p w:rsidR="004738AE" w:rsidRDefault="004738AE" w:rsidP="004738AE">
      <w:pPr>
        <w:pStyle w:val="ListeParagraf"/>
        <w:ind w:left="1440"/>
        <w:rPr>
          <w:i/>
        </w:rPr>
      </w:pPr>
    </w:p>
    <w:p w:rsidR="004738AE" w:rsidRPr="004738AE" w:rsidRDefault="004738AE" w:rsidP="004738AE">
      <w:pPr>
        <w:pStyle w:val="ListeParagraf"/>
        <w:ind w:left="1440"/>
        <w:rPr>
          <w:i/>
        </w:rPr>
      </w:pPr>
      <w:r w:rsidRPr="004738AE">
        <w:rPr>
          <w:i/>
        </w:rPr>
        <w:t>“Rafinerici lisansı sahiplerinin 2022 yılı harmanlama yükümlülüğü</w:t>
      </w:r>
    </w:p>
    <w:p w:rsidR="004738AE" w:rsidRDefault="004738AE" w:rsidP="004738AE">
      <w:pPr>
        <w:pStyle w:val="ListeParagraf"/>
        <w:ind w:left="1440"/>
        <w:rPr>
          <w:i/>
        </w:rPr>
      </w:pPr>
      <w:r w:rsidRPr="004738AE">
        <w:rPr>
          <w:i/>
        </w:rPr>
        <w:t>GEÇİCİ MADDE 3- (1) Bu Tebliğin geçici 2 nci maddesinde yer alan harmanlama yükümlülük oranı 2022 yılında, rafinerici lisansı sahipleri için kara tankeri dolumu üniteleri vasıtasıyla teslim edilen benzin türlerinin toplamı üzerinden hesaplanır.”</w:t>
      </w:r>
    </w:p>
    <w:p w:rsidR="004738AE" w:rsidRDefault="004738AE" w:rsidP="004738AE">
      <w:pPr>
        <w:pStyle w:val="ListeParagraf"/>
        <w:ind w:left="1440"/>
        <w:rPr>
          <w:i/>
        </w:rPr>
      </w:pPr>
    </w:p>
    <w:p w:rsidR="000036BF" w:rsidRDefault="000036BF" w:rsidP="000A5A56">
      <w:pPr>
        <w:pStyle w:val="ListeParagraf"/>
        <w:numPr>
          <w:ilvl w:val="0"/>
          <w:numId w:val="35"/>
        </w:numPr>
        <w:spacing w:after="160" w:line="259" w:lineRule="auto"/>
        <w:rPr>
          <w:b/>
        </w:rPr>
      </w:pPr>
      <w:r>
        <w:t>29</w:t>
      </w:r>
      <w:r w:rsidRPr="003F058E">
        <w:t>.</w:t>
      </w:r>
      <w:r w:rsidR="004738AE">
        <w:t>12</w:t>
      </w:r>
      <w:r w:rsidRPr="003F058E">
        <w:t>.202</w:t>
      </w:r>
      <w:r>
        <w:t>2</w:t>
      </w:r>
      <w:r w:rsidRPr="003F058E">
        <w:t xml:space="preserve"> tarih ve </w:t>
      </w:r>
      <w:r w:rsidR="004738AE">
        <w:t>32058</w:t>
      </w:r>
      <w:r w:rsidRPr="003F058E">
        <w:t xml:space="preserve"> sayılı Resmî </w:t>
      </w:r>
      <w:r w:rsidR="00274939">
        <w:t>Gazetede</w:t>
      </w:r>
      <w:r w:rsidRPr="003F058E">
        <w:t xml:space="preserve"> yayımlanan Değişiklik Tebliği ile </w:t>
      </w:r>
      <w:r w:rsidRPr="000036BF">
        <w:rPr>
          <w:b/>
        </w:rPr>
        <w:t>Benzin Türlerine Etanol Harmanlanması Hakkında</w:t>
      </w:r>
      <w:r w:rsidRPr="003F058E">
        <w:rPr>
          <w:b/>
        </w:rPr>
        <w:t xml:space="preserve"> </w:t>
      </w:r>
      <w:r w:rsidRPr="000036BF">
        <w:rPr>
          <w:b/>
        </w:rPr>
        <w:t xml:space="preserve">Tebliğe </w:t>
      </w:r>
      <w:r w:rsidRPr="000036BF">
        <w:t>aşağıdaki geçici madde eklenmiştir.</w:t>
      </w:r>
    </w:p>
    <w:p w:rsidR="000036BF" w:rsidRPr="003F058E" w:rsidRDefault="000036BF" w:rsidP="000036BF">
      <w:pPr>
        <w:pStyle w:val="ListeParagraf"/>
        <w:rPr>
          <w:b/>
        </w:rPr>
      </w:pPr>
    </w:p>
    <w:p w:rsidR="004738AE" w:rsidRPr="004738AE" w:rsidRDefault="004738AE" w:rsidP="004738AE">
      <w:pPr>
        <w:pStyle w:val="ListeParagraf"/>
        <w:ind w:left="1440"/>
        <w:rPr>
          <w:i/>
        </w:rPr>
      </w:pPr>
      <w:r w:rsidRPr="004738AE">
        <w:rPr>
          <w:i/>
        </w:rPr>
        <w:t>“2023 yılı harmanlama yükümlülüğü</w:t>
      </w:r>
    </w:p>
    <w:p w:rsidR="000036BF" w:rsidRDefault="004738AE" w:rsidP="004738AE">
      <w:pPr>
        <w:pStyle w:val="ListeParagraf"/>
        <w:ind w:left="1440"/>
        <w:rPr>
          <w:i/>
        </w:rPr>
      </w:pPr>
      <w:r w:rsidRPr="004738AE">
        <w:rPr>
          <w:i/>
        </w:rPr>
        <w:t>GEÇİCİ MADDE 4- (1) Bu Tebliğin 5 inci maddesinin birinci ve ikinci fıkralarında yer alan %3 (V/V) oranındaki harmanlama yükümlülüğü, 2023 yılı için %2 (V/V) olarak uygulanır.”</w:t>
      </w:r>
    </w:p>
    <w:p w:rsidR="001D2DA2" w:rsidRPr="00D22724" w:rsidRDefault="001D2DA2" w:rsidP="000A5A56">
      <w:pPr>
        <w:pStyle w:val="Balk3"/>
        <w:numPr>
          <w:ilvl w:val="2"/>
          <w:numId w:val="11"/>
        </w:numPr>
        <w:spacing w:after="240"/>
        <w:rPr>
          <w:rFonts w:asciiTheme="minorHAnsi" w:hAnsiTheme="minorHAnsi"/>
          <w:color w:val="auto"/>
        </w:rPr>
      </w:pPr>
      <w:bookmarkStart w:id="116" w:name="_Toc6684441"/>
      <w:bookmarkStart w:id="117" w:name="_Toc132713773"/>
      <w:r w:rsidRPr="00D22724">
        <w:rPr>
          <w:rFonts w:asciiTheme="minorHAnsi" w:hAnsiTheme="minorHAnsi"/>
          <w:color w:val="auto"/>
        </w:rPr>
        <w:t>Kurul Kararları</w:t>
      </w:r>
      <w:bookmarkEnd w:id="115"/>
      <w:bookmarkEnd w:id="116"/>
      <w:bookmarkEnd w:id="117"/>
    </w:p>
    <w:p w:rsidR="001D2DA2" w:rsidRDefault="001D2DA2" w:rsidP="001D2DA2">
      <w:pPr>
        <w:spacing w:after="0"/>
      </w:pPr>
      <w:r w:rsidRPr="00410B0D">
        <w:t>202</w:t>
      </w:r>
      <w:r w:rsidR="000036BF">
        <w:t>2</w:t>
      </w:r>
      <w:r w:rsidRPr="00410B0D">
        <w:t xml:space="preserve"> yılında petrol piyasasında düzenleyici işlem niteliğinde aşağıdaki Kurul Kararları ihdas edilmiştir:</w:t>
      </w:r>
    </w:p>
    <w:p w:rsidR="00475E83" w:rsidRDefault="00475E83" w:rsidP="001D2DA2">
      <w:pPr>
        <w:spacing w:after="0"/>
      </w:pPr>
    </w:p>
    <w:p w:rsidR="000036BF" w:rsidRPr="000036BF" w:rsidRDefault="000036BF" w:rsidP="000A5A56">
      <w:pPr>
        <w:pStyle w:val="ListeParagraf"/>
        <w:numPr>
          <w:ilvl w:val="0"/>
          <w:numId w:val="8"/>
        </w:numPr>
        <w:spacing w:after="120"/>
        <w:rPr>
          <w:rFonts w:ascii="Calibri" w:hAnsi="Calibri" w:cs="Calibri"/>
          <w:color w:val="000000"/>
        </w:rPr>
      </w:pPr>
      <w:r w:rsidRPr="000036BF">
        <w:rPr>
          <w:rFonts w:ascii="Calibri" w:hAnsi="Calibri" w:cs="Calibri"/>
          <w:color w:val="000000"/>
        </w:rPr>
        <w:t xml:space="preserve">08.01.2022 tarihli ve 31713 sayılı Resmî </w:t>
      </w:r>
      <w:r w:rsidR="00274939">
        <w:rPr>
          <w:rFonts w:ascii="Calibri" w:hAnsi="Calibri" w:cs="Calibri"/>
          <w:color w:val="000000"/>
        </w:rPr>
        <w:t>Gazetede</w:t>
      </w:r>
      <w:r w:rsidRPr="000036BF">
        <w:rPr>
          <w:rFonts w:ascii="Calibri" w:hAnsi="Calibri" w:cs="Calibri"/>
          <w:color w:val="000000"/>
        </w:rPr>
        <w:t xml:space="preserve"> yayımlanan 06.01.2022 tarihli ve 10719 sayılı Kurul Kararı ile 29.07.2021 tarihli ve 10338 sayılı </w:t>
      </w:r>
      <w:r w:rsidRPr="000036BF">
        <w:rPr>
          <w:rFonts w:ascii="Calibri" w:hAnsi="Calibri" w:cs="Calibri"/>
          <w:b/>
          <w:color w:val="000000"/>
        </w:rPr>
        <w:t>“Bayi Denetim Sisteminin Kurulması ve Uygulanması için Tüzel Kişilerin Yetkilendirilmesi Hakkında Karar”</w:t>
      </w:r>
      <w:r w:rsidRPr="000036BF">
        <w:rPr>
          <w:rFonts w:ascii="Calibri" w:hAnsi="Calibri" w:cs="Calibri"/>
          <w:color w:val="000000"/>
        </w:rPr>
        <w:t>da değişiklik yapılmıştır.</w:t>
      </w:r>
    </w:p>
    <w:p w:rsidR="000036BF" w:rsidRPr="000036BF" w:rsidRDefault="000036BF" w:rsidP="000036BF">
      <w:pPr>
        <w:pStyle w:val="ListeParagraf"/>
        <w:spacing w:after="120"/>
        <w:rPr>
          <w:rFonts w:ascii="Calibri" w:hAnsi="Calibri" w:cs="Calibri"/>
          <w:color w:val="000000"/>
        </w:rPr>
      </w:pPr>
    </w:p>
    <w:p w:rsidR="000036BF" w:rsidRPr="000036BF" w:rsidRDefault="000036BF" w:rsidP="000A5A56">
      <w:pPr>
        <w:pStyle w:val="ListeParagraf"/>
        <w:numPr>
          <w:ilvl w:val="0"/>
          <w:numId w:val="8"/>
        </w:numPr>
        <w:spacing w:after="160" w:line="259" w:lineRule="auto"/>
      </w:pPr>
      <w:r w:rsidRPr="000036BF">
        <w:t xml:space="preserve">05.03.2022 tarihli ve 31769 sayılı Resmî </w:t>
      </w:r>
      <w:r w:rsidR="00274939">
        <w:t>Gazetede</w:t>
      </w:r>
      <w:r w:rsidRPr="000036BF">
        <w:t xml:space="preserve"> yayımlanan 03.03.2022 tarihli ve 10826 sayılı Kurul Kararı ile 21.05.2015 tarihli ve 5605-2 sayılı </w:t>
      </w:r>
      <w:r w:rsidRPr="000036BF">
        <w:rPr>
          <w:b/>
        </w:rPr>
        <w:t>“Ulusal Marker Uygulama Faaliyetleri ve Ulusal Marker Teslimine İlişkin Usul ve Esaslar Hakkında Kurul Kararı”</w:t>
      </w:r>
      <w:r w:rsidRPr="000036BF">
        <w:t>nın 6 ıncı maddesinin yedinci fıkrasının son cümlesinde yer alan “</w:t>
      </w:r>
      <w:r w:rsidRPr="000036BF">
        <w:rPr>
          <w:i/>
          <w:iCs/>
        </w:rPr>
        <w:t>6</w:t>
      </w:r>
      <w:r w:rsidRPr="000036BF">
        <w:t>” ibaresi “</w:t>
      </w:r>
      <w:r w:rsidRPr="000036BF">
        <w:rPr>
          <w:i/>
          <w:iCs/>
        </w:rPr>
        <w:t>12</w:t>
      </w:r>
      <w:r w:rsidRPr="000036BF">
        <w:t xml:space="preserve">” olarak değiştirilmiştir. </w:t>
      </w:r>
    </w:p>
    <w:p w:rsidR="000036BF" w:rsidRPr="000036BF" w:rsidRDefault="000036BF" w:rsidP="000036BF">
      <w:pPr>
        <w:pStyle w:val="ListeParagraf"/>
      </w:pPr>
    </w:p>
    <w:p w:rsidR="000036BF" w:rsidRDefault="000036BF" w:rsidP="000A5A56">
      <w:pPr>
        <w:pStyle w:val="ListeParagraf"/>
        <w:numPr>
          <w:ilvl w:val="0"/>
          <w:numId w:val="8"/>
        </w:numPr>
        <w:spacing w:after="160" w:line="259" w:lineRule="auto"/>
      </w:pPr>
      <w:r w:rsidRPr="000036BF">
        <w:lastRenderedPageBreak/>
        <w:t xml:space="preserve">15.04.2022 tarihli ve 31810 sayılı Resmî </w:t>
      </w:r>
      <w:r w:rsidR="00274939">
        <w:t>Gazetede</w:t>
      </w:r>
      <w:r w:rsidRPr="000036BF">
        <w:t xml:space="preserve"> yayımlanan 14.04.2022 tarihli ve 10929 sayılı Kurul Kararı ile 14.03.2018 tarihli ve 7742 sayılı Dağıtıcılar Arası Akaryakıt Ticareti Hakkında Kararın Ek’i olan </w:t>
      </w:r>
      <w:r w:rsidRPr="000036BF">
        <w:rPr>
          <w:b/>
        </w:rPr>
        <w:t>“Dağıtıcılar Arası Ticarete İlişkin Kılavuz”</w:t>
      </w:r>
      <w:r w:rsidRPr="000036BF">
        <w:t>da değişiklik yapılmıştır.</w:t>
      </w:r>
    </w:p>
    <w:p w:rsidR="004738AE" w:rsidRPr="000036BF" w:rsidRDefault="004738AE" w:rsidP="004738AE">
      <w:pPr>
        <w:pStyle w:val="ListeParagraf"/>
        <w:spacing w:after="160" w:line="259" w:lineRule="auto"/>
      </w:pPr>
    </w:p>
    <w:p w:rsidR="000036BF" w:rsidRPr="000036BF" w:rsidRDefault="000036BF" w:rsidP="000A5A56">
      <w:pPr>
        <w:pStyle w:val="ListeParagraf"/>
        <w:numPr>
          <w:ilvl w:val="0"/>
          <w:numId w:val="8"/>
        </w:numPr>
        <w:spacing w:after="160" w:line="259" w:lineRule="auto"/>
      </w:pPr>
      <w:r w:rsidRPr="000036BF">
        <w:t xml:space="preserve">22.04.2022 tarihli ve 31817 sayılı Resmî </w:t>
      </w:r>
      <w:r w:rsidR="00274939">
        <w:t>Gazetede</w:t>
      </w:r>
      <w:r w:rsidRPr="000036BF">
        <w:t xml:space="preserve"> yayımlanan 21.04.2022 tarihli ve 10940 sayılı Kurul Kararı ile  Rafineri tesisleri hariç, piyasaya arz edilecek benzin türlerine yönelik olarak 31/5/2022 tarihine kadar geçerli olmak üzere; TS EN 228 Otomotiv Yakıtları - Kurşunsuz Benzin - Özellikler ve Deney Yöntemleri (Aralık 2017) standardında belirtilen </w:t>
      </w:r>
      <w:r w:rsidRPr="000036BF">
        <w:rPr>
          <w:i/>
        </w:rPr>
        <w:t>“Buhar Basıncı”</w:t>
      </w:r>
      <w:r w:rsidRPr="000036BF">
        <w:t xml:space="preserve"> ve </w:t>
      </w:r>
      <w:r w:rsidRPr="000036BF">
        <w:rPr>
          <w:i/>
        </w:rPr>
        <w:t>“70 °C'ta Buharlaşma Yüzdesi - E70”</w:t>
      </w:r>
      <w:r w:rsidRPr="000036BF">
        <w:t xml:space="preserve"> özelliklerine ait asgari sınır değerleri için </w:t>
      </w:r>
      <w:r w:rsidRPr="000036BF">
        <w:rPr>
          <w:i/>
        </w:rPr>
        <w:t>“yaz dönemi”</w:t>
      </w:r>
      <w:r w:rsidRPr="000036BF">
        <w:t xml:space="preserve"> değerlerinin, azami sınır değerleri için </w:t>
      </w:r>
      <w:r w:rsidRPr="000036BF">
        <w:rPr>
          <w:i/>
        </w:rPr>
        <w:t>“kış dönemi ”</w:t>
      </w:r>
      <w:r w:rsidRPr="000036BF">
        <w:t xml:space="preserve"> değerlerinin esas alınmasına, karar verilmiştir.</w:t>
      </w:r>
    </w:p>
    <w:p w:rsidR="000036BF" w:rsidRPr="000036BF" w:rsidRDefault="000036BF" w:rsidP="000036BF">
      <w:pPr>
        <w:pStyle w:val="ListeParagraf"/>
      </w:pPr>
    </w:p>
    <w:p w:rsidR="000036BF" w:rsidRPr="000036BF" w:rsidRDefault="000036BF" w:rsidP="000A5A56">
      <w:pPr>
        <w:pStyle w:val="ListeParagraf"/>
        <w:numPr>
          <w:ilvl w:val="0"/>
          <w:numId w:val="8"/>
        </w:numPr>
        <w:spacing w:after="160" w:line="259" w:lineRule="auto"/>
      </w:pPr>
      <w:r w:rsidRPr="000036BF">
        <w:t xml:space="preserve">29.04.2022 tarihli ve 31824 sayılı Resmî </w:t>
      </w:r>
      <w:r w:rsidR="00274939">
        <w:t>Gazetede</w:t>
      </w:r>
      <w:r w:rsidRPr="000036BF">
        <w:t xml:space="preserve"> yayımlanan 28.04.2022 tarihli ve 10952 sayılı Kurul Kararı ile 29.07.2021 tarihli ve 10338 sayılı Bayi Denetim Sisteminin Kurulması ve Uygulanması için Tüzel Kişilerin Yetkilendirilmesi Hakkında Kararın 5 inci maddesinin birinci fıkrasına aşağıdaki bent eklenmiştir.</w:t>
      </w:r>
    </w:p>
    <w:p w:rsidR="000036BF" w:rsidRPr="000036BF" w:rsidRDefault="000036BF" w:rsidP="000036BF">
      <w:pPr>
        <w:pStyle w:val="ListeParagraf"/>
      </w:pPr>
    </w:p>
    <w:p w:rsidR="00D3422D" w:rsidRDefault="000036BF" w:rsidP="00DC0F56">
      <w:pPr>
        <w:pStyle w:val="ListeParagraf"/>
        <w:ind w:left="1440"/>
        <w:rPr>
          <w:i/>
          <w:iCs/>
        </w:rPr>
      </w:pPr>
      <w:r w:rsidRPr="00DC0F56">
        <w:rPr>
          <w:i/>
          <w:iCs/>
        </w:rPr>
        <w:t xml:space="preserve">"g) Bayi denetim sistemine izinsiz müdahale ve/veya kayıt dışı ikmale ilişkin yapılan tespitleri 6/12/2018 tarihli ve 30617 sayılı Resmî </w:t>
      </w:r>
      <w:r w:rsidR="00274939">
        <w:rPr>
          <w:i/>
          <w:iCs/>
        </w:rPr>
        <w:t>Gazetede</w:t>
      </w:r>
      <w:r w:rsidRPr="00DC0F56">
        <w:rPr>
          <w:i/>
          <w:iCs/>
        </w:rPr>
        <w:t xml:space="preserve"> yayımlanan Elektronik Tebligat Yönetmeliğinde tanımlanan "Ulusal Elektronik Tebligat Sistemi" aracılığı ile dağıtıcı lisans sahibine bildirmekle.'’</w:t>
      </w:r>
    </w:p>
    <w:p w:rsidR="00DC0F56" w:rsidRDefault="00DC0F56" w:rsidP="00DC0F56">
      <w:pPr>
        <w:pStyle w:val="ListeParagraf"/>
        <w:ind w:left="1440"/>
        <w:rPr>
          <w:i/>
          <w:iCs/>
        </w:rPr>
      </w:pPr>
    </w:p>
    <w:p w:rsidR="0058105A" w:rsidRDefault="0058105A" w:rsidP="000A5A56">
      <w:pPr>
        <w:pStyle w:val="ListeParagraf"/>
        <w:numPr>
          <w:ilvl w:val="0"/>
          <w:numId w:val="35"/>
        </w:numPr>
        <w:spacing w:after="160" w:line="259" w:lineRule="auto"/>
        <w:rPr>
          <w:b/>
        </w:rPr>
      </w:pPr>
      <w:r>
        <w:t>11</w:t>
      </w:r>
      <w:r w:rsidRPr="003F058E">
        <w:t>.</w:t>
      </w:r>
      <w:r>
        <w:t>06</w:t>
      </w:r>
      <w:r w:rsidRPr="003F058E">
        <w:t>.202</w:t>
      </w:r>
      <w:r>
        <w:t>2</w:t>
      </w:r>
      <w:r w:rsidRPr="003F058E">
        <w:t xml:space="preserve"> tarih ve </w:t>
      </w:r>
      <w:r>
        <w:t>31863</w:t>
      </w:r>
      <w:r w:rsidRPr="003F058E">
        <w:t xml:space="preserve"> sayılı Resmî </w:t>
      </w:r>
      <w:r w:rsidR="00274939">
        <w:t>Gazetede</w:t>
      </w:r>
      <w:r w:rsidRPr="003F058E">
        <w:t xml:space="preserve"> yayımlanan </w:t>
      </w:r>
      <w:r>
        <w:t>09</w:t>
      </w:r>
      <w:r w:rsidRPr="000036BF">
        <w:t>.0</w:t>
      </w:r>
      <w:r>
        <w:t>6</w:t>
      </w:r>
      <w:r w:rsidRPr="000036BF">
        <w:t xml:space="preserve">.2022 tarihli ve </w:t>
      </w:r>
      <w:r>
        <w:t>11013</w:t>
      </w:r>
      <w:r w:rsidRPr="000036BF">
        <w:t xml:space="preserve"> sayılı Kurul Kararı ile</w:t>
      </w:r>
      <w:r w:rsidRPr="0058105A">
        <w:t xml:space="preserve"> 03.08.2021 tarihli ve 31557 sayılı Resmî </w:t>
      </w:r>
      <w:r w:rsidR="00274939">
        <w:t>Gazetede</w:t>
      </w:r>
      <w:r w:rsidRPr="0058105A">
        <w:t xml:space="preserve"> yayımlanan 29.07.2021 tarihli ve 10338 sayılı Bayi Denetim Sisteminin Kurulması ve Uygulanması için Tüzel Kişilerin Yetkilendirilmesi Hakkında Kararın</w:t>
      </w:r>
    </w:p>
    <w:p w:rsidR="0058105A" w:rsidRDefault="0058105A" w:rsidP="0058105A">
      <w:pPr>
        <w:pStyle w:val="ListeParagraf"/>
        <w:ind w:left="1440"/>
        <w:rPr>
          <w:i/>
        </w:rPr>
      </w:pPr>
    </w:p>
    <w:p w:rsidR="0058105A" w:rsidRPr="004738AE" w:rsidRDefault="0058105A" w:rsidP="000A5A56">
      <w:pPr>
        <w:pStyle w:val="ListeParagraf"/>
        <w:numPr>
          <w:ilvl w:val="0"/>
          <w:numId w:val="39"/>
        </w:numPr>
        <w:spacing w:after="160" w:line="259" w:lineRule="auto"/>
        <w:jc w:val="left"/>
      </w:pPr>
      <w:r w:rsidRPr="0058105A">
        <w:t>5 inci maddesinin birinci fıkrasının (g) bendi aşağıdaki gibi değiştirilmiştir.</w:t>
      </w:r>
    </w:p>
    <w:p w:rsidR="0058105A" w:rsidRDefault="0058105A" w:rsidP="00DC0F56">
      <w:pPr>
        <w:pStyle w:val="ListeParagraf"/>
        <w:ind w:left="1440"/>
        <w:rPr>
          <w:i/>
          <w:iCs/>
        </w:rPr>
      </w:pPr>
    </w:p>
    <w:p w:rsidR="0058105A" w:rsidRDefault="0058105A" w:rsidP="00DC0F56">
      <w:pPr>
        <w:pStyle w:val="ListeParagraf"/>
        <w:ind w:left="1440"/>
        <w:rPr>
          <w:i/>
          <w:iCs/>
        </w:rPr>
      </w:pPr>
      <w:r w:rsidRPr="0058105A">
        <w:rPr>
          <w:i/>
          <w:iCs/>
        </w:rPr>
        <w:t xml:space="preserve">“g) Bayi denetim sistemine izinsiz müdahale ve/veya kayıt dışı ikmale ilişkin yapılan tespitleri yazılı veya 25/8/2011 tarihli ve 28036 sayılı Resmî </w:t>
      </w:r>
      <w:r w:rsidR="00274939">
        <w:rPr>
          <w:i/>
          <w:iCs/>
        </w:rPr>
        <w:t>Gazetede</w:t>
      </w:r>
      <w:r w:rsidRPr="0058105A">
        <w:rPr>
          <w:i/>
          <w:iCs/>
        </w:rPr>
        <w:t xml:space="preserve"> yayımlanan Kayıtlı Elektronik Posta Sistemine İlişkin Usul ve Esaslar Hakkında Yönetmelik kapsamında kayıtlı elektronik posta aracılığı ile dağıtıcı lisansı sahibine bildirmekle,”</w:t>
      </w:r>
    </w:p>
    <w:p w:rsidR="0058105A" w:rsidRDefault="0058105A" w:rsidP="00DC0F56">
      <w:pPr>
        <w:pStyle w:val="ListeParagraf"/>
        <w:ind w:left="1440"/>
        <w:rPr>
          <w:i/>
          <w:iCs/>
        </w:rPr>
      </w:pPr>
    </w:p>
    <w:p w:rsidR="00F9729C" w:rsidRPr="000036BF" w:rsidRDefault="00F9729C" w:rsidP="000A5A56">
      <w:pPr>
        <w:pStyle w:val="ListeParagraf"/>
        <w:numPr>
          <w:ilvl w:val="0"/>
          <w:numId w:val="8"/>
        </w:numPr>
        <w:spacing w:after="160" w:line="259" w:lineRule="auto"/>
      </w:pPr>
      <w:r>
        <w:t>11</w:t>
      </w:r>
      <w:r w:rsidRPr="000036BF">
        <w:t>.</w:t>
      </w:r>
      <w:r>
        <w:t>11</w:t>
      </w:r>
      <w:r w:rsidRPr="000036BF">
        <w:t>.2022 tarihli ve 3</w:t>
      </w:r>
      <w:r>
        <w:t>2010</w:t>
      </w:r>
      <w:r w:rsidRPr="000036BF">
        <w:t xml:space="preserve"> sayılı Resmî </w:t>
      </w:r>
      <w:r w:rsidR="00274939">
        <w:t>Gazetede</w:t>
      </w:r>
      <w:r w:rsidRPr="000036BF">
        <w:t xml:space="preserve"> yayımlanan </w:t>
      </w:r>
      <w:r>
        <w:t>10</w:t>
      </w:r>
      <w:r w:rsidRPr="000036BF">
        <w:t>.</w:t>
      </w:r>
      <w:r>
        <w:t>11</w:t>
      </w:r>
      <w:r w:rsidRPr="000036BF">
        <w:t>.2022 tarihli ve 1</w:t>
      </w:r>
      <w:r>
        <w:t>1376</w:t>
      </w:r>
      <w:r w:rsidRPr="000036BF">
        <w:t xml:space="preserve"> sayılı Kurul Kararı ile </w:t>
      </w:r>
      <w:r w:rsidRPr="00F9729C">
        <w:t>2022 yılı ile sınırlı olmak üzere TS EN 14214 “Sıvı petrol ürünleri – Yağ asidi metil esterleri</w:t>
      </w:r>
      <w:r>
        <w:t xml:space="preserve"> </w:t>
      </w:r>
      <w:r w:rsidRPr="00F9729C">
        <w:t xml:space="preserve">(YAME/biodizel) - Dizel motorlarda ve ısıtma uygulamalarında kullanılan – Özellikler ve deney yöntemleri” standardında belirtilen yaz dönemi bitiş tarihinin 30 Kasım (± 15 gün) olarak uygulanmasına </w:t>
      </w:r>
      <w:r w:rsidRPr="000036BF">
        <w:t>verilmiştir.</w:t>
      </w:r>
    </w:p>
    <w:p w:rsidR="00F9729C" w:rsidRDefault="00F9729C" w:rsidP="00DC0F56">
      <w:pPr>
        <w:pStyle w:val="ListeParagraf"/>
        <w:ind w:left="1440"/>
        <w:rPr>
          <w:i/>
          <w:iCs/>
        </w:rPr>
      </w:pPr>
    </w:p>
    <w:p w:rsidR="00DC0F56" w:rsidRPr="000036BF" w:rsidRDefault="00DC0F56" w:rsidP="000A5A56">
      <w:pPr>
        <w:pStyle w:val="ListeParagraf"/>
        <w:numPr>
          <w:ilvl w:val="0"/>
          <w:numId w:val="8"/>
        </w:numPr>
        <w:spacing w:after="160" w:line="259" w:lineRule="auto"/>
      </w:pPr>
      <w:r w:rsidRPr="000036BF">
        <w:t>2</w:t>
      </w:r>
      <w:r w:rsidR="00BC0BF1">
        <w:t>4</w:t>
      </w:r>
      <w:r w:rsidRPr="000036BF">
        <w:t>.</w:t>
      </w:r>
      <w:r w:rsidR="00BC0BF1">
        <w:t>12</w:t>
      </w:r>
      <w:r w:rsidRPr="000036BF">
        <w:t>.2022 tarihli ve 3</w:t>
      </w:r>
      <w:r w:rsidR="00BC0BF1">
        <w:t>2053</w:t>
      </w:r>
      <w:r w:rsidRPr="000036BF">
        <w:t xml:space="preserve"> sayılı Resmî </w:t>
      </w:r>
      <w:r w:rsidR="00274939">
        <w:t>Gazetede</w:t>
      </w:r>
      <w:r w:rsidRPr="000036BF">
        <w:t xml:space="preserve"> yayımlanan 2</w:t>
      </w:r>
      <w:r w:rsidR="0058105A">
        <w:t>2</w:t>
      </w:r>
      <w:r w:rsidRPr="000036BF">
        <w:t>.</w:t>
      </w:r>
      <w:r w:rsidR="0058105A">
        <w:t>12</w:t>
      </w:r>
      <w:r w:rsidRPr="000036BF">
        <w:t>.2022 tarihli ve 1</w:t>
      </w:r>
      <w:r w:rsidR="0058105A">
        <w:t>1480</w:t>
      </w:r>
      <w:r w:rsidRPr="000036BF">
        <w:t xml:space="preserve"> sayılı Kurul Kararı ile </w:t>
      </w:r>
      <w:r w:rsidR="0058105A" w:rsidRPr="0058105A">
        <w:t xml:space="preserve">5015 sayılı Petrol Piyasası Kanununun 16 ncı ve Petrol Piyasası Lisans Yönetmeliğinin 50 nci maddesi uyarınca 2023 yılında uygulanacak olan ulusal petrol stokunun tamamlayıcı kısmının edinilmesi nedeniyle oluşabilecek kaynak ihtiyacı, finansman giderleri ve bu kısım stokların depolama ve idame maliyeti için kullanılacak gelir payı bedellerine ilişkin </w:t>
      </w:r>
      <w:r w:rsidRPr="000036BF">
        <w:t>karar verilmiştir.</w:t>
      </w:r>
    </w:p>
    <w:p w:rsidR="00DC0F56" w:rsidRPr="00DC0F56" w:rsidRDefault="00DC0F56" w:rsidP="00DC0F56">
      <w:pPr>
        <w:pStyle w:val="ListeParagraf"/>
        <w:ind w:left="1440"/>
        <w:rPr>
          <w:i/>
          <w:iCs/>
        </w:rPr>
      </w:pPr>
    </w:p>
    <w:p w:rsidR="001D2DA2" w:rsidRPr="00410B0D" w:rsidRDefault="001D2DA2" w:rsidP="000A5A56">
      <w:pPr>
        <w:pStyle w:val="Balk2"/>
        <w:numPr>
          <w:ilvl w:val="1"/>
          <w:numId w:val="11"/>
        </w:numPr>
        <w:spacing w:before="0" w:after="240"/>
        <w:rPr>
          <w:rFonts w:asciiTheme="minorHAnsi" w:hAnsiTheme="minorHAnsi"/>
          <w:color w:val="auto"/>
          <w:sz w:val="22"/>
          <w:szCs w:val="22"/>
        </w:rPr>
      </w:pPr>
      <w:bookmarkStart w:id="118" w:name="_Toc442431247"/>
      <w:bookmarkStart w:id="119" w:name="_Toc6684442"/>
      <w:bookmarkStart w:id="120" w:name="_Toc132713774"/>
      <w:r w:rsidRPr="00410B0D">
        <w:rPr>
          <w:rFonts w:asciiTheme="minorHAnsi" w:hAnsiTheme="minorHAnsi"/>
          <w:color w:val="auto"/>
          <w:sz w:val="22"/>
          <w:szCs w:val="22"/>
        </w:rPr>
        <w:lastRenderedPageBreak/>
        <w:t>Sıvılaştırılmış Petrol Gazları (LPG) Piyasası Mevzuatı</w:t>
      </w:r>
      <w:bookmarkEnd w:id="118"/>
      <w:bookmarkEnd w:id="119"/>
      <w:bookmarkEnd w:id="120"/>
    </w:p>
    <w:p w:rsidR="00FD50A0" w:rsidRPr="007F076F" w:rsidRDefault="001D2DA2" w:rsidP="000A5A56">
      <w:pPr>
        <w:pStyle w:val="Balk3"/>
        <w:numPr>
          <w:ilvl w:val="2"/>
          <w:numId w:val="11"/>
        </w:numPr>
        <w:spacing w:after="240"/>
        <w:rPr>
          <w:rFonts w:asciiTheme="minorHAnsi" w:hAnsiTheme="minorHAnsi"/>
          <w:color w:val="auto"/>
        </w:rPr>
      </w:pPr>
      <w:bookmarkStart w:id="121" w:name="_Toc442431248"/>
      <w:bookmarkStart w:id="122" w:name="_Toc6684443"/>
      <w:bookmarkStart w:id="123" w:name="_Toc132713775"/>
      <w:r w:rsidRPr="00410B0D">
        <w:rPr>
          <w:rFonts w:asciiTheme="minorHAnsi" w:hAnsiTheme="minorHAnsi"/>
          <w:color w:val="auto"/>
        </w:rPr>
        <w:t>Kanun</w:t>
      </w:r>
      <w:bookmarkEnd w:id="121"/>
      <w:bookmarkEnd w:id="122"/>
      <w:bookmarkEnd w:id="123"/>
    </w:p>
    <w:p w:rsidR="003F0825" w:rsidRPr="005B3935" w:rsidRDefault="003F0825" w:rsidP="003F0825">
      <w:pPr>
        <w:spacing w:after="240"/>
        <w:rPr>
          <w:rFonts w:ascii="Calibri" w:hAnsi="Calibri"/>
          <w:lang w:eastAsia="tr-TR"/>
        </w:rPr>
      </w:pPr>
      <w:r w:rsidRPr="005B3935">
        <w:rPr>
          <w:rFonts w:ascii="Calibri" w:hAnsi="Calibri"/>
          <w:lang w:eastAsia="tr-TR"/>
        </w:rPr>
        <w:t>202</w:t>
      </w:r>
      <w:r>
        <w:rPr>
          <w:rFonts w:ascii="Calibri" w:hAnsi="Calibri"/>
          <w:lang w:eastAsia="tr-TR"/>
        </w:rPr>
        <w:t>2</w:t>
      </w:r>
      <w:r w:rsidRPr="005B3935">
        <w:rPr>
          <w:rFonts w:ascii="Calibri" w:hAnsi="Calibri"/>
          <w:lang w:eastAsia="tr-TR"/>
        </w:rPr>
        <w:t xml:space="preserve"> yılı içerisinde, </w:t>
      </w:r>
      <w:r>
        <w:rPr>
          <w:rFonts w:ascii="Calibri" w:hAnsi="Calibri"/>
          <w:lang w:eastAsia="tr-TR"/>
        </w:rPr>
        <w:t>LPG</w:t>
      </w:r>
      <w:r w:rsidRPr="005B3935">
        <w:rPr>
          <w:rFonts w:ascii="Calibri" w:hAnsi="Calibri"/>
          <w:lang w:eastAsia="tr-TR"/>
        </w:rPr>
        <w:t xml:space="preserve"> piyasasında aşağıdaki Kanun çalışmaları yapılmıştır;</w:t>
      </w:r>
    </w:p>
    <w:p w:rsidR="003F0825" w:rsidRPr="005B3935" w:rsidRDefault="003F0825" w:rsidP="000A5A56">
      <w:pPr>
        <w:numPr>
          <w:ilvl w:val="0"/>
          <w:numId w:val="24"/>
        </w:numPr>
        <w:rPr>
          <w:rFonts w:ascii="Calibri" w:hAnsi="Calibri"/>
          <w:b/>
        </w:rPr>
      </w:pPr>
      <w:r>
        <w:rPr>
          <w:rFonts w:ascii="Calibri" w:hAnsi="Calibri"/>
          <w:bCs/>
        </w:rPr>
        <w:t>11</w:t>
      </w:r>
      <w:r w:rsidRPr="005B3935">
        <w:rPr>
          <w:rFonts w:ascii="Calibri" w:hAnsi="Calibri"/>
          <w:bCs/>
        </w:rPr>
        <w:t>.</w:t>
      </w:r>
      <w:r>
        <w:rPr>
          <w:rFonts w:ascii="Calibri" w:hAnsi="Calibri"/>
          <w:bCs/>
        </w:rPr>
        <w:t>01</w:t>
      </w:r>
      <w:r w:rsidRPr="005B3935">
        <w:rPr>
          <w:rFonts w:ascii="Calibri" w:hAnsi="Calibri"/>
          <w:bCs/>
        </w:rPr>
        <w:t>.202</w:t>
      </w:r>
      <w:r>
        <w:rPr>
          <w:rFonts w:ascii="Calibri" w:hAnsi="Calibri"/>
          <w:bCs/>
        </w:rPr>
        <w:t>2</w:t>
      </w:r>
      <w:r w:rsidRPr="005B3935">
        <w:rPr>
          <w:rFonts w:ascii="Calibri" w:hAnsi="Calibri"/>
          <w:bCs/>
        </w:rPr>
        <w:t xml:space="preserve"> tarihli ve 317</w:t>
      </w:r>
      <w:r>
        <w:rPr>
          <w:rFonts w:ascii="Calibri" w:hAnsi="Calibri"/>
          <w:bCs/>
        </w:rPr>
        <w:t>16</w:t>
      </w:r>
      <w:r w:rsidRPr="005B3935">
        <w:rPr>
          <w:rFonts w:ascii="Calibri" w:hAnsi="Calibri"/>
          <w:bCs/>
        </w:rPr>
        <w:t xml:space="preserve"> sayılı Resmî </w:t>
      </w:r>
      <w:r w:rsidR="00274939">
        <w:rPr>
          <w:rFonts w:ascii="Calibri" w:hAnsi="Calibri"/>
          <w:bCs/>
        </w:rPr>
        <w:t>Gazetede</w:t>
      </w:r>
      <w:r w:rsidRPr="005B3935">
        <w:rPr>
          <w:rFonts w:ascii="Calibri" w:hAnsi="Calibri"/>
          <w:bCs/>
        </w:rPr>
        <w:t xml:space="preserve"> yayımlanan 73</w:t>
      </w:r>
      <w:r>
        <w:rPr>
          <w:rFonts w:ascii="Calibri" w:hAnsi="Calibri"/>
          <w:bCs/>
        </w:rPr>
        <w:t>50</w:t>
      </w:r>
      <w:r w:rsidRPr="005B3935">
        <w:rPr>
          <w:rFonts w:ascii="Calibri" w:hAnsi="Calibri"/>
          <w:bCs/>
        </w:rPr>
        <w:t xml:space="preserve"> sayılı Bazı Kanunlarda Değişiklik Yapılmasına Dair Kanun ile </w:t>
      </w:r>
      <w:r>
        <w:rPr>
          <w:rFonts w:ascii="Calibri" w:hAnsi="Calibri"/>
          <w:bCs/>
        </w:rPr>
        <w:t>5307</w:t>
      </w:r>
      <w:r w:rsidRPr="00AE723B">
        <w:rPr>
          <w:rFonts w:ascii="Calibri" w:hAnsi="Calibri"/>
        </w:rPr>
        <w:t xml:space="preserve"> sayılı</w:t>
      </w:r>
      <w:r w:rsidRPr="00AE723B">
        <w:rPr>
          <w:rFonts w:ascii="Calibri" w:hAnsi="Calibri"/>
          <w:b/>
          <w:bCs/>
        </w:rPr>
        <w:t xml:space="preserve"> Sıvılaştırılmış Petrol Gazları (LPG) Piyasası Kanunu ve Elektrik Piyasası Kanununda Değişiklik Yapılmasına Dair Kanunun </w:t>
      </w:r>
    </w:p>
    <w:p w:rsidR="003F0825" w:rsidRDefault="003F0825" w:rsidP="000A5A56">
      <w:pPr>
        <w:numPr>
          <w:ilvl w:val="0"/>
          <w:numId w:val="25"/>
        </w:numPr>
        <w:contextualSpacing/>
        <w:rPr>
          <w:rFonts w:ascii="Calibri" w:hAnsi="Calibri"/>
          <w:iCs/>
        </w:rPr>
      </w:pPr>
      <w:r w:rsidRPr="00AE723B">
        <w:rPr>
          <w:rFonts w:ascii="Calibri" w:hAnsi="Calibri"/>
          <w:iCs/>
        </w:rPr>
        <w:t>2 nci maddesinin birinci fıkrasının (ı) bendinde yer alan “</w:t>
      </w:r>
      <w:r w:rsidRPr="00AE723B">
        <w:rPr>
          <w:rFonts w:ascii="Calibri" w:hAnsi="Calibri"/>
          <w:i/>
        </w:rPr>
        <w:t>LPG dağıtıcılarının veya kullanıcılarının”</w:t>
      </w:r>
      <w:r w:rsidRPr="00AE723B">
        <w:rPr>
          <w:rFonts w:ascii="Calibri" w:hAnsi="Calibri"/>
          <w:iCs/>
        </w:rPr>
        <w:t xml:space="preserve"> ibaresi </w:t>
      </w:r>
      <w:r w:rsidRPr="00AE723B">
        <w:rPr>
          <w:rFonts w:ascii="Calibri" w:hAnsi="Calibri"/>
          <w:i/>
        </w:rPr>
        <w:t>“Piyasa faaliyetinde bulunanların, </w:t>
      </w:r>
      <w:r w:rsidR="00151CF9" w:rsidRPr="00AE723B">
        <w:rPr>
          <w:rFonts w:ascii="Calibri" w:hAnsi="Calibri"/>
          <w:i/>
        </w:rPr>
        <w:t>rafinericilerin</w:t>
      </w:r>
      <w:r w:rsidRPr="00AE723B">
        <w:rPr>
          <w:rFonts w:ascii="Calibri" w:hAnsi="Calibri"/>
          <w:i/>
        </w:rPr>
        <w:t> veya kullanıcıların”</w:t>
      </w:r>
      <w:r w:rsidRPr="00AE723B">
        <w:rPr>
          <w:rFonts w:ascii="Calibri" w:hAnsi="Calibri"/>
          <w:iCs/>
        </w:rPr>
        <w:t xml:space="preserve"> şeklinde değiştirilmiştir.</w:t>
      </w:r>
    </w:p>
    <w:p w:rsidR="003F0825" w:rsidRPr="005B3935" w:rsidRDefault="003F0825" w:rsidP="003F0825">
      <w:pPr>
        <w:ind w:left="1440"/>
        <w:contextualSpacing/>
        <w:rPr>
          <w:rFonts w:ascii="Calibri" w:hAnsi="Calibri"/>
          <w:iCs/>
        </w:rPr>
      </w:pPr>
    </w:p>
    <w:p w:rsidR="003F0825" w:rsidRDefault="003F0825" w:rsidP="000A5A56">
      <w:pPr>
        <w:numPr>
          <w:ilvl w:val="0"/>
          <w:numId w:val="25"/>
        </w:numPr>
        <w:contextualSpacing/>
        <w:rPr>
          <w:rFonts w:ascii="Calibri" w:hAnsi="Calibri"/>
          <w:iCs/>
        </w:rPr>
      </w:pPr>
      <w:r w:rsidRPr="008E1AFF">
        <w:rPr>
          <w:rFonts w:ascii="Calibri" w:hAnsi="Calibri"/>
          <w:iCs/>
        </w:rPr>
        <w:t xml:space="preserve">3 üncü maddesinin beşinci fıkrasında yer alan </w:t>
      </w:r>
      <w:r w:rsidRPr="008E1AFF">
        <w:rPr>
          <w:rFonts w:ascii="Calibri" w:hAnsi="Calibri"/>
          <w:i/>
        </w:rPr>
        <w:t>“6762”</w:t>
      </w:r>
      <w:r w:rsidRPr="008E1AFF">
        <w:rPr>
          <w:rFonts w:ascii="Calibri" w:hAnsi="Calibri"/>
          <w:iCs/>
        </w:rPr>
        <w:t xml:space="preserve"> ibaresi </w:t>
      </w:r>
      <w:r w:rsidRPr="008E1AFF">
        <w:rPr>
          <w:rFonts w:ascii="Calibri" w:hAnsi="Calibri"/>
          <w:i/>
        </w:rPr>
        <w:t>“13/1/2011 tarihli ve 6102”</w:t>
      </w:r>
      <w:r w:rsidRPr="008E1AFF">
        <w:rPr>
          <w:rFonts w:ascii="Calibri" w:hAnsi="Calibri"/>
          <w:iCs/>
        </w:rPr>
        <w:t xml:space="preserve"> şeklinde değiştirilmiş ve maddeye aşağıdaki fıkra eklenmiştir.</w:t>
      </w:r>
    </w:p>
    <w:p w:rsidR="003F0825" w:rsidRDefault="003F0825" w:rsidP="003F0825">
      <w:pPr>
        <w:contextualSpacing/>
        <w:rPr>
          <w:rFonts w:ascii="Calibri" w:hAnsi="Calibri"/>
          <w:iCs/>
        </w:rPr>
      </w:pPr>
    </w:p>
    <w:p w:rsidR="00475E83" w:rsidRPr="00475E83" w:rsidRDefault="003F0825" w:rsidP="003F0825">
      <w:pPr>
        <w:pStyle w:val="ListeParagraf"/>
        <w:ind w:left="1440"/>
        <w:rPr>
          <w:i/>
        </w:rPr>
      </w:pPr>
      <w:r w:rsidRPr="008E1AFF">
        <w:rPr>
          <w:rFonts w:ascii="Calibri" w:hAnsi="Calibri"/>
          <w:i/>
        </w:rPr>
        <w:t>“21/3/2007 tarihli ve 5607 sayılı Kaçakçılıkla Mücadele Kanununa aykırı fiillerden dolayı haklarında kesinleşmiş mahkûmiyet kararı olanlara lisans verilmez. Lisans sahibinin tüzel kişi olması durumunda söz konusu tüzel kişilikte suçun işlendiği tarih itibarıyla yüzde ondan fazla paya sahip ortaklar ile görevden ayrılmış olan veya halen görevde bulunan yönetim kurulu başkan ve üyelerine, temsil ve ilzama yetkili olanlara lisans verilmez ve bu kişiler lisans başvurusu yapan tüzel kişiliklerde doğrudan pay sahibi olamaz.”</w:t>
      </w:r>
    </w:p>
    <w:p w:rsidR="00B119A0" w:rsidRPr="007F076F" w:rsidRDefault="001D2DA2" w:rsidP="000A5A56">
      <w:pPr>
        <w:pStyle w:val="Balk3"/>
        <w:numPr>
          <w:ilvl w:val="2"/>
          <w:numId w:val="11"/>
        </w:numPr>
        <w:spacing w:after="240"/>
        <w:rPr>
          <w:rFonts w:asciiTheme="minorHAnsi" w:hAnsiTheme="minorHAnsi"/>
          <w:color w:val="auto"/>
        </w:rPr>
      </w:pPr>
      <w:bookmarkStart w:id="124" w:name="_Toc442431249"/>
      <w:bookmarkStart w:id="125" w:name="_Toc6684444"/>
      <w:bookmarkStart w:id="126" w:name="_Toc132713776"/>
      <w:r w:rsidRPr="00410B0D">
        <w:rPr>
          <w:rFonts w:asciiTheme="minorHAnsi" w:hAnsiTheme="minorHAnsi"/>
          <w:color w:val="auto"/>
        </w:rPr>
        <w:t>Yönetmelikler</w:t>
      </w:r>
      <w:bookmarkEnd w:id="124"/>
      <w:bookmarkEnd w:id="125"/>
      <w:bookmarkEnd w:id="126"/>
    </w:p>
    <w:p w:rsidR="003F0825" w:rsidRDefault="003F0825" w:rsidP="003F0825">
      <w:pPr>
        <w:rPr>
          <w:rFonts w:ascii="Calibri" w:hAnsi="Calibri"/>
        </w:rPr>
      </w:pPr>
      <w:r w:rsidRPr="00B025C9">
        <w:rPr>
          <w:rFonts w:ascii="Calibri" w:hAnsi="Calibri"/>
        </w:rPr>
        <w:t xml:space="preserve">2022 yılı içerisinde, LPG piyasasında aşağıdaki </w:t>
      </w:r>
      <w:r>
        <w:rPr>
          <w:rFonts w:ascii="Calibri" w:hAnsi="Calibri"/>
        </w:rPr>
        <w:t>Yönetmelik</w:t>
      </w:r>
      <w:r w:rsidRPr="00B025C9">
        <w:rPr>
          <w:rFonts w:ascii="Calibri" w:hAnsi="Calibri"/>
        </w:rPr>
        <w:t xml:space="preserve"> çalışmaları yapılmıştır;</w:t>
      </w:r>
    </w:p>
    <w:p w:rsidR="003F0825" w:rsidRPr="00B025C9" w:rsidRDefault="003F0825" w:rsidP="000A5A56">
      <w:pPr>
        <w:pStyle w:val="ListeParagraf"/>
        <w:numPr>
          <w:ilvl w:val="0"/>
          <w:numId w:val="24"/>
        </w:numPr>
        <w:spacing w:after="160" w:line="259" w:lineRule="auto"/>
        <w:rPr>
          <w:rFonts w:ascii="Calibri" w:hAnsi="Calibri"/>
        </w:rPr>
      </w:pPr>
      <w:r w:rsidRPr="00B025C9">
        <w:rPr>
          <w:rFonts w:ascii="Calibri" w:hAnsi="Calibri"/>
        </w:rPr>
        <w:t xml:space="preserve">11.03.2022 tarihli ve 31775 sayılı Resmî </w:t>
      </w:r>
      <w:r w:rsidR="00274939">
        <w:rPr>
          <w:rFonts w:ascii="Calibri" w:hAnsi="Calibri"/>
        </w:rPr>
        <w:t>Gazetede</w:t>
      </w:r>
      <w:r w:rsidRPr="00B025C9">
        <w:rPr>
          <w:rFonts w:ascii="Calibri" w:hAnsi="Calibri"/>
        </w:rPr>
        <w:t xml:space="preserve"> yayımlanan Değişiklik Yönetmeliği ile </w:t>
      </w:r>
      <w:r w:rsidRPr="00B025C9">
        <w:rPr>
          <w:rFonts w:ascii="Calibri" w:hAnsi="Calibri"/>
          <w:b/>
          <w:bCs/>
        </w:rPr>
        <w:t>Sıvılaştırılmış Petrol Gazları (LPG) Piyasası Lisans Yönetmeliğinin</w:t>
      </w:r>
    </w:p>
    <w:p w:rsidR="003F0825" w:rsidRDefault="003F0825" w:rsidP="003F0825">
      <w:pPr>
        <w:pStyle w:val="ListeParagraf"/>
        <w:rPr>
          <w:rFonts w:ascii="Calibri" w:hAnsi="Calibri"/>
          <w:b/>
          <w:bCs/>
        </w:rPr>
      </w:pPr>
    </w:p>
    <w:p w:rsidR="003F0825" w:rsidRPr="00B025C9" w:rsidRDefault="003F0825" w:rsidP="000A5A56">
      <w:pPr>
        <w:pStyle w:val="ListeParagraf"/>
        <w:numPr>
          <w:ilvl w:val="0"/>
          <w:numId w:val="64"/>
        </w:numPr>
        <w:spacing w:after="160" w:line="259" w:lineRule="auto"/>
        <w:rPr>
          <w:rFonts w:ascii="Calibri" w:hAnsi="Calibri"/>
        </w:rPr>
      </w:pPr>
      <w:r w:rsidRPr="00B025C9">
        <w:rPr>
          <w:rFonts w:ascii="Calibri" w:hAnsi="Calibri"/>
        </w:rPr>
        <w:t xml:space="preserve">4 üncü maddesinin birinci fıkrasında yer alan </w:t>
      </w:r>
      <w:r w:rsidRPr="00B025C9">
        <w:rPr>
          <w:rFonts w:ascii="Calibri" w:hAnsi="Calibri"/>
          <w:i/>
          <w:iCs/>
        </w:rPr>
        <w:t>“Depolama”</w:t>
      </w:r>
      <w:r w:rsidRPr="00B025C9">
        <w:rPr>
          <w:rFonts w:ascii="Calibri" w:hAnsi="Calibri"/>
        </w:rPr>
        <w:t xml:space="preserve"> tanımı aşağıdaki şekilde değiştirilmiştir.</w:t>
      </w:r>
    </w:p>
    <w:p w:rsidR="003F0825" w:rsidRDefault="003F0825" w:rsidP="003F0825">
      <w:pPr>
        <w:pStyle w:val="ListeParagraf"/>
        <w:ind w:left="1440"/>
        <w:rPr>
          <w:rFonts w:ascii="Calibri" w:hAnsi="Calibri"/>
        </w:rPr>
      </w:pPr>
    </w:p>
    <w:p w:rsidR="003F0825" w:rsidRDefault="003F0825" w:rsidP="003F0825">
      <w:pPr>
        <w:pStyle w:val="ListeParagraf"/>
        <w:ind w:left="1440"/>
        <w:rPr>
          <w:rFonts w:ascii="Calibri" w:hAnsi="Calibri"/>
          <w:i/>
          <w:iCs/>
        </w:rPr>
      </w:pPr>
      <w:r w:rsidRPr="00B025C9">
        <w:rPr>
          <w:rFonts w:ascii="Calibri" w:hAnsi="Calibri"/>
          <w:i/>
          <w:iCs/>
        </w:rPr>
        <w:t>“Depolama: Piyasa faaliyetinde bulunanların, rafinericilerin veya kullanıcıların stok ihtiyaçlarını karşılamak üzere kendilerine ait veya yapılan sözleşmeler gereği kullanım hakkına sahip bulundukları ve LPG’nin teknik düzenlemelere uygun olarak depolanmasını sağlayan tesisler ile buralarda yürütülen iş ve işlemleri,”</w:t>
      </w:r>
    </w:p>
    <w:p w:rsidR="003F0825" w:rsidRDefault="003F0825" w:rsidP="003F0825">
      <w:pPr>
        <w:pStyle w:val="ListeParagraf"/>
        <w:ind w:left="1440"/>
        <w:rPr>
          <w:rFonts w:ascii="Calibri" w:hAnsi="Calibri"/>
          <w:i/>
          <w:iCs/>
        </w:rPr>
      </w:pPr>
    </w:p>
    <w:p w:rsidR="003F0825" w:rsidRPr="00B025C9" w:rsidRDefault="003F0825" w:rsidP="000A5A56">
      <w:pPr>
        <w:pStyle w:val="ListeParagraf"/>
        <w:numPr>
          <w:ilvl w:val="0"/>
          <w:numId w:val="64"/>
        </w:numPr>
        <w:spacing w:after="160" w:line="259" w:lineRule="auto"/>
        <w:rPr>
          <w:rFonts w:ascii="Calibri" w:hAnsi="Calibri"/>
        </w:rPr>
      </w:pPr>
      <w:r w:rsidRPr="00B025C9">
        <w:rPr>
          <w:rFonts w:ascii="Calibri" w:hAnsi="Calibri"/>
        </w:rPr>
        <w:t>7 nci maddesine aşağıdaki fıkra eklenmiştir.</w:t>
      </w:r>
    </w:p>
    <w:p w:rsidR="003F0825" w:rsidRPr="00B025C9" w:rsidRDefault="003F0825" w:rsidP="003F0825">
      <w:pPr>
        <w:pStyle w:val="ListeParagraf"/>
        <w:ind w:left="1440"/>
        <w:rPr>
          <w:rFonts w:ascii="Calibri" w:hAnsi="Calibri"/>
          <w:i/>
          <w:iCs/>
        </w:rPr>
      </w:pPr>
    </w:p>
    <w:p w:rsidR="003F0825" w:rsidRPr="00B025C9" w:rsidRDefault="003F0825" w:rsidP="003F0825">
      <w:pPr>
        <w:pStyle w:val="ListeParagraf"/>
        <w:ind w:left="1440"/>
        <w:rPr>
          <w:rFonts w:ascii="Calibri" w:hAnsi="Calibri"/>
          <w:i/>
          <w:iCs/>
        </w:rPr>
      </w:pPr>
      <w:r w:rsidRPr="00B025C9">
        <w:rPr>
          <w:rFonts w:ascii="Calibri" w:hAnsi="Calibri"/>
          <w:i/>
          <w:iCs/>
        </w:rPr>
        <w:t>“21/3/2007 tarihli ve 5607 sayılı Kaçakçılıkla Mücadele Kanununa aykırı fiillerden dolayı haklarında kesinleşmiş mahkûmiyet kararı olanlara lisans verilmez. Lisans sahibinin tüzel kişi olması durumunda söz konusu tüzel kişilikte suçun işlendiği tarih itibarıyla yüzde ondan fazla paya sahip ortaklar ile görevden ayrılmış olan veya halen görevde bulunan yönetim kurulu başkan ve üyelerine, temsil ve ilzama yetkili olanlara lisans verilmez ve bu kişiler lisans başvurusu yapan tüzel kişiliklerde doğrudan pay sahibi olamaz.”</w:t>
      </w:r>
    </w:p>
    <w:p w:rsidR="003F0825" w:rsidRPr="00B025C9" w:rsidRDefault="003F0825" w:rsidP="000A5A56">
      <w:pPr>
        <w:pStyle w:val="ListeParagraf"/>
        <w:numPr>
          <w:ilvl w:val="0"/>
          <w:numId w:val="64"/>
        </w:numPr>
        <w:spacing w:after="160" w:line="259" w:lineRule="auto"/>
        <w:rPr>
          <w:rFonts w:ascii="Calibri" w:hAnsi="Calibri"/>
        </w:rPr>
      </w:pPr>
      <w:r w:rsidRPr="00B025C9">
        <w:rPr>
          <w:rFonts w:ascii="Calibri" w:hAnsi="Calibri"/>
        </w:rPr>
        <w:lastRenderedPageBreak/>
        <w:t>15 inci maddesinin ikinci fıkrası aşağıdaki şekilde değiştirilmiştir.</w:t>
      </w:r>
    </w:p>
    <w:p w:rsidR="003F0825" w:rsidRPr="00B025C9" w:rsidRDefault="003F0825" w:rsidP="003F0825">
      <w:pPr>
        <w:pStyle w:val="ListeParagraf"/>
        <w:ind w:left="1440"/>
        <w:rPr>
          <w:rFonts w:ascii="Calibri" w:hAnsi="Calibri"/>
          <w:i/>
          <w:iCs/>
        </w:rPr>
      </w:pPr>
    </w:p>
    <w:p w:rsidR="003F0825" w:rsidRPr="00B025C9" w:rsidRDefault="003F0825" w:rsidP="003F0825">
      <w:pPr>
        <w:pStyle w:val="ListeParagraf"/>
        <w:ind w:left="1440"/>
        <w:rPr>
          <w:rFonts w:ascii="Calibri" w:hAnsi="Calibri"/>
          <w:i/>
          <w:iCs/>
        </w:rPr>
      </w:pPr>
      <w:r w:rsidRPr="00B025C9">
        <w:rPr>
          <w:rFonts w:ascii="Calibri" w:hAnsi="Calibri"/>
          <w:i/>
          <w:iCs/>
        </w:rPr>
        <w:t>“Lisans tadil başvurularının ilgili mevzuata uygun olup olmadığı hakkındaki değerlendirme, sunulan belgelerin Kurum evrak sistemine giriş tarihini izleyen on iş günü içerisinde tamamlanır. Lisans tadil başvurularının ilgili mevzuata uygun olarak yapılmadığının tespiti hâlinde, söz konusu aykırılıklarının on iş günü içerisinde giderilmesi, aksi takdirde tadil başvurusunun yapılmamış sayılacağı hususu, başvuru sahibine yazılı olarak bildirilir. Söz konusu süre içerisinde aykırılıklar giderilmediği takdirde tadil başvurusu yapılmamış sayılır.”</w:t>
      </w:r>
    </w:p>
    <w:p w:rsidR="003F0825" w:rsidRPr="00B025C9" w:rsidRDefault="003F0825" w:rsidP="003F0825">
      <w:pPr>
        <w:pStyle w:val="ListeParagraf"/>
        <w:ind w:left="1440"/>
        <w:rPr>
          <w:rFonts w:ascii="Calibri" w:hAnsi="Calibri"/>
        </w:rPr>
      </w:pPr>
    </w:p>
    <w:p w:rsidR="003F0825" w:rsidRPr="00B025C9" w:rsidRDefault="003F0825" w:rsidP="000A5A56">
      <w:pPr>
        <w:pStyle w:val="ListeParagraf"/>
        <w:numPr>
          <w:ilvl w:val="0"/>
          <w:numId w:val="64"/>
        </w:numPr>
        <w:spacing w:after="160" w:line="259" w:lineRule="auto"/>
        <w:rPr>
          <w:rFonts w:ascii="Calibri" w:hAnsi="Calibri"/>
        </w:rPr>
      </w:pPr>
      <w:r w:rsidRPr="00B025C9">
        <w:rPr>
          <w:rFonts w:ascii="Calibri" w:hAnsi="Calibri"/>
        </w:rPr>
        <w:t>17 nci maddesinin birinci fıkrasının (a), (b), (c) ve (e) bentleri aşağıdaki şekilde değiştirilmiş, aynı fıkraya aşağıdaki bent ve aynı maddeye aşağıdaki fıkra eklenmiştir.</w:t>
      </w:r>
    </w:p>
    <w:p w:rsidR="003F0825" w:rsidRPr="00B025C9" w:rsidRDefault="003F0825" w:rsidP="003F0825">
      <w:pPr>
        <w:pStyle w:val="ListeParagraf"/>
        <w:ind w:left="1440"/>
        <w:rPr>
          <w:rFonts w:ascii="Calibri" w:hAnsi="Calibri"/>
          <w:i/>
          <w:iCs/>
        </w:rPr>
      </w:pPr>
    </w:p>
    <w:p w:rsidR="003F0825" w:rsidRPr="00B025C9" w:rsidRDefault="003F0825" w:rsidP="003F0825">
      <w:pPr>
        <w:pStyle w:val="ListeParagraf"/>
        <w:ind w:left="1440"/>
        <w:rPr>
          <w:rFonts w:ascii="Calibri" w:hAnsi="Calibri"/>
          <w:i/>
          <w:iCs/>
        </w:rPr>
      </w:pPr>
      <w:r w:rsidRPr="00B025C9">
        <w:rPr>
          <w:rFonts w:ascii="Calibri" w:hAnsi="Calibri"/>
          <w:i/>
          <w:iCs/>
        </w:rPr>
        <w:t>“a) Lisans sahibinin iflasının kesinleşmesi halinde LPG Dağıtıcı ve LPG Depolama Lisansları Kurul Kararıyla; LPG Otogaz Bayilik, LPG Tüpü Muayenesi, Tamiri ve Bakımı, LPG Tüpü İmalatı ve LPG Taşıma Lisansları Sıvılaştırılmış Petrol Gazları (LPG) Piyasası Dairesi Başkanlığı kararıyla,</w:t>
      </w:r>
    </w:p>
    <w:p w:rsidR="003F0825" w:rsidRPr="00B025C9" w:rsidRDefault="003F0825" w:rsidP="003F0825">
      <w:pPr>
        <w:pStyle w:val="ListeParagraf"/>
        <w:ind w:left="1440"/>
        <w:rPr>
          <w:rFonts w:ascii="Calibri" w:hAnsi="Calibri"/>
          <w:i/>
          <w:iCs/>
        </w:rPr>
      </w:pPr>
    </w:p>
    <w:p w:rsidR="003F0825" w:rsidRPr="00B025C9" w:rsidRDefault="003F0825" w:rsidP="003F0825">
      <w:pPr>
        <w:pStyle w:val="ListeParagraf"/>
        <w:ind w:left="1440"/>
        <w:rPr>
          <w:rFonts w:ascii="Calibri" w:hAnsi="Calibri"/>
          <w:i/>
          <w:iCs/>
        </w:rPr>
      </w:pPr>
      <w:r w:rsidRPr="00B025C9">
        <w:rPr>
          <w:rFonts w:ascii="Calibri" w:hAnsi="Calibri"/>
          <w:i/>
          <w:iCs/>
        </w:rPr>
        <w:t>b) Lisans süresinin bitimi halinde tebligat yapılmaksızın kendiliğinden,</w:t>
      </w:r>
    </w:p>
    <w:p w:rsidR="003F0825" w:rsidRPr="00B025C9" w:rsidRDefault="003F0825" w:rsidP="003F0825">
      <w:pPr>
        <w:pStyle w:val="ListeParagraf"/>
        <w:ind w:left="1440"/>
        <w:rPr>
          <w:rFonts w:ascii="Calibri" w:hAnsi="Calibri"/>
          <w:i/>
          <w:iCs/>
        </w:rPr>
      </w:pPr>
    </w:p>
    <w:p w:rsidR="003F0825" w:rsidRPr="00B025C9" w:rsidRDefault="003F0825" w:rsidP="003F0825">
      <w:pPr>
        <w:pStyle w:val="ListeParagraf"/>
        <w:ind w:left="1440"/>
        <w:rPr>
          <w:rFonts w:ascii="Calibri" w:hAnsi="Calibri"/>
          <w:i/>
          <w:iCs/>
        </w:rPr>
      </w:pPr>
      <w:r w:rsidRPr="00B025C9">
        <w:rPr>
          <w:rFonts w:ascii="Calibri" w:hAnsi="Calibri"/>
          <w:i/>
          <w:iCs/>
        </w:rPr>
        <w:t>c) Lisans sahibinin ölümü veya birleşme ve devralmalar da dahil olmak üzere tüzel kişiliğinin sona ermesi hallerinde LPG Dağıtıcı ve LPG Depolama Lisansları Kurul Kararıyla; LPG Otogaz Bayilik, LPG Tüpü Muayenesi, Tamiri ve Bakımı, LPG Tüpü İmalatı ve LPG Taşıma Lisansları Sıvılaştırılmış Petrol Gazları (LPG) Piyasası Dairesi Başkanlığı kararıyla,”</w:t>
      </w:r>
    </w:p>
    <w:p w:rsidR="003F0825" w:rsidRPr="00B025C9" w:rsidRDefault="003F0825" w:rsidP="003F0825">
      <w:pPr>
        <w:pStyle w:val="ListeParagraf"/>
        <w:ind w:left="1440"/>
        <w:rPr>
          <w:rFonts w:ascii="Calibri" w:hAnsi="Calibri"/>
          <w:i/>
          <w:iCs/>
        </w:rPr>
      </w:pPr>
    </w:p>
    <w:p w:rsidR="003F0825" w:rsidRPr="00B025C9" w:rsidRDefault="003F0825" w:rsidP="003F0825">
      <w:pPr>
        <w:pStyle w:val="ListeParagraf"/>
        <w:ind w:left="1440"/>
        <w:rPr>
          <w:rFonts w:ascii="Calibri" w:hAnsi="Calibri"/>
          <w:i/>
          <w:iCs/>
        </w:rPr>
      </w:pPr>
      <w:r w:rsidRPr="00B025C9">
        <w:rPr>
          <w:rFonts w:ascii="Calibri" w:hAnsi="Calibri"/>
          <w:i/>
          <w:iCs/>
        </w:rPr>
        <w:t>“e) Lisans alma koşullarından herhangi birinin kaybedildiğinin tespit edilmesi üzerine, LPG Dağıtıcı Lisansı ve LPG Depolama Lisansı Kurul Kararıyla; LPG Otogaz Bayilik, LPG Tüpü Muayenesi, Tamiri ve Bakımı, LPG Tüpü İmalatı ve LPG Taşıma Lisansları Sıvılaştırılmış Petrol Gazları (LPG) Piyasası Dairesi Başkanlığı kararıyla,”</w:t>
      </w:r>
    </w:p>
    <w:p w:rsidR="003F0825" w:rsidRPr="00B025C9" w:rsidRDefault="003F0825" w:rsidP="003F0825">
      <w:pPr>
        <w:pStyle w:val="ListeParagraf"/>
        <w:ind w:left="1440"/>
        <w:rPr>
          <w:rFonts w:ascii="Calibri" w:hAnsi="Calibri"/>
          <w:i/>
          <w:iCs/>
        </w:rPr>
      </w:pPr>
    </w:p>
    <w:p w:rsidR="003F0825" w:rsidRPr="00B025C9" w:rsidRDefault="003F0825" w:rsidP="003F0825">
      <w:pPr>
        <w:pStyle w:val="ListeParagraf"/>
        <w:ind w:left="1440"/>
        <w:rPr>
          <w:rFonts w:ascii="Calibri" w:hAnsi="Calibri"/>
          <w:i/>
          <w:iCs/>
        </w:rPr>
      </w:pPr>
      <w:r w:rsidRPr="00B025C9">
        <w:rPr>
          <w:rFonts w:ascii="Calibri" w:hAnsi="Calibri"/>
          <w:i/>
          <w:iCs/>
        </w:rPr>
        <w:t>“f) Lisans verme aşamasında lisansa kayıt edilmiş belirli bir süre içerisinde yerine getirme yükümlülüğünün süresi içerisinde yerine getirilmemesi halinde LPG Dağıtıcı ve LPG Depolama Lisansları Kurul Kararıyla; LPG Otogaz Bayilik, LPG Tüpü Muayenesi, Tamiri ve Bakımı, LPG Tüpü İmalatı ve LPG Taşıma Lisansları Sıvılaştırılmış Petrol Gazları (LPG) Piyasası Dairesi Başkanlığı kararıyla,”</w:t>
      </w:r>
    </w:p>
    <w:p w:rsidR="003F0825" w:rsidRPr="00B025C9" w:rsidRDefault="003F0825" w:rsidP="003F0825">
      <w:pPr>
        <w:pStyle w:val="ListeParagraf"/>
        <w:ind w:left="1440"/>
        <w:rPr>
          <w:rFonts w:ascii="Calibri" w:hAnsi="Calibri"/>
          <w:i/>
          <w:iCs/>
        </w:rPr>
      </w:pPr>
    </w:p>
    <w:p w:rsidR="003F0825" w:rsidRPr="00B025C9" w:rsidRDefault="003F0825" w:rsidP="003F0825">
      <w:pPr>
        <w:pStyle w:val="ListeParagraf"/>
        <w:ind w:left="1440"/>
        <w:rPr>
          <w:rFonts w:ascii="Calibri" w:hAnsi="Calibri"/>
          <w:i/>
          <w:iCs/>
        </w:rPr>
      </w:pPr>
      <w:r w:rsidRPr="00B025C9">
        <w:rPr>
          <w:rFonts w:ascii="Calibri" w:hAnsi="Calibri"/>
          <w:i/>
          <w:iCs/>
        </w:rPr>
        <w:t>“Depolama lisansları piyasada üçüncü kişilerle stok yükümlülüğü kapsamında girişilen taahhütlere ilişkin yükümlülüklerin karşılanmış olduğunun belgeleriyle birlikte Kuruma ibraz edilmesi koşuluyla, Kurul Kararıyla sona erdirilir.”</w:t>
      </w:r>
    </w:p>
    <w:p w:rsidR="003F0825" w:rsidRPr="00B025C9" w:rsidRDefault="003F0825" w:rsidP="003F0825">
      <w:pPr>
        <w:pStyle w:val="ListeParagraf"/>
        <w:ind w:left="1440"/>
        <w:rPr>
          <w:rFonts w:ascii="Calibri" w:hAnsi="Calibri"/>
          <w:i/>
          <w:iCs/>
        </w:rPr>
      </w:pPr>
    </w:p>
    <w:p w:rsidR="003F0825" w:rsidRPr="00B025C9" w:rsidRDefault="003F0825" w:rsidP="000A5A56">
      <w:pPr>
        <w:pStyle w:val="ListeParagraf"/>
        <w:numPr>
          <w:ilvl w:val="0"/>
          <w:numId w:val="64"/>
        </w:numPr>
        <w:spacing w:after="160" w:line="259" w:lineRule="auto"/>
        <w:rPr>
          <w:rFonts w:ascii="Calibri" w:hAnsi="Calibri"/>
        </w:rPr>
      </w:pPr>
      <w:r w:rsidRPr="00B025C9">
        <w:rPr>
          <w:rFonts w:ascii="Calibri" w:hAnsi="Calibri"/>
        </w:rPr>
        <w:t>20 nci maddesinin birinci fıkrasının (c) bendi aşağıdaki şekilde değiştirilmiştir.</w:t>
      </w:r>
    </w:p>
    <w:p w:rsidR="003F0825" w:rsidRPr="00B025C9" w:rsidRDefault="003F0825" w:rsidP="003F0825">
      <w:pPr>
        <w:pStyle w:val="ListeParagraf"/>
        <w:ind w:left="1440"/>
        <w:rPr>
          <w:rFonts w:ascii="Calibri" w:hAnsi="Calibri"/>
          <w:i/>
          <w:iCs/>
        </w:rPr>
      </w:pPr>
    </w:p>
    <w:p w:rsidR="003F0825" w:rsidRPr="00B025C9" w:rsidRDefault="003F0825" w:rsidP="003F0825">
      <w:pPr>
        <w:pStyle w:val="ListeParagraf"/>
        <w:ind w:left="1440"/>
        <w:rPr>
          <w:rFonts w:ascii="Calibri" w:hAnsi="Calibri"/>
          <w:i/>
          <w:iCs/>
        </w:rPr>
      </w:pPr>
      <w:r w:rsidRPr="00B025C9">
        <w:rPr>
          <w:rFonts w:ascii="Calibri" w:hAnsi="Calibri"/>
          <w:i/>
          <w:iCs/>
        </w:rPr>
        <w:t>“c) 5015 sayılı Petrol Piyasası Kanunu ve 5307 sayılı Kanunun 5 inci maddesi gereği Ulusal Petrol Stok Mükellefiyeti kapsamında stok yükümlülüğünü yerine getirmek,”</w:t>
      </w:r>
    </w:p>
    <w:p w:rsidR="003F0825" w:rsidRPr="00B025C9" w:rsidRDefault="003F0825" w:rsidP="003F0825">
      <w:pPr>
        <w:pStyle w:val="ListeParagraf"/>
        <w:ind w:left="1440"/>
        <w:rPr>
          <w:rFonts w:ascii="Calibri" w:hAnsi="Calibri"/>
          <w:i/>
          <w:iCs/>
        </w:rPr>
      </w:pPr>
    </w:p>
    <w:p w:rsidR="003F0825" w:rsidRPr="00B025C9" w:rsidRDefault="003F0825" w:rsidP="000A5A56">
      <w:pPr>
        <w:pStyle w:val="ListeParagraf"/>
        <w:numPr>
          <w:ilvl w:val="0"/>
          <w:numId w:val="64"/>
        </w:numPr>
        <w:spacing w:after="160" w:line="259" w:lineRule="auto"/>
        <w:rPr>
          <w:rFonts w:ascii="Calibri" w:hAnsi="Calibri"/>
        </w:rPr>
      </w:pPr>
      <w:r w:rsidRPr="00B025C9">
        <w:rPr>
          <w:rFonts w:ascii="Calibri" w:hAnsi="Calibri"/>
        </w:rPr>
        <w:t>23 üncü maddesi aşağıdaki şekilde değiştirilmiştir.</w:t>
      </w:r>
    </w:p>
    <w:p w:rsidR="003F0825" w:rsidRPr="00B025C9" w:rsidRDefault="003F0825" w:rsidP="003F0825">
      <w:pPr>
        <w:pStyle w:val="ListeParagraf"/>
        <w:ind w:left="1440"/>
        <w:rPr>
          <w:rFonts w:ascii="Calibri" w:hAnsi="Calibri"/>
          <w:i/>
          <w:iCs/>
        </w:rPr>
      </w:pPr>
    </w:p>
    <w:p w:rsidR="00475E83" w:rsidRDefault="003F0825" w:rsidP="003F0825">
      <w:pPr>
        <w:pStyle w:val="ListeParagraf"/>
        <w:ind w:left="1440"/>
        <w:rPr>
          <w:rFonts w:ascii="Calibri" w:hAnsi="Calibri"/>
          <w:i/>
          <w:iCs/>
        </w:rPr>
      </w:pPr>
      <w:r w:rsidRPr="00B025C9">
        <w:rPr>
          <w:rFonts w:ascii="Calibri" w:hAnsi="Calibri"/>
          <w:i/>
          <w:iCs/>
        </w:rPr>
        <w:lastRenderedPageBreak/>
        <w:t>“MADDE 23- LPG Depolama Lisansı sahipleri, piyasa faaliyetinde bulunanların, rafinericilerin veya kullanıcıların stok ihtiyaçlarını karşılamak üzere kendilerine ait veya yapılan sözleşmeler gereği kullanım hakkına sahip bulundukları ve teknik düzenlemelere, standartlara, ilgili ve diğer mevzuata uygun depoların işletilmesi ile iştigal edebilir.”</w:t>
      </w:r>
    </w:p>
    <w:p w:rsidR="003F0825" w:rsidRDefault="003F0825" w:rsidP="003F0825">
      <w:pPr>
        <w:pStyle w:val="ListeParagraf"/>
        <w:ind w:left="1440"/>
        <w:rPr>
          <w:i/>
        </w:rPr>
      </w:pPr>
    </w:p>
    <w:p w:rsidR="003F0825" w:rsidRPr="00B025C9" w:rsidRDefault="003F0825" w:rsidP="000A5A56">
      <w:pPr>
        <w:pStyle w:val="ListeParagraf"/>
        <w:numPr>
          <w:ilvl w:val="0"/>
          <w:numId w:val="24"/>
        </w:numPr>
        <w:spacing w:after="160" w:line="259" w:lineRule="auto"/>
        <w:rPr>
          <w:rFonts w:ascii="Calibri" w:hAnsi="Calibri"/>
        </w:rPr>
      </w:pPr>
      <w:r>
        <w:rPr>
          <w:rFonts w:ascii="Calibri" w:hAnsi="Calibri"/>
        </w:rPr>
        <w:t>28</w:t>
      </w:r>
      <w:r w:rsidRPr="00B025C9">
        <w:rPr>
          <w:rFonts w:ascii="Calibri" w:hAnsi="Calibri"/>
        </w:rPr>
        <w:t>.0</w:t>
      </w:r>
      <w:r>
        <w:rPr>
          <w:rFonts w:ascii="Calibri" w:hAnsi="Calibri"/>
        </w:rPr>
        <w:t>7</w:t>
      </w:r>
      <w:r w:rsidRPr="00B025C9">
        <w:rPr>
          <w:rFonts w:ascii="Calibri" w:hAnsi="Calibri"/>
        </w:rPr>
        <w:t>.2022 tarihli ve 31</w:t>
      </w:r>
      <w:r>
        <w:rPr>
          <w:rFonts w:ascii="Calibri" w:hAnsi="Calibri"/>
        </w:rPr>
        <w:t>906</w:t>
      </w:r>
      <w:r w:rsidRPr="00B025C9">
        <w:rPr>
          <w:rFonts w:ascii="Calibri" w:hAnsi="Calibri"/>
        </w:rPr>
        <w:t xml:space="preserve"> sayılı Resmî </w:t>
      </w:r>
      <w:r w:rsidR="00274939">
        <w:rPr>
          <w:rFonts w:ascii="Calibri" w:hAnsi="Calibri"/>
        </w:rPr>
        <w:t>Gazetede</w:t>
      </w:r>
      <w:r w:rsidRPr="00B025C9">
        <w:rPr>
          <w:rFonts w:ascii="Calibri" w:hAnsi="Calibri"/>
        </w:rPr>
        <w:t xml:space="preserve"> yayımlanan Değişiklik Yönetmeliği ile </w:t>
      </w:r>
      <w:r w:rsidRPr="00B025C9">
        <w:rPr>
          <w:rFonts w:ascii="Calibri" w:hAnsi="Calibri"/>
          <w:b/>
          <w:bCs/>
        </w:rPr>
        <w:t>Sıvılaştırılmış Petrol Gazları (LPG) Piyasası Lisans Yönetmeliğinin</w:t>
      </w:r>
    </w:p>
    <w:p w:rsidR="003F0825" w:rsidRDefault="003F0825" w:rsidP="003F0825">
      <w:pPr>
        <w:pStyle w:val="ListeParagraf"/>
        <w:rPr>
          <w:rFonts w:ascii="Calibri" w:hAnsi="Calibri"/>
          <w:b/>
          <w:bCs/>
        </w:rPr>
      </w:pPr>
    </w:p>
    <w:p w:rsidR="003F0825" w:rsidRPr="00B025C9" w:rsidRDefault="003F0825" w:rsidP="000A5A56">
      <w:pPr>
        <w:pStyle w:val="ListeParagraf"/>
        <w:numPr>
          <w:ilvl w:val="0"/>
          <w:numId w:val="64"/>
        </w:numPr>
        <w:spacing w:after="160" w:line="259" w:lineRule="auto"/>
        <w:rPr>
          <w:rFonts w:ascii="Calibri" w:hAnsi="Calibri"/>
        </w:rPr>
      </w:pPr>
      <w:r w:rsidRPr="003F0825">
        <w:rPr>
          <w:rFonts w:ascii="Calibri" w:hAnsi="Calibri"/>
        </w:rPr>
        <w:t>16 ncı maddesine aşağıdaki fıkra eklenmiştir.</w:t>
      </w:r>
    </w:p>
    <w:p w:rsidR="003F0825" w:rsidRDefault="003F0825" w:rsidP="003F0825">
      <w:pPr>
        <w:pStyle w:val="ListeParagraf"/>
        <w:ind w:left="1440"/>
        <w:rPr>
          <w:rFonts w:ascii="Calibri" w:hAnsi="Calibri"/>
        </w:rPr>
      </w:pPr>
    </w:p>
    <w:p w:rsidR="003F0825" w:rsidRDefault="003F0825" w:rsidP="003F0825">
      <w:pPr>
        <w:pStyle w:val="ListeParagraf"/>
        <w:ind w:left="1440"/>
        <w:rPr>
          <w:rFonts w:ascii="Calibri" w:hAnsi="Calibri"/>
          <w:i/>
          <w:iCs/>
        </w:rPr>
      </w:pPr>
      <w:r w:rsidRPr="003F0825">
        <w:rPr>
          <w:rFonts w:ascii="Calibri" w:hAnsi="Calibri"/>
          <w:i/>
          <w:iCs/>
        </w:rPr>
        <w:t>“LPG otogaz bayilik lisansı süre uzatımı başvuruları, başvuru belgelerinin eksiksiz olması ve ilgili mevzuatta belirtilen diğer şartları sağlaması koşuluyla bu maddenin ikinci fıkrasında yer alan iki aylık süre şartı uygulanmaksızın sonuçlandırılır. Başvuru belgelerinin herhangi birinde eksiklik olması veya ilgili mevzuatta belirtilen koşullardan herhangi birinin sağlanmaması durumunda başvuru iade edilir.”</w:t>
      </w:r>
    </w:p>
    <w:p w:rsidR="000767AB" w:rsidRDefault="000767AB" w:rsidP="003F0825">
      <w:pPr>
        <w:pStyle w:val="ListeParagraf"/>
        <w:ind w:left="1440"/>
        <w:rPr>
          <w:i/>
        </w:rPr>
      </w:pPr>
    </w:p>
    <w:p w:rsidR="000767AB" w:rsidRPr="00B025C9" w:rsidRDefault="000767AB" w:rsidP="000A5A56">
      <w:pPr>
        <w:pStyle w:val="ListeParagraf"/>
        <w:numPr>
          <w:ilvl w:val="0"/>
          <w:numId w:val="24"/>
        </w:numPr>
        <w:spacing w:after="160" w:line="259" w:lineRule="auto"/>
        <w:rPr>
          <w:rFonts w:ascii="Calibri" w:hAnsi="Calibri"/>
        </w:rPr>
      </w:pPr>
      <w:r>
        <w:rPr>
          <w:rFonts w:ascii="Calibri" w:hAnsi="Calibri"/>
        </w:rPr>
        <w:t>20</w:t>
      </w:r>
      <w:r w:rsidRPr="00B025C9">
        <w:rPr>
          <w:rFonts w:ascii="Calibri" w:hAnsi="Calibri"/>
        </w:rPr>
        <w:t>.</w:t>
      </w:r>
      <w:r>
        <w:rPr>
          <w:rFonts w:ascii="Calibri" w:hAnsi="Calibri"/>
        </w:rPr>
        <w:t>09</w:t>
      </w:r>
      <w:r w:rsidRPr="00B025C9">
        <w:rPr>
          <w:rFonts w:ascii="Calibri" w:hAnsi="Calibri"/>
        </w:rPr>
        <w:t xml:space="preserve">.2022 tarihli ve </w:t>
      </w:r>
      <w:r>
        <w:rPr>
          <w:rFonts w:ascii="Calibri" w:hAnsi="Calibri"/>
        </w:rPr>
        <w:t>31959</w:t>
      </w:r>
      <w:r w:rsidRPr="00B025C9">
        <w:rPr>
          <w:rFonts w:ascii="Calibri" w:hAnsi="Calibri"/>
        </w:rPr>
        <w:t xml:space="preserve"> sayılı Resmî </w:t>
      </w:r>
      <w:r w:rsidR="00274939">
        <w:rPr>
          <w:rFonts w:ascii="Calibri" w:hAnsi="Calibri"/>
        </w:rPr>
        <w:t>Gazetede</w:t>
      </w:r>
      <w:r w:rsidRPr="00B025C9">
        <w:rPr>
          <w:rFonts w:ascii="Calibri" w:hAnsi="Calibri"/>
        </w:rPr>
        <w:t xml:space="preserve"> yayımlanan Değişiklik Yönetmeliği ile </w:t>
      </w:r>
      <w:r w:rsidRPr="00B025C9">
        <w:rPr>
          <w:rFonts w:ascii="Calibri" w:hAnsi="Calibri"/>
          <w:b/>
          <w:bCs/>
        </w:rPr>
        <w:t>Sıvılaştırılmış Petrol Gazları (LPG) Piyasası Lisans Yönetmeliğinin</w:t>
      </w:r>
    </w:p>
    <w:p w:rsidR="000767AB" w:rsidRDefault="000767AB" w:rsidP="000767AB">
      <w:pPr>
        <w:pStyle w:val="ListeParagraf"/>
        <w:rPr>
          <w:rFonts w:ascii="Calibri" w:hAnsi="Calibri"/>
          <w:b/>
          <w:bCs/>
        </w:rPr>
      </w:pPr>
    </w:p>
    <w:p w:rsidR="000767AB" w:rsidRPr="00B025C9" w:rsidRDefault="000767AB" w:rsidP="000A5A56">
      <w:pPr>
        <w:pStyle w:val="ListeParagraf"/>
        <w:numPr>
          <w:ilvl w:val="0"/>
          <w:numId w:val="64"/>
        </w:numPr>
        <w:spacing w:after="160" w:line="259" w:lineRule="auto"/>
        <w:rPr>
          <w:rFonts w:ascii="Calibri" w:hAnsi="Calibri"/>
        </w:rPr>
      </w:pPr>
      <w:r w:rsidRPr="000767AB">
        <w:rPr>
          <w:rFonts w:ascii="Calibri" w:hAnsi="Calibri"/>
        </w:rPr>
        <w:t>4 üncü maddesinin birinci fıkrasına “Lisans” tanımından sonra gelmek üzere “LPG otogaz bayilik sözleşme beyanı” tanımı ve “Tesis” tanımından sonra gelmek üzere aşağıdaki “Tip sözleşme” tanımı eklenmiştir.</w:t>
      </w:r>
    </w:p>
    <w:p w:rsidR="000767AB" w:rsidRDefault="000767AB" w:rsidP="000767AB">
      <w:pPr>
        <w:pStyle w:val="ListeParagraf"/>
        <w:ind w:left="1440"/>
        <w:rPr>
          <w:rFonts w:ascii="Calibri" w:hAnsi="Calibri"/>
        </w:rPr>
      </w:pPr>
    </w:p>
    <w:p w:rsidR="000767AB" w:rsidRPr="000767AB" w:rsidRDefault="000767AB" w:rsidP="000767AB">
      <w:pPr>
        <w:pStyle w:val="ListeParagraf"/>
        <w:ind w:left="1440"/>
        <w:rPr>
          <w:rFonts w:ascii="Calibri" w:hAnsi="Calibri"/>
          <w:i/>
          <w:iCs/>
        </w:rPr>
      </w:pPr>
      <w:r w:rsidRPr="000767AB">
        <w:rPr>
          <w:rFonts w:ascii="Calibri" w:hAnsi="Calibri"/>
          <w:i/>
          <w:iCs/>
        </w:rPr>
        <w:t>“LPG otogaz bayilik sözleşme beyanı: Otogaz bayi ile dağıtıcısı arasında imzalanan LPG otogaz bayilik sözleşmesinin ilgili dağıtıcı lisansı sahibince daha önce Kuruma ibraz edilen tip sözleşme örneğinin aynısı olduğunu belirten ve sözleşmeye ilişkin temel bilgilerin (Tesis adresi, sözleşme başlangıç tarihi, sözleşme bitiş tarihi ve ilgili taraflara ilişkin bilgiler) yer aldığı ve tarafların yetkililerince imzalanan sözleşme beyanını,”</w:t>
      </w:r>
    </w:p>
    <w:p w:rsidR="000767AB" w:rsidRPr="00782DC6" w:rsidRDefault="000767AB" w:rsidP="000767AB">
      <w:pPr>
        <w:pStyle w:val="ListeParagraf"/>
        <w:ind w:left="1440"/>
        <w:rPr>
          <w:i/>
        </w:rPr>
      </w:pPr>
      <w:r w:rsidRPr="000767AB">
        <w:rPr>
          <w:rFonts w:ascii="Calibri" w:hAnsi="Calibri"/>
          <w:i/>
          <w:iCs/>
        </w:rPr>
        <w:t>“Tip sözleşme: Lisans sahiplerinin esas faaliyetlerine ilişkin sözleşme örneklerini,”</w:t>
      </w:r>
    </w:p>
    <w:p w:rsidR="000767AB" w:rsidRDefault="000767AB" w:rsidP="003F0825">
      <w:pPr>
        <w:pStyle w:val="ListeParagraf"/>
        <w:ind w:left="1440"/>
        <w:rPr>
          <w:i/>
        </w:rPr>
      </w:pPr>
    </w:p>
    <w:p w:rsidR="000767AB" w:rsidRPr="00B025C9" w:rsidRDefault="000767AB" w:rsidP="000A5A56">
      <w:pPr>
        <w:pStyle w:val="ListeParagraf"/>
        <w:numPr>
          <w:ilvl w:val="0"/>
          <w:numId w:val="64"/>
        </w:numPr>
        <w:spacing w:after="160" w:line="259" w:lineRule="auto"/>
        <w:rPr>
          <w:rFonts w:ascii="Calibri" w:hAnsi="Calibri"/>
        </w:rPr>
      </w:pPr>
      <w:r w:rsidRPr="000767AB">
        <w:rPr>
          <w:rFonts w:ascii="Calibri" w:hAnsi="Calibri"/>
        </w:rPr>
        <w:t>7 nci maddesinin üçüncü fıkrasının (b) bendi aşağıdaki şekilde değiştirilmiştir.</w:t>
      </w:r>
    </w:p>
    <w:p w:rsidR="000767AB" w:rsidRDefault="000767AB" w:rsidP="000767AB">
      <w:pPr>
        <w:pStyle w:val="ListeParagraf"/>
        <w:ind w:left="1440"/>
        <w:rPr>
          <w:rFonts w:ascii="Calibri" w:hAnsi="Calibri"/>
        </w:rPr>
      </w:pPr>
    </w:p>
    <w:p w:rsidR="000767AB" w:rsidRDefault="000767AB" w:rsidP="000767AB">
      <w:pPr>
        <w:pStyle w:val="ListeParagraf"/>
        <w:ind w:left="1440"/>
        <w:rPr>
          <w:i/>
        </w:rPr>
      </w:pPr>
      <w:r w:rsidRPr="000767AB">
        <w:rPr>
          <w:rFonts w:ascii="Calibri" w:hAnsi="Calibri"/>
          <w:i/>
          <w:iCs/>
        </w:rPr>
        <w:t>“b) LPG Otogaz Bayilik Lisansı için; dağıtıcılarla yapılmış LPG otogaz bayilik sözleşme beyanının ve İşyeri Açma ve Çalışma Ruhsatının bulunması zorunludur.”</w:t>
      </w:r>
    </w:p>
    <w:p w:rsidR="000767AB" w:rsidRDefault="000767AB" w:rsidP="003F0825">
      <w:pPr>
        <w:pStyle w:val="ListeParagraf"/>
        <w:ind w:left="1440"/>
        <w:rPr>
          <w:i/>
        </w:rPr>
      </w:pPr>
    </w:p>
    <w:p w:rsidR="000767AB" w:rsidRPr="00B025C9" w:rsidRDefault="000767AB" w:rsidP="000A5A56">
      <w:pPr>
        <w:pStyle w:val="ListeParagraf"/>
        <w:numPr>
          <w:ilvl w:val="0"/>
          <w:numId w:val="64"/>
        </w:numPr>
        <w:spacing w:after="160" w:line="259" w:lineRule="auto"/>
        <w:rPr>
          <w:rFonts w:ascii="Calibri" w:hAnsi="Calibri"/>
        </w:rPr>
      </w:pPr>
      <w:r w:rsidRPr="000767AB">
        <w:rPr>
          <w:rFonts w:ascii="Calibri" w:hAnsi="Calibri"/>
        </w:rPr>
        <w:t>18 inci maddesine aşağıdaki fıkra eklenmiştir.</w:t>
      </w:r>
    </w:p>
    <w:p w:rsidR="000767AB" w:rsidRDefault="000767AB" w:rsidP="000767AB">
      <w:pPr>
        <w:pStyle w:val="ListeParagraf"/>
        <w:ind w:left="1440"/>
        <w:rPr>
          <w:rFonts w:ascii="Calibri" w:hAnsi="Calibri"/>
        </w:rPr>
      </w:pPr>
    </w:p>
    <w:p w:rsidR="000767AB" w:rsidRDefault="000767AB" w:rsidP="000767AB">
      <w:pPr>
        <w:pStyle w:val="ListeParagraf"/>
        <w:ind w:left="1440"/>
        <w:rPr>
          <w:i/>
        </w:rPr>
      </w:pPr>
      <w:r w:rsidRPr="000767AB">
        <w:rPr>
          <w:rFonts w:ascii="Calibri" w:hAnsi="Calibri"/>
          <w:i/>
          <w:iCs/>
        </w:rPr>
        <w:t>“Kanuna göre faaliyette bulunanlar esas faaliyetlerine ilişkin tip sözleşme örneklerini ve bunlarda yapılacak değişiklikleri yürürlüğe koymadan önce Kuruma bildirmekle yükümlüdürler.”</w:t>
      </w:r>
    </w:p>
    <w:p w:rsidR="000767AB" w:rsidRDefault="000767AB" w:rsidP="003F0825">
      <w:pPr>
        <w:pStyle w:val="ListeParagraf"/>
        <w:ind w:left="1440"/>
        <w:rPr>
          <w:i/>
        </w:rPr>
      </w:pPr>
    </w:p>
    <w:p w:rsidR="000767AB" w:rsidRPr="00B025C9" w:rsidRDefault="000767AB" w:rsidP="000A5A56">
      <w:pPr>
        <w:pStyle w:val="ListeParagraf"/>
        <w:numPr>
          <w:ilvl w:val="0"/>
          <w:numId w:val="24"/>
        </w:numPr>
        <w:spacing w:after="160" w:line="259" w:lineRule="auto"/>
        <w:rPr>
          <w:rFonts w:ascii="Calibri" w:hAnsi="Calibri"/>
        </w:rPr>
      </w:pPr>
      <w:r>
        <w:rPr>
          <w:rFonts w:ascii="Calibri" w:hAnsi="Calibri"/>
        </w:rPr>
        <w:t>08</w:t>
      </w:r>
      <w:r w:rsidRPr="00B025C9">
        <w:rPr>
          <w:rFonts w:ascii="Calibri" w:hAnsi="Calibri"/>
        </w:rPr>
        <w:t>.</w:t>
      </w:r>
      <w:r>
        <w:rPr>
          <w:rFonts w:ascii="Calibri" w:hAnsi="Calibri"/>
        </w:rPr>
        <w:t>11</w:t>
      </w:r>
      <w:r w:rsidRPr="00B025C9">
        <w:rPr>
          <w:rFonts w:ascii="Calibri" w:hAnsi="Calibri"/>
        </w:rPr>
        <w:t>.2022 tarihli ve 3</w:t>
      </w:r>
      <w:r>
        <w:rPr>
          <w:rFonts w:ascii="Calibri" w:hAnsi="Calibri"/>
        </w:rPr>
        <w:t>2007</w:t>
      </w:r>
      <w:r w:rsidRPr="00B025C9">
        <w:rPr>
          <w:rFonts w:ascii="Calibri" w:hAnsi="Calibri"/>
        </w:rPr>
        <w:t xml:space="preserve"> sayılı Resmî </w:t>
      </w:r>
      <w:r w:rsidR="00274939">
        <w:rPr>
          <w:rFonts w:ascii="Calibri" w:hAnsi="Calibri"/>
        </w:rPr>
        <w:t>Gazetede</w:t>
      </w:r>
      <w:r w:rsidRPr="00B025C9">
        <w:rPr>
          <w:rFonts w:ascii="Calibri" w:hAnsi="Calibri"/>
        </w:rPr>
        <w:t xml:space="preserve"> yayımlanan Değişiklik Yönetmeliği ile </w:t>
      </w:r>
      <w:r w:rsidRPr="00B025C9">
        <w:rPr>
          <w:rFonts w:ascii="Calibri" w:hAnsi="Calibri"/>
          <w:b/>
          <w:bCs/>
        </w:rPr>
        <w:t>Sıvılaştırılmış Petrol Gazları (LPG) Piyasası Lisans Yönetmeliğinin</w:t>
      </w:r>
    </w:p>
    <w:p w:rsidR="000767AB" w:rsidRDefault="000767AB" w:rsidP="000767AB">
      <w:pPr>
        <w:pStyle w:val="ListeParagraf"/>
        <w:rPr>
          <w:rFonts w:ascii="Calibri" w:hAnsi="Calibri"/>
          <w:b/>
          <w:bCs/>
        </w:rPr>
      </w:pPr>
    </w:p>
    <w:p w:rsidR="000767AB" w:rsidRPr="00B025C9" w:rsidRDefault="000767AB" w:rsidP="000A5A56">
      <w:pPr>
        <w:pStyle w:val="ListeParagraf"/>
        <w:numPr>
          <w:ilvl w:val="0"/>
          <w:numId w:val="64"/>
        </w:numPr>
        <w:spacing w:after="160" w:line="259" w:lineRule="auto"/>
        <w:rPr>
          <w:rFonts w:ascii="Calibri" w:hAnsi="Calibri"/>
        </w:rPr>
      </w:pPr>
      <w:r w:rsidRPr="000767AB">
        <w:rPr>
          <w:rFonts w:ascii="Calibri" w:hAnsi="Calibri"/>
        </w:rPr>
        <w:t>17 nci maddesinin birinci fıkrasına aşağıdaki bent eklenmiştir.</w:t>
      </w:r>
    </w:p>
    <w:p w:rsidR="000767AB" w:rsidRDefault="000767AB" w:rsidP="000767AB">
      <w:pPr>
        <w:pStyle w:val="ListeParagraf"/>
        <w:ind w:left="1440"/>
        <w:rPr>
          <w:rFonts w:ascii="Calibri" w:hAnsi="Calibri"/>
        </w:rPr>
      </w:pPr>
    </w:p>
    <w:p w:rsidR="000767AB" w:rsidRPr="00782DC6" w:rsidRDefault="000767AB" w:rsidP="000767AB">
      <w:pPr>
        <w:pStyle w:val="ListeParagraf"/>
        <w:ind w:left="1440"/>
        <w:rPr>
          <w:i/>
        </w:rPr>
      </w:pPr>
      <w:r w:rsidRPr="000767AB">
        <w:rPr>
          <w:rFonts w:ascii="Calibri" w:hAnsi="Calibri"/>
          <w:i/>
          <w:iCs/>
        </w:rPr>
        <w:lastRenderedPageBreak/>
        <w:t>“g) LPG Dağıtıcı Lisansı sahiplerinin gelir payı borcunu zamanında ödememesi durumunda, gelir payı borcunun ödendiğini gösterir belgeyi borcun son ödeme tarihinden itibaren 30 (otuz) gün içerisinde Kuruma sunmaması halinde LPG Dağıtıcı Lisansı Kurul Kararıyla,”</w:t>
      </w:r>
    </w:p>
    <w:p w:rsidR="000767AB" w:rsidRDefault="000767AB" w:rsidP="003F0825">
      <w:pPr>
        <w:pStyle w:val="ListeParagraf"/>
        <w:ind w:left="1440"/>
        <w:rPr>
          <w:i/>
        </w:rPr>
      </w:pPr>
    </w:p>
    <w:p w:rsidR="000767AB" w:rsidRPr="00B025C9" w:rsidRDefault="000767AB" w:rsidP="000A5A56">
      <w:pPr>
        <w:pStyle w:val="ListeParagraf"/>
        <w:numPr>
          <w:ilvl w:val="0"/>
          <w:numId w:val="64"/>
        </w:numPr>
        <w:spacing w:after="160" w:line="259" w:lineRule="auto"/>
        <w:rPr>
          <w:rFonts w:ascii="Calibri" w:hAnsi="Calibri"/>
        </w:rPr>
      </w:pPr>
      <w:r w:rsidRPr="000767AB">
        <w:rPr>
          <w:rFonts w:ascii="Calibri" w:hAnsi="Calibri"/>
        </w:rPr>
        <w:t>Aşağıdaki</w:t>
      </w:r>
      <w:r>
        <w:rPr>
          <w:rFonts w:ascii="Calibri" w:hAnsi="Calibri"/>
        </w:rPr>
        <w:t xml:space="preserve"> </w:t>
      </w:r>
      <w:r w:rsidRPr="000767AB">
        <w:rPr>
          <w:rFonts w:ascii="Calibri" w:hAnsi="Calibri"/>
        </w:rPr>
        <w:t>geçici madde eklenmiştir.</w:t>
      </w:r>
    </w:p>
    <w:p w:rsidR="000767AB" w:rsidRDefault="000767AB" w:rsidP="000767AB">
      <w:pPr>
        <w:pStyle w:val="ListeParagraf"/>
        <w:ind w:left="1440"/>
        <w:rPr>
          <w:rFonts w:ascii="Calibri" w:hAnsi="Calibri"/>
        </w:rPr>
      </w:pPr>
    </w:p>
    <w:p w:rsidR="000767AB" w:rsidRPr="00782DC6" w:rsidRDefault="000767AB" w:rsidP="000767AB">
      <w:pPr>
        <w:pStyle w:val="ListeParagraf"/>
        <w:ind w:left="1440"/>
        <w:rPr>
          <w:i/>
        </w:rPr>
      </w:pPr>
      <w:r w:rsidRPr="000767AB">
        <w:rPr>
          <w:rFonts w:ascii="Calibri" w:hAnsi="Calibri"/>
          <w:i/>
          <w:iCs/>
        </w:rPr>
        <w:t>“GEÇİCİ MADDE 5 – Bu maddenin yürürlüğe girdiği tarih itibarıyla; geçmiş dönemlere ilişkin gelir payı borcu olan LPG Dağıtıcı Lisansı sahiplerinin, gelir payı borcunun ödendiğini gösterir belgeyi 30 (otuz) gün içerisinde Kuruma sunmaması halinde LPG Dağıtıcı Lisansları Kurul Kararıyla sona erdirilir.”</w:t>
      </w:r>
    </w:p>
    <w:p w:rsidR="007967DB" w:rsidRPr="007F076F" w:rsidRDefault="001D2DA2" w:rsidP="000A5A56">
      <w:pPr>
        <w:pStyle w:val="Balk3"/>
        <w:numPr>
          <w:ilvl w:val="2"/>
          <w:numId w:val="11"/>
        </w:numPr>
        <w:spacing w:after="240"/>
        <w:rPr>
          <w:rFonts w:asciiTheme="minorHAnsi" w:hAnsiTheme="minorHAnsi"/>
          <w:color w:val="auto"/>
        </w:rPr>
      </w:pPr>
      <w:bookmarkStart w:id="127" w:name="_Toc442431250"/>
      <w:bookmarkStart w:id="128" w:name="_Toc6684445"/>
      <w:bookmarkStart w:id="129" w:name="_Toc132713777"/>
      <w:r w:rsidRPr="00410B0D">
        <w:rPr>
          <w:rFonts w:asciiTheme="minorHAnsi" w:hAnsiTheme="minorHAnsi"/>
          <w:color w:val="auto"/>
        </w:rPr>
        <w:t>Tebliğler</w:t>
      </w:r>
      <w:bookmarkEnd w:id="127"/>
      <w:bookmarkEnd w:id="128"/>
      <w:bookmarkEnd w:id="129"/>
    </w:p>
    <w:p w:rsidR="001D2DA2" w:rsidRDefault="00134610" w:rsidP="001D2DA2">
      <w:pPr>
        <w:spacing w:after="0"/>
        <w:rPr>
          <w:color w:val="000000" w:themeColor="text1"/>
        </w:rPr>
      </w:pPr>
      <w:r w:rsidRPr="00410B0D">
        <w:rPr>
          <w:color w:val="000000" w:themeColor="text1"/>
        </w:rPr>
        <w:t>202</w:t>
      </w:r>
      <w:r w:rsidR="003F0825">
        <w:rPr>
          <w:color w:val="000000" w:themeColor="text1"/>
        </w:rPr>
        <w:t>2</w:t>
      </w:r>
      <w:r w:rsidR="001D2DA2" w:rsidRPr="00410B0D">
        <w:rPr>
          <w:color w:val="000000" w:themeColor="text1"/>
        </w:rPr>
        <w:t xml:space="preserve"> yılında LPG piyasasında aşağıda belirtilen Tebliğ çalışmaları yapılmıştır:</w:t>
      </w:r>
    </w:p>
    <w:p w:rsidR="00782DC6" w:rsidRPr="00410B0D" w:rsidRDefault="00782DC6" w:rsidP="001D2DA2">
      <w:pPr>
        <w:spacing w:after="0"/>
        <w:rPr>
          <w:color w:val="000000" w:themeColor="text1"/>
        </w:rPr>
      </w:pPr>
    </w:p>
    <w:p w:rsidR="00E725FC" w:rsidRPr="0082756B" w:rsidRDefault="00E725FC" w:rsidP="00E725FC">
      <w:pPr>
        <w:pStyle w:val="ListeParagraf"/>
        <w:numPr>
          <w:ilvl w:val="0"/>
          <w:numId w:val="15"/>
        </w:numPr>
        <w:spacing w:after="0"/>
        <w:rPr>
          <w:rFonts w:ascii="Calibri" w:hAnsi="Calibri"/>
          <w:bCs/>
        </w:rPr>
      </w:pPr>
      <w:r>
        <w:rPr>
          <w:rFonts w:ascii="Calibri" w:hAnsi="Calibri"/>
          <w:bCs/>
        </w:rPr>
        <w:t>28</w:t>
      </w:r>
      <w:r w:rsidRPr="0082756B">
        <w:rPr>
          <w:rFonts w:ascii="Calibri" w:hAnsi="Calibri"/>
          <w:bCs/>
        </w:rPr>
        <w:t>.12.202</w:t>
      </w:r>
      <w:r>
        <w:rPr>
          <w:rFonts w:ascii="Calibri" w:hAnsi="Calibri"/>
          <w:bCs/>
        </w:rPr>
        <w:t>2</w:t>
      </w:r>
      <w:r w:rsidRPr="0082756B">
        <w:rPr>
          <w:rFonts w:ascii="Calibri" w:hAnsi="Calibri"/>
          <w:bCs/>
        </w:rPr>
        <w:t xml:space="preserve"> tarihli ve </w:t>
      </w:r>
      <w:r>
        <w:rPr>
          <w:rFonts w:ascii="Calibri" w:hAnsi="Calibri"/>
          <w:bCs/>
        </w:rPr>
        <w:t>32057</w:t>
      </w:r>
      <w:r w:rsidRPr="0082756B">
        <w:rPr>
          <w:rFonts w:ascii="Calibri" w:hAnsi="Calibri"/>
          <w:bCs/>
        </w:rPr>
        <w:t xml:space="preserve"> sayılı Resmî </w:t>
      </w:r>
      <w:r w:rsidR="00274939">
        <w:rPr>
          <w:rFonts w:ascii="Calibri" w:hAnsi="Calibri"/>
          <w:bCs/>
        </w:rPr>
        <w:t>Gazetede</w:t>
      </w:r>
      <w:r w:rsidRPr="0082756B">
        <w:rPr>
          <w:rFonts w:ascii="Calibri" w:hAnsi="Calibri"/>
          <w:bCs/>
        </w:rPr>
        <w:t xml:space="preserve"> yayımlanan, amacı </w:t>
      </w:r>
      <w:r w:rsidRPr="002E39B8">
        <w:rPr>
          <w:rFonts w:ascii="Calibri" w:hAnsi="Calibri"/>
          <w:bCs/>
        </w:rPr>
        <w:t xml:space="preserve">2/3/2005 tarihli ve 5307 sayılı Sıvılaştırılmış Petrol Gazları (LPG) Piyasası Kanunu ve Elektrik Piyasası Kanununda Değişiklik Yapılmasına Dair Kanunun 16 ncı maddesinde düzenlenmiş olan idari para cezalarının alt ve üst limitlerinin, 24/11/2022 tarihli ve 32023 sayılı Resmî </w:t>
      </w:r>
      <w:r w:rsidR="00274939">
        <w:rPr>
          <w:rFonts w:ascii="Calibri" w:hAnsi="Calibri"/>
          <w:bCs/>
        </w:rPr>
        <w:t>Gazetede</w:t>
      </w:r>
      <w:r w:rsidRPr="002E39B8">
        <w:rPr>
          <w:rFonts w:ascii="Calibri" w:hAnsi="Calibri"/>
          <w:bCs/>
        </w:rPr>
        <w:t xml:space="preserve"> yayımlanan Vergi Usul Kanunu Genel Tebliği (Sıra No: 542)’nde 2022 yılı için yeniden değerleme oranı olarak tespit edilen % 122,93 (yüz yirmi iki virgül doksan üç) oranında artırılarak yeniden belirlenmesi</w:t>
      </w:r>
      <w:r>
        <w:rPr>
          <w:rFonts w:ascii="Calibri" w:hAnsi="Calibri"/>
          <w:bCs/>
        </w:rPr>
        <w:t xml:space="preserve"> olan </w:t>
      </w:r>
      <w:r w:rsidRPr="0082756B">
        <w:rPr>
          <w:rFonts w:ascii="Calibri" w:hAnsi="Calibri"/>
          <w:bCs/>
        </w:rPr>
        <w:t xml:space="preserve"> </w:t>
      </w:r>
      <w:r w:rsidRPr="00E725FC">
        <w:rPr>
          <w:rFonts w:ascii="Calibri" w:hAnsi="Calibri"/>
          <w:bCs/>
        </w:rPr>
        <w:t>Tebliğ ile 2023 yılında  uygulanacak idari para cezaları belirlenmiştir.</w:t>
      </w:r>
    </w:p>
    <w:p w:rsidR="007967DB" w:rsidRPr="007F076F" w:rsidRDefault="001D2DA2" w:rsidP="000A5A56">
      <w:pPr>
        <w:pStyle w:val="Balk3"/>
        <w:numPr>
          <w:ilvl w:val="2"/>
          <w:numId w:val="11"/>
        </w:numPr>
        <w:spacing w:after="240"/>
        <w:rPr>
          <w:rFonts w:asciiTheme="minorHAnsi" w:hAnsiTheme="minorHAnsi"/>
          <w:color w:val="auto"/>
        </w:rPr>
      </w:pPr>
      <w:bookmarkStart w:id="130" w:name="_Toc442431251"/>
      <w:bookmarkStart w:id="131" w:name="_Toc6684446"/>
      <w:bookmarkStart w:id="132" w:name="_Toc132713778"/>
      <w:r w:rsidRPr="00410B0D">
        <w:rPr>
          <w:rFonts w:asciiTheme="minorHAnsi" w:hAnsiTheme="minorHAnsi"/>
          <w:color w:val="auto"/>
        </w:rPr>
        <w:t>Kurul Kararları</w:t>
      </w:r>
      <w:bookmarkEnd w:id="130"/>
      <w:bookmarkEnd w:id="131"/>
      <w:bookmarkEnd w:id="132"/>
    </w:p>
    <w:p w:rsidR="003F0825" w:rsidRPr="005B3935" w:rsidRDefault="003F0825" w:rsidP="003F0825">
      <w:pPr>
        <w:spacing w:after="0"/>
        <w:rPr>
          <w:rFonts w:ascii="Calibri" w:hAnsi="Calibri" w:cs="Calibri"/>
          <w:color w:val="000000"/>
        </w:rPr>
      </w:pPr>
      <w:r w:rsidRPr="005B3935">
        <w:rPr>
          <w:rFonts w:ascii="Calibri" w:hAnsi="Calibri" w:cs="Calibri"/>
          <w:color w:val="000000"/>
        </w:rPr>
        <w:t>202</w:t>
      </w:r>
      <w:r>
        <w:rPr>
          <w:rFonts w:ascii="Calibri" w:hAnsi="Calibri" w:cs="Calibri"/>
          <w:color w:val="000000"/>
        </w:rPr>
        <w:t>2</w:t>
      </w:r>
      <w:r w:rsidRPr="005B3935">
        <w:rPr>
          <w:rFonts w:ascii="Calibri" w:hAnsi="Calibri" w:cs="Calibri"/>
          <w:color w:val="000000"/>
        </w:rPr>
        <w:t xml:space="preserve"> yılında </w:t>
      </w:r>
      <w:r>
        <w:rPr>
          <w:rFonts w:ascii="Calibri" w:hAnsi="Calibri" w:cs="Calibri"/>
          <w:color w:val="000000"/>
        </w:rPr>
        <w:t>LPG</w:t>
      </w:r>
      <w:r w:rsidRPr="005B3935">
        <w:rPr>
          <w:rFonts w:ascii="Calibri" w:hAnsi="Calibri" w:cs="Calibri"/>
          <w:color w:val="000000"/>
        </w:rPr>
        <w:t xml:space="preserve"> piyasasında düzenleyici işlem niteliğinde aşağıdaki Kurul Kararları ihdas edilmiştir:</w:t>
      </w:r>
    </w:p>
    <w:p w:rsidR="003F0825" w:rsidRDefault="003F0825" w:rsidP="003F0825">
      <w:pPr>
        <w:spacing w:after="0"/>
        <w:rPr>
          <w:rFonts w:ascii="Calibri" w:hAnsi="Calibri" w:cs="Calibri"/>
          <w:color w:val="000000"/>
        </w:rPr>
      </w:pPr>
      <w:r w:rsidRPr="005B3935">
        <w:rPr>
          <w:rFonts w:ascii="Calibri" w:hAnsi="Calibri" w:cs="Calibri"/>
          <w:color w:val="000000"/>
        </w:rPr>
        <w:t xml:space="preserve"> </w:t>
      </w:r>
    </w:p>
    <w:p w:rsidR="003F0825" w:rsidRPr="00983690" w:rsidRDefault="003F0825" w:rsidP="000A5A56">
      <w:pPr>
        <w:pStyle w:val="ListeParagraf"/>
        <w:numPr>
          <w:ilvl w:val="0"/>
          <w:numId w:val="14"/>
        </w:numPr>
        <w:spacing w:after="120"/>
      </w:pPr>
      <w:r w:rsidRPr="00983690">
        <w:rPr>
          <w:rFonts w:ascii="Calibri" w:hAnsi="Calibri" w:cs="Calibri"/>
          <w:color w:val="000000"/>
        </w:rPr>
        <w:t>11</w:t>
      </w:r>
      <w:r w:rsidRPr="005B3935">
        <w:rPr>
          <w:rFonts w:ascii="Calibri" w:hAnsi="Calibri" w:cs="Calibri"/>
          <w:color w:val="000000"/>
        </w:rPr>
        <w:t>.</w:t>
      </w:r>
      <w:r w:rsidRPr="00983690">
        <w:rPr>
          <w:rFonts w:ascii="Calibri" w:hAnsi="Calibri" w:cs="Calibri"/>
          <w:color w:val="000000"/>
        </w:rPr>
        <w:t>03</w:t>
      </w:r>
      <w:r w:rsidRPr="005B3935">
        <w:rPr>
          <w:rFonts w:ascii="Calibri" w:hAnsi="Calibri" w:cs="Calibri"/>
          <w:color w:val="000000"/>
        </w:rPr>
        <w:t>.202</w:t>
      </w:r>
      <w:r w:rsidRPr="00983690">
        <w:rPr>
          <w:rFonts w:ascii="Calibri" w:hAnsi="Calibri" w:cs="Calibri"/>
          <w:color w:val="000000"/>
        </w:rPr>
        <w:t>2</w:t>
      </w:r>
      <w:r w:rsidRPr="005B3935">
        <w:rPr>
          <w:rFonts w:ascii="Calibri" w:hAnsi="Calibri" w:cs="Calibri"/>
          <w:color w:val="000000"/>
        </w:rPr>
        <w:t xml:space="preserve"> tarihli ve 31</w:t>
      </w:r>
      <w:r w:rsidRPr="00983690">
        <w:rPr>
          <w:rFonts w:ascii="Calibri" w:hAnsi="Calibri" w:cs="Calibri"/>
          <w:color w:val="000000"/>
        </w:rPr>
        <w:t>775</w:t>
      </w:r>
      <w:r w:rsidRPr="005B3935">
        <w:rPr>
          <w:rFonts w:ascii="Calibri" w:hAnsi="Calibri" w:cs="Calibri"/>
          <w:color w:val="000000"/>
        </w:rPr>
        <w:t xml:space="preserve"> sayılı Resmî </w:t>
      </w:r>
      <w:r w:rsidR="00274939">
        <w:rPr>
          <w:rFonts w:ascii="Calibri" w:hAnsi="Calibri" w:cs="Calibri"/>
          <w:color w:val="000000"/>
        </w:rPr>
        <w:t>Gazetede</w:t>
      </w:r>
      <w:r w:rsidRPr="005B3935">
        <w:rPr>
          <w:rFonts w:ascii="Calibri" w:hAnsi="Calibri" w:cs="Calibri"/>
          <w:color w:val="000000"/>
        </w:rPr>
        <w:t xml:space="preserve"> yayımlanan </w:t>
      </w:r>
      <w:r w:rsidRPr="00983690">
        <w:rPr>
          <w:rFonts w:ascii="Calibri" w:hAnsi="Calibri" w:cs="Calibri"/>
          <w:color w:val="000000"/>
        </w:rPr>
        <w:t>24</w:t>
      </w:r>
      <w:r w:rsidRPr="005B3935">
        <w:rPr>
          <w:rFonts w:ascii="Calibri" w:hAnsi="Calibri" w:cs="Calibri"/>
          <w:color w:val="000000"/>
        </w:rPr>
        <w:t>.</w:t>
      </w:r>
      <w:r w:rsidRPr="00983690">
        <w:rPr>
          <w:rFonts w:ascii="Calibri" w:hAnsi="Calibri" w:cs="Calibri"/>
          <w:color w:val="000000"/>
        </w:rPr>
        <w:t>02</w:t>
      </w:r>
      <w:r w:rsidRPr="005B3935">
        <w:rPr>
          <w:rFonts w:ascii="Calibri" w:hAnsi="Calibri" w:cs="Calibri"/>
          <w:color w:val="000000"/>
        </w:rPr>
        <w:t>.202</w:t>
      </w:r>
      <w:r w:rsidRPr="00983690">
        <w:rPr>
          <w:rFonts w:ascii="Calibri" w:hAnsi="Calibri" w:cs="Calibri"/>
          <w:color w:val="000000"/>
        </w:rPr>
        <w:t>2</w:t>
      </w:r>
      <w:r w:rsidRPr="005B3935">
        <w:rPr>
          <w:rFonts w:ascii="Calibri" w:hAnsi="Calibri" w:cs="Calibri"/>
          <w:color w:val="000000"/>
        </w:rPr>
        <w:t xml:space="preserve"> tarihli ve 10</w:t>
      </w:r>
      <w:r w:rsidRPr="00983690">
        <w:rPr>
          <w:rFonts w:ascii="Calibri" w:hAnsi="Calibri" w:cs="Calibri"/>
          <w:color w:val="000000"/>
        </w:rPr>
        <w:t>806</w:t>
      </w:r>
      <w:r w:rsidRPr="005B3935">
        <w:rPr>
          <w:rFonts w:ascii="Calibri" w:hAnsi="Calibri" w:cs="Calibri"/>
          <w:color w:val="000000"/>
        </w:rPr>
        <w:t xml:space="preserve"> sayılı Kurul Kararı ile</w:t>
      </w:r>
      <w:r w:rsidRPr="00983690">
        <w:rPr>
          <w:rFonts w:ascii="Calibri" w:hAnsi="Calibri" w:cs="Calibri"/>
          <w:color w:val="000000"/>
        </w:rPr>
        <w:t xml:space="preserve"> 3727 sayılı </w:t>
      </w:r>
      <w:r>
        <w:rPr>
          <w:rFonts w:ascii="Calibri" w:hAnsi="Calibri" w:cs="Calibri"/>
          <w:color w:val="000000"/>
        </w:rPr>
        <w:t>“</w:t>
      </w:r>
      <w:r w:rsidRPr="009207CC">
        <w:rPr>
          <w:rFonts w:ascii="Calibri" w:hAnsi="Calibri" w:cs="Calibri"/>
          <w:b/>
          <w:color w:val="000000"/>
        </w:rPr>
        <w:t>Sıvılaştırılmış Petrol Gazları (LPG) Piyasasında Lisans Başvurusuna İlişkin Kurul Kararı”</w:t>
      </w:r>
      <w:r w:rsidRPr="009207CC">
        <w:rPr>
          <w:rFonts w:ascii="Calibri" w:hAnsi="Calibri" w:cs="Calibri"/>
          <w:color w:val="000000"/>
        </w:rPr>
        <w:t>nda</w:t>
      </w:r>
      <w:r w:rsidRPr="00983690">
        <w:rPr>
          <w:rFonts w:ascii="Calibri" w:hAnsi="Calibri" w:cs="Calibri"/>
          <w:color w:val="000000"/>
        </w:rPr>
        <w:t xml:space="preserve"> </w:t>
      </w:r>
      <w:r>
        <w:rPr>
          <w:rFonts w:ascii="Calibri" w:hAnsi="Calibri" w:cs="Calibri"/>
          <w:color w:val="000000"/>
        </w:rPr>
        <w:t>değişiklik yapılmıştır.</w:t>
      </w:r>
    </w:p>
    <w:p w:rsidR="003F0825" w:rsidRDefault="003F0825" w:rsidP="003F0825">
      <w:pPr>
        <w:pStyle w:val="ListeParagraf"/>
        <w:spacing w:after="120"/>
        <w:rPr>
          <w:rFonts w:ascii="Calibri" w:hAnsi="Calibri" w:cs="Calibri"/>
          <w:color w:val="000000"/>
        </w:rPr>
      </w:pPr>
    </w:p>
    <w:p w:rsidR="003F0825" w:rsidRPr="00983690" w:rsidRDefault="003F0825" w:rsidP="000A5A56">
      <w:pPr>
        <w:pStyle w:val="ListeParagraf"/>
        <w:numPr>
          <w:ilvl w:val="0"/>
          <w:numId w:val="14"/>
        </w:numPr>
        <w:spacing w:after="120"/>
      </w:pPr>
      <w:r w:rsidRPr="00983690">
        <w:t xml:space="preserve">11.03.2022 tarihli ve 31775 sayılı Resmî </w:t>
      </w:r>
      <w:r w:rsidR="00274939">
        <w:t>Gazetede</w:t>
      </w:r>
      <w:r w:rsidRPr="00983690">
        <w:t xml:space="preserve"> yayımlanan 24.02.2022 tarihli ve 1080</w:t>
      </w:r>
      <w:r>
        <w:t xml:space="preserve">7 </w:t>
      </w:r>
      <w:r w:rsidRPr="00983690">
        <w:t>sayılı Kurul Kararı ile</w:t>
      </w:r>
      <w:r>
        <w:t xml:space="preserve"> </w:t>
      </w:r>
      <w:r w:rsidRPr="009207CC">
        <w:rPr>
          <w:b/>
        </w:rPr>
        <w:t>“LPG Piyasasında Zorunlu Petrol Stoğu ve Zorunlu Petrol Stoğunun Kupon Sistemi Kapsamında LPG Olarak Tutulabilmesine Dair Karar”</w:t>
      </w:r>
      <w:r w:rsidRPr="00983690">
        <w:t>da</w:t>
      </w:r>
      <w:r>
        <w:t xml:space="preserve"> değişiklik yapılmıştır.</w:t>
      </w:r>
    </w:p>
    <w:p w:rsidR="00574EB9" w:rsidRPr="00574EB9" w:rsidRDefault="00574EB9" w:rsidP="00574EB9">
      <w:pPr>
        <w:pStyle w:val="ListeParagraf"/>
        <w:spacing w:after="160" w:line="259" w:lineRule="auto"/>
        <w:rPr>
          <w:rFonts w:cstheme="minorHAnsi"/>
        </w:rPr>
      </w:pPr>
    </w:p>
    <w:p w:rsidR="00782DC6" w:rsidRDefault="00782DC6" w:rsidP="000A5A56">
      <w:pPr>
        <w:pStyle w:val="ListeParagraf"/>
        <w:numPr>
          <w:ilvl w:val="0"/>
          <w:numId w:val="14"/>
        </w:numPr>
        <w:spacing w:after="160" w:line="259" w:lineRule="auto"/>
      </w:pPr>
      <w:r w:rsidRPr="008B35B9">
        <w:t>2</w:t>
      </w:r>
      <w:r w:rsidR="00E77663">
        <w:t>8</w:t>
      </w:r>
      <w:r>
        <w:t>.</w:t>
      </w:r>
      <w:r w:rsidRPr="008B35B9">
        <w:t>0</w:t>
      </w:r>
      <w:r w:rsidR="00E77663">
        <w:t>5</w:t>
      </w:r>
      <w:r>
        <w:t>.</w:t>
      </w:r>
      <w:r w:rsidRPr="008B35B9">
        <w:t>202</w:t>
      </w:r>
      <w:r w:rsidR="00E77663">
        <w:t>2</w:t>
      </w:r>
      <w:r w:rsidRPr="008B35B9">
        <w:t xml:space="preserve"> tarih ve 31</w:t>
      </w:r>
      <w:r w:rsidR="00E77663">
        <w:t>849</w:t>
      </w:r>
      <w:r w:rsidRPr="008B35B9">
        <w:t xml:space="preserve"> sayılı Resmî </w:t>
      </w:r>
      <w:r w:rsidR="00274939">
        <w:t>Gazetede</w:t>
      </w:r>
      <w:r w:rsidRPr="008B35B9">
        <w:t xml:space="preserve"> yayımlanan </w:t>
      </w:r>
      <w:r>
        <w:t>2</w:t>
      </w:r>
      <w:r w:rsidR="00E77663">
        <w:t>6</w:t>
      </w:r>
      <w:r>
        <w:t>.0</w:t>
      </w:r>
      <w:r w:rsidR="00E77663">
        <w:t>5.</w:t>
      </w:r>
      <w:r>
        <w:t>202</w:t>
      </w:r>
      <w:r w:rsidR="00E77663">
        <w:t>2</w:t>
      </w:r>
      <w:r w:rsidR="00574EB9">
        <w:t xml:space="preserve"> tarih ve </w:t>
      </w:r>
      <w:r w:rsidR="00E77663">
        <w:t>10988</w:t>
      </w:r>
      <w:r w:rsidR="00574EB9">
        <w:t xml:space="preserve"> sayılı Kurul K</w:t>
      </w:r>
      <w:r>
        <w:t xml:space="preserve">ararı ile </w:t>
      </w:r>
      <w:r w:rsidR="00E77663" w:rsidRPr="00E77663">
        <w:t>Otogaz LPG’nin özelliklerini belirleyen “TS EN 589+A1:2022 Otomotiv yakıtları - LPG - özellikler ve deney yöntemleri” standardının “propan içeriği” limitleri kısmının uygulama tarihinin 01/01/2024 tarihine kadar ertelenmesine</w:t>
      </w:r>
      <w:r>
        <w:t xml:space="preserve"> karar verilmiştir.</w:t>
      </w:r>
    </w:p>
    <w:p w:rsidR="00782DC6" w:rsidRDefault="00782DC6" w:rsidP="00782DC6">
      <w:pPr>
        <w:pStyle w:val="ListeParagraf"/>
        <w:spacing w:after="160" w:line="259" w:lineRule="auto"/>
      </w:pPr>
    </w:p>
    <w:p w:rsidR="00782DC6" w:rsidRDefault="00E77663" w:rsidP="000A5A56">
      <w:pPr>
        <w:pStyle w:val="ListeParagraf"/>
        <w:numPr>
          <w:ilvl w:val="0"/>
          <w:numId w:val="14"/>
        </w:numPr>
        <w:spacing w:after="160" w:line="259" w:lineRule="auto"/>
        <w:rPr>
          <w:b/>
        </w:rPr>
      </w:pPr>
      <w:r>
        <w:t>20</w:t>
      </w:r>
      <w:r w:rsidR="00782DC6">
        <w:t>.0</w:t>
      </w:r>
      <w:r>
        <w:t>9</w:t>
      </w:r>
      <w:r w:rsidR="00782DC6">
        <w:t>.202</w:t>
      </w:r>
      <w:r>
        <w:t>2</w:t>
      </w:r>
      <w:r w:rsidR="00782DC6">
        <w:t xml:space="preserve"> tarih ve </w:t>
      </w:r>
      <w:r>
        <w:t>31959</w:t>
      </w:r>
      <w:r w:rsidR="00782DC6">
        <w:t xml:space="preserve"> sayılı Resmî </w:t>
      </w:r>
      <w:r w:rsidR="00274939">
        <w:t>Gazetede</w:t>
      </w:r>
      <w:r w:rsidR="00782DC6">
        <w:t xml:space="preserve"> yayımlanan 0</w:t>
      </w:r>
      <w:r>
        <w:t>8</w:t>
      </w:r>
      <w:r w:rsidR="00782DC6">
        <w:t>.0</w:t>
      </w:r>
      <w:r>
        <w:t>9</w:t>
      </w:r>
      <w:r w:rsidR="00782DC6">
        <w:t>.20</w:t>
      </w:r>
      <w:r w:rsidR="00574EB9">
        <w:t>2</w:t>
      </w:r>
      <w:r>
        <w:t>2</w:t>
      </w:r>
      <w:r w:rsidR="00574EB9">
        <w:t xml:space="preserve"> tarih ve </w:t>
      </w:r>
      <w:r>
        <w:t>11184</w:t>
      </w:r>
      <w:r w:rsidR="00574EB9">
        <w:t xml:space="preserve"> sayılı Kurul K</w:t>
      </w:r>
      <w:r w:rsidR="00782DC6">
        <w:t xml:space="preserve">ararı ile </w:t>
      </w:r>
      <w:r w:rsidRPr="00E77663">
        <w:rPr>
          <w:b/>
        </w:rPr>
        <w:t>3727 sayılı Sıvılaştırılmış Petrol Gazları (LPG) Piyasasında Lisans Başvurusuna İlişkin Kurul Kararının</w:t>
      </w:r>
    </w:p>
    <w:p w:rsidR="00782DC6" w:rsidRPr="00474C00" w:rsidRDefault="00782DC6" w:rsidP="00782DC6">
      <w:pPr>
        <w:pStyle w:val="ListeParagraf"/>
        <w:rPr>
          <w:b/>
        </w:rPr>
      </w:pPr>
    </w:p>
    <w:p w:rsidR="00782DC6" w:rsidRPr="00474C00" w:rsidRDefault="00E77663" w:rsidP="000A5A56">
      <w:pPr>
        <w:numPr>
          <w:ilvl w:val="0"/>
          <w:numId w:val="32"/>
        </w:numPr>
        <w:spacing w:after="160" w:line="259" w:lineRule="auto"/>
        <w:contextualSpacing/>
      </w:pPr>
      <w:r w:rsidRPr="00E77663">
        <w:rPr>
          <w:i/>
        </w:rPr>
        <w:t>3 üncü maddesinin birinci fıkrasına aşağıdaki bent eklenmiştir.</w:t>
      </w:r>
    </w:p>
    <w:p w:rsidR="00782DC6" w:rsidRPr="00474C00" w:rsidRDefault="00782DC6" w:rsidP="00782DC6">
      <w:pPr>
        <w:ind w:left="720"/>
        <w:contextualSpacing/>
      </w:pPr>
    </w:p>
    <w:p w:rsidR="00782DC6" w:rsidRDefault="00E77663" w:rsidP="006A1561">
      <w:pPr>
        <w:ind w:left="1440"/>
        <w:contextualSpacing/>
        <w:rPr>
          <w:i/>
        </w:rPr>
      </w:pPr>
      <w:r w:rsidRPr="00E77663">
        <w:rPr>
          <w:i/>
        </w:rPr>
        <w:lastRenderedPageBreak/>
        <w:t>“u) LPG otogaz bayilik sözleşme beyanı: Otogaz bayisi ile dağıtıcısı arasında imzalanan LPG otogaz bayilik sözleşmesinin ilgili dağıtıcı lisansı sahibince daha önce Kuruma ibraz edilen tip sözleşme örneğinin aynısı olduğunu belirten ve sözleşmeye ilişkin temel bilgilerin (Tesis adresi, sözleşme başlangıç tarihi, sözleşme bitiş tarihi ve ilgili taraflara ilişkin bilgiler) yer aldığı ve tarafların yetkililerince imzalanan sözleşme beyanını,”</w:t>
      </w:r>
      <w:r w:rsidR="00782DC6" w:rsidRPr="00474C00">
        <w:rPr>
          <w:i/>
        </w:rPr>
        <w:t xml:space="preserve">  </w:t>
      </w:r>
    </w:p>
    <w:p w:rsidR="00E77663" w:rsidRDefault="00E77663" w:rsidP="006A1561">
      <w:pPr>
        <w:ind w:left="1440"/>
        <w:contextualSpacing/>
        <w:rPr>
          <w:i/>
        </w:rPr>
      </w:pPr>
    </w:p>
    <w:p w:rsidR="00E77663" w:rsidRPr="00474C00" w:rsidRDefault="00E77663" w:rsidP="000A5A56">
      <w:pPr>
        <w:numPr>
          <w:ilvl w:val="0"/>
          <w:numId w:val="32"/>
        </w:numPr>
        <w:spacing w:after="160" w:line="259" w:lineRule="auto"/>
        <w:contextualSpacing/>
      </w:pPr>
      <w:r w:rsidRPr="00E77663">
        <w:rPr>
          <w:i/>
        </w:rPr>
        <w:t>4 üncü maddesinin beşinci fıkrası aşağıdaki şekilde değiştirilmiştir.</w:t>
      </w:r>
    </w:p>
    <w:p w:rsidR="00E77663" w:rsidRPr="00474C00" w:rsidRDefault="00E77663" w:rsidP="00E77663">
      <w:pPr>
        <w:ind w:left="720"/>
        <w:contextualSpacing/>
      </w:pPr>
    </w:p>
    <w:p w:rsidR="00E77663" w:rsidRDefault="00E77663" w:rsidP="00E77663">
      <w:pPr>
        <w:ind w:left="1440"/>
        <w:contextualSpacing/>
        <w:rPr>
          <w:i/>
        </w:rPr>
      </w:pPr>
      <w:r w:rsidRPr="00E77663">
        <w:rPr>
          <w:i/>
        </w:rPr>
        <w:t>“(5) Oda Sicil Kaydının ilgili oda tarafından ve bilançonun serbest muhasebeci, serbest muhasebeci mali müşavir, yeminli mali müşavir veya vergi dairesi tarafından onaylı suretleri kabul edilir.”</w:t>
      </w:r>
    </w:p>
    <w:p w:rsidR="00E77663" w:rsidRDefault="00E77663" w:rsidP="00E77663">
      <w:pPr>
        <w:ind w:left="1440"/>
        <w:contextualSpacing/>
        <w:rPr>
          <w:i/>
        </w:rPr>
      </w:pPr>
    </w:p>
    <w:p w:rsidR="00E77663" w:rsidRPr="00474C00" w:rsidRDefault="00E77663" w:rsidP="000A5A56">
      <w:pPr>
        <w:numPr>
          <w:ilvl w:val="0"/>
          <w:numId w:val="32"/>
        </w:numPr>
        <w:spacing w:after="160" w:line="259" w:lineRule="auto"/>
        <w:contextualSpacing/>
      </w:pPr>
      <w:r w:rsidRPr="00E77663">
        <w:rPr>
          <w:i/>
        </w:rPr>
        <w:t>8 inci maddesinin birinci fıkrasının (d) bendi aşağıdaki şekilde değiştirilmiş, dördüncü fıkrası yürürlükten kaldırılmış, aynı maddeye aşağıdaki fıkra eklenmiştir.</w:t>
      </w:r>
    </w:p>
    <w:p w:rsidR="00E77663" w:rsidRPr="00474C00" w:rsidRDefault="00E77663" w:rsidP="00E77663">
      <w:pPr>
        <w:ind w:left="720"/>
        <w:contextualSpacing/>
      </w:pPr>
    </w:p>
    <w:p w:rsidR="00E77663" w:rsidRPr="00E77663" w:rsidRDefault="00E77663" w:rsidP="00E77663">
      <w:pPr>
        <w:ind w:left="1440"/>
        <w:contextualSpacing/>
        <w:rPr>
          <w:i/>
        </w:rPr>
      </w:pPr>
      <w:r w:rsidRPr="00E77663">
        <w:rPr>
          <w:i/>
        </w:rPr>
        <w:t>“d) LPG otogaz bayilik sözleşme beyanı,”</w:t>
      </w:r>
    </w:p>
    <w:p w:rsidR="00E77663" w:rsidRPr="00E77663" w:rsidRDefault="00E77663" w:rsidP="00E77663">
      <w:pPr>
        <w:ind w:left="1440"/>
        <w:contextualSpacing/>
        <w:rPr>
          <w:i/>
        </w:rPr>
      </w:pPr>
      <w:r w:rsidRPr="00E77663">
        <w:rPr>
          <w:i/>
        </w:rPr>
        <w:t>“(6) Sözleşmeye ilişkin temel bilgilerde bir değişiklik meydana gelmesi halinde yeni</w:t>
      </w:r>
    </w:p>
    <w:p w:rsidR="00E77663" w:rsidRDefault="00E77663" w:rsidP="00E77663">
      <w:pPr>
        <w:ind w:left="1440"/>
        <w:contextualSpacing/>
        <w:rPr>
          <w:i/>
        </w:rPr>
      </w:pPr>
      <w:r w:rsidRPr="00E77663">
        <w:rPr>
          <w:i/>
        </w:rPr>
        <w:t>sözleşme beyanı Kuruma sunulur.”</w:t>
      </w:r>
    </w:p>
    <w:p w:rsidR="00E77663" w:rsidRDefault="00E77663" w:rsidP="00E77663">
      <w:pPr>
        <w:ind w:left="1440"/>
        <w:contextualSpacing/>
        <w:rPr>
          <w:i/>
        </w:rPr>
      </w:pPr>
    </w:p>
    <w:p w:rsidR="000B542C" w:rsidRDefault="000B542C" w:rsidP="000A5A56">
      <w:pPr>
        <w:pStyle w:val="ListeParagraf"/>
        <w:numPr>
          <w:ilvl w:val="0"/>
          <w:numId w:val="14"/>
        </w:numPr>
        <w:spacing w:after="160" w:line="259" w:lineRule="auto"/>
        <w:rPr>
          <w:b/>
        </w:rPr>
      </w:pPr>
      <w:r>
        <w:t xml:space="preserve">20.09.2022 tarih ve 31959 sayılı Resmî </w:t>
      </w:r>
      <w:r w:rsidR="00274939">
        <w:t>Gazetede</w:t>
      </w:r>
      <w:r>
        <w:t xml:space="preserve"> yayımlanan 08.09.2022 tarih ve 11185 sayılı Kurul Kararı ile </w:t>
      </w:r>
      <w:r w:rsidRPr="000B542C">
        <w:rPr>
          <w:b/>
        </w:rPr>
        <w:t>3763-3 Sayılı Sıvılaştırılmış Petrol Gazları (LPG) Piyasasında Lisans Tadili, Süre Uzatımı ve Sona Erdirme Başvurularında Aranacak Bilgi ve Belgelere İlişkin Kurul</w:t>
      </w:r>
      <w:r w:rsidRPr="00E77663">
        <w:rPr>
          <w:b/>
        </w:rPr>
        <w:t xml:space="preserve"> Kararının</w:t>
      </w:r>
    </w:p>
    <w:p w:rsidR="000B542C" w:rsidRPr="00474C00" w:rsidRDefault="000B542C" w:rsidP="000B542C">
      <w:pPr>
        <w:pStyle w:val="ListeParagraf"/>
        <w:rPr>
          <w:b/>
        </w:rPr>
      </w:pPr>
    </w:p>
    <w:p w:rsidR="000B542C" w:rsidRPr="00151CF9" w:rsidRDefault="000B542C" w:rsidP="000A5A56">
      <w:pPr>
        <w:numPr>
          <w:ilvl w:val="0"/>
          <w:numId w:val="32"/>
        </w:numPr>
        <w:spacing w:after="160" w:line="259" w:lineRule="auto"/>
        <w:contextualSpacing/>
      </w:pPr>
      <w:r w:rsidRPr="00151CF9">
        <w:t>5 inci maddesinin üçüncü fıkrası aşağıdaki şekilde değiştirilmiştir.</w:t>
      </w:r>
    </w:p>
    <w:p w:rsidR="000B542C" w:rsidRPr="00474C00" w:rsidRDefault="000B542C" w:rsidP="000B542C">
      <w:pPr>
        <w:ind w:left="720"/>
        <w:contextualSpacing/>
      </w:pPr>
    </w:p>
    <w:p w:rsidR="00E77663" w:rsidRDefault="000B542C" w:rsidP="000B542C">
      <w:pPr>
        <w:ind w:left="1440"/>
        <w:contextualSpacing/>
        <w:rPr>
          <w:i/>
        </w:rPr>
      </w:pPr>
      <w:r w:rsidRPr="000B542C">
        <w:rPr>
          <w:i/>
        </w:rPr>
        <w:t>“(3) LPG Otogaz Bayilik lisansı unvan tadillerinde, güncel unvanı içeren LPG otogaz bayilik sözleşme beyanı aranır.”</w:t>
      </w:r>
    </w:p>
    <w:p w:rsidR="000B542C" w:rsidRDefault="000B542C" w:rsidP="000B542C">
      <w:pPr>
        <w:ind w:left="1440"/>
        <w:contextualSpacing/>
        <w:rPr>
          <w:i/>
        </w:rPr>
      </w:pPr>
    </w:p>
    <w:p w:rsidR="000B542C" w:rsidRPr="00151CF9" w:rsidRDefault="000B542C" w:rsidP="000A5A56">
      <w:pPr>
        <w:numPr>
          <w:ilvl w:val="0"/>
          <w:numId w:val="32"/>
        </w:numPr>
        <w:spacing w:after="160" w:line="259" w:lineRule="auto"/>
        <w:contextualSpacing/>
      </w:pPr>
      <w:r w:rsidRPr="00151CF9">
        <w:t>9 uncu maddesinin ikinci fıkrasının (a) ve (b) bentleri aşağıdaki şekilde değiştirilmiştir.</w:t>
      </w:r>
    </w:p>
    <w:p w:rsidR="000B542C" w:rsidRPr="00474C00" w:rsidRDefault="000B542C" w:rsidP="000B542C">
      <w:pPr>
        <w:ind w:left="720"/>
        <w:contextualSpacing/>
      </w:pPr>
    </w:p>
    <w:p w:rsidR="000B542C" w:rsidRPr="000B542C" w:rsidRDefault="000B542C" w:rsidP="000B542C">
      <w:pPr>
        <w:ind w:left="1440"/>
        <w:contextualSpacing/>
        <w:rPr>
          <w:i/>
        </w:rPr>
      </w:pPr>
      <w:r w:rsidRPr="000B542C">
        <w:rPr>
          <w:i/>
        </w:rPr>
        <w:t>“a) Yeni dağıtıcı ile yapılmış sözleşmeye ilişkin LPG otogaz bayilik sözleşme beyanı,”</w:t>
      </w:r>
    </w:p>
    <w:p w:rsidR="000B542C" w:rsidRPr="000B542C" w:rsidRDefault="000B542C" w:rsidP="000B542C">
      <w:pPr>
        <w:ind w:left="1440"/>
        <w:contextualSpacing/>
        <w:rPr>
          <w:i/>
        </w:rPr>
      </w:pPr>
      <w:r w:rsidRPr="000B542C">
        <w:rPr>
          <w:i/>
        </w:rPr>
        <w:t>“b) Süresi bitmemiş olan ve Kuruma beyan edilen LPG otogaz bayilik sözleşme beyanına</w:t>
      </w:r>
    </w:p>
    <w:p w:rsidR="000B542C" w:rsidRDefault="000B542C" w:rsidP="000B542C">
      <w:pPr>
        <w:ind w:left="1440"/>
        <w:contextualSpacing/>
        <w:rPr>
          <w:i/>
        </w:rPr>
      </w:pPr>
      <w:r w:rsidRPr="000B542C">
        <w:rPr>
          <w:i/>
        </w:rPr>
        <w:t>konu sözleşmenin sona erdiğini gösteren fesih ihbarnamesi veya karşılıklı fesih protokolü.”</w:t>
      </w:r>
    </w:p>
    <w:p w:rsidR="007967DB" w:rsidRPr="007F076F" w:rsidRDefault="001D2DA2" w:rsidP="000A5A56">
      <w:pPr>
        <w:pStyle w:val="Balk2"/>
        <w:numPr>
          <w:ilvl w:val="1"/>
          <w:numId w:val="11"/>
        </w:numPr>
        <w:spacing w:before="0" w:after="240"/>
        <w:rPr>
          <w:rFonts w:asciiTheme="minorHAnsi" w:hAnsiTheme="minorHAnsi"/>
          <w:color w:val="000000" w:themeColor="text1"/>
          <w:sz w:val="22"/>
          <w:szCs w:val="22"/>
        </w:rPr>
      </w:pPr>
      <w:bookmarkStart w:id="133" w:name="_Toc442431252"/>
      <w:bookmarkStart w:id="134" w:name="_Toc6684447"/>
      <w:bookmarkStart w:id="135" w:name="_Toc132713779"/>
      <w:r w:rsidRPr="00410B0D">
        <w:rPr>
          <w:rFonts w:asciiTheme="minorHAnsi" w:hAnsiTheme="minorHAnsi"/>
          <w:color w:val="000000" w:themeColor="text1"/>
          <w:sz w:val="22"/>
          <w:szCs w:val="22"/>
        </w:rPr>
        <w:t>Diğer Mevzuat Faaliyetleri</w:t>
      </w:r>
      <w:bookmarkEnd w:id="133"/>
      <w:bookmarkEnd w:id="134"/>
      <w:bookmarkEnd w:id="135"/>
    </w:p>
    <w:p w:rsidR="001D2DA2" w:rsidRPr="00410B0D" w:rsidRDefault="001D2DA2" w:rsidP="001D2DA2">
      <w:pPr>
        <w:spacing w:after="240"/>
      </w:pPr>
      <w:r w:rsidRPr="00410B0D">
        <w:t>Bu kısımda, yukarıda belirtilen sektörel ayrımdan bağım</w:t>
      </w:r>
      <w:r w:rsidR="0056009F" w:rsidRPr="00410B0D">
        <w:t>sız olarak Kurum tarafından 202</w:t>
      </w:r>
      <w:r w:rsidR="001B58A9">
        <w:t>2</w:t>
      </w:r>
      <w:r w:rsidRPr="00410B0D">
        <w:t xml:space="preserve"> yılında yapılmış mevzuat çalışmaları yer almaktadır.</w:t>
      </w:r>
    </w:p>
    <w:p w:rsidR="001D2DA2" w:rsidRPr="007F076F" w:rsidRDefault="001D2DA2" w:rsidP="000A5A56">
      <w:pPr>
        <w:pStyle w:val="Balk3"/>
        <w:numPr>
          <w:ilvl w:val="2"/>
          <w:numId w:val="11"/>
        </w:numPr>
        <w:spacing w:before="0" w:after="240"/>
        <w:rPr>
          <w:rFonts w:asciiTheme="minorHAnsi" w:hAnsiTheme="minorHAnsi"/>
          <w:color w:val="auto"/>
        </w:rPr>
      </w:pPr>
      <w:bookmarkStart w:id="136" w:name="_Toc514251630"/>
      <w:bookmarkStart w:id="137" w:name="_Toc132713780"/>
      <w:r w:rsidRPr="00410B0D">
        <w:rPr>
          <w:rFonts w:asciiTheme="minorHAnsi" w:hAnsiTheme="minorHAnsi"/>
          <w:color w:val="auto"/>
        </w:rPr>
        <w:t>Enerji Piyasası Bildirimleri ile İlgili Mevzuat Değişiklikleri</w:t>
      </w:r>
      <w:bookmarkEnd w:id="136"/>
      <w:bookmarkEnd w:id="137"/>
    </w:p>
    <w:p w:rsidR="008A672F" w:rsidRPr="00410B0D" w:rsidRDefault="00BD0415" w:rsidP="008736C8">
      <w:pPr>
        <w:spacing w:after="240"/>
      </w:pPr>
      <w:r>
        <w:t xml:space="preserve">Bu kapsamdaki mevzuat değişiklikleri ile </w:t>
      </w:r>
      <w:r w:rsidR="00A20D2A">
        <w:t xml:space="preserve">enerji piyasalarında faaliyet gösteren </w:t>
      </w:r>
      <w:r>
        <w:t>lisans sahiplerinin yapmakla yükümlü oldukları bazı bildirimlerin yapılma süre</w:t>
      </w:r>
      <w:r w:rsidR="00954CC1">
        <w:t>leri</w:t>
      </w:r>
      <w:r w:rsidR="00DA6F10">
        <w:t>nin</w:t>
      </w:r>
      <w:r w:rsidR="00954CC1">
        <w:t xml:space="preserve"> </w:t>
      </w:r>
      <w:r>
        <w:t>değiştiri</w:t>
      </w:r>
      <w:r w:rsidR="00954CC1">
        <w:t>lmesi</w:t>
      </w:r>
      <w:r>
        <w:t>, bazı durumlarda</w:t>
      </w:r>
      <w:r w:rsidR="00DA6F10">
        <w:t xml:space="preserve"> ilgili piyasalar için</w:t>
      </w:r>
      <w:r>
        <w:t xml:space="preserve"> yeni bildirim türleri</w:t>
      </w:r>
      <w:r w:rsidR="00954CC1">
        <w:t>nin</w:t>
      </w:r>
      <w:r>
        <w:t xml:space="preserve"> tanımlanm</w:t>
      </w:r>
      <w:r w:rsidR="00954CC1">
        <w:t>ası</w:t>
      </w:r>
      <w:r>
        <w:t>, bir takım bildirimlerin muhatabı olan Daire Başkanlı</w:t>
      </w:r>
      <w:r w:rsidR="00954CC1">
        <w:t>klarında</w:t>
      </w:r>
      <w:r>
        <w:t xml:space="preserve"> değişikliğe gidil</w:t>
      </w:r>
      <w:r w:rsidR="00954CC1">
        <w:t>mesi</w:t>
      </w:r>
      <w:r>
        <w:t>, bildirim formlarının bazıların</w:t>
      </w:r>
      <w:r w:rsidR="00954CC1">
        <w:t xml:space="preserve">ın isminde ve/veya içeriğinde </w:t>
      </w:r>
      <w:r>
        <w:t>revizyon</w:t>
      </w:r>
      <w:r w:rsidR="00954CC1">
        <w:t>lar</w:t>
      </w:r>
      <w:r>
        <w:t xml:space="preserve"> gerçekleştirilm</w:t>
      </w:r>
      <w:r w:rsidR="00954CC1">
        <w:t>esi</w:t>
      </w:r>
      <w:r w:rsidR="0002539D">
        <w:t xml:space="preserve">, bildirimlerin </w:t>
      </w:r>
      <w:r w:rsidR="0002539D">
        <w:lastRenderedPageBreak/>
        <w:t>bazılarına ise ilave form</w:t>
      </w:r>
      <w:r w:rsidR="00954CC1">
        <w:t>lar</w:t>
      </w:r>
      <w:r w:rsidR="0002539D">
        <w:t xml:space="preserve"> ekle</w:t>
      </w:r>
      <w:r w:rsidR="00954CC1">
        <w:t>nmesi</w:t>
      </w:r>
      <w:r w:rsidR="0002539D">
        <w:t>, bunun yanı sıra mevcut bildirim formlarından bazıları</w:t>
      </w:r>
      <w:r w:rsidR="00954CC1">
        <w:t>nın</w:t>
      </w:r>
      <w:r w:rsidR="0002539D">
        <w:t xml:space="preserve"> kaldırıl</w:t>
      </w:r>
      <w:r w:rsidR="00954CC1">
        <w:t>ması</w:t>
      </w:r>
      <w:r w:rsidR="0002539D">
        <w:t xml:space="preserve">, </w:t>
      </w:r>
      <w:r w:rsidR="00954CC1">
        <w:t xml:space="preserve">yine birtakım bildirim formlarının açıklama kısımlarında değişiklikler yapılması ile </w:t>
      </w:r>
      <w:r w:rsidR="00A971BC">
        <w:t xml:space="preserve">bildirimlere ilişkin </w:t>
      </w:r>
      <w:r w:rsidR="00954CC1">
        <w:t>yükümlü</w:t>
      </w:r>
      <w:r w:rsidR="00DA6F10">
        <w:t>lerin</w:t>
      </w:r>
      <w:r w:rsidR="00954CC1">
        <w:t xml:space="preserve"> </w:t>
      </w:r>
      <w:r w:rsidR="00A971BC">
        <w:t>hangi lisans sahipleri</w:t>
      </w:r>
      <w:r w:rsidR="00954CC1">
        <w:t xml:space="preserve"> olduğunun yeniden düzenlenmesi söz konusu</w:t>
      </w:r>
      <w:r w:rsidR="00A971BC">
        <w:t xml:space="preserve"> olmuştur.</w:t>
      </w:r>
    </w:p>
    <w:p w:rsidR="00923886" w:rsidRDefault="00923886" w:rsidP="000A5A56">
      <w:pPr>
        <w:pStyle w:val="ListeParagraf"/>
        <w:numPr>
          <w:ilvl w:val="0"/>
          <w:numId w:val="14"/>
        </w:numPr>
        <w:spacing w:after="160" w:line="259" w:lineRule="auto"/>
      </w:pPr>
      <w:r>
        <w:t>13</w:t>
      </w:r>
      <w:r w:rsidRPr="005561AA">
        <w:t>.0</w:t>
      </w:r>
      <w:r>
        <w:t>8</w:t>
      </w:r>
      <w:r w:rsidRPr="005561AA">
        <w:t>.202</w:t>
      </w:r>
      <w:r>
        <w:t>2</w:t>
      </w:r>
      <w:r w:rsidRPr="005561AA">
        <w:t xml:space="preserve"> tarihli ve 31</w:t>
      </w:r>
      <w:r>
        <w:t>922</w:t>
      </w:r>
      <w:r w:rsidRPr="005561AA">
        <w:t xml:space="preserve"> sayılı Resmî </w:t>
      </w:r>
      <w:r w:rsidR="00274939">
        <w:t>Gazetede</w:t>
      </w:r>
      <w:r w:rsidRPr="005561AA">
        <w:t xml:space="preserve"> yayımlanan 1</w:t>
      </w:r>
      <w:r>
        <w:t>1</w:t>
      </w:r>
      <w:r w:rsidRPr="005561AA">
        <w:t>.0</w:t>
      </w:r>
      <w:r>
        <w:t>8</w:t>
      </w:r>
      <w:r w:rsidRPr="005561AA">
        <w:t>.202</w:t>
      </w:r>
      <w:r>
        <w:t>2</w:t>
      </w:r>
      <w:r w:rsidRPr="005561AA">
        <w:t xml:space="preserve"> tarihli </w:t>
      </w:r>
      <w:r>
        <w:t>ve</w:t>
      </w:r>
      <w:r w:rsidRPr="005561AA">
        <w:t xml:space="preserve"> </w:t>
      </w:r>
      <w:r>
        <w:t>11119</w:t>
      </w:r>
      <w:r w:rsidRPr="005561AA">
        <w:t xml:space="preserve"> sayılı</w:t>
      </w:r>
      <w:r>
        <w:t xml:space="preserve"> Kurul</w:t>
      </w:r>
      <w:r w:rsidRPr="005561AA">
        <w:t xml:space="preserve"> </w:t>
      </w:r>
      <w:r>
        <w:t>K</w:t>
      </w:r>
      <w:r w:rsidRPr="005561AA">
        <w:t>arar</w:t>
      </w:r>
      <w:r>
        <w:t>ı</w:t>
      </w:r>
      <w:r w:rsidRPr="005561AA">
        <w:t xml:space="preserve"> ile </w:t>
      </w:r>
      <w:r w:rsidRPr="008D5F4F">
        <w:t xml:space="preserve">20/11/2014 tarihli ve 5313-1 sayılı Kurul Kararı ile kabul edilen ve 24/12/2014 tarihli ve 29215 sayılı Resmî </w:t>
      </w:r>
      <w:r w:rsidR="00274939">
        <w:t>Gazetede</w:t>
      </w:r>
      <w:r w:rsidRPr="008D5F4F">
        <w:t xml:space="preserve"> yayımlanan </w:t>
      </w:r>
      <w:r w:rsidRPr="008D5F4F">
        <w:rPr>
          <w:b/>
        </w:rPr>
        <w:t>Enerji Piyasası Bildirim Sistemi Kullanım Talimatının</w:t>
      </w:r>
      <w:r w:rsidRPr="008D5F4F">
        <w:t xml:space="preserve"> eki olan "EK-1 Elektrik Piyasası Bildirim Yükümlülük Tablosu", "EK-2 Doğal Gaz Piyasası Bildirim Yükümlülük Tablosu" </w:t>
      </w:r>
      <w:r>
        <w:t>içeriğinin değiştirilerek</w:t>
      </w:r>
      <w:r w:rsidRPr="005561AA">
        <w:rPr>
          <w:b/>
        </w:rPr>
        <w:t xml:space="preserve"> </w:t>
      </w:r>
      <w:r w:rsidRPr="005561AA">
        <w:t>kabul edil</w:t>
      </w:r>
      <w:r>
        <w:t>mesine ve</w:t>
      </w:r>
      <w:r w:rsidRPr="005561AA">
        <w:t xml:space="preserve"> Resmî </w:t>
      </w:r>
      <w:r w:rsidR="00274939">
        <w:t>Gazetede</w:t>
      </w:r>
      <w:r w:rsidRPr="005561AA">
        <w:t xml:space="preserve"> yayımlanmasına karar verilmiştir. </w:t>
      </w:r>
    </w:p>
    <w:p w:rsidR="00525158" w:rsidRPr="00525158" w:rsidRDefault="001D2DA2" w:rsidP="000A5A56">
      <w:pPr>
        <w:pStyle w:val="Balk3"/>
        <w:numPr>
          <w:ilvl w:val="2"/>
          <w:numId w:val="11"/>
        </w:numPr>
        <w:spacing w:after="240"/>
        <w:rPr>
          <w:rFonts w:asciiTheme="minorHAnsi" w:hAnsiTheme="minorHAnsi"/>
          <w:color w:val="auto"/>
        </w:rPr>
      </w:pPr>
      <w:bookmarkStart w:id="138" w:name="_Toc6684448"/>
      <w:bookmarkStart w:id="139" w:name="_Toc132713781"/>
      <w:r w:rsidRPr="00410B0D">
        <w:rPr>
          <w:rFonts w:asciiTheme="minorHAnsi" w:hAnsiTheme="minorHAnsi"/>
          <w:color w:val="auto"/>
        </w:rPr>
        <w:t>Diğer Değişiklikler</w:t>
      </w:r>
      <w:bookmarkEnd w:id="138"/>
      <w:bookmarkEnd w:id="139"/>
    </w:p>
    <w:p w:rsidR="00417EBA" w:rsidRPr="001B58A9" w:rsidRDefault="00417EBA" w:rsidP="003F5BB7">
      <w:pPr>
        <w:pStyle w:val="ListeParagraf"/>
        <w:numPr>
          <w:ilvl w:val="0"/>
          <w:numId w:val="24"/>
        </w:numPr>
        <w:spacing w:after="160" w:line="259" w:lineRule="auto"/>
        <w:rPr>
          <w:rFonts w:ascii="Calibri" w:hAnsi="Calibri"/>
        </w:rPr>
      </w:pPr>
      <w:bookmarkStart w:id="140" w:name="_Hlk94693853"/>
      <w:r w:rsidRPr="00417EBA">
        <w:rPr>
          <w:rFonts w:ascii="Calibri" w:hAnsi="Calibri"/>
        </w:rPr>
        <w:t xml:space="preserve">18.02.2022 tarihli ve 31754 sayılı Resmî </w:t>
      </w:r>
      <w:r w:rsidR="00274939">
        <w:rPr>
          <w:rFonts w:ascii="Calibri" w:hAnsi="Calibri"/>
        </w:rPr>
        <w:t>Gazetede</w:t>
      </w:r>
      <w:r w:rsidRPr="00417EBA">
        <w:rPr>
          <w:rFonts w:ascii="Calibri" w:hAnsi="Calibri"/>
        </w:rPr>
        <w:t xml:space="preserve"> amacı Enerji Piyasası Düzenleme Kurumunda görev yapan Devlet memurlarının disiplin amirlerini belirlemek olan </w:t>
      </w:r>
      <w:r w:rsidRPr="00151CF9">
        <w:rPr>
          <w:rFonts w:ascii="Calibri" w:hAnsi="Calibri"/>
          <w:b/>
        </w:rPr>
        <w:t>Enerji Piyasası Düzenleme Kurumu Disiplin Amirleri Yönetmeliği</w:t>
      </w:r>
      <w:r w:rsidRPr="00417EBA">
        <w:rPr>
          <w:rFonts w:ascii="Calibri" w:hAnsi="Calibri"/>
          <w:bCs/>
        </w:rPr>
        <w:t xml:space="preserve"> </w:t>
      </w:r>
      <w:r>
        <w:rPr>
          <w:rFonts w:ascii="Calibri" w:hAnsi="Calibri"/>
          <w:bCs/>
        </w:rPr>
        <w:t>yayımlanmıştır</w:t>
      </w:r>
      <w:r w:rsidR="001B58A9">
        <w:rPr>
          <w:rFonts w:ascii="Calibri" w:hAnsi="Calibri"/>
          <w:bCs/>
        </w:rPr>
        <w:t>.</w:t>
      </w:r>
    </w:p>
    <w:p w:rsidR="001B58A9" w:rsidRDefault="001B58A9" w:rsidP="001B58A9">
      <w:pPr>
        <w:pStyle w:val="ListeParagraf"/>
        <w:spacing w:after="160" w:line="259" w:lineRule="auto"/>
        <w:rPr>
          <w:rFonts w:ascii="Calibri" w:hAnsi="Calibri" w:cs="Calibri"/>
          <w:color w:val="000000"/>
        </w:rPr>
      </w:pPr>
    </w:p>
    <w:p w:rsidR="009919FC" w:rsidRPr="009919FC" w:rsidRDefault="009919FC" w:rsidP="009919FC">
      <w:pPr>
        <w:pStyle w:val="ListeParagraf"/>
        <w:numPr>
          <w:ilvl w:val="0"/>
          <w:numId w:val="26"/>
        </w:numPr>
        <w:spacing w:after="0"/>
        <w:rPr>
          <w:rFonts w:ascii="Calibri" w:hAnsi="Calibri"/>
          <w:i/>
        </w:rPr>
      </w:pPr>
      <w:r>
        <w:rPr>
          <w:rFonts w:ascii="Calibri" w:hAnsi="Calibri"/>
          <w:bCs/>
        </w:rPr>
        <w:t>06</w:t>
      </w:r>
      <w:r w:rsidRPr="005B3935">
        <w:rPr>
          <w:rFonts w:ascii="Calibri" w:hAnsi="Calibri"/>
          <w:bCs/>
        </w:rPr>
        <w:t>.0</w:t>
      </w:r>
      <w:r>
        <w:rPr>
          <w:rFonts w:ascii="Calibri" w:hAnsi="Calibri"/>
          <w:bCs/>
        </w:rPr>
        <w:t>4</w:t>
      </w:r>
      <w:r w:rsidRPr="005B3935">
        <w:rPr>
          <w:rFonts w:ascii="Calibri" w:hAnsi="Calibri"/>
          <w:bCs/>
        </w:rPr>
        <w:t>.202</w:t>
      </w:r>
      <w:r>
        <w:rPr>
          <w:rFonts w:ascii="Calibri" w:hAnsi="Calibri"/>
          <w:bCs/>
        </w:rPr>
        <w:t>2</w:t>
      </w:r>
      <w:r w:rsidRPr="005B3935">
        <w:rPr>
          <w:rFonts w:ascii="Calibri" w:hAnsi="Calibri"/>
          <w:bCs/>
        </w:rPr>
        <w:t xml:space="preserve"> tarihli ve 31</w:t>
      </w:r>
      <w:r>
        <w:rPr>
          <w:rFonts w:ascii="Calibri" w:hAnsi="Calibri"/>
          <w:bCs/>
        </w:rPr>
        <w:t>801</w:t>
      </w:r>
      <w:r w:rsidRPr="005B3935">
        <w:rPr>
          <w:rFonts w:ascii="Calibri" w:hAnsi="Calibri"/>
          <w:bCs/>
        </w:rPr>
        <w:t xml:space="preserve"> sayılı Resmî </w:t>
      </w:r>
      <w:r w:rsidR="00274939">
        <w:rPr>
          <w:rFonts w:ascii="Calibri" w:hAnsi="Calibri"/>
          <w:bCs/>
        </w:rPr>
        <w:t>Gazetede</w:t>
      </w:r>
      <w:r w:rsidRPr="005B3935">
        <w:rPr>
          <w:rFonts w:ascii="Calibri" w:hAnsi="Calibri"/>
          <w:bCs/>
        </w:rPr>
        <w:t xml:space="preserve"> yayımlanan Değişiklik Yönetmeliği ile</w:t>
      </w:r>
      <w:r w:rsidRPr="005B3935">
        <w:rPr>
          <w:rFonts w:ascii="Calibri" w:hAnsi="Calibri"/>
          <w:b/>
          <w:bCs/>
        </w:rPr>
        <w:t xml:space="preserve"> </w:t>
      </w:r>
      <w:r w:rsidRPr="009919FC">
        <w:rPr>
          <w:rFonts w:ascii="Calibri" w:hAnsi="Calibri"/>
          <w:b/>
        </w:rPr>
        <w:t xml:space="preserve">Enerji Piyasası Düzenleme Kurumu Teşkilat </w:t>
      </w:r>
      <w:r w:rsidRPr="005E050D">
        <w:rPr>
          <w:rFonts w:ascii="Calibri" w:hAnsi="Calibri"/>
          <w:b/>
        </w:rPr>
        <w:t>Yönetmeliğinin</w:t>
      </w:r>
    </w:p>
    <w:p w:rsidR="009919FC" w:rsidRDefault="009919FC" w:rsidP="009919FC">
      <w:pPr>
        <w:pStyle w:val="ListeParagraf"/>
        <w:spacing w:after="0"/>
        <w:ind w:left="1440"/>
        <w:rPr>
          <w:rFonts w:ascii="Calibri" w:hAnsi="Calibri"/>
          <w:iCs/>
        </w:rPr>
      </w:pPr>
    </w:p>
    <w:p w:rsidR="009919FC" w:rsidRDefault="009919FC" w:rsidP="009919FC">
      <w:pPr>
        <w:pStyle w:val="ListeParagraf"/>
        <w:numPr>
          <w:ilvl w:val="0"/>
          <w:numId w:val="25"/>
        </w:numPr>
        <w:spacing w:after="0"/>
        <w:rPr>
          <w:rFonts w:ascii="Calibri" w:hAnsi="Calibri"/>
          <w:iCs/>
        </w:rPr>
      </w:pPr>
      <w:r>
        <w:rPr>
          <w:rFonts w:ascii="Calibri" w:hAnsi="Calibri"/>
          <w:iCs/>
        </w:rPr>
        <w:t>4</w:t>
      </w:r>
      <w:r w:rsidRPr="005E050D">
        <w:rPr>
          <w:rFonts w:ascii="Calibri" w:hAnsi="Calibri"/>
          <w:iCs/>
        </w:rPr>
        <w:t xml:space="preserve"> nc</w:t>
      </w:r>
      <w:r>
        <w:rPr>
          <w:rFonts w:ascii="Calibri" w:hAnsi="Calibri"/>
          <w:iCs/>
        </w:rPr>
        <w:t>ü</w:t>
      </w:r>
      <w:r w:rsidRPr="005E050D">
        <w:rPr>
          <w:rFonts w:ascii="Calibri" w:hAnsi="Calibri"/>
          <w:iCs/>
        </w:rPr>
        <w:t xml:space="preserve"> maddesinin </w:t>
      </w:r>
      <w:r>
        <w:rPr>
          <w:rFonts w:ascii="Calibri" w:hAnsi="Calibri"/>
          <w:iCs/>
        </w:rPr>
        <w:t>ikinci</w:t>
      </w:r>
      <w:r w:rsidRPr="005E050D">
        <w:rPr>
          <w:rFonts w:ascii="Calibri" w:hAnsi="Calibri"/>
          <w:iCs/>
        </w:rPr>
        <w:t xml:space="preserve"> fıkrası</w:t>
      </w:r>
      <w:r>
        <w:rPr>
          <w:rFonts w:ascii="Calibri" w:hAnsi="Calibri"/>
          <w:iCs/>
        </w:rPr>
        <w:t xml:space="preserve">nda yer alan </w:t>
      </w:r>
      <w:r w:rsidRPr="009919FC">
        <w:rPr>
          <w:rFonts w:ascii="Calibri" w:hAnsi="Calibri"/>
          <w:i/>
          <w:iCs/>
        </w:rPr>
        <w:t>“iki”</w:t>
      </w:r>
      <w:r>
        <w:rPr>
          <w:rFonts w:ascii="Calibri" w:hAnsi="Calibri"/>
          <w:iCs/>
        </w:rPr>
        <w:t xml:space="preserve"> ibaresi </w:t>
      </w:r>
      <w:r w:rsidRPr="009919FC">
        <w:rPr>
          <w:rFonts w:ascii="Calibri" w:hAnsi="Calibri"/>
          <w:i/>
          <w:iCs/>
        </w:rPr>
        <w:t>“üç”</w:t>
      </w:r>
      <w:r>
        <w:rPr>
          <w:rFonts w:ascii="Calibri" w:hAnsi="Calibri"/>
          <w:iCs/>
        </w:rPr>
        <w:t xml:space="preserve"> şeklinde</w:t>
      </w:r>
      <w:r w:rsidRPr="005E050D">
        <w:rPr>
          <w:rFonts w:ascii="Calibri" w:hAnsi="Calibri"/>
          <w:iCs/>
        </w:rPr>
        <w:t xml:space="preserve"> değiştirilmiştir.</w:t>
      </w:r>
    </w:p>
    <w:p w:rsidR="009919FC" w:rsidRDefault="009919FC" w:rsidP="009919FC">
      <w:pPr>
        <w:pStyle w:val="ListeParagraf"/>
        <w:spacing w:after="0"/>
        <w:ind w:left="1440"/>
        <w:rPr>
          <w:rFonts w:ascii="Calibri" w:hAnsi="Calibri"/>
          <w:iCs/>
        </w:rPr>
      </w:pPr>
    </w:p>
    <w:p w:rsidR="008B5135" w:rsidRDefault="008B5135" w:rsidP="008B5135">
      <w:pPr>
        <w:pStyle w:val="ListeParagraf"/>
        <w:numPr>
          <w:ilvl w:val="0"/>
          <w:numId w:val="25"/>
        </w:numPr>
        <w:spacing w:after="0"/>
        <w:rPr>
          <w:rFonts w:ascii="Calibri" w:hAnsi="Calibri"/>
          <w:iCs/>
        </w:rPr>
      </w:pPr>
      <w:r>
        <w:rPr>
          <w:rFonts w:ascii="Calibri" w:hAnsi="Calibri"/>
          <w:iCs/>
        </w:rPr>
        <w:t>5</w:t>
      </w:r>
      <w:r w:rsidRPr="005E050D">
        <w:rPr>
          <w:rFonts w:ascii="Calibri" w:hAnsi="Calibri"/>
          <w:iCs/>
        </w:rPr>
        <w:t xml:space="preserve"> nc</w:t>
      </w:r>
      <w:r>
        <w:rPr>
          <w:rFonts w:ascii="Calibri" w:hAnsi="Calibri"/>
          <w:iCs/>
        </w:rPr>
        <w:t>i</w:t>
      </w:r>
      <w:r w:rsidRPr="005E050D">
        <w:rPr>
          <w:rFonts w:ascii="Calibri" w:hAnsi="Calibri"/>
          <w:iCs/>
        </w:rPr>
        <w:t xml:space="preserve"> maddesinin </w:t>
      </w:r>
      <w:r>
        <w:rPr>
          <w:rFonts w:ascii="Calibri" w:hAnsi="Calibri"/>
          <w:iCs/>
        </w:rPr>
        <w:t>birinci</w:t>
      </w:r>
      <w:r w:rsidRPr="005E050D">
        <w:rPr>
          <w:rFonts w:ascii="Calibri" w:hAnsi="Calibri"/>
          <w:iCs/>
        </w:rPr>
        <w:t xml:space="preserve"> fıkrası</w:t>
      </w:r>
      <w:r>
        <w:rPr>
          <w:rFonts w:ascii="Calibri" w:hAnsi="Calibri"/>
          <w:iCs/>
        </w:rPr>
        <w:t>na (ı) bendinden sonra gelmek üzere aşağıdaki (i) bendi eklenmiş, mevcut diğer bentler buna göre teselsül ettirilmiştir.</w:t>
      </w:r>
    </w:p>
    <w:p w:rsidR="008B5135" w:rsidRDefault="008B5135" w:rsidP="009919FC">
      <w:pPr>
        <w:pStyle w:val="ListeParagraf"/>
        <w:spacing w:after="0"/>
        <w:ind w:left="1440"/>
        <w:rPr>
          <w:rFonts w:ascii="Calibri" w:hAnsi="Calibri"/>
          <w:iCs/>
        </w:rPr>
      </w:pPr>
    </w:p>
    <w:p w:rsidR="009919FC" w:rsidRDefault="009919FC" w:rsidP="009919FC">
      <w:pPr>
        <w:pStyle w:val="ListeParagraf"/>
        <w:spacing w:after="0"/>
        <w:ind w:left="1440"/>
        <w:rPr>
          <w:rFonts w:ascii="Calibri" w:hAnsi="Calibri"/>
          <w:i/>
        </w:rPr>
      </w:pPr>
      <w:r w:rsidRPr="005E050D">
        <w:rPr>
          <w:rFonts w:ascii="Calibri" w:hAnsi="Calibri"/>
          <w:i/>
        </w:rPr>
        <w:t>“</w:t>
      </w:r>
      <w:r w:rsidR="008B5135" w:rsidRPr="008B5135">
        <w:rPr>
          <w:rFonts w:ascii="Calibri" w:hAnsi="Calibri"/>
          <w:i/>
        </w:rPr>
        <w:t>Enerji Dönüşüm Dairesi Başkanlığı.</w:t>
      </w:r>
      <w:r w:rsidR="008B5135">
        <w:rPr>
          <w:rFonts w:ascii="Calibri" w:hAnsi="Calibri"/>
          <w:i/>
        </w:rPr>
        <w:t>”</w:t>
      </w:r>
    </w:p>
    <w:p w:rsidR="008B5135" w:rsidRPr="008B5135" w:rsidRDefault="008B5135" w:rsidP="008B5135">
      <w:pPr>
        <w:pStyle w:val="ListeParagraf"/>
        <w:spacing w:after="0"/>
        <w:ind w:left="1440"/>
        <w:rPr>
          <w:rFonts w:ascii="Calibri" w:hAnsi="Calibri"/>
          <w:i/>
        </w:rPr>
      </w:pPr>
      <w:r w:rsidRPr="008B5135">
        <w:rPr>
          <w:rFonts w:ascii="Calibri" w:hAnsi="Calibri"/>
          <w:i/>
        </w:rPr>
        <w:t>MADDE 15/B-</w:t>
      </w:r>
      <w:r>
        <w:rPr>
          <w:rFonts w:ascii="Calibri" w:hAnsi="Calibri"/>
          <w:i/>
        </w:rPr>
        <w:t xml:space="preserve"> </w:t>
      </w:r>
      <w:r w:rsidRPr="008B5135">
        <w:rPr>
          <w:rFonts w:ascii="Calibri" w:hAnsi="Calibri"/>
          <w:i/>
        </w:rPr>
        <w:t>(1) Enerji Dönüşüm Dairesi Başkanlığının görev ve yetkileri şunlardır:</w:t>
      </w:r>
    </w:p>
    <w:p w:rsidR="008B5135" w:rsidRPr="008B5135" w:rsidRDefault="008B5135" w:rsidP="008B5135">
      <w:pPr>
        <w:pStyle w:val="ListeParagraf"/>
        <w:spacing w:after="0"/>
        <w:ind w:left="1440"/>
        <w:rPr>
          <w:rFonts w:ascii="Calibri" w:hAnsi="Calibri"/>
          <w:i/>
        </w:rPr>
      </w:pPr>
      <w:r w:rsidRPr="008B5135">
        <w:rPr>
          <w:rFonts w:ascii="Calibri" w:hAnsi="Calibri"/>
          <w:i/>
        </w:rPr>
        <w:t>a) Enerji piyasasında enerji politikaları ve Kurumun sorumluluk alanları çerçevesinde araştırma – geliştirme faaliyetleri ile yenilikçi politika ve projelerin izlenmesi, geliştirilmesi ve uygulanması, desteklenecek araştırma- geliştirme ve yenilikçi projelerin tespiti, sağlanacak desteklerin kapsamının ve miktarının belirlenmesi ve uygulamanın izlenmesi ile bu kapsamda elde edilen çıktıların ilgili piyasa süreçlerinde değerlendirilmesine dair çalışmalar yapmak.</w:t>
      </w:r>
    </w:p>
    <w:p w:rsidR="008B5135" w:rsidRPr="008B5135" w:rsidRDefault="008B5135" w:rsidP="008B5135">
      <w:pPr>
        <w:pStyle w:val="ListeParagraf"/>
        <w:spacing w:after="0"/>
        <w:ind w:left="1440"/>
        <w:rPr>
          <w:rFonts w:ascii="Calibri" w:hAnsi="Calibri"/>
          <w:i/>
        </w:rPr>
      </w:pPr>
      <w:r w:rsidRPr="008B5135">
        <w:rPr>
          <w:rFonts w:ascii="Calibri" w:hAnsi="Calibri"/>
          <w:i/>
        </w:rPr>
        <w:t>b) Genel politikalar çerçevesinde enerji piyasalarının tamamlayıcısı mahiyetindeki veya ilişkili olduğu karbon piyasası, emisyon ticareti, yeşil sertifika ve benzeri piyasa ve süreçlerin tasarımı, mevzuatının geliştirilmesi, uygulamaya geçirilmesine dair çalışmalar yapmak, uygulamayı izlemek, gözetmek ve yönlendirmek.</w:t>
      </w:r>
    </w:p>
    <w:p w:rsidR="008B5135" w:rsidRPr="008B5135" w:rsidRDefault="008B5135" w:rsidP="008B5135">
      <w:pPr>
        <w:pStyle w:val="ListeParagraf"/>
        <w:spacing w:after="0"/>
        <w:ind w:left="1440"/>
        <w:rPr>
          <w:rFonts w:ascii="Calibri" w:hAnsi="Calibri"/>
          <w:i/>
        </w:rPr>
      </w:pPr>
      <w:r w:rsidRPr="008B5135">
        <w:rPr>
          <w:rFonts w:ascii="Calibri" w:hAnsi="Calibri"/>
          <w:i/>
        </w:rPr>
        <w:t>c) Enerji piyasasında dijitalleşme sürecini izlemek, bu alanda politika ve proje önerileri geliştirmek, belirlenen politikaların hayata geçirilmesine yönelik çalışmalar yapmak, projelerin uygulamasını izlemek ve yönlendirmek.</w:t>
      </w:r>
    </w:p>
    <w:p w:rsidR="008B5135" w:rsidRPr="008B5135" w:rsidRDefault="008B5135" w:rsidP="008B5135">
      <w:pPr>
        <w:pStyle w:val="ListeParagraf"/>
        <w:spacing w:after="0"/>
        <w:ind w:left="1440"/>
        <w:rPr>
          <w:rFonts w:ascii="Calibri" w:hAnsi="Calibri"/>
          <w:i/>
        </w:rPr>
      </w:pPr>
      <w:r w:rsidRPr="008B5135">
        <w:rPr>
          <w:rFonts w:ascii="Calibri" w:hAnsi="Calibri"/>
          <w:i/>
        </w:rPr>
        <w:t>ç) Fosil yakıtları ikame veya destekleyici olarak kullanılabilen hidrojen, biyoyakıtlar, sentetik ve parafinli yakıtlar, biyometan ve benzeri alternatif yakıtların enerji piyasasında kullanılmasına yönelik araştırmalar yapmak, mevzuat geliştirmelerine, bu tür yakıtların kullanılmasına ilişkin izin ve izleme süreçlerinin tasarlanmasına ve yönetilmesine katkı sağlamak.</w:t>
      </w:r>
    </w:p>
    <w:p w:rsidR="008B5135" w:rsidRPr="008B5135" w:rsidRDefault="008B5135" w:rsidP="008B5135">
      <w:pPr>
        <w:pStyle w:val="ListeParagraf"/>
        <w:spacing w:after="0"/>
        <w:ind w:left="1440"/>
        <w:rPr>
          <w:rFonts w:ascii="Calibri" w:hAnsi="Calibri"/>
          <w:i/>
        </w:rPr>
      </w:pPr>
      <w:r w:rsidRPr="008B5135">
        <w:rPr>
          <w:rFonts w:ascii="Calibri" w:hAnsi="Calibri"/>
          <w:i/>
        </w:rPr>
        <w:t xml:space="preserve">d) Elektrikli araçlara elektrik enerjisi temininin sağlandığı şarj istasyonlarının, standartlara ve birlikte çalışabilirlik esasına uygun olarak kurulması ve işletilmesine ilişkin işlemler ile şarj hizmetinin verilmesine dair mevzuat geliştirmek, mevzuatın gereklerini yerine getirmek; şarj </w:t>
      </w:r>
      <w:r w:rsidRPr="008B5135">
        <w:rPr>
          <w:rFonts w:ascii="Calibri" w:hAnsi="Calibri"/>
          <w:i/>
        </w:rPr>
        <w:lastRenderedPageBreak/>
        <w:t>hizmeti sunacak kişilerin piyasaya giriş izinlerine ve piyasadaki faaliyetlerinin izlenmesi ve yönlendirilmesine dair iş ve işlemleri yapmak.</w:t>
      </w:r>
    </w:p>
    <w:p w:rsidR="008B5135" w:rsidRPr="008B5135" w:rsidRDefault="008B5135" w:rsidP="008B5135">
      <w:pPr>
        <w:pStyle w:val="ListeParagraf"/>
        <w:spacing w:after="0"/>
        <w:ind w:left="1440"/>
        <w:rPr>
          <w:rFonts w:ascii="Calibri" w:hAnsi="Calibri"/>
          <w:i/>
        </w:rPr>
      </w:pPr>
      <w:r w:rsidRPr="008B5135">
        <w:rPr>
          <w:rFonts w:ascii="Calibri" w:hAnsi="Calibri"/>
          <w:i/>
        </w:rPr>
        <w:t>e) Enerji ve ilgili diğer politikalar çerçevesinde bu madde kapsamındaki iş ve süreçlere ilişkin projeksiyonlar yapmak, projeksiyonların hazırlanmasına esas modeller geliştirmek, temin etmek ve kullanmak.</w:t>
      </w:r>
    </w:p>
    <w:p w:rsidR="008B5135" w:rsidRPr="008B5135" w:rsidRDefault="008B5135" w:rsidP="008B5135">
      <w:pPr>
        <w:pStyle w:val="ListeParagraf"/>
        <w:spacing w:after="0"/>
        <w:ind w:left="1440"/>
        <w:rPr>
          <w:rFonts w:ascii="Calibri" w:hAnsi="Calibri"/>
          <w:i/>
        </w:rPr>
      </w:pPr>
      <w:r w:rsidRPr="008B5135">
        <w:rPr>
          <w:rFonts w:ascii="Calibri" w:hAnsi="Calibri"/>
          <w:i/>
        </w:rPr>
        <w:t>f) Bu madde kapsamındaki faaliyet, iş ve işlemlere dair farkındalığın artırılması ve tüketici haklarının korunmasına dair çalışmalar yapmak.</w:t>
      </w:r>
    </w:p>
    <w:p w:rsidR="008B5135" w:rsidRPr="008B5135" w:rsidRDefault="008B5135" w:rsidP="008B5135">
      <w:pPr>
        <w:pStyle w:val="ListeParagraf"/>
        <w:spacing w:after="0"/>
        <w:ind w:left="1440"/>
        <w:rPr>
          <w:rFonts w:ascii="Calibri" w:hAnsi="Calibri"/>
          <w:i/>
        </w:rPr>
      </w:pPr>
      <w:r w:rsidRPr="008B5135">
        <w:rPr>
          <w:rFonts w:ascii="Calibri" w:hAnsi="Calibri"/>
          <w:i/>
        </w:rPr>
        <w:t>g) Görevleriyle ilgili konularda mevzuat taslakları hazırlamak.</w:t>
      </w:r>
    </w:p>
    <w:p w:rsidR="008B5135" w:rsidRDefault="008B5135" w:rsidP="008B5135">
      <w:pPr>
        <w:pStyle w:val="ListeParagraf"/>
        <w:spacing w:after="0"/>
        <w:ind w:left="1440"/>
        <w:rPr>
          <w:rFonts w:ascii="Calibri" w:hAnsi="Calibri"/>
          <w:i/>
        </w:rPr>
      </w:pPr>
      <w:r w:rsidRPr="008B5135">
        <w:rPr>
          <w:rFonts w:ascii="Calibri" w:hAnsi="Calibri"/>
          <w:i/>
        </w:rPr>
        <w:t>ğ) Başkan tarafından verilen benzeri görevleri yapmak.</w:t>
      </w:r>
    </w:p>
    <w:p w:rsidR="008B5135" w:rsidRDefault="008B5135" w:rsidP="008B5135">
      <w:pPr>
        <w:pStyle w:val="ListeParagraf"/>
        <w:spacing w:after="0"/>
        <w:ind w:left="1440"/>
        <w:rPr>
          <w:rFonts w:ascii="Calibri" w:hAnsi="Calibri"/>
          <w:i/>
        </w:rPr>
      </w:pPr>
    </w:p>
    <w:p w:rsidR="00CF56CC" w:rsidRPr="000079C1" w:rsidRDefault="00CF56CC" w:rsidP="000A5A56">
      <w:pPr>
        <w:pStyle w:val="ListeParagraf"/>
        <w:numPr>
          <w:ilvl w:val="0"/>
          <w:numId w:val="24"/>
        </w:numPr>
        <w:spacing w:after="160" w:line="259" w:lineRule="auto"/>
        <w:rPr>
          <w:rFonts w:ascii="Calibri" w:hAnsi="Calibri"/>
        </w:rPr>
      </w:pPr>
      <w:r>
        <w:rPr>
          <w:rFonts w:ascii="Calibri" w:hAnsi="Calibri"/>
        </w:rPr>
        <w:t>29</w:t>
      </w:r>
      <w:r w:rsidRPr="00B025C9">
        <w:rPr>
          <w:rFonts w:ascii="Calibri" w:hAnsi="Calibri"/>
        </w:rPr>
        <w:t>.</w:t>
      </w:r>
      <w:r>
        <w:rPr>
          <w:rFonts w:ascii="Calibri" w:hAnsi="Calibri"/>
        </w:rPr>
        <w:t>12</w:t>
      </w:r>
      <w:r w:rsidRPr="00B025C9">
        <w:rPr>
          <w:rFonts w:ascii="Calibri" w:hAnsi="Calibri"/>
        </w:rPr>
        <w:t>.2022 tarihli ve 3</w:t>
      </w:r>
      <w:r>
        <w:rPr>
          <w:rFonts w:ascii="Calibri" w:hAnsi="Calibri"/>
        </w:rPr>
        <w:t>2058</w:t>
      </w:r>
      <w:r w:rsidRPr="00B025C9">
        <w:rPr>
          <w:rFonts w:ascii="Calibri" w:hAnsi="Calibri"/>
        </w:rPr>
        <w:t xml:space="preserve"> sayılı Resmî </w:t>
      </w:r>
      <w:r w:rsidR="00274939">
        <w:rPr>
          <w:rFonts w:ascii="Calibri" w:hAnsi="Calibri"/>
        </w:rPr>
        <w:t>Gazetede</w:t>
      </w:r>
      <w:r w:rsidRPr="00B025C9">
        <w:rPr>
          <w:rFonts w:ascii="Calibri" w:hAnsi="Calibri"/>
        </w:rPr>
        <w:t xml:space="preserve"> yayımlanan Değişiklik Yönetmeliği ile </w:t>
      </w:r>
      <w:r w:rsidRPr="00CF56CC">
        <w:rPr>
          <w:rFonts w:ascii="Calibri" w:hAnsi="Calibri"/>
          <w:b/>
          <w:bCs/>
        </w:rPr>
        <w:t>Meslek Personeli Yönetmeliğinin</w:t>
      </w:r>
      <w:r w:rsidRPr="000079C1">
        <w:rPr>
          <w:rFonts w:ascii="Calibri" w:hAnsi="Calibri"/>
          <w:b/>
          <w:bCs/>
        </w:rPr>
        <w:t xml:space="preserve"> </w:t>
      </w:r>
    </w:p>
    <w:p w:rsidR="00CF56CC" w:rsidRPr="00474C00" w:rsidRDefault="00CF56CC" w:rsidP="000A5A56">
      <w:pPr>
        <w:numPr>
          <w:ilvl w:val="0"/>
          <w:numId w:val="32"/>
        </w:numPr>
        <w:spacing w:after="160" w:line="259" w:lineRule="auto"/>
        <w:contextualSpacing/>
      </w:pPr>
      <w:r w:rsidRPr="00CF56CC">
        <w:t>4 üncü maddesinin birinci fıkrasının (d), (e) ve (k) bentleri aşağıdaki şekilde değiştirilmiş ve aynı fıkraya aşağıdaki bent eklenmiştir</w:t>
      </w:r>
      <w:r w:rsidRPr="00CF56CC">
        <w:rPr>
          <w:i/>
        </w:rPr>
        <w:t>.</w:t>
      </w:r>
    </w:p>
    <w:p w:rsidR="00CF56CC" w:rsidRPr="00CF56CC" w:rsidRDefault="00CF56CC" w:rsidP="00CF56CC">
      <w:pPr>
        <w:pStyle w:val="ListeParagraf"/>
        <w:ind w:left="1418"/>
        <w:rPr>
          <w:rFonts w:ascii="Calibri" w:hAnsi="Calibri"/>
          <w:i/>
          <w:iCs/>
        </w:rPr>
      </w:pPr>
      <w:r w:rsidRPr="00CF56CC">
        <w:rPr>
          <w:rFonts w:ascii="Calibri" w:hAnsi="Calibri"/>
          <w:i/>
          <w:iCs/>
        </w:rPr>
        <w:t>“d) Tez Değerlendirme Komisyonu: Enerji uzman yardımcısı tarafından hazırlanan tezi inceleyen ve değerlendiren komisyonu,</w:t>
      </w:r>
    </w:p>
    <w:p w:rsidR="00CF56CC" w:rsidRPr="00CF56CC" w:rsidRDefault="00CF56CC" w:rsidP="00CF56CC">
      <w:pPr>
        <w:pStyle w:val="ListeParagraf"/>
        <w:ind w:left="1418"/>
        <w:rPr>
          <w:rFonts w:ascii="Calibri" w:hAnsi="Calibri"/>
          <w:i/>
          <w:iCs/>
        </w:rPr>
      </w:pPr>
      <w:r w:rsidRPr="00CF56CC">
        <w:rPr>
          <w:rFonts w:ascii="Calibri" w:hAnsi="Calibri"/>
          <w:i/>
          <w:iCs/>
        </w:rPr>
        <w:t>e) Giriş Sınavı Komisyonu: Giriş sınavını gerçekleştiren sınav komisyonunu,”</w:t>
      </w:r>
    </w:p>
    <w:p w:rsidR="00CF56CC" w:rsidRPr="00CF56CC" w:rsidRDefault="00CF56CC" w:rsidP="00CF56CC">
      <w:pPr>
        <w:pStyle w:val="ListeParagraf"/>
        <w:ind w:left="1418"/>
        <w:rPr>
          <w:rFonts w:ascii="Calibri" w:hAnsi="Calibri"/>
          <w:i/>
          <w:iCs/>
        </w:rPr>
      </w:pPr>
      <w:r w:rsidRPr="00CF56CC">
        <w:rPr>
          <w:rFonts w:ascii="Calibri" w:hAnsi="Calibri"/>
          <w:i/>
          <w:iCs/>
        </w:rPr>
        <w:t>“k) YDS/e-YDS: Yabancı Dil Bilgisi Seviye Tespit Sınavını/Elektronik Yabancı Dil Bilgisi Seviye Tespit Sınavını,”</w:t>
      </w:r>
    </w:p>
    <w:p w:rsidR="00CF56CC" w:rsidRPr="00CF56CC" w:rsidRDefault="00CF56CC" w:rsidP="00CF56CC">
      <w:pPr>
        <w:pStyle w:val="ListeParagraf"/>
        <w:ind w:left="1418"/>
        <w:rPr>
          <w:rFonts w:ascii="Calibri" w:hAnsi="Calibri"/>
          <w:i/>
          <w:iCs/>
        </w:rPr>
      </w:pPr>
      <w:r w:rsidRPr="00CF56CC">
        <w:rPr>
          <w:rFonts w:ascii="Calibri" w:hAnsi="Calibri"/>
          <w:i/>
          <w:iCs/>
        </w:rPr>
        <w:t>“l) Yeterlik sınav komisyonu: Yeterlik sınavını gerçekleştiren komisyonu,”</w:t>
      </w:r>
    </w:p>
    <w:p w:rsidR="00CF56CC" w:rsidRPr="00CF56CC" w:rsidRDefault="00CF56CC" w:rsidP="000A5A56">
      <w:pPr>
        <w:numPr>
          <w:ilvl w:val="0"/>
          <w:numId w:val="32"/>
        </w:numPr>
        <w:spacing w:after="160" w:line="259" w:lineRule="auto"/>
        <w:contextualSpacing/>
      </w:pPr>
      <w:r w:rsidRPr="00CF56CC">
        <w:t>5 inci maddesinin birinci fıkrasının ikinci cümlesi ve üçüncü fıkrası aşağıdaki şekilde değiştirilmiştir.</w:t>
      </w:r>
    </w:p>
    <w:p w:rsidR="00CF56CC" w:rsidRPr="00CF56CC" w:rsidRDefault="00CF56CC" w:rsidP="00CF56CC">
      <w:pPr>
        <w:pStyle w:val="ListeParagraf"/>
        <w:ind w:left="1418"/>
        <w:rPr>
          <w:rFonts w:ascii="Calibri" w:hAnsi="Calibri"/>
          <w:i/>
          <w:iCs/>
        </w:rPr>
      </w:pPr>
      <w:r w:rsidRPr="00CF56CC">
        <w:rPr>
          <w:rFonts w:ascii="Calibri" w:hAnsi="Calibri"/>
          <w:i/>
          <w:iCs/>
        </w:rPr>
        <w:t>“Uzman yardımcılığı giriş sınavı; yazılı ve sözlü sınavdan oluşur.”</w:t>
      </w:r>
    </w:p>
    <w:p w:rsidR="00CF56CC" w:rsidRPr="00CF56CC" w:rsidRDefault="00CF56CC" w:rsidP="00CF56CC">
      <w:pPr>
        <w:pStyle w:val="ListeParagraf"/>
        <w:ind w:left="1418"/>
        <w:rPr>
          <w:rFonts w:ascii="Calibri" w:hAnsi="Calibri"/>
          <w:i/>
          <w:iCs/>
        </w:rPr>
      </w:pPr>
      <w:r w:rsidRPr="00CF56CC">
        <w:rPr>
          <w:rFonts w:ascii="Calibri" w:hAnsi="Calibri"/>
          <w:i/>
          <w:iCs/>
        </w:rPr>
        <w:t>“(3) Yazılı sınavın tümü ya da bir bölümü, klasik ve/veya test usulünde yapılabilir. Başkan tarafından uygun görüldüğü takdirde yazılı sınavın bir kısmı ya da tamamı ÖSYM’ye, üniversitelere veya bu konuda uzmanlaşmış diğer kamu kurum ve kuruluşlarına da yaptırılabilir.”</w:t>
      </w:r>
    </w:p>
    <w:p w:rsidR="00CF56CC" w:rsidRPr="00CF56CC" w:rsidRDefault="00CF56CC" w:rsidP="000A5A56">
      <w:pPr>
        <w:numPr>
          <w:ilvl w:val="0"/>
          <w:numId w:val="32"/>
        </w:numPr>
        <w:spacing w:after="160" w:line="259" w:lineRule="auto"/>
        <w:contextualSpacing/>
      </w:pPr>
      <w:r w:rsidRPr="00CF56CC">
        <w:t>6 ncı maddesinin ikinci fıkrası aşağıdaki şekilde değiştirilmiş, üçüncü fıkrasında yer alan “İlanlar,” ibaresinden sonra gelmek üzere “yazılı” ibaresi eklenmiştir.</w:t>
      </w:r>
    </w:p>
    <w:p w:rsidR="00CF56CC" w:rsidRDefault="00CF56CC" w:rsidP="003E4710">
      <w:pPr>
        <w:pStyle w:val="ListeParagraf"/>
        <w:ind w:left="1418"/>
        <w:rPr>
          <w:rFonts w:ascii="Calibri" w:hAnsi="Calibri"/>
          <w:i/>
          <w:iCs/>
        </w:rPr>
      </w:pPr>
      <w:r w:rsidRPr="00CF56CC">
        <w:rPr>
          <w:rFonts w:ascii="Calibri" w:hAnsi="Calibri"/>
          <w:i/>
          <w:iCs/>
        </w:rPr>
        <w:t xml:space="preserve">“(2) Atama yapılacak kadro sayısı, başvuru tarihleri, giriş sınavına katılma şartları, başvuru usulü, istenecek belgeler, sınavın şekli, konuları, yeri, zamanı, değerlendirme yöntemi ile KPSS sonuçlarına göre puan türleri, asgari puanlar ve diğer hususlar Başkan Onayını müteakip Resmî </w:t>
      </w:r>
      <w:r w:rsidR="00274939">
        <w:rPr>
          <w:rFonts w:ascii="Calibri" w:hAnsi="Calibri"/>
          <w:i/>
          <w:iCs/>
        </w:rPr>
        <w:t>Gazetede</w:t>
      </w:r>
      <w:r w:rsidRPr="00CF56CC">
        <w:rPr>
          <w:rFonts w:ascii="Calibri" w:hAnsi="Calibri"/>
          <w:i/>
          <w:iCs/>
        </w:rPr>
        <w:t>, Kurumun internet sayfasında ve Cumhurbaşkanınca belirlenen kurumun internet sitesinde ilan edilir.”</w:t>
      </w:r>
    </w:p>
    <w:p w:rsidR="00EE36C8" w:rsidRPr="00CF56CC" w:rsidRDefault="00EE36C8" w:rsidP="000A5A56">
      <w:pPr>
        <w:numPr>
          <w:ilvl w:val="0"/>
          <w:numId w:val="32"/>
        </w:numPr>
        <w:spacing w:after="160" w:line="259" w:lineRule="auto"/>
        <w:contextualSpacing/>
      </w:pPr>
      <w:r w:rsidRPr="00EE36C8">
        <w:t>7 nci maddesinin birinci fıkrasının (c) bendi aşağıdaki şekilde değiştirilmiştir.</w:t>
      </w:r>
    </w:p>
    <w:p w:rsidR="003E4710" w:rsidRPr="00B8278A" w:rsidRDefault="00EE36C8" w:rsidP="00B8278A">
      <w:pPr>
        <w:pStyle w:val="ListeParagraf"/>
        <w:ind w:left="1418"/>
        <w:rPr>
          <w:rFonts w:ascii="Calibri" w:hAnsi="Calibri"/>
          <w:i/>
          <w:iCs/>
        </w:rPr>
      </w:pPr>
      <w:r w:rsidRPr="00EE36C8">
        <w:rPr>
          <w:rFonts w:ascii="Calibri" w:hAnsi="Calibri"/>
          <w:i/>
          <w:iCs/>
        </w:rPr>
        <w:t>“c) KPSS’den sınav duyurusunda belirtilen puan türlerine göre son başvuru tarihi itibarıyla, geçerlilik süresi dolmamış taban puanı almış olmak,”</w:t>
      </w:r>
    </w:p>
    <w:p w:rsidR="00EE36C8" w:rsidRPr="00CF56CC" w:rsidRDefault="00EE36C8" w:rsidP="000A5A56">
      <w:pPr>
        <w:numPr>
          <w:ilvl w:val="0"/>
          <w:numId w:val="32"/>
        </w:numPr>
        <w:spacing w:after="160" w:line="259" w:lineRule="auto"/>
        <w:contextualSpacing/>
      </w:pPr>
      <w:r w:rsidRPr="00EE36C8">
        <w:t>8 inci maddesinin birinci fıkrasının (a) bendinde yer alan “örneği” ibaresinden sonra gelmek üzere “(Eğitimini yurt dışında tamamlamış olanlar için diploma denkliğinin Yükseköğretim Kurulunca kabul edildiğini gösterir belgenin aslı ya da onaylı örneği)” ibaresi eklenmiş, (b) bendi ile ikinci fıkrası aşağıdaki şekilde değiştirilmiştir.</w:t>
      </w:r>
    </w:p>
    <w:p w:rsidR="00EE36C8" w:rsidRPr="00EE36C8" w:rsidRDefault="00EE36C8" w:rsidP="00B8278A">
      <w:pPr>
        <w:pStyle w:val="ListeParagraf"/>
        <w:ind w:left="1418"/>
        <w:rPr>
          <w:rFonts w:ascii="Calibri" w:hAnsi="Calibri"/>
          <w:i/>
          <w:iCs/>
        </w:rPr>
      </w:pPr>
      <w:r w:rsidRPr="00EE36C8">
        <w:rPr>
          <w:rFonts w:ascii="Calibri" w:hAnsi="Calibri"/>
          <w:i/>
          <w:iCs/>
        </w:rPr>
        <w:lastRenderedPageBreak/>
        <w:t>“b) Son üç ay içinde çekilmiş üç adet renkli vesikalık fotoğraf,”</w:t>
      </w:r>
    </w:p>
    <w:p w:rsidR="00EE36C8" w:rsidRDefault="00EE36C8" w:rsidP="00B8278A">
      <w:pPr>
        <w:pStyle w:val="ListeParagraf"/>
        <w:ind w:left="1418"/>
      </w:pPr>
      <w:r w:rsidRPr="00EE36C8">
        <w:rPr>
          <w:rFonts w:ascii="Calibri" w:hAnsi="Calibri"/>
          <w:i/>
          <w:iCs/>
        </w:rPr>
        <w:t>“(2) Başvurular ilanda belirtilen yerlere şahsen ya da ilanda belirtildiği takdirde posta ile veya internet üzerinden yapılır. Birinci fıkrada sayılan belgelerin son başvuru tarihi mesai bitimine kadar Kuruma teslim edilmesi şarttır. Postadaki gecikmeler ve ilanda belirtilen süre içerisinde yapılmayan başvurular dikkate alınmaz.”</w:t>
      </w:r>
    </w:p>
    <w:p w:rsidR="00EE36C8" w:rsidRDefault="00EE36C8" w:rsidP="000A5A56">
      <w:pPr>
        <w:numPr>
          <w:ilvl w:val="0"/>
          <w:numId w:val="32"/>
        </w:numPr>
        <w:spacing w:after="160" w:line="259" w:lineRule="auto"/>
        <w:contextualSpacing/>
      </w:pPr>
      <w:r w:rsidRPr="00EE36C8">
        <w:t>9 uncu maddesi yürürlükten kaldırılmıştır.</w:t>
      </w:r>
    </w:p>
    <w:p w:rsidR="00EE36C8" w:rsidRDefault="00EE36C8" w:rsidP="00EE36C8">
      <w:pPr>
        <w:spacing w:after="160" w:line="259" w:lineRule="auto"/>
        <w:ind w:left="1440"/>
        <w:contextualSpacing/>
      </w:pPr>
    </w:p>
    <w:p w:rsidR="00EE36C8" w:rsidRDefault="00EE36C8" w:rsidP="000A5A56">
      <w:pPr>
        <w:numPr>
          <w:ilvl w:val="0"/>
          <w:numId w:val="32"/>
        </w:numPr>
        <w:spacing w:after="160" w:line="259" w:lineRule="auto"/>
        <w:contextualSpacing/>
      </w:pPr>
      <w:r w:rsidRPr="00EE36C8">
        <w:t xml:space="preserve">10 uncu maddesinin ikinci ve beşinci fıkralarında yer alan </w:t>
      </w:r>
      <w:r w:rsidRPr="004B46F8">
        <w:rPr>
          <w:i/>
        </w:rPr>
        <w:t>“sınav yapılması halinde,”</w:t>
      </w:r>
      <w:r w:rsidRPr="00EE36C8">
        <w:t xml:space="preserve"> ibareleri ile üçüncü fıkrası yürürlükten kaldırılmıştır.</w:t>
      </w:r>
    </w:p>
    <w:p w:rsidR="00EE36C8" w:rsidRDefault="00EE36C8" w:rsidP="00EE36C8">
      <w:pPr>
        <w:spacing w:after="160" w:line="259" w:lineRule="auto"/>
        <w:ind w:left="1440"/>
        <w:contextualSpacing/>
      </w:pPr>
    </w:p>
    <w:p w:rsidR="00EE36C8" w:rsidRDefault="00EE36C8" w:rsidP="000A5A56">
      <w:pPr>
        <w:numPr>
          <w:ilvl w:val="0"/>
          <w:numId w:val="32"/>
        </w:numPr>
        <w:spacing w:after="160" w:line="259" w:lineRule="auto"/>
        <w:contextualSpacing/>
      </w:pPr>
      <w:r w:rsidRPr="00EE36C8">
        <w:t>11 inci maddesi aşağıdaki şekilde değiştirilmiştir.</w:t>
      </w:r>
    </w:p>
    <w:p w:rsidR="00EE36C8" w:rsidRPr="00B8278A" w:rsidRDefault="00EE36C8" w:rsidP="00B8278A">
      <w:pPr>
        <w:pStyle w:val="ListeParagraf"/>
        <w:ind w:left="1418"/>
        <w:rPr>
          <w:rFonts w:ascii="Calibri" w:hAnsi="Calibri"/>
          <w:i/>
          <w:iCs/>
        </w:rPr>
      </w:pPr>
      <w:r w:rsidRPr="00B8278A">
        <w:rPr>
          <w:rFonts w:ascii="Calibri" w:hAnsi="Calibri"/>
          <w:i/>
          <w:iCs/>
        </w:rPr>
        <w:t>“MADDE 11- (1) Giriş sınavı komisyonu; Başkan tarafından görevlendirilen başkan yardımcısı veya daire başkanı başkanlığında, daire başkanları, grup başkanları veya Kurumda en az beş yıl görev yapmış uzmanlar arasından belirlenen beş asıl, beş yedek üyeden oluşur. İnsan Kaynakları ve Destek Hizmetleri Dairesi Başkanı giriş sınavı komisyonunun doğal üyesidir. Başkan gerekli görürse giriş sınavı komisyonu üyesi olarak yükseköğretim kurumları öğretim üyelerinden yararlanabilir. Ancak bu şekilde görevlendirilecek üye sayısı ikiyi geçemez.</w:t>
      </w:r>
    </w:p>
    <w:p w:rsidR="00EE36C8" w:rsidRPr="00B8278A" w:rsidRDefault="00EE36C8" w:rsidP="00B8278A">
      <w:pPr>
        <w:pStyle w:val="ListeParagraf"/>
        <w:ind w:left="1418"/>
        <w:rPr>
          <w:rFonts w:ascii="Calibri" w:hAnsi="Calibri"/>
          <w:i/>
          <w:iCs/>
        </w:rPr>
      </w:pPr>
      <w:r w:rsidRPr="00B8278A">
        <w:rPr>
          <w:rFonts w:ascii="Calibri" w:hAnsi="Calibri"/>
          <w:i/>
          <w:iCs/>
        </w:rPr>
        <w:t>(2) Asıl üyelerin belgeye dayalı mazeretlerinin olması durumunda yedek üyeler tespit sırasına göre giriş sınavı komisyonuna katılırlar. Giriş sınavı komisyonunun başkan ve üyeleri; boşanmış olsalar dahi eşlerinin, üçüncü dereceye kadar (bu derece dahil) kan ve kayın hısımlarının veya evlatlıklarının katıldıkları öğrenim dalı ile ilgili sınavlarda görev alamazlar, bunların yerine yedek üyeler katılır.</w:t>
      </w:r>
    </w:p>
    <w:p w:rsidR="00EE36C8" w:rsidRPr="00B8278A" w:rsidRDefault="00EE36C8" w:rsidP="00B8278A">
      <w:pPr>
        <w:pStyle w:val="ListeParagraf"/>
        <w:ind w:left="1418"/>
        <w:rPr>
          <w:rFonts w:ascii="Calibri" w:hAnsi="Calibri"/>
          <w:i/>
          <w:iCs/>
        </w:rPr>
      </w:pPr>
      <w:r w:rsidRPr="00B8278A">
        <w:rPr>
          <w:rFonts w:ascii="Calibri" w:hAnsi="Calibri"/>
          <w:i/>
          <w:iCs/>
        </w:rPr>
        <w:t>(3) Giriş sınavı komisyonu üye tam sayısıyla toplanır ve oy çokluğuyla karar alır. Kararlarda çekimser oy kullanılamaz. Karşı oy kullanan giriş sınavı komisyon üyeleri, gerekçesini komisyon kararına yazmak ve imzalamak zorundadır.</w:t>
      </w:r>
    </w:p>
    <w:p w:rsidR="00EE36C8" w:rsidRPr="00B8278A" w:rsidRDefault="00EE36C8" w:rsidP="00B8278A">
      <w:pPr>
        <w:pStyle w:val="ListeParagraf"/>
        <w:ind w:left="1418"/>
        <w:rPr>
          <w:rFonts w:ascii="Calibri" w:hAnsi="Calibri"/>
          <w:i/>
          <w:iCs/>
        </w:rPr>
      </w:pPr>
      <w:r w:rsidRPr="00B8278A">
        <w:rPr>
          <w:rFonts w:ascii="Calibri" w:hAnsi="Calibri"/>
          <w:i/>
          <w:iCs/>
        </w:rPr>
        <w:t>(4) Sınav sorularının hazırlanması veya hazırlattırılması, sınav sonuçlarının değerlendirilmesi ve itirazların incelenerek karara bağlanması giriş sınavı komisyonu tarafından yapılır.</w:t>
      </w:r>
    </w:p>
    <w:p w:rsidR="00EE36C8" w:rsidRDefault="00EE36C8" w:rsidP="00B8278A">
      <w:pPr>
        <w:pStyle w:val="ListeParagraf"/>
        <w:ind w:left="1418"/>
        <w:rPr>
          <w:rFonts w:ascii="Calibri" w:hAnsi="Calibri"/>
          <w:i/>
          <w:iCs/>
        </w:rPr>
      </w:pPr>
      <w:r w:rsidRPr="00B8278A">
        <w:rPr>
          <w:rFonts w:ascii="Calibri" w:hAnsi="Calibri"/>
          <w:i/>
          <w:iCs/>
        </w:rPr>
        <w:t>(5) Giriş sınavı komisyonunun sekretarya hizmetleri İnsan Kaynakları ve Destek Hizmetleri Dairesi Başkanlığınca yürütülür.”</w:t>
      </w:r>
    </w:p>
    <w:p w:rsidR="00EE36C8" w:rsidRDefault="00EE36C8" w:rsidP="000A5A56">
      <w:pPr>
        <w:numPr>
          <w:ilvl w:val="0"/>
          <w:numId w:val="32"/>
        </w:numPr>
        <w:spacing w:after="160" w:line="259" w:lineRule="auto"/>
        <w:contextualSpacing/>
      </w:pPr>
      <w:r w:rsidRPr="00EE36C8">
        <w:t>2 nci maddesinin birinci ve dördüncü fıkraları aşağıdaki şekilde değiştirilmiştir.</w:t>
      </w:r>
    </w:p>
    <w:p w:rsidR="00EE36C8" w:rsidRPr="00EE36C8" w:rsidRDefault="00EE36C8" w:rsidP="00B8278A">
      <w:pPr>
        <w:pStyle w:val="ListeParagraf"/>
        <w:ind w:left="1418"/>
        <w:rPr>
          <w:rFonts w:ascii="Calibri" w:hAnsi="Calibri"/>
          <w:i/>
          <w:iCs/>
        </w:rPr>
      </w:pPr>
      <w:r w:rsidRPr="00EE36C8">
        <w:rPr>
          <w:rFonts w:ascii="Calibri" w:hAnsi="Calibri"/>
          <w:i/>
          <w:iCs/>
        </w:rPr>
        <w:t>“(1) Yazılı sınav, mezuniyet durumu dikkate alınarak sınav duyurusunda belirtilen mesleki alan bilgisi ve yabancı dil bilgisi konularından yapılır.”</w:t>
      </w:r>
    </w:p>
    <w:p w:rsidR="00EE36C8" w:rsidRDefault="00EE36C8" w:rsidP="00B8278A">
      <w:pPr>
        <w:pStyle w:val="ListeParagraf"/>
        <w:ind w:left="1418"/>
      </w:pPr>
      <w:r w:rsidRPr="00EE36C8">
        <w:rPr>
          <w:rFonts w:ascii="Calibri" w:hAnsi="Calibri"/>
          <w:i/>
          <w:iCs/>
        </w:rPr>
        <w:t>“(4) Yabancı dil sorularının hazırlanacağı yabancı dil veya yabancı diller, giriş sınavı ilanında belirtilir.”</w:t>
      </w:r>
    </w:p>
    <w:p w:rsidR="00EE36C8" w:rsidRDefault="00EE36C8" w:rsidP="000A5A56">
      <w:pPr>
        <w:numPr>
          <w:ilvl w:val="0"/>
          <w:numId w:val="32"/>
        </w:numPr>
        <w:spacing w:after="160" w:line="259" w:lineRule="auto"/>
        <w:contextualSpacing/>
      </w:pPr>
      <w:r w:rsidRPr="00EE36C8">
        <w:t xml:space="preserve">13 üncü maddesinin birinci fıkrasında yer alan </w:t>
      </w:r>
      <w:r w:rsidRPr="004B46F8">
        <w:rPr>
          <w:i/>
        </w:rPr>
        <w:t>“Kurumca yazılı sınav yapılması halinde”</w:t>
      </w:r>
      <w:r w:rsidRPr="00EE36C8">
        <w:t xml:space="preserve"> ibaresi </w:t>
      </w:r>
      <w:r w:rsidRPr="004B46F8">
        <w:rPr>
          <w:i/>
        </w:rPr>
        <w:t xml:space="preserve">“Yazılı sınavda” </w:t>
      </w:r>
      <w:r w:rsidRPr="00EE36C8">
        <w:t xml:space="preserve">şeklinde, (b) ve (e) bentleri aşağıdaki şekilde, (ç) bendinde yer alan </w:t>
      </w:r>
      <w:r w:rsidRPr="004B46F8">
        <w:rPr>
          <w:i/>
        </w:rPr>
        <w:t xml:space="preserve">“komisyon” </w:t>
      </w:r>
      <w:r w:rsidRPr="00EE36C8">
        <w:t xml:space="preserve">ibaresi </w:t>
      </w:r>
      <w:r w:rsidRPr="004B46F8">
        <w:rPr>
          <w:i/>
        </w:rPr>
        <w:t>“giriş sınavı komisyonu”</w:t>
      </w:r>
      <w:r w:rsidRPr="00EE36C8">
        <w:t xml:space="preserve"> şeklinde, (g) bendinde yer alan </w:t>
      </w:r>
      <w:r w:rsidRPr="004B46F8">
        <w:rPr>
          <w:i/>
        </w:rPr>
        <w:t>“Komisyon”</w:t>
      </w:r>
      <w:r w:rsidRPr="00EE36C8">
        <w:t xml:space="preserve"> ibaresi </w:t>
      </w:r>
      <w:r w:rsidRPr="004B46F8">
        <w:rPr>
          <w:i/>
        </w:rPr>
        <w:t>“Giriş sınavı komisyonu”</w:t>
      </w:r>
      <w:r w:rsidRPr="00EE36C8">
        <w:t xml:space="preserve"> şeklinde ve (ğ) bendinde yer alan </w:t>
      </w:r>
      <w:r w:rsidRPr="004B46F8">
        <w:rPr>
          <w:i/>
        </w:rPr>
        <w:t>“Komisyon”</w:t>
      </w:r>
      <w:r w:rsidRPr="00EE36C8">
        <w:t xml:space="preserve"> ibaresi </w:t>
      </w:r>
      <w:r w:rsidRPr="004B46F8">
        <w:rPr>
          <w:i/>
        </w:rPr>
        <w:t>“giriş sınavı komisyonu”</w:t>
      </w:r>
      <w:r w:rsidRPr="00EE36C8">
        <w:t xml:space="preserve"> şeklinde değiştirilmiştir.</w:t>
      </w:r>
    </w:p>
    <w:p w:rsidR="00EE36C8" w:rsidRDefault="00EE36C8" w:rsidP="00B8278A">
      <w:pPr>
        <w:pStyle w:val="ListeParagraf"/>
        <w:ind w:left="1418"/>
        <w:rPr>
          <w:rFonts w:ascii="Calibri" w:hAnsi="Calibri"/>
          <w:i/>
          <w:iCs/>
        </w:rPr>
      </w:pPr>
      <w:r w:rsidRPr="00EE36C8">
        <w:rPr>
          <w:rFonts w:ascii="Calibri" w:hAnsi="Calibri"/>
          <w:i/>
          <w:iCs/>
        </w:rPr>
        <w:t xml:space="preserve">“b) Sınavlar, giriş sınavı komisyonunun gözetimi ve denetimi altında yapılır. Giriş sınavı komisyonu başkanınca yeterli sayıda gözetmen görevlendirilir. Sınav başlamadan önce adayların </w:t>
      </w:r>
      <w:r w:rsidRPr="00EE36C8">
        <w:rPr>
          <w:rFonts w:ascii="Calibri" w:hAnsi="Calibri"/>
          <w:i/>
          <w:iCs/>
        </w:rPr>
        <w:lastRenderedPageBreak/>
        <w:t>hüviyetlerinin kontrol edildiği, soru zarfının sağlam, kapalı ve mühürlü olduğu hususunda tutanak düzenlenir ve sınav kuralları açıklanarak, adayların önünde kapalı soru zarfı açılır.”</w:t>
      </w:r>
    </w:p>
    <w:p w:rsidR="00EE36C8" w:rsidRPr="00EE36C8" w:rsidRDefault="00EE36C8" w:rsidP="00B8278A">
      <w:pPr>
        <w:pStyle w:val="ListeParagraf"/>
        <w:ind w:left="1418"/>
        <w:rPr>
          <w:rFonts w:ascii="Calibri" w:hAnsi="Calibri"/>
          <w:i/>
          <w:iCs/>
        </w:rPr>
      </w:pPr>
    </w:p>
    <w:p w:rsidR="00EE36C8" w:rsidRDefault="00EE36C8" w:rsidP="00B8278A">
      <w:pPr>
        <w:pStyle w:val="ListeParagraf"/>
        <w:ind w:left="1418"/>
        <w:rPr>
          <w:rFonts w:ascii="Calibri" w:hAnsi="Calibri"/>
          <w:i/>
          <w:iCs/>
        </w:rPr>
      </w:pPr>
      <w:r w:rsidRPr="00EE36C8">
        <w:rPr>
          <w:rFonts w:ascii="Calibri" w:hAnsi="Calibri"/>
          <w:i/>
          <w:iCs/>
        </w:rPr>
        <w:t xml:space="preserve"> “e) Yazılı sınav sonucunda, alan bilgisi ve yabancı dil bilgisi konuları ayrı ayrı yüz tam puan üzerinden değerlendirilir ve alan bilgisine yüzde yetmiş oranında, yabancı dil bilgisine ise yüzde otuz oranında ağırlık puanı uygulanır. Sınavın klasik veya klasik ve test usulünde beraberce yapılması durumunda cevap kâğıtlarının değerlendirilmesi belirlenen oranlarda ağırlık puanı uygulanmak suretiyle giriş sınavı komisyonunun her bir üyesince ayrı ayrı yapılır. Bu şekilde yapılan sınavda, giriş sınavı komisyonu başkan ve üyelerinin verdikleri nihai puanların aritmetik ortalaması alınır. Yazılı sınavda başarılı sayılmak için, alan bilgisi ve yabancı dil bilgisi konularından ayrı ayrı en az yetmiş puan alınması şarttır.”</w:t>
      </w:r>
    </w:p>
    <w:p w:rsidR="00EE36C8" w:rsidRDefault="00EE36C8" w:rsidP="000A5A56">
      <w:pPr>
        <w:numPr>
          <w:ilvl w:val="0"/>
          <w:numId w:val="32"/>
        </w:numPr>
        <w:spacing w:after="160" w:line="259" w:lineRule="auto"/>
        <w:contextualSpacing/>
      </w:pPr>
      <w:r w:rsidRPr="00EE36C8">
        <w:t xml:space="preserve">14 üncü maddesinde yer alan </w:t>
      </w:r>
      <w:r w:rsidRPr="004B46F8">
        <w:rPr>
          <w:i/>
        </w:rPr>
        <w:t>“veya yazılı sınav yapılmaksızın doğrudan”</w:t>
      </w:r>
      <w:r w:rsidRPr="00EE36C8">
        <w:t xml:space="preserve"> ibaresi yürürlükten kaldırılmış, </w:t>
      </w:r>
      <w:r w:rsidRPr="004B46F8">
        <w:rPr>
          <w:i/>
        </w:rPr>
        <w:t>“komisyon” ibaresi “giriş sınavı komisyonu”</w:t>
      </w:r>
      <w:r w:rsidRPr="00EE36C8">
        <w:t xml:space="preserve"> şeklinde, </w:t>
      </w:r>
      <w:r w:rsidRPr="004B46F8">
        <w:rPr>
          <w:i/>
        </w:rPr>
        <w:t>“Komisyon”</w:t>
      </w:r>
      <w:r w:rsidRPr="00EE36C8">
        <w:t xml:space="preserve"> ibaresi </w:t>
      </w:r>
      <w:r w:rsidRPr="004B46F8">
        <w:rPr>
          <w:i/>
        </w:rPr>
        <w:t xml:space="preserve">“giriş sınavı komisyonu” </w:t>
      </w:r>
      <w:r w:rsidRPr="00EE36C8">
        <w:t>şeklinde değiştirilmiştir.</w:t>
      </w:r>
    </w:p>
    <w:p w:rsidR="00EE36C8" w:rsidRDefault="00EE36C8" w:rsidP="00EE36C8">
      <w:pPr>
        <w:spacing w:after="160" w:line="259" w:lineRule="auto"/>
        <w:ind w:left="1440"/>
        <w:contextualSpacing/>
      </w:pPr>
    </w:p>
    <w:p w:rsidR="00EE36C8" w:rsidRDefault="00EE36C8" w:rsidP="000A5A56">
      <w:pPr>
        <w:numPr>
          <w:ilvl w:val="0"/>
          <w:numId w:val="32"/>
        </w:numPr>
        <w:spacing w:after="160" w:line="259" w:lineRule="auto"/>
        <w:contextualSpacing/>
      </w:pPr>
      <w:r w:rsidRPr="00EE36C8">
        <w:t xml:space="preserve">15 inci maddesinin birinci, üçüncü ve dördüncü fıkraları aşağıdaki şekilde, altıncı fıkrasında yer alan </w:t>
      </w:r>
      <w:r w:rsidRPr="004B46F8">
        <w:rPr>
          <w:i/>
        </w:rPr>
        <w:t>“Komisyon”</w:t>
      </w:r>
      <w:r w:rsidRPr="00EE36C8">
        <w:t xml:space="preserve"> ibaresi </w:t>
      </w:r>
      <w:r w:rsidRPr="004B46F8">
        <w:rPr>
          <w:i/>
        </w:rPr>
        <w:t>“giriş sınavı komisyonu”</w:t>
      </w:r>
      <w:r w:rsidRPr="00EE36C8">
        <w:t xml:space="preserve"> şeklinde değiştirilmiştir.</w:t>
      </w:r>
    </w:p>
    <w:p w:rsidR="00EE36C8" w:rsidRPr="00EE36C8" w:rsidRDefault="00EE36C8" w:rsidP="00B8278A">
      <w:pPr>
        <w:pStyle w:val="ListeParagraf"/>
        <w:ind w:left="1418"/>
        <w:rPr>
          <w:rFonts w:ascii="Calibri" w:hAnsi="Calibri"/>
          <w:i/>
          <w:iCs/>
        </w:rPr>
      </w:pPr>
      <w:r w:rsidRPr="00EE36C8">
        <w:rPr>
          <w:rFonts w:ascii="Calibri" w:hAnsi="Calibri"/>
          <w:i/>
          <w:iCs/>
        </w:rPr>
        <w:t>“(1) Giriş sınavı komisyonu, yazılı sınav ile sözlü sınav notunun aritmetik ortalamasını almak suretiyle adayların giriş sınavı başarı puanlarını tespit eder.”</w:t>
      </w:r>
    </w:p>
    <w:p w:rsidR="00EE36C8" w:rsidRPr="00EE36C8" w:rsidRDefault="00EE36C8" w:rsidP="00B8278A">
      <w:pPr>
        <w:pStyle w:val="ListeParagraf"/>
        <w:ind w:left="1418"/>
        <w:rPr>
          <w:rFonts w:ascii="Calibri" w:hAnsi="Calibri"/>
          <w:i/>
          <w:iCs/>
        </w:rPr>
      </w:pPr>
      <w:r w:rsidRPr="00EE36C8">
        <w:rPr>
          <w:rFonts w:ascii="Calibri" w:hAnsi="Calibri"/>
          <w:i/>
          <w:iCs/>
        </w:rPr>
        <w:t>“(3) Sınav sonuçlarına göre giriş sınavı duyurusunda belirtilen öğrenim dalları itibarıyla ayrı ayrı başarı sıralaması yapılarak, başarı puanı en yüksek olan adaydan başlanmak suretiyle, ilanda belirtilen öğrenim dallarına göre atama yapılacak kadro sayısı kadar asıl adayın isimleri tutanakla belirlenir. Giriş sınavından yetmiş veya daha fazla puan almış olmak kaydıyla, giriş sınavı duyurusunda belirtilen uzman yardımcısı kadro sayısının yarısını geçmemek üzere giriş sınavı komisyonu tarafından belirlenen sayıda yedek adayın isimlerini kapsayan bir liste belirlenerek ilan edilir. Başarı sırasına göre oluşturulacak yedek aday listesi, sınav sonuçlarının ilan edildiği tarihten itibaren bir yılı geçmemek üzere müteakip sınava kadar geçerlidir. Başkanın onayı ile belirlenen asıl ve yedek liste Kurumun internet sitesinde ilan edilir. Ayrıca, sınav sonucu sınavda başarılı olan adaylara yazılı olarak bildirilir.</w:t>
      </w:r>
    </w:p>
    <w:p w:rsidR="00EE36C8" w:rsidRDefault="00EE36C8" w:rsidP="00B8278A">
      <w:pPr>
        <w:pStyle w:val="ListeParagraf"/>
        <w:ind w:left="1418"/>
      </w:pPr>
      <w:r w:rsidRPr="00EE36C8">
        <w:rPr>
          <w:rFonts w:ascii="Calibri" w:hAnsi="Calibri"/>
          <w:i/>
          <w:iCs/>
        </w:rPr>
        <w:t>(4) Sınav sonuçları açıklanırken, kazanan adayların giriş sınavı sonuçlarının eşit olması halinde, yazılı puanı yüksek olan aday; her iki puanın da eşit olması hâlinde, KPSS puanı yüksek olan aday sıralamada üstte yer alır.”</w:t>
      </w:r>
    </w:p>
    <w:p w:rsidR="00EE36C8" w:rsidRDefault="00EE36C8" w:rsidP="000A5A56">
      <w:pPr>
        <w:numPr>
          <w:ilvl w:val="0"/>
          <w:numId w:val="32"/>
        </w:numPr>
        <w:spacing w:after="160" w:line="259" w:lineRule="auto"/>
        <w:contextualSpacing/>
      </w:pPr>
      <w:r w:rsidRPr="00EE36C8">
        <w:t>16 ncı maddesinin birinci fıkrasının (e) bendi aşağıdaki şekilde değiştirilmiştir.</w:t>
      </w:r>
    </w:p>
    <w:p w:rsidR="00EE36C8" w:rsidRDefault="00EE36C8" w:rsidP="00B8278A">
      <w:pPr>
        <w:pStyle w:val="ListeParagraf"/>
        <w:ind w:left="1418"/>
        <w:rPr>
          <w:rFonts w:ascii="Calibri" w:hAnsi="Calibri"/>
          <w:i/>
          <w:iCs/>
        </w:rPr>
      </w:pPr>
      <w:r w:rsidRPr="00EE36C8">
        <w:rPr>
          <w:rFonts w:ascii="Calibri" w:hAnsi="Calibri"/>
          <w:i/>
          <w:iCs/>
        </w:rPr>
        <w:t>“e) 2/6/2022 tarihli ve 5649 sayılı Cumhurbaşkanı Kararıyla yürürlüğe konulan Güvenlik Soruşturması ve Arşiv Araştırması Yapılmasına Dair Yönetmelik hükümleri kapsamında istenecek bilgi ve belgeler.”</w:t>
      </w:r>
    </w:p>
    <w:p w:rsidR="00EE36C8" w:rsidRDefault="00EE36C8" w:rsidP="000A5A56">
      <w:pPr>
        <w:numPr>
          <w:ilvl w:val="0"/>
          <w:numId w:val="32"/>
        </w:numPr>
        <w:spacing w:after="160" w:line="259" w:lineRule="auto"/>
        <w:contextualSpacing/>
      </w:pPr>
      <w:r w:rsidRPr="00EE36C8">
        <w:t>17 nci maddesinin dördüncü fıkrasının ikinci cümlesi aşağıdaki şekilde değiştirilmiştir.</w:t>
      </w:r>
    </w:p>
    <w:p w:rsidR="00EE36C8" w:rsidRPr="00B8278A" w:rsidRDefault="00EE36C8" w:rsidP="00B8278A">
      <w:pPr>
        <w:pStyle w:val="ListeParagraf"/>
        <w:ind w:left="1418"/>
        <w:rPr>
          <w:rFonts w:ascii="Calibri" w:hAnsi="Calibri"/>
          <w:i/>
          <w:iCs/>
        </w:rPr>
      </w:pPr>
      <w:r w:rsidRPr="00EE36C8">
        <w:rPr>
          <w:rFonts w:ascii="Calibri" w:hAnsi="Calibri"/>
          <w:i/>
          <w:iCs/>
        </w:rPr>
        <w:t>“Söz konusu soruşturma ve araştırma işlemleri olumsuz sonuçlananlar için Güvenlik Soruşturması ve Arşiv Araştırması Yapılmasına Dair Yönetmelik hükümlerine göre işlem tesis edilir.”</w:t>
      </w:r>
    </w:p>
    <w:p w:rsidR="00EE36C8" w:rsidRDefault="00EE36C8" w:rsidP="000A5A56">
      <w:pPr>
        <w:numPr>
          <w:ilvl w:val="0"/>
          <w:numId w:val="32"/>
        </w:numPr>
        <w:spacing w:after="160" w:line="259" w:lineRule="auto"/>
        <w:contextualSpacing/>
      </w:pPr>
      <w:r w:rsidRPr="00EE36C8">
        <w:t>21 inci maddesinin üçüncü ve dördüncü fıkraları aşağıdaki şekilde değiştirilmiştir.</w:t>
      </w:r>
    </w:p>
    <w:p w:rsidR="00EE36C8" w:rsidRPr="00EE36C8" w:rsidRDefault="00EE36C8" w:rsidP="00B8278A">
      <w:pPr>
        <w:pStyle w:val="ListeParagraf"/>
        <w:ind w:left="1418"/>
        <w:rPr>
          <w:rFonts w:ascii="Calibri" w:hAnsi="Calibri"/>
          <w:i/>
          <w:iCs/>
        </w:rPr>
      </w:pPr>
      <w:r w:rsidRPr="00EE36C8">
        <w:rPr>
          <w:rFonts w:ascii="Calibri" w:hAnsi="Calibri"/>
          <w:i/>
          <w:iCs/>
        </w:rPr>
        <w:lastRenderedPageBreak/>
        <w:t>“(3) Uzman yardımcıları için, temel ve hazırlayıcı eğitim sonrasında staj ve yetiştirme programı hazırlanır ve Başkan tarafından onaylanır. Staj ve yetiştirme programının ilk iki ayı staj faaliyeti olarak değerlendirilir.</w:t>
      </w:r>
    </w:p>
    <w:p w:rsidR="00EE36C8" w:rsidRPr="00B8278A" w:rsidRDefault="00EE36C8" w:rsidP="00B8278A">
      <w:pPr>
        <w:pStyle w:val="ListeParagraf"/>
        <w:ind w:left="1418"/>
        <w:rPr>
          <w:rFonts w:ascii="Calibri" w:hAnsi="Calibri"/>
          <w:i/>
          <w:iCs/>
        </w:rPr>
      </w:pPr>
      <w:r w:rsidRPr="00EE36C8">
        <w:rPr>
          <w:rFonts w:ascii="Calibri" w:hAnsi="Calibri"/>
          <w:i/>
          <w:iCs/>
        </w:rPr>
        <w:t>(4) Uzman yardımcıları, staj ve yetiştirme döneminde en az iki farklı daire başkanlığında ve toplam iki yıldan az olmamak kaydıyla refakat çalışması yaparlar. Uzman yardımcıları refakat çalışması sırasında, görevlendirildikleri daire başkanlığı tarafından belirlenecek grup başkanı ya da uzman refakatinde araştırma ve incelemeler yapar, diğer çalışmalara iştirak eder ve mesleki uygulamaları öğrenirler. Ayrıca görevlerine ilişkin yazışma ve raporlama teknikleri konusunda bilgi ve becerilerini artıracak çalışmalara ağırlık verilir. Bunun yanı sıra, uzman yardımcılarının Kurumsal ihtiyaçlar, ilgili mevzuat ve bütçe olanakları çerçevesinde yurt içinde ve yurt dışında düzenlenecek kurs, seminer, staj ve konferans gibi çalışmalara katılmaları yoluyla mesleki bilgi ve deneyimlerinin arttırılması sağlanır. Refakat çalışması sonunda, ilgili daire başkanları, grup başkanları ve uzmanlar tarafından, uzman yardımcısına ilişkin şekli Başkanlıkça belirlenecek refakat değerlendirme formu doldurularak İnsan Kaynakları ve Destek Hizmetleri Dairesi Başkanlığına gönderilir.”</w:t>
      </w:r>
    </w:p>
    <w:p w:rsidR="00EE36C8" w:rsidRDefault="00EE36C8" w:rsidP="000A5A56">
      <w:pPr>
        <w:numPr>
          <w:ilvl w:val="0"/>
          <w:numId w:val="32"/>
        </w:numPr>
        <w:spacing w:after="160" w:line="259" w:lineRule="auto"/>
        <w:contextualSpacing/>
      </w:pPr>
      <w:r w:rsidRPr="00EE36C8">
        <w:t>25 inci maddesi yürürlükten kaldırılmıştır.</w:t>
      </w:r>
    </w:p>
    <w:p w:rsidR="00EE36C8" w:rsidRDefault="00EE36C8" w:rsidP="00EE36C8">
      <w:pPr>
        <w:spacing w:after="160" w:line="259" w:lineRule="auto"/>
        <w:ind w:left="1440"/>
        <w:contextualSpacing/>
      </w:pPr>
    </w:p>
    <w:p w:rsidR="00EE36C8" w:rsidRDefault="00EE36C8" w:rsidP="000A5A56">
      <w:pPr>
        <w:numPr>
          <w:ilvl w:val="0"/>
          <w:numId w:val="32"/>
        </w:numPr>
        <w:spacing w:after="160" w:line="259" w:lineRule="auto"/>
        <w:contextualSpacing/>
      </w:pPr>
      <w:r w:rsidRPr="00EE36C8">
        <w:t xml:space="preserve">26 ncı maddesinin ikinci fıkrası aşağıdaki şekilde, üçüncü fıkrasında yer alan </w:t>
      </w:r>
      <w:r w:rsidRPr="004B46F8">
        <w:rPr>
          <w:i/>
        </w:rPr>
        <w:t>“Tez projeleri”</w:t>
      </w:r>
      <w:r w:rsidRPr="00EE36C8">
        <w:t xml:space="preserve"> ibaresi </w:t>
      </w:r>
      <w:r w:rsidRPr="004B46F8">
        <w:rPr>
          <w:i/>
        </w:rPr>
        <w:t>“Tez projesi”</w:t>
      </w:r>
      <w:r w:rsidRPr="00EE36C8">
        <w:t xml:space="preserve"> şeklinde değiştirilmiştir.</w:t>
      </w:r>
    </w:p>
    <w:p w:rsidR="00EE36C8" w:rsidRDefault="00EE36C8" w:rsidP="00B8278A">
      <w:pPr>
        <w:pStyle w:val="ListeParagraf"/>
        <w:ind w:left="1418"/>
        <w:rPr>
          <w:rFonts w:ascii="Calibri" w:hAnsi="Calibri"/>
          <w:i/>
          <w:iCs/>
        </w:rPr>
      </w:pPr>
      <w:r w:rsidRPr="00EE36C8">
        <w:rPr>
          <w:rFonts w:ascii="Calibri" w:hAnsi="Calibri"/>
          <w:i/>
          <w:iCs/>
        </w:rPr>
        <w:t>“(2) Uzman yardımcısı; Kurumdaki aylıksız izin ile toplamı üç ayı aşan hastalık ve refakat izinleri hariç iki yıllık hizmet süresinin tamamlanmasını takip eden bir aylık süre içinde, bir tez konusu belirleyerek tez projesini hazırlar ve görev yaptığı daire başkanlığına sunar. Bağlı bulunduğu daire başkanı, kendi görüşünü de ekleyerek tez projesini en geç beş iş günü içinde İnsan Kaynakları ve Destek Hizmetleri Dairesi Başkanlığına gönderir. Tez projesinde; tezin konusu, çalışmanın amacı, önemi, yöntemi, varsayımları, bilgi toplama araçları, muhtemel kaynakçası, çalışma planı ve varsa ekleri hakkında bilgilere yer verilir. Uzman yardımcısı tez projesini Kurum içinden veya dışından seçtiği tez danışmanı ile birlikte imzalar. Kurum içinden seçilecek tez danışmanının, Kurumda en az beş yıl görev yapmış ve uzmanlık tezi hazırlamış ya da en az doktora derecesine sahip olması gerekir. Kurum dışından belirlenen tez danışmanının ise ilgili bilim dalında öğretim üyesi olması şarttır. Tez danışmanı her dönemden en fazla iki uzman yardımcısına danışmanlık yapabilir. Tez danışmanı, danışmanı olduğu uzman yardımcısının tez değerlendirme komisyonunda görev alamaz.”</w:t>
      </w:r>
    </w:p>
    <w:p w:rsidR="00EE36C8" w:rsidRDefault="00AF56E5" w:rsidP="000A5A56">
      <w:pPr>
        <w:numPr>
          <w:ilvl w:val="0"/>
          <w:numId w:val="32"/>
        </w:numPr>
        <w:spacing w:after="160" w:line="259" w:lineRule="auto"/>
        <w:contextualSpacing/>
      </w:pPr>
      <w:r w:rsidRPr="00AF56E5">
        <w:t>27 nci maddesinin üçüncü fıkrasının üçüncü cümlesi yürürlükten kaldırılmıştır.</w:t>
      </w:r>
    </w:p>
    <w:p w:rsidR="00AF56E5" w:rsidRDefault="00AF56E5" w:rsidP="00AF56E5">
      <w:pPr>
        <w:spacing w:after="160" w:line="259" w:lineRule="auto"/>
        <w:ind w:left="1440"/>
        <w:contextualSpacing/>
      </w:pPr>
    </w:p>
    <w:p w:rsidR="00AF56E5" w:rsidRDefault="00AF56E5" w:rsidP="000A5A56">
      <w:pPr>
        <w:numPr>
          <w:ilvl w:val="0"/>
          <w:numId w:val="32"/>
        </w:numPr>
        <w:spacing w:after="160" w:line="259" w:lineRule="auto"/>
        <w:contextualSpacing/>
      </w:pPr>
      <w:r w:rsidRPr="00AF56E5">
        <w:t>28 inci maddesinin ikinci fıkrası aşağıdaki şekilde değiştirilmiştir.</w:t>
      </w:r>
    </w:p>
    <w:p w:rsidR="00EE36C8" w:rsidRPr="00B8278A" w:rsidRDefault="00AF56E5" w:rsidP="00B8278A">
      <w:pPr>
        <w:pStyle w:val="ListeParagraf"/>
        <w:ind w:left="1418"/>
        <w:rPr>
          <w:rFonts w:ascii="Calibri" w:hAnsi="Calibri"/>
          <w:i/>
          <w:iCs/>
        </w:rPr>
      </w:pPr>
      <w:r w:rsidRPr="00AF56E5">
        <w:rPr>
          <w:rFonts w:ascii="Calibri" w:hAnsi="Calibri"/>
          <w:i/>
          <w:iCs/>
        </w:rPr>
        <w:t>“(2) Geçerli mazeret nedeniyle, süresi içinde tezlerini teslim edemeyenlere tezlerini sunmaları için üç ayı aşmamak üzere ilave süre verilir.”</w:t>
      </w:r>
    </w:p>
    <w:p w:rsidR="00AF56E5" w:rsidRDefault="00AF56E5" w:rsidP="000A5A56">
      <w:pPr>
        <w:numPr>
          <w:ilvl w:val="0"/>
          <w:numId w:val="32"/>
        </w:numPr>
        <w:spacing w:after="160" w:line="259" w:lineRule="auto"/>
        <w:contextualSpacing/>
      </w:pPr>
      <w:r w:rsidRPr="00AF56E5">
        <w:t>29 uncu maddesi başlığı ile birlikte aşağıdaki şekilde değiştirilmiştir.</w:t>
      </w:r>
    </w:p>
    <w:p w:rsidR="00AF56E5" w:rsidRPr="00AF56E5" w:rsidRDefault="00AF56E5" w:rsidP="00B8278A">
      <w:pPr>
        <w:pStyle w:val="ListeParagraf"/>
        <w:ind w:left="1418"/>
        <w:rPr>
          <w:rFonts w:ascii="Calibri" w:hAnsi="Calibri"/>
          <w:i/>
          <w:iCs/>
        </w:rPr>
      </w:pPr>
      <w:r w:rsidRPr="00AF56E5">
        <w:rPr>
          <w:rFonts w:ascii="Calibri" w:hAnsi="Calibri"/>
          <w:i/>
          <w:iCs/>
        </w:rPr>
        <w:t>“Tez değerlendirme komisyonu</w:t>
      </w:r>
    </w:p>
    <w:p w:rsidR="00AF56E5" w:rsidRPr="00AF56E5" w:rsidRDefault="00AF56E5" w:rsidP="00B8278A">
      <w:pPr>
        <w:pStyle w:val="ListeParagraf"/>
        <w:ind w:left="1418"/>
        <w:rPr>
          <w:rFonts w:ascii="Calibri" w:hAnsi="Calibri"/>
          <w:i/>
          <w:iCs/>
        </w:rPr>
      </w:pPr>
      <w:r w:rsidRPr="00AF56E5">
        <w:rPr>
          <w:rFonts w:ascii="Calibri" w:hAnsi="Calibri"/>
          <w:i/>
          <w:iCs/>
        </w:rPr>
        <w:t xml:space="preserve">MADDE 29- (1) Tez değerlendirme komisyonu, Başkan tarafından belirlenecek bir daire başkanının başkanlığında, uzman yardımcısının bağlı bulunduğu daire başkanı ile grup başkanları ve/veya Kurumda en az beş yıl görev yapmış uzmanlar arasından görevlendirilecek üç </w:t>
      </w:r>
      <w:r w:rsidRPr="00AF56E5">
        <w:rPr>
          <w:rFonts w:ascii="Calibri" w:hAnsi="Calibri"/>
          <w:i/>
          <w:iCs/>
        </w:rPr>
        <w:lastRenderedPageBreak/>
        <w:t>üye olmak üzere toplam beş asıl üyeden oluşur. Gerekli görülmesi halinde tez değerlendirme komisyonunda yükseköğretim kurumlarından öğretim üyeleri de görevlendirilebilir. Ayrıca, üç yedek üye belirlenir. Asıl üyelerin belgelendirebilecekleri bir mazeretlerinin olması nedeniyle tez değerlendirme komisyonuna katılamamaları halinde; daire başkanları yerine vekilleri, diğer üyeler yerine ise yedek üyeler belirlenen sıraya göre katılırlar.</w:t>
      </w:r>
    </w:p>
    <w:p w:rsidR="00AF56E5" w:rsidRPr="00AF56E5" w:rsidRDefault="00AF56E5" w:rsidP="00B8278A">
      <w:pPr>
        <w:pStyle w:val="ListeParagraf"/>
        <w:ind w:left="1418"/>
        <w:rPr>
          <w:rFonts w:ascii="Calibri" w:hAnsi="Calibri"/>
          <w:i/>
          <w:iCs/>
        </w:rPr>
      </w:pPr>
      <w:r w:rsidRPr="00AF56E5">
        <w:rPr>
          <w:rFonts w:ascii="Calibri" w:hAnsi="Calibri"/>
          <w:i/>
          <w:iCs/>
        </w:rPr>
        <w:t>(2) Tez değerlendirme komisyonu, üye tamsayısı ile toplanır ve oy çokluğuyla karar alır. Kararlarda çekimser oy kullanılamaz. Karşı oy kullanan komisyon üyeleri, gerekçesini komisyon kararına yazmak ve imzalamak zorundadır.</w:t>
      </w:r>
    </w:p>
    <w:p w:rsidR="00AF56E5" w:rsidRPr="00AF56E5" w:rsidRDefault="00AF56E5" w:rsidP="00B8278A">
      <w:pPr>
        <w:pStyle w:val="ListeParagraf"/>
        <w:ind w:left="1418"/>
        <w:rPr>
          <w:rFonts w:ascii="Calibri" w:hAnsi="Calibri"/>
          <w:i/>
          <w:iCs/>
        </w:rPr>
      </w:pPr>
      <w:r w:rsidRPr="00AF56E5">
        <w:rPr>
          <w:rFonts w:ascii="Calibri" w:hAnsi="Calibri"/>
          <w:i/>
          <w:iCs/>
        </w:rPr>
        <w:t>(3) Tez değerlendirme komisyonu başkan ve üyeleri; boşanmış olsalar dahi eşlerinin, üçüncü dereceye kadar (bu derece dahil) kan ve kayın hısımlarının veya evlatlıklarının katıldıkları sınavlarda görev alamazlar. Bunların yerine yedek üyeler katılır.</w:t>
      </w:r>
    </w:p>
    <w:p w:rsidR="00AF56E5" w:rsidRDefault="00AF56E5" w:rsidP="00B8278A">
      <w:pPr>
        <w:pStyle w:val="ListeParagraf"/>
        <w:ind w:left="1418"/>
        <w:rPr>
          <w:rFonts w:ascii="Calibri" w:hAnsi="Calibri"/>
          <w:i/>
          <w:iCs/>
        </w:rPr>
      </w:pPr>
      <w:r w:rsidRPr="00AF56E5">
        <w:rPr>
          <w:rFonts w:ascii="Calibri" w:hAnsi="Calibri"/>
          <w:i/>
          <w:iCs/>
        </w:rPr>
        <w:t>(4) Tez değerlendirme komisyonunun sekretarya hizmetleri, İnsan Kaynakları ve Destek Hizmetleri Dairesi Başkanlığınca yürütülür.”</w:t>
      </w:r>
    </w:p>
    <w:p w:rsidR="00AF56E5" w:rsidRDefault="00AF56E5" w:rsidP="000A5A56">
      <w:pPr>
        <w:numPr>
          <w:ilvl w:val="0"/>
          <w:numId w:val="32"/>
        </w:numPr>
        <w:spacing w:after="160" w:line="259" w:lineRule="auto"/>
        <w:contextualSpacing/>
      </w:pPr>
      <w:r w:rsidRPr="00AF56E5">
        <w:t xml:space="preserve">30 uncu maddesinde yer alan </w:t>
      </w:r>
      <w:r w:rsidRPr="004B46F8">
        <w:rPr>
          <w:i/>
        </w:rPr>
        <w:t>“jürinin”</w:t>
      </w:r>
      <w:r w:rsidRPr="00AF56E5">
        <w:t xml:space="preserve"> ibaresi </w:t>
      </w:r>
      <w:r w:rsidRPr="004B46F8">
        <w:rPr>
          <w:i/>
        </w:rPr>
        <w:t>“tez değerlendirme komisyonunun”</w:t>
      </w:r>
      <w:r w:rsidRPr="00AF56E5">
        <w:t xml:space="preserve"> şeklinde, </w:t>
      </w:r>
      <w:r w:rsidRPr="004B46F8">
        <w:rPr>
          <w:i/>
        </w:rPr>
        <w:t>“Jüri”</w:t>
      </w:r>
      <w:r w:rsidRPr="00AF56E5">
        <w:t xml:space="preserve"> ibaresi </w:t>
      </w:r>
      <w:r w:rsidRPr="004B46F8">
        <w:rPr>
          <w:i/>
        </w:rPr>
        <w:t>“Tez değerlendirme komisyonu”</w:t>
      </w:r>
      <w:r w:rsidRPr="00AF56E5">
        <w:t xml:space="preserve"> şeklinde, </w:t>
      </w:r>
      <w:r w:rsidRPr="004B46F8">
        <w:rPr>
          <w:i/>
        </w:rPr>
        <w:t>“jüri”</w:t>
      </w:r>
      <w:r w:rsidRPr="00AF56E5">
        <w:t xml:space="preserve"> ibaresi </w:t>
      </w:r>
      <w:r w:rsidRPr="004B46F8">
        <w:rPr>
          <w:i/>
        </w:rPr>
        <w:t>“tez değerlendirme komisyonu”</w:t>
      </w:r>
      <w:r w:rsidRPr="00AF56E5">
        <w:t xml:space="preserve"> şeklinde değiştirilmiştir.</w:t>
      </w:r>
    </w:p>
    <w:p w:rsidR="00AF56E5" w:rsidRDefault="00AF56E5" w:rsidP="00AF56E5">
      <w:pPr>
        <w:spacing w:after="160" w:line="259" w:lineRule="auto"/>
        <w:ind w:left="1440"/>
        <w:contextualSpacing/>
      </w:pPr>
    </w:p>
    <w:p w:rsidR="00AF56E5" w:rsidRDefault="00AF56E5" w:rsidP="000A5A56">
      <w:pPr>
        <w:numPr>
          <w:ilvl w:val="0"/>
          <w:numId w:val="32"/>
        </w:numPr>
        <w:spacing w:after="160" w:line="259" w:lineRule="auto"/>
        <w:contextualSpacing/>
      </w:pPr>
      <w:r w:rsidRPr="00AF56E5">
        <w:t xml:space="preserve">31 inci maddesinde yer alan </w:t>
      </w:r>
      <w:r w:rsidRPr="004B46F8">
        <w:rPr>
          <w:i/>
        </w:rPr>
        <w:t>“Jüri”</w:t>
      </w:r>
      <w:r w:rsidRPr="00AF56E5">
        <w:t xml:space="preserve"> ibareleri </w:t>
      </w:r>
      <w:r w:rsidRPr="004B46F8">
        <w:rPr>
          <w:i/>
        </w:rPr>
        <w:t>“Tez değerlendirme komisyonu”</w:t>
      </w:r>
      <w:r w:rsidRPr="00AF56E5">
        <w:t xml:space="preserve"> şeklinde, </w:t>
      </w:r>
      <w:r w:rsidRPr="004B46F8">
        <w:rPr>
          <w:i/>
        </w:rPr>
        <w:t>“jürinin”</w:t>
      </w:r>
      <w:r w:rsidRPr="00AF56E5">
        <w:t xml:space="preserve"> ibaresi </w:t>
      </w:r>
      <w:r w:rsidRPr="004B46F8">
        <w:rPr>
          <w:i/>
        </w:rPr>
        <w:t>“tez değerlendirme komisyonunun”</w:t>
      </w:r>
      <w:r w:rsidRPr="00AF56E5">
        <w:t xml:space="preserve"> şeklinde değiştirilmiştir.</w:t>
      </w:r>
    </w:p>
    <w:p w:rsidR="00AF56E5" w:rsidRDefault="00AF56E5" w:rsidP="00AF56E5">
      <w:pPr>
        <w:spacing w:after="160" w:line="259" w:lineRule="auto"/>
        <w:ind w:left="1440"/>
        <w:contextualSpacing/>
      </w:pPr>
    </w:p>
    <w:p w:rsidR="00AF56E5" w:rsidRPr="00AF56E5" w:rsidRDefault="00AF56E5" w:rsidP="000A5A56">
      <w:pPr>
        <w:numPr>
          <w:ilvl w:val="0"/>
          <w:numId w:val="32"/>
        </w:numPr>
        <w:spacing w:after="160" w:line="259" w:lineRule="auto"/>
        <w:contextualSpacing/>
      </w:pPr>
      <w:r w:rsidRPr="00AF56E5">
        <w:t xml:space="preserve">32 nci maddesinin birinci fıkrasında yer alan </w:t>
      </w:r>
      <w:r w:rsidRPr="004B46F8">
        <w:rPr>
          <w:i/>
        </w:rPr>
        <w:t>“Jüri”</w:t>
      </w:r>
      <w:r w:rsidRPr="00AF56E5">
        <w:t xml:space="preserve"> ibaresi </w:t>
      </w:r>
      <w:r w:rsidRPr="004B46F8">
        <w:rPr>
          <w:i/>
        </w:rPr>
        <w:t>“Tez değerlendirme komisyonu”</w:t>
      </w:r>
      <w:r w:rsidRPr="00AF56E5">
        <w:t xml:space="preserve"> şeklinde ikinci fıkrası aşağıdaki şekilde değiştirilmiştir.</w:t>
      </w:r>
    </w:p>
    <w:p w:rsidR="00AF56E5" w:rsidRDefault="00AF56E5" w:rsidP="00B8278A">
      <w:pPr>
        <w:pStyle w:val="ListeParagraf"/>
        <w:ind w:left="1418"/>
        <w:rPr>
          <w:rFonts w:ascii="Calibri" w:hAnsi="Calibri"/>
          <w:i/>
          <w:iCs/>
        </w:rPr>
      </w:pPr>
      <w:r w:rsidRPr="00AF56E5">
        <w:rPr>
          <w:rFonts w:ascii="Calibri" w:hAnsi="Calibri"/>
          <w:i/>
          <w:iCs/>
        </w:rPr>
        <w:t>“(2) Tezleri kabul edilmeyenlere tezlerini sunmaları veya yeni bir tez hazırlamaları için altı ayı aşmamak üzere ilave süre verilir. Yeni tez hazırlanması durumunda, tez seçimi 26 ncı maddedeki usulle yapılır.”</w:t>
      </w:r>
    </w:p>
    <w:p w:rsidR="00AF56E5" w:rsidRPr="00AF56E5" w:rsidRDefault="00AF56E5" w:rsidP="000A5A56">
      <w:pPr>
        <w:numPr>
          <w:ilvl w:val="0"/>
          <w:numId w:val="32"/>
        </w:numPr>
        <w:spacing w:after="160" w:line="259" w:lineRule="auto"/>
        <w:contextualSpacing/>
      </w:pPr>
      <w:r w:rsidRPr="00AF56E5">
        <w:t>33 üncü maddesinden sonra gelmek üzere aşağıdaki madde eklenmiştir.</w:t>
      </w:r>
    </w:p>
    <w:p w:rsidR="00AF56E5" w:rsidRPr="00AF56E5" w:rsidRDefault="00AF56E5" w:rsidP="00B8278A">
      <w:pPr>
        <w:pStyle w:val="ListeParagraf"/>
        <w:ind w:left="1418"/>
        <w:rPr>
          <w:rFonts w:ascii="Calibri" w:hAnsi="Calibri"/>
          <w:i/>
          <w:iCs/>
        </w:rPr>
      </w:pPr>
      <w:r w:rsidRPr="00AF56E5">
        <w:rPr>
          <w:rFonts w:ascii="Calibri" w:hAnsi="Calibri"/>
          <w:i/>
          <w:iCs/>
        </w:rPr>
        <w:t>“Yeterlik sınav komisyonu</w:t>
      </w:r>
    </w:p>
    <w:p w:rsidR="00AF56E5" w:rsidRPr="00AF56E5" w:rsidRDefault="00AF56E5" w:rsidP="00B8278A">
      <w:pPr>
        <w:pStyle w:val="ListeParagraf"/>
        <w:ind w:left="1418"/>
        <w:rPr>
          <w:rFonts w:ascii="Calibri" w:hAnsi="Calibri"/>
          <w:i/>
          <w:iCs/>
        </w:rPr>
      </w:pPr>
      <w:r w:rsidRPr="00AF56E5">
        <w:rPr>
          <w:rFonts w:ascii="Calibri" w:hAnsi="Calibri"/>
          <w:i/>
          <w:iCs/>
        </w:rPr>
        <w:t>MADDE 33/A- (1) Yeterlik sınav komisyonu; Başkan tarafından görevlendirilen başkan yardımcısı veya daire başkanı başkanlığında, daire başkanları, grup başkanları veya Kurumda en az beş yıl görev yapmış uzmanlar arasından belirlenen beş asıl, beş yedek üyeden oluşur. İnsan Kaynakları ve Destek Hizmetleri Dairesi Başkanı yeterlik sınav komisyonunun doğal üyesidir. Asıl üyelerin herhangi bir nedenle komisyona katılamamaları durumunda, yedek üyeler tespit sırasına göre katılırlar.</w:t>
      </w:r>
    </w:p>
    <w:p w:rsidR="00AF56E5" w:rsidRPr="00AF56E5" w:rsidRDefault="00AF56E5" w:rsidP="00B8278A">
      <w:pPr>
        <w:pStyle w:val="ListeParagraf"/>
        <w:ind w:left="1418"/>
        <w:rPr>
          <w:rFonts w:ascii="Calibri" w:hAnsi="Calibri"/>
          <w:i/>
          <w:iCs/>
        </w:rPr>
      </w:pPr>
      <w:r w:rsidRPr="00AF56E5">
        <w:rPr>
          <w:rFonts w:ascii="Calibri" w:hAnsi="Calibri"/>
          <w:i/>
          <w:iCs/>
        </w:rPr>
        <w:t>(2) Yeterlik sınav komisyonunun başkan ve üyeleri; boşanmış olsalar dahi eşlerinin, üçüncü dereceye kadar (bu derece dahil) kan ve kayın hısımlarının veya evlatlıklarının katıldıkları yeterlik sınavlarında görev alamazlar, bunların yerine yedek üyeler katılır.</w:t>
      </w:r>
    </w:p>
    <w:p w:rsidR="00AF56E5" w:rsidRDefault="00AF56E5" w:rsidP="00B8278A">
      <w:pPr>
        <w:pStyle w:val="ListeParagraf"/>
        <w:ind w:left="1418"/>
      </w:pPr>
      <w:r w:rsidRPr="00AF56E5">
        <w:rPr>
          <w:rFonts w:ascii="Calibri" w:hAnsi="Calibri"/>
          <w:i/>
          <w:iCs/>
        </w:rPr>
        <w:t>(3) Yeterlik sınav komisyonunun sekretarya hizmetleri İnsan Kaynakları ve Destek Hizmetleri Dairesi Başkanlığı tarafından yürütülür.”</w:t>
      </w:r>
    </w:p>
    <w:p w:rsidR="00AF56E5" w:rsidRPr="00AF56E5" w:rsidRDefault="00AF56E5" w:rsidP="000A5A56">
      <w:pPr>
        <w:numPr>
          <w:ilvl w:val="0"/>
          <w:numId w:val="32"/>
        </w:numPr>
        <w:spacing w:after="160" w:line="259" w:lineRule="auto"/>
        <w:contextualSpacing/>
      </w:pPr>
      <w:r w:rsidRPr="00AF56E5">
        <w:t>34 üncü maddesi aşağıdaki şekilde değiştirilmiştir.</w:t>
      </w:r>
    </w:p>
    <w:p w:rsidR="00AF56E5" w:rsidRPr="00AF56E5" w:rsidRDefault="00AF56E5" w:rsidP="00B8278A">
      <w:pPr>
        <w:pStyle w:val="ListeParagraf"/>
        <w:ind w:left="1418"/>
        <w:rPr>
          <w:rFonts w:ascii="Calibri" w:hAnsi="Calibri"/>
          <w:i/>
          <w:iCs/>
        </w:rPr>
      </w:pPr>
      <w:r w:rsidRPr="00AF56E5">
        <w:rPr>
          <w:rFonts w:ascii="Calibri" w:hAnsi="Calibri"/>
          <w:i/>
          <w:iCs/>
        </w:rPr>
        <w:t xml:space="preserve">“MADDE 34- (1) Yeterlik sınavı, Başkanlıkça belirlenecek tarihte yeterlik sınav komisyonu tarafından yazılı olarak yapılır. Tezin başarılı bulunduğu tarih ile yeterlik sınav tarihi arasındaki süre, bir aydan az olamaz. Başkan tarafından uygun görüldüğü takdirde, yazılı sınav sorularının </w:t>
      </w:r>
      <w:r w:rsidRPr="00AF56E5">
        <w:rPr>
          <w:rFonts w:ascii="Calibri" w:hAnsi="Calibri"/>
          <w:i/>
          <w:iCs/>
        </w:rPr>
        <w:lastRenderedPageBreak/>
        <w:t>bir kısmı ya da tamamı üniversitelere veya bu konuda uzmanlaşmış diğer kamu kurum ve kuruluşlarına da hazırlatılabilir. Yeterlik sınavının konuları, yeri ve tarihi sınavdan en az bir ay önce uzman yardımcısına duyurulur.</w:t>
      </w:r>
    </w:p>
    <w:p w:rsidR="00AF56E5" w:rsidRPr="00AF56E5" w:rsidRDefault="00AF56E5" w:rsidP="00B8278A">
      <w:pPr>
        <w:pStyle w:val="ListeParagraf"/>
        <w:ind w:left="1418"/>
        <w:rPr>
          <w:rFonts w:ascii="Calibri" w:hAnsi="Calibri"/>
          <w:i/>
          <w:iCs/>
        </w:rPr>
      </w:pPr>
      <w:r w:rsidRPr="00AF56E5">
        <w:rPr>
          <w:rFonts w:ascii="Calibri" w:hAnsi="Calibri"/>
          <w:i/>
          <w:iCs/>
        </w:rPr>
        <w:t>(2) Yeterlik sınavıyla, uzman yardımcısının Kurumun görev ve yetki alanına ilişkin mevzuat ile mesleğin gerektirdiği bilgi ve nitelikleri kazanıp kazanmadığı ölçülür. Yeterlik sınavı aşağıda yer alan konulardan oluşur:</w:t>
      </w:r>
    </w:p>
    <w:p w:rsidR="00AF56E5" w:rsidRPr="00AF56E5" w:rsidRDefault="00AF56E5" w:rsidP="00B8278A">
      <w:pPr>
        <w:pStyle w:val="ListeParagraf"/>
        <w:ind w:left="1418"/>
        <w:rPr>
          <w:rFonts w:ascii="Calibri" w:hAnsi="Calibri"/>
          <w:i/>
          <w:iCs/>
        </w:rPr>
      </w:pPr>
      <w:r w:rsidRPr="00AF56E5">
        <w:rPr>
          <w:rFonts w:ascii="Calibri" w:hAnsi="Calibri"/>
          <w:i/>
          <w:iCs/>
        </w:rPr>
        <w:t>a) Kurumun görev ve yetkileri.</w:t>
      </w:r>
    </w:p>
    <w:p w:rsidR="00AF56E5" w:rsidRPr="00AF56E5" w:rsidRDefault="00AF56E5" w:rsidP="00B8278A">
      <w:pPr>
        <w:pStyle w:val="ListeParagraf"/>
        <w:ind w:left="1418"/>
        <w:rPr>
          <w:rFonts w:ascii="Calibri" w:hAnsi="Calibri"/>
          <w:i/>
          <w:iCs/>
        </w:rPr>
      </w:pPr>
      <w:r w:rsidRPr="00AF56E5">
        <w:rPr>
          <w:rFonts w:ascii="Calibri" w:hAnsi="Calibri"/>
          <w:i/>
          <w:iCs/>
        </w:rPr>
        <w:t>b) Kurum teşkilat kanunu, elektrik, doğalgaz, petrol ve LPG piyasalarına ilişkin mevzuat, veri ve politikalar.</w:t>
      </w:r>
    </w:p>
    <w:p w:rsidR="00AF56E5" w:rsidRPr="00AF56E5" w:rsidRDefault="00AF56E5" w:rsidP="00B8278A">
      <w:pPr>
        <w:pStyle w:val="ListeParagraf"/>
        <w:ind w:left="1418"/>
        <w:rPr>
          <w:rFonts w:ascii="Calibri" w:hAnsi="Calibri"/>
          <w:i/>
          <w:iCs/>
        </w:rPr>
      </w:pPr>
      <w:r w:rsidRPr="00AF56E5">
        <w:rPr>
          <w:rFonts w:ascii="Calibri" w:hAnsi="Calibri"/>
          <w:i/>
          <w:iCs/>
        </w:rPr>
        <w:t>c) Türkiye’de enerji yönetimi, Türkiye’nin enerji politikaları.</w:t>
      </w:r>
    </w:p>
    <w:p w:rsidR="00AF56E5" w:rsidRPr="00AF56E5" w:rsidRDefault="00AF56E5" w:rsidP="00B8278A">
      <w:pPr>
        <w:pStyle w:val="ListeParagraf"/>
        <w:ind w:left="1418"/>
        <w:rPr>
          <w:rFonts w:ascii="Calibri" w:hAnsi="Calibri"/>
          <w:i/>
          <w:iCs/>
        </w:rPr>
      </w:pPr>
      <w:r w:rsidRPr="00AF56E5">
        <w:rPr>
          <w:rFonts w:ascii="Calibri" w:hAnsi="Calibri"/>
          <w:i/>
          <w:iCs/>
        </w:rPr>
        <w:t>ç) Uluslararası enerji politikaları, uluslararası enerji örgütlenmesi.</w:t>
      </w:r>
    </w:p>
    <w:p w:rsidR="00AF56E5" w:rsidRPr="00AF56E5" w:rsidRDefault="00AF56E5" w:rsidP="00B8278A">
      <w:pPr>
        <w:pStyle w:val="ListeParagraf"/>
        <w:ind w:left="1418"/>
        <w:rPr>
          <w:rFonts w:ascii="Calibri" w:hAnsi="Calibri"/>
          <w:i/>
          <w:iCs/>
        </w:rPr>
      </w:pPr>
      <w:r w:rsidRPr="00AF56E5">
        <w:rPr>
          <w:rFonts w:ascii="Calibri" w:hAnsi="Calibri"/>
          <w:i/>
          <w:iCs/>
        </w:rPr>
        <w:t>d) Yeterlik sınav komisyonu tarafından, uzman yardımcısının mezuniyeti, yürüttüğü iş ve işlemler dikkate alınarak belirlenecek diğer konular.</w:t>
      </w:r>
    </w:p>
    <w:p w:rsidR="00AF56E5" w:rsidRPr="00AF56E5" w:rsidRDefault="00AF56E5" w:rsidP="00B8278A">
      <w:pPr>
        <w:pStyle w:val="ListeParagraf"/>
        <w:ind w:left="1418"/>
        <w:rPr>
          <w:rFonts w:ascii="Calibri" w:hAnsi="Calibri"/>
          <w:i/>
          <w:iCs/>
        </w:rPr>
      </w:pPr>
      <w:r w:rsidRPr="00AF56E5">
        <w:rPr>
          <w:rFonts w:ascii="Calibri" w:hAnsi="Calibri"/>
          <w:i/>
          <w:iCs/>
        </w:rPr>
        <w:t>(3) Yazılı sınavın test usulünde yapılması halinde cevap anahtarına göre değerlendirme yapılır. Sınavın klasik veya klasik ve test usulünde beraberce yapılması durumunda ise cevap kâğıtlarının değerlendirilmesi yeterlik sınav komisyonunun her bir üyesince ayrı ayrı yapılarak komisyon üyelerinin yüz tam puan üzerinden verdikleri puanların aritmetik ortalaması alınır ve ayrı ayrı her üyenin verdiği not gösterilmek suretiyle sınav tutanağı tanzim edilir. Yeterlik sınavından yüz tam puan üzerinden en az yetmiş puan alan uzman yardımcıları başarılı sayılır.</w:t>
      </w:r>
    </w:p>
    <w:p w:rsidR="00AF56E5" w:rsidRDefault="00AF56E5" w:rsidP="00B8278A">
      <w:pPr>
        <w:pStyle w:val="ListeParagraf"/>
        <w:ind w:left="1418"/>
      </w:pPr>
      <w:r w:rsidRPr="00AF56E5">
        <w:rPr>
          <w:rFonts w:ascii="Calibri" w:hAnsi="Calibri"/>
          <w:i/>
          <w:iCs/>
        </w:rPr>
        <w:t>(4) Tez değerlendirme komisyonu tarafından tezi başarılı bulunduğu hâlde yeterlik sınavında başarısız olan ya da bu sınava girmeye hak kazandığı halde geçerli mazereti olmaksızın sınav hakkını kullanmayanlara, bir yıl içinde kullanılmak üzere ikinci kez yeterlik sınavı hakkı verilir.”</w:t>
      </w:r>
    </w:p>
    <w:p w:rsidR="00AF56E5" w:rsidRPr="00AF56E5" w:rsidRDefault="00AF56E5" w:rsidP="000A5A56">
      <w:pPr>
        <w:numPr>
          <w:ilvl w:val="0"/>
          <w:numId w:val="32"/>
        </w:numPr>
        <w:spacing w:after="160" w:line="259" w:lineRule="auto"/>
        <w:contextualSpacing/>
      </w:pPr>
      <w:r w:rsidRPr="00AF56E5">
        <w:t>35 inci maddesinin birinci fıkrasının birinci cümlesi ile ikinci fıkrası aşağıdaki şekilde değiştirilmiştir.</w:t>
      </w:r>
    </w:p>
    <w:p w:rsidR="00AF56E5" w:rsidRPr="00AF56E5" w:rsidRDefault="00AF56E5" w:rsidP="00B8278A">
      <w:pPr>
        <w:pStyle w:val="ListeParagraf"/>
        <w:ind w:left="1418"/>
        <w:rPr>
          <w:rFonts w:ascii="Calibri" w:hAnsi="Calibri"/>
          <w:i/>
          <w:iCs/>
        </w:rPr>
      </w:pPr>
      <w:r w:rsidRPr="00AF56E5">
        <w:rPr>
          <w:rFonts w:ascii="Calibri" w:hAnsi="Calibri"/>
          <w:i/>
          <w:iCs/>
        </w:rPr>
        <w:t>“Yeterlik sınavı sonucu, yeterlik sınav komisyonu tarafından sınav tutanaklarıyla birlikte İnsan Kaynakları ve Destek Hizmetleri Dairesi Başkanlığına bildirilir.”</w:t>
      </w:r>
    </w:p>
    <w:p w:rsidR="00AF56E5" w:rsidRDefault="00AF56E5" w:rsidP="00B8278A">
      <w:pPr>
        <w:pStyle w:val="ListeParagraf"/>
        <w:ind w:left="1418"/>
      </w:pPr>
      <w:r w:rsidRPr="00AF56E5">
        <w:rPr>
          <w:rFonts w:ascii="Calibri" w:hAnsi="Calibri"/>
          <w:i/>
          <w:iCs/>
        </w:rPr>
        <w:t>“(2) Tebliğ edildiği tarihten itibaren yedi iş günü içinde sınav sonuçlarına itiraz edilebilir. İtirazlar bu sürenin bitiminden itibaren yeterlik sınav komisyonu tarafından en fazla on iş günü içinde incelenerek karara bağlanır ve uzman yardımcısına bildirilir. İtirazlar hakkında verilen kararlar kesindir. Süresi içinde yapılmayan itirazlar dikkate alınmaz.”</w:t>
      </w:r>
    </w:p>
    <w:p w:rsidR="00B8278A" w:rsidRPr="00AF56E5" w:rsidRDefault="00B8278A" w:rsidP="000A5A56">
      <w:pPr>
        <w:numPr>
          <w:ilvl w:val="0"/>
          <w:numId w:val="32"/>
        </w:numPr>
        <w:spacing w:after="160" w:line="259" w:lineRule="auto"/>
        <w:contextualSpacing/>
      </w:pPr>
      <w:r w:rsidRPr="00B8278A">
        <w:t>36 ncı maddesinin birinci fıkrası aşağıdaki şekilde değiştirilmiş ve ikinci fıkrası yürürlükten kaldırılmıştır.</w:t>
      </w:r>
    </w:p>
    <w:p w:rsidR="00AF56E5" w:rsidRDefault="00B8278A" w:rsidP="00B8278A">
      <w:pPr>
        <w:pStyle w:val="ListeParagraf"/>
        <w:ind w:left="1418"/>
      </w:pPr>
      <w:r w:rsidRPr="00B8278A">
        <w:rPr>
          <w:rFonts w:ascii="Calibri" w:hAnsi="Calibri"/>
          <w:i/>
          <w:iCs/>
        </w:rPr>
        <w:t>“(1) Yeterlik sınavında başarılı olduğu kendisine tebliğ edilen uzman yardımcısı yeterlik sınavı tarihinde geçerli olan veya yeterlik sınavından itibaren en geç iki yıl içinde alınmış bulunan YDS/e-YDS’den asgari (C) düzeyinde veya dil yeterliği bakımından buna denkliği kabul edilen ve uluslararası geçerliliği bulunan başka bir belgeyi ibraz etmesi halinde enerji uzmanı kadrosuna atanır.”</w:t>
      </w:r>
    </w:p>
    <w:p w:rsidR="00B8278A" w:rsidRPr="00AF56E5" w:rsidRDefault="00B8278A" w:rsidP="000A5A56">
      <w:pPr>
        <w:numPr>
          <w:ilvl w:val="0"/>
          <w:numId w:val="32"/>
        </w:numPr>
        <w:spacing w:after="160" w:line="259" w:lineRule="auto"/>
        <w:contextualSpacing/>
      </w:pPr>
      <w:r w:rsidRPr="00B8278A">
        <w:t>41 inci maddesinin birinci fıkrası aşağıdaki şekilde değiştirilmiştir.</w:t>
      </w:r>
    </w:p>
    <w:p w:rsidR="00AF56E5" w:rsidRDefault="00B8278A" w:rsidP="00B8278A">
      <w:pPr>
        <w:pStyle w:val="ListeParagraf"/>
        <w:ind w:left="1418"/>
        <w:rPr>
          <w:rFonts w:ascii="Calibri" w:hAnsi="Calibri"/>
          <w:i/>
          <w:iCs/>
        </w:rPr>
      </w:pPr>
      <w:r w:rsidRPr="00B8278A">
        <w:rPr>
          <w:rFonts w:ascii="Calibri" w:hAnsi="Calibri"/>
          <w:i/>
          <w:iCs/>
        </w:rPr>
        <w:t>“(1) Uzmanlar, görevlerini ilgili mevzuat çerçevesinde, bilimsel esas ve yöntemleri kullanarak, Kurum ilke ve stratejileri doğrultusunda yerine getirir.”</w:t>
      </w:r>
    </w:p>
    <w:p w:rsidR="00B8278A" w:rsidRPr="00AF56E5" w:rsidRDefault="00B8278A" w:rsidP="000A5A56">
      <w:pPr>
        <w:numPr>
          <w:ilvl w:val="0"/>
          <w:numId w:val="32"/>
        </w:numPr>
        <w:spacing w:after="160" w:line="259" w:lineRule="auto"/>
        <w:contextualSpacing/>
      </w:pPr>
      <w:r w:rsidRPr="00B8278A">
        <w:t>Geçici</w:t>
      </w:r>
      <w:r>
        <w:t xml:space="preserve"> </w:t>
      </w:r>
      <w:r w:rsidRPr="00B8278A">
        <w:t>1 inci maddesi başlığı ile birlikte aşağıdaki şekilde değiştirilmiştir.</w:t>
      </w:r>
    </w:p>
    <w:p w:rsidR="00B8278A" w:rsidRPr="00B8278A" w:rsidRDefault="00B8278A" w:rsidP="00B8278A">
      <w:pPr>
        <w:pStyle w:val="ListeParagraf"/>
        <w:ind w:left="1418"/>
        <w:rPr>
          <w:rFonts w:ascii="Calibri" w:hAnsi="Calibri"/>
          <w:i/>
          <w:iCs/>
        </w:rPr>
      </w:pPr>
      <w:r w:rsidRPr="00B8278A">
        <w:rPr>
          <w:rFonts w:ascii="Calibri" w:hAnsi="Calibri"/>
          <w:i/>
          <w:iCs/>
        </w:rPr>
        <w:lastRenderedPageBreak/>
        <w:t>“Mevcut uzman yardımcıları</w:t>
      </w:r>
    </w:p>
    <w:p w:rsidR="00B8278A" w:rsidRDefault="00B8278A" w:rsidP="00B8278A">
      <w:pPr>
        <w:pStyle w:val="ListeParagraf"/>
        <w:ind w:left="1418"/>
        <w:rPr>
          <w:rFonts w:ascii="Calibri" w:hAnsi="Calibri"/>
          <w:i/>
          <w:iCs/>
        </w:rPr>
      </w:pPr>
      <w:r w:rsidRPr="00B8278A">
        <w:rPr>
          <w:rFonts w:ascii="Calibri" w:hAnsi="Calibri"/>
          <w:i/>
          <w:iCs/>
        </w:rPr>
        <w:t>GEÇİCİ MADDE 1- (1) Bu maddeyi ihdas eden Yönetmeliğin yürürlüğe girdiği tarihte Kurumda uzman yardımcısı kadrosunda bulunup tez seçimini gerçekleştirmeyenlerin tezleri, yeterlik sınavları ve uzmanlık kadrolarına atanmaları Yönetmeliğin değişiklikten sonraki hükümlerine göre sonuçlandırılır.”</w:t>
      </w:r>
    </w:p>
    <w:p w:rsidR="008D4565" w:rsidRDefault="008D4565" w:rsidP="00B8278A">
      <w:pPr>
        <w:pStyle w:val="ListeParagraf"/>
        <w:ind w:left="1418"/>
        <w:rPr>
          <w:rFonts w:ascii="Calibri" w:hAnsi="Calibri"/>
          <w:i/>
          <w:iCs/>
        </w:rPr>
      </w:pPr>
    </w:p>
    <w:bookmarkEnd w:id="140"/>
    <w:p w:rsidR="00DF652B" w:rsidRDefault="00DF652B" w:rsidP="007745A4">
      <w:pPr>
        <w:pStyle w:val="ListeParagraf"/>
        <w:spacing w:after="0" w:line="259" w:lineRule="auto"/>
      </w:pPr>
    </w:p>
    <w:p w:rsidR="009802D1" w:rsidRDefault="009802D1" w:rsidP="007745A4">
      <w:pPr>
        <w:pStyle w:val="ListeParagraf"/>
        <w:spacing w:after="0" w:line="259" w:lineRule="auto"/>
      </w:pPr>
    </w:p>
    <w:p w:rsidR="009802D1" w:rsidRDefault="009802D1" w:rsidP="007745A4">
      <w:pPr>
        <w:pStyle w:val="ListeParagraf"/>
        <w:spacing w:after="0" w:line="259" w:lineRule="auto"/>
      </w:pPr>
    </w:p>
    <w:p w:rsidR="009802D1" w:rsidRDefault="009802D1" w:rsidP="007745A4">
      <w:pPr>
        <w:pStyle w:val="ListeParagraf"/>
        <w:spacing w:after="0" w:line="259" w:lineRule="auto"/>
      </w:pPr>
    </w:p>
    <w:p w:rsidR="00DF652B" w:rsidRDefault="00DF652B" w:rsidP="007745A4">
      <w:pPr>
        <w:pStyle w:val="ListeParagraf"/>
        <w:spacing w:after="0" w:line="259" w:lineRule="auto"/>
      </w:pPr>
    </w:p>
    <w:p w:rsidR="00DF652B" w:rsidRDefault="00DF652B" w:rsidP="007745A4">
      <w:pPr>
        <w:pStyle w:val="ListeParagraf"/>
        <w:spacing w:after="0" w:line="259" w:lineRule="auto"/>
      </w:pPr>
    </w:p>
    <w:p w:rsidR="0017770B" w:rsidRDefault="0017770B" w:rsidP="007745A4">
      <w:pPr>
        <w:pStyle w:val="ListeParagraf"/>
        <w:spacing w:after="0" w:line="259" w:lineRule="auto"/>
      </w:pPr>
    </w:p>
    <w:p w:rsidR="0017770B" w:rsidRDefault="0017770B" w:rsidP="007745A4">
      <w:pPr>
        <w:pStyle w:val="ListeParagraf"/>
        <w:spacing w:after="0" w:line="259" w:lineRule="auto"/>
      </w:pPr>
    </w:p>
    <w:p w:rsidR="0017770B" w:rsidRDefault="0017770B" w:rsidP="007745A4">
      <w:pPr>
        <w:pStyle w:val="ListeParagraf"/>
        <w:spacing w:after="0" w:line="259" w:lineRule="auto"/>
      </w:pPr>
    </w:p>
    <w:p w:rsidR="0017770B" w:rsidRDefault="0017770B" w:rsidP="007745A4">
      <w:pPr>
        <w:pStyle w:val="ListeParagraf"/>
        <w:spacing w:after="0" w:line="259" w:lineRule="auto"/>
      </w:pPr>
    </w:p>
    <w:p w:rsidR="0017770B" w:rsidRDefault="0017770B" w:rsidP="007745A4">
      <w:pPr>
        <w:pStyle w:val="ListeParagraf"/>
        <w:spacing w:after="0" w:line="259" w:lineRule="auto"/>
      </w:pPr>
    </w:p>
    <w:p w:rsidR="0017770B" w:rsidRDefault="0017770B" w:rsidP="007745A4">
      <w:pPr>
        <w:pStyle w:val="ListeParagraf"/>
        <w:spacing w:after="0" w:line="259" w:lineRule="auto"/>
      </w:pPr>
    </w:p>
    <w:p w:rsidR="0017770B" w:rsidRDefault="0017770B" w:rsidP="007745A4">
      <w:pPr>
        <w:pStyle w:val="ListeParagraf"/>
        <w:spacing w:after="0" w:line="259" w:lineRule="auto"/>
      </w:pPr>
    </w:p>
    <w:p w:rsidR="0017770B" w:rsidRDefault="0017770B" w:rsidP="007745A4">
      <w:pPr>
        <w:pStyle w:val="ListeParagraf"/>
        <w:spacing w:after="0" w:line="259" w:lineRule="auto"/>
      </w:pPr>
    </w:p>
    <w:p w:rsidR="0017770B" w:rsidRDefault="0017770B" w:rsidP="007745A4">
      <w:pPr>
        <w:pStyle w:val="ListeParagraf"/>
        <w:spacing w:after="0" w:line="259" w:lineRule="auto"/>
      </w:pPr>
    </w:p>
    <w:p w:rsidR="0017770B" w:rsidRDefault="0017770B" w:rsidP="007745A4">
      <w:pPr>
        <w:pStyle w:val="ListeParagraf"/>
        <w:spacing w:after="0" w:line="259" w:lineRule="auto"/>
      </w:pPr>
    </w:p>
    <w:p w:rsidR="0017770B" w:rsidRDefault="0017770B" w:rsidP="007745A4">
      <w:pPr>
        <w:pStyle w:val="ListeParagraf"/>
        <w:spacing w:after="0" w:line="259" w:lineRule="auto"/>
      </w:pPr>
    </w:p>
    <w:p w:rsidR="0017770B" w:rsidRDefault="0017770B" w:rsidP="007745A4">
      <w:pPr>
        <w:pStyle w:val="ListeParagraf"/>
        <w:spacing w:after="0" w:line="259" w:lineRule="auto"/>
      </w:pPr>
    </w:p>
    <w:p w:rsidR="0017770B" w:rsidRDefault="0017770B" w:rsidP="007745A4">
      <w:pPr>
        <w:pStyle w:val="ListeParagraf"/>
        <w:spacing w:after="0" w:line="259" w:lineRule="auto"/>
      </w:pPr>
    </w:p>
    <w:p w:rsidR="0017770B" w:rsidRDefault="0017770B" w:rsidP="007745A4">
      <w:pPr>
        <w:pStyle w:val="ListeParagraf"/>
        <w:spacing w:after="0" w:line="259" w:lineRule="auto"/>
      </w:pPr>
    </w:p>
    <w:p w:rsidR="0017770B" w:rsidRDefault="0017770B" w:rsidP="007745A4">
      <w:pPr>
        <w:pStyle w:val="ListeParagraf"/>
        <w:spacing w:after="0" w:line="259" w:lineRule="auto"/>
      </w:pPr>
    </w:p>
    <w:p w:rsidR="0017770B" w:rsidRDefault="0017770B" w:rsidP="007745A4">
      <w:pPr>
        <w:pStyle w:val="ListeParagraf"/>
        <w:spacing w:after="0" w:line="259" w:lineRule="auto"/>
      </w:pPr>
    </w:p>
    <w:p w:rsidR="0017770B" w:rsidRDefault="0017770B" w:rsidP="007745A4">
      <w:pPr>
        <w:pStyle w:val="ListeParagraf"/>
        <w:spacing w:after="0" w:line="259" w:lineRule="auto"/>
      </w:pPr>
    </w:p>
    <w:p w:rsidR="0017770B" w:rsidRDefault="0017770B" w:rsidP="007745A4">
      <w:pPr>
        <w:pStyle w:val="ListeParagraf"/>
        <w:spacing w:after="0" w:line="259" w:lineRule="auto"/>
      </w:pPr>
    </w:p>
    <w:p w:rsidR="0017770B" w:rsidRDefault="0017770B" w:rsidP="007745A4">
      <w:pPr>
        <w:pStyle w:val="ListeParagraf"/>
        <w:spacing w:after="0" w:line="259" w:lineRule="auto"/>
      </w:pPr>
    </w:p>
    <w:p w:rsidR="0017770B" w:rsidRDefault="0017770B" w:rsidP="007745A4">
      <w:pPr>
        <w:pStyle w:val="ListeParagraf"/>
        <w:spacing w:after="0" w:line="259" w:lineRule="auto"/>
      </w:pPr>
    </w:p>
    <w:p w:rsidR="0017770B" w:rsidRDefault="0017770B" w:rsidP="007745A4">
      <w:pPr>
        <w:pStyle w:val="ListeParagraf"/>
        <w:spacing w:after="0" w:line="259" w:lineRule="auto"/>
      </w:pPr>
    </w:p>
    <w:p w:rsidR="0017770B" w:rsidRDefault="0017770B" w:rsidP="007745A4">
      <w:pPr>
        <w:pStyle w:val="ListeParagraf"/>
        <w:spacing w:after="0" w:line="259" w:lineRule="auto"/>
      </w:pPr>
    </w:p>
    <w:p w:rsidR="0017770B" w:rsidRDefault="0017770B" w:rsidP="007745A4">
      <w:pPr>
        <w:pStyle w:val="ListeParagraf"/>
        <w:spacing w:after="0" w:line="259" w:lineRule="auto"/>
      </w:pPr>
    </w:p>
    <w:p w:rsidR="0017770B" w:rsidRDefault="0017770B" w:rsidP="007745A4">
      <w:pPr>
        <w:pStyle w:val="ListeParagraf"/>
        <w:spacing w:after="0" w:line="259" w:lineRule="auto"/>
      </w:pPr>
    </w:p>
    <w:p w:rsidR="0017770B" w:rsidRDefault="0017770B" w:rsidP="007745A4">
      <w:pPr>
        <w:pStyle w:val="ListeParagraf"/>
        <w:spacing w:after="0" w:line="259" w:lineRule="auto"/>
      </w:pPr>
    </w:p>
    <w:p w:rsidR="0017770B" w:rsidRDefault="0017770B" w:rsidP="007745A4">
      <w:pPr>
        <w:pStyle w:val="ListeParagraf"/>
        <w:spacing w:after="0" w:line="259" w:lineRule="auto"/>
      </w:pPr>
    </w:p>
    <w:p w:rsidR="0017770B" w:rsidRDefault="0017770B" w:rsidP="007745A4">
      <w:pPr>
        <w:pStyle w:val="ListeParagraf"/>
        <w:spacing w:after="0" w:line="259" w:lineRule="auto"/>
      </w:pPr>
    </w:p>
    <w:p w:rsidR="00DF652B" w:rsidRDefault="00DF652B" w:rsidP="007745A4">
      <w:pPr>
        <w:pStyle w:val="ListeParagraf"/>
        <w:spacing w:after="0" w:line="259" w:lineRule="auto"/>
      </w:pPr>
    </w:p>
    <w:p w:rsidR="00DF652B" w:rsidRDefault="00DF652B" w:rsidP="007745A4">
      <w:pPr>
        <w:pStyle w:val="ListeParagraf"/>
        <w:spacing w:after="0" w:line="259" w:lineRule="auto"/>
      </w:pPr>
    </w:p>
    <w:p w:rsidR="00DF652B" w:rsidRDefault="00DF652B" w:rsidP="007745A4">
      <w:pPr>
        <w:pStyle w:val="ListeParagraf"/>
        <w:spacing w:after="0" w:line="259" w:lineRule="auto"/>
      </w:pPr>
    </w:p>
    <w:p w:rsidR="00DF652B" w:rsidRDefault="00DF652B" w:rsidP="007745A4">
      <w:pPr>
        <w:pStyle w:val="ListeParagraf"/>
        <w:spacing w:after="0" w:line="259" w:lineRule="auto"/>
      </w:pPr>
    </w:p>
    <w:p w:rsidR="00ED32C1" w:rsidRDefault="00ED32C1" w:rsidP="007745A4">
      <w:pPr>
        <w:pStyle w:val="ListeParagraf"/>
        <w:spacing w:after="0" w:line="259" w:lineRule="auto"/>
      </w:pPr>
    </w:p>
    <w:p w:rsidR="00CB5826" w:rsidRDefault="00CB5826" w:rsidP="000A5A56">
      <w:pPr>
        <w:pStyle w:val="Balk1"/>
        <w:numPr>
          <w:ilvl w:val="0"/>
          <w:numId w:val="11"/>
        </w:numPr>
        <w:rPr>
          <w:rFonts w:asciiTheme="minorHAnsi" w:hAnsiTheme="minorHAnsi"/>
          <w:color w:val="auto"/>
          <w:sz w:val="22"/>
          <w:szCs w:val="22"/>
        </w:rPr>
      </w:pPr>
      <w:bookmarkStart w:id="141" w:name="_Toc132713782"/>
      <w:r w:rsidRPr="00E9291A">
        <w:rPr>
          <w:rFonts w:asciiTheme="minorHAnsi" w:hAnsiTheme="minorHAnsi"/>
          <w:color w:val="auto"/>
          <w:sz w:val="22"/>
          <w:szCs w:val="22"/>
        </w:rPr>
        <w:lastRenderedPageBreak/>
        <w:t>LİSANSLAMA, SERTİFİKA VE İZİN VERME FAALİYETLERİ</w:t>
      </w:r>
      <w:bookmarkEnd w:id="32"/>
      <w:bookmarkEnd w:id="141"/>
    </w:p>
    <w:p w:rsidR="00CB5826" w:rsidRPr="00E9291A" w:rsidRDefault="00CB5826" w:rsidP="00CB5826">
      <w:pPr>
        <w:spacing w:after="0"/>
      </w:pPr>
      <w:r w:rsidRPr="00E9291A">
        <w:t xml:space="preserve">Bu bölümde elektrik, doğal gaz, petrol ve </w:t>
      </w:r>
      <w:r w:rsidR="009F28DC">
        <w:t>LPG</w:t>
      </w:r>
      <w:r w:rsidRPr="00E9291A">
        <w:t xml:space="preserve"> piyasalarına dair lisanslama, sertifika ve izin verme faaliyetleri yer almaktadır.</w:t>
      </w:r>
    </w:p>
    <w:p w:rsidR="00CB5826" w:rsidRPr="001A3AD7" w:rsidRDefault="009448AE" w:rsidP="000A5A56">
      <w:pPr>
        <w:pStyle w:val="Balk2"/>
        <w:numPr>
          <w:ilvl w:val="1"/>
          <w:numId w:val="11"/>
        </w:numPr>
        <w:spacing w:before="240" w:after="240"/>
        <w:rPr>
          <w:rFonts w:asciiTheme="minorHAnsi" w:hAnsiTheme="minorHAnsi"/>
          <w:color w:val="auto"/>
          <w:sz w:val="22"/>
          <w:szCs w:val="22"/>
        </w:rPr>
      </w:pPr>
      <w:bookmarkStart w:id="142" w:name="_Toc442431255"/>
      <w:r>
        <w:rPr>
          <w:rFonts w:asciiTheme="minorHAnsi" w:hAnsiTheme="minorHAnsi"/>
          <w:color w:val="auto"/>
          <w:sz w:val="22"/>
          <w:szCs w:val="22"/>
        </w:rPr>
        <w:t xml:space="preserve"> </w:t>
      </w:r>
      <w:bookmarkStart w:id="143" w:name="_Toc132713783"/>
      <w:r w:rsidR="00CB5826" w:rsidRPr="001A3AD7">
        <w:rPr>
          <w:rFonts w:asciiTheme="minorHAnsi" w:hAnsiTheme="minorHAnsi"/>
          <w:color w:val="auto"/>
          <w:sz w:val="22"/>
          <w:szCs w:val="22"/>
        </w:rPr>
        <w:t>Elektrik Piyasası Lisanslama ve İzin Faaliyetleri</w:t>
      </w:r>
      <w:bookmarkEnd w:id="142"/>
      <w:bookmarkEnd w:id="143"/>
    </w:p>
    <w:p w:rsidR="00AB21FD" w:rsidRPr="00DF652B" w:rsidRDefault="00CB5826" w:rsidP="000A5A56">
      <w:pPr>
        <w:pStyle w:val="Balk3"/>
        <w:numPr>
          <w:ilvl w:val="2"/>
          <w:numId w:val="11"/>
        </w:numPr>
        <w:spacing w:after="240"/>
        <w:rPr>
          <w:rFonts w:asciiTheme="minorHAnsi" w:hAnsiTheme="minorHAnsi"/>
          <w:color w:val="auto"/>
        </w:rPr>
      </w:pPr>
      <w:bookmarkStart w:id="144" w:name="_Toc442431256"/>
      <w:bookmarkStart w:id="145" w:name="_Toc132713784"/>
      <w:r w:rsidRPr="00E9291A">
        <w:rPr>
          <w:rFonts w:asciiTheme="minorHAnsi" w:hAnsiTheme="minorHAnsi"/>
          <w:color w:val="auto"/>
        </w:rPr>
        <w:t>Lisanslama Faaliyetleri</w:t>
      </w:r>
      <w:bookmarkEnd w:id="144"/>
      <w:bookmarkEnd w:id="145"/>
    </w:p>
    <w:p w:rsidR="00AB21FD" w:rsidRPr="00E9291A" w:rsidRDefault="00AB21FD" w:rsidP="00AB21FD">
      <w:pPr>
        <w:spacing w:after="0"/>
      </w:pPr>
      <w:r w:rsidRPr="00E9291A">
        <w:t xml:space="preserve">6446 sayılı </w:t>
      </w:r>
      <w:r w:rsidR="0017770B" w:rsidRPr="00E9291A">
        <w:t>Elektrik</w:t>
      </w:r>
      <w:r w:rsidR="0017770B">
        <w:t xml:space="preserve"> </w:t>
      </w:r>
      <w:r w:rsidR="0017770B" w:rsidRPr="00E9291A">
        <w:t>Piyasası Kanunu’nun</w:t>
      </w:r>
      <w:r>
        <w:t xml:space="preserve"> 4 </w:t>
      </w:r>
      <w:r w:rsidRPr="00E9291A">
        <w:t>üncü maddesinin birinci fıkrasında, elektrik piyasasında Kanun hükümleri uyarınca</w:t>
      </w:r>
      <w:r>
        <w:t xml:space="preserve"> </w:t>
      </w:r>
      <w:r w:rsidRPr="00E9291A">
        <w:t>lisans alma koşulu ile yerine getirilebilecek faaliyetler üretim, iletim, dağıtım, toptan satış, perakende satış, piyasa işletim, ithalat ve ihracat faaliyetleri olarak sayılmış; aynı maddenin üçüncü fıkrasında piyasada faaliyet gösterebilecek tüzel kişiler tanımlanmıştır. Bu kapsamda, elektrik piyasasında faaliyette bulunmak isteyen tüzel kişilerin Kurumdan lisans almaları gerekmektedir. Kurum tarafından verilecek lisanslara ilişkin usul ve esaslar Elektrik Piyasası Lisans Yönetmeliğinde düzenlenmiştir.</w:t>
      </w:r>
    </w:p>
    <w:p w:rsidR="00AB21FD" w:rsidRPr="00E9291A" w:rsidRDefault="00AB21FD" w:rsidP="00AB21FD">
      <w:pPr>
        <w:spacing w:after="0"/>
      </w:pPr>
    </w:p>
    <w:p w:rsidR="00AB21FD" w:rsidRPr="00E9291A" w:rsidRDefault="00AB21FD" w:rsidP="00AB21FD">
      <w:pPr>
        <w:spacing w:after="0"/>
      </w:pPr>
      <w:r w:rsidRPr="00E9291A">
        <w:t>Elektrik piyasasında istisnalar hariç olmak kaydıyla piyasa faaliyetleri, Kurumdan alınan lisanslar kapsamında yürütülmektedir. Her bir piyasa faaliyeti ve faaliyetin yürütüldüğü her bir tesis için ayrı lisans alınması zorunludur. Lisans sahipleri, sahip oldukları her bir lisansa konu faaliyet için ve tarifesi düzenlemeye tabi her faaliyet ve bu faaliyetin lisansı kapsamında sınırlandığı her bölge için ayrı hesap ve kayıt tutmakla yükümlüdür.</w:t>
      </w:r>
    </w:p>
    <w:p w:rsidR="00AB21FD" w:rsidRPr="00E9291A" w:rsidRDefault="00AB21FD" w:rsidP="00AB21FD">
      <w:pPr>
        <w:spacing w:after="0"/>
      </w:pPr>
    </w:p>
    <w:p w:rsidR="00AB21FD" w:rsidRPr="00E9291A" w:rsidRDefault="00AB21FD" w:rsidP="00AB21FD">
      <w:pPr>
        <w:spacing w:after="0"/>
      </w:pPr>
      <w:r w:rsidRPr="00E9291A">
        <w:t xml:space="preserve">Lisanslar, devredilememekte; ancak lisans sahibinin hisseleri devredilebilmektedir. </w:t>
      </w:r>
      <w:r w:rsidRPr="00410B0D">
        <w:rPr>
          <w:color w:val="000000" w:themeColor="text1"/>
        </w:rPr>
        <w:t xml:space="preserve">02.12.2020 tarihli ve 31322 sayılı </w:t>
      </w:r>
      <w:r w:rsidR="00263DC6" w:rsidRPr="00410B0D">
        <w:rPr>
          <w:color w:val="000000" w:themeColor="text1"/>
        </w:rPr>
        <w:t>Resmî</w:t>
      </w:r>
      <w:r w:rsidRPr="00410B0D">
        <w:rPr>
          <w:color w:val="000000" w:themeColor="text1"/>
        </w:rPr>
        <w:t xml:space="preserve"> </w:t>
      </w:r>
      <w:r w:rsidR="00274939">
        <w:rPr>
          <w:color w:val="000000" w:themeColor="text1"/>
        </w:rPr>
        <w:t>Gazetede</w:t>
      </w:r>
      <w:r w:rsidRPr="00410B0D">
        <w:rPr>
          <w:color w:val="000000" w:themeColor="text1"/>
        </w:rPr>
        <w:t xml:space="preserve"> yayımlanan 22.11.2020 tarihli ve 7257 sayılı Elektrik Piyasası Kanunu ile Bazı Kanunlarda Değişiklik Yapılmasına Dair Kanun</w:t>
      </w:r>
      <w:r w:rsidRPr="00E9291A">
        <w:t xml:space="preserve"> </w:t>
      </w:r>
      <w:r>
        <w:t>ile yapılan değişiklik çerçevesinde l</w:t>
      </w:r>
      <w:r w:rsidRPr="00E9291A">
        <w:t>isans sahibi tüzel kişilerden tarifesi düzenlemeye tabi olanların hisselerinin devre</w:t>
      </w:r>
      <w:r>
        <w:t>dilmesi Kurul onayına tabi olup</w:t>
      </w:r>
      <w:r w:rsidRPr="00E9291A">
        <w:t xml:space="preserve"> diğer lisans sahiplerinin hisse devirleri </w:t>
      </w:r>
      <w:r>
        <w:t>Kurum onayına tabi olmaktan çıkarılmıştır</w:t>
      </w:r>
      <w:r w:rsidRPr="00E9291A">
        <w:t>. Ayrıca bir lisans sahibinin; bir başka lisans sahibi ile veya lisans sahibi olmayan bir tüzel kişiyle, kendi veya lisans sahibi bir başka tüzel kişi bünyesinde tüm aktif ve pasifleriyle bir bütün olarak birleşmek istemesi</w:t>
      </w:r>
      <w:r>
        <w:t xml:space="preserve"> veya bir lisans sahibinin tam veya kısmi olarak bölünmek istemesi</w:t>
      </w:r>
      <w:r w:rsidRPr="00E9291A">
        <w:t xml:space="preserve"> halinde, Kuruldan izin alınması zorunludur.</w:t>
      </w:r>
    </w:p>
    <w:p w:rsidR="00AB21FD" w:rsidRPr="00E9291A" w:rsidRDefault="00AB21FD" w:rsidP="00AB21FD">
      <w:pPr>
        <w:spacing w:after="0"/>
      </w:pPr>
    </w:p>
    <w:p w:rsidR="00AB21FD" w:rsidRPr="00E9291A" w:rsidRDefault="00AB21FD" w:rsidP="00AB21FD">
      <w:pPr>
        <w:spacing w:after="0"/>
      </w:pPr>
      <w:r w:rsidRPr="00E9291A">
        <w:t>Lisanslar; üretim, iletim ve dağıtım lisanslarında asgari süre on yıl olmak üzere en çok kırk dokuz</w:t>
      </w:r>
      <w:r>
        <w:t xml:space="preserve"> </w:t>
      </w:r>
      <w:r w:rsidRPr="00E9291A">
        <w:t>yıl için verilebilmektedir. Lisans sahibi tüzel kişiler, lisansları kapsamındaki faaliyetlerini lisansta belirlenen çerçevede yerine getirmekle; ayrıca gerçekleştirdikleri faaliyet ile ilgili tesis varlıklarını faaliyet türlerine göre muhtemel risklere karşı korumak amacıyla teminat altına almakla yükümlüdür. Bu kapsamda lisans sahibi tüzel kişilerin üretim, iletim ve dağıtım tesislerini; doğal afetler, yangın, kaza, hırsızlık, üçüncü şahıslara karşı mali sorumluluk, terör ve sabotaj tehlikelerine karşı teminat altına almaları zorunludur.</w:t>
      </w:r>
    </w:p>
    <w:p w:rsidR="00AB21FD" w:rsidRPr="00E9291A" w:rsidRDefault="00AB21FD" w:rsidP="00AB21FD">
      <w:pPr>
        <w:spacing w:after="0"/>
      </w:pPr>
    </w:p>
    <w:p w:rsidR="00AB21FD" w:rsidRPr="00E9291A" w:rsidRDefault="00AB21FD" w:rsidP="00AB21FD">
      <w:pPr>
        <w:spacing w:after="0"/>
      </w:pPr>
      <w:r w:rsidRPr="00E9291A">
        <w:t>Kurumun, elektrik piyasasında faaliyette bulunulması için verdiği lisanslar; Üretim Lisansı, İletim Lisansı, Dağıtım Lisansı, Tedarik Lisansı, OSB Dağıtım Lisansı, OSB Üretim Lisansı ve Piyasa İşletim Lisansıdır.</w:t>
      </w:r>
    </w:p>
    <w:p w:rsidR="00CB5826" w:rsidRDefault="00CB5826" w:rsidP="00CF408B">
      <w:pPr>
        <w:pStyle w:val="Balk5"/>
        <w:jc w:val="center"/>
        <w:rPr>
          <w:rStyle w:val="Gl"/>
          <w:color w:val="000000" w:themeColor="text1"/>
        </w:rPr>
      </w:pPr>
      <w:bookmarkStart w:id="146" w:name="_Toc416447575"/>
      <w:bookmarkStart w:id="147" w:name="_Toc442441729"/>
      <w:bookmarkStart w:id="148" w:name="_Toc132713891"/>
      <w:r w:rsidRPr="00E9291A">
        <w:rPr>
          <w:rStyle w:val="Gl"/>
          <w:color w:val="000000" w:themeColor="text1"/>
        </w:rPr>
        <w:t>Tabl</w:t>
      </w:r>
      <w:r w:rsidR="00623687">
        <w:rPr>
          <w:rStyle w:val="Gl"/>
          <w:color w:val="000000" w:themeColor="text1"/>
        </w:rPr>
        <w:t>o 3.1: Elektrik Piyasasında 202</w:t>
      </w:r>
      <w:r w:rsidR="00C73172">
        <w:rPr>
          <w:rStyle w:val="Gl"/>
          <w:color w:val="000000" w:themeColor="text1"/>
        </w:rPr>
        <w:t>2</w:t>
      </w:r>
      <w:r w:rsidRPr="00E9291A">
        <w:rPr>
          <w:rStyle w:val="Gl"/>
          <w:color w:val="000000" w:themeColor="text1"/>
        </w:rPr>
        <w:t xml:space="preserve"> Yılında Gerçekleştirilen Lisans İşlemleri</w:t>
      </w:r>
      <w:r w:rsidR="00BB44C4">
        <w:rPr>
          <w:rStyle w:val="Gl"/>
          <w:color w:val="000000" w:themeColor="text1"/>
        </w:rPr>
        <w:t xml:space="preserve"> </w:t>
      </w:r>
      <w:r w:rsidRPr="00E9291A">
        <w:rPr>
          <w:rStyle w:val="Gl"/>
          <w:color w:val="000000" w:themeColor="text1"/>
        </w:rPr>
        <w:t>(Adet)</w:t>
      </w:r>
      <w:bookmarkEnd w:id="146"/>
      <w:bookmarkEnd w:id="147"/>
      <w:bookmarkEnd w:id="148"/>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674"/>
        <w:gridCol w:w="1084"/>
        <w:gridCol w:w="1057"/>
        <w:gridCol w:w="1637"/>
        <w:gridCol w:w="1061"/>
        <w:gridCol w:w="1063"/>
        <w:gridCol w:w="1063"/>
        <w:gridCol w:w="1273"/>
      </w:tblGrid>
      <w:tr w:rsidR="00263DC6" w:rsidRPr="005030E7" w:rsidTr="002B0DAE">
        <w:trPr>
          <w:trHeight w:val="340"/>
          <w:jc w:val="center"/>
        </w:trPr>
        <w:tc>
          <w:tcPr>
            <w:tcW w:w="844" w:type="pct"/>
            <w:shd w:val="clear" w:color="000000" w:fill="6E9ECA"/>
            <w:vAlign w:val="center"/>
            <w:hideMark/>
          </w:tcPr>
          <w:p w:rsidR="00263DC6" w:rsidRPr="005030E7" w:rsidRDefault="00263DC6" w:rsidP="00263DC6">
            <w:pPr>
              <w:spacing w:after="0" w:line="240" w:lineRule="auto"/>
              <w:jc w:val="center"/>
              <w:rPr>
                <w:rFonts w:eastAsia="Times New Roman" w:cstheme="minorHAnsi"/>
                <w:b/>
                <w:bCs/>
                <w:color w:val="FFFFFF"/>
                <w:lang w:eastAsia="tr-TR"/>
              </w:rPr>
            </w:pPr>
            <w:r w:rsidRPr="005030E7">
              <w:rPr>
                <w:rFonts w:eastAsia="Times New Roman" w:cstheme="minorHAnsi"/>
                <w:b/>
                <w:bCs/>
                <w:color w:val="FFFFFF"/>
                <w:lang w:eastAsia="tr-TR"/>
              </w:rPr>
              <w:t>Lisans Tipi</w:t>
            </w:r>
          </w:p>
        </w:tc>
        <w:tc>
          <w:tcPr>
            <w:tcW w:w="547" w:type="pct"/>
            <w:shd w:val="clear" w:color="000000" w:fill="6E9ECA"/>
            <w:vAlign w:val="center"/>
            <w:hideMark/>
          </w:tcPr>
          <w:p w:rsidR="00263DC6" w:rsidRPr="005030E7" w:rsidRDefault="00263DC6" w:rsidP="00263DC6">
            <w:pPr>
              <w:spacing w:after="0" w:line="240" w:lineRule="auto"/>
              <w:jc w:val="center"/>
              <w:rPr>
                <w:rFonts w:eastAsia="Times New Roman" w:cstheme="minorHAnsi"/>
                <w:b/>
                <w:bCs/>
                <w:color w:val="FFFFFF"/>
                <w:lang w:eastAsia="tr-TR"/>
              </w:rPr>
            </w:pPr>
            <w:r w:rsidRPr="005030E7">
              <w:rPr>
                <w:rFonts w:eastAsia="Times New Roman" w:cstheme="minorHAnsi"/>
                <w:b/>
                <w:bCs/>
                <w:color w:val="FFFFFF"/>
                <w:lang w:eastAsia="tr-TR"/>
              </w:rPr>
              <w:t>Lisans Başvurusu Sayısı</w:t>
            </w:r>
          </w:p>
        </w:tc>
        <w:tc>
          <w:tcPr>
            <w:tcW w:w="533" w:type="pct"/>
            <w:shd w:val="clear" w:color="000000" w:fill="6E9ECA"/>
            <w:vAlign w:val="center"/>
            <w:hideMark/>
          </w:tcPr>
          <w:p w:rsidR="00263DC6" w:rsidRPr="005030E7" w:rsidRDefault="00263DC6" w:rsidP="00263DC6">
            <w:pPr>
              <w:spacing w:after="0" w:line="240" w:lineRule="auto"/>
              <w:jc w:val="center"/>
              <w:rPr>
                <w:rFonts w:eastAsia="Times New Roman" w:cstheme="minorHAnsi"/>
                <w:b/>
                <w:bCs/>
                <w:color w:val="FFFFFF"/>
                <w:lang w:eastAsia="tr-TR"/>
              </w:rPr>
            </w:pPr>
            <w:r w:rsidRPr="005030E7">
              <w:rPr>
                <w:rFonts w:eastAsia="Times New Roman" w:cstheme="minorHAnsi"/>
                <w:b/>
                <w:bCs/>
                <w:color w:val="FFFFFF"/>
                <w:lang w:eastAsia="tr-TR"/>
              </w:rPr>
              <w:t>Verilen Lisans Sayısı</w:t>
            </w:r>
          </w:p>
        </w:tc>
        <w:tc>
          <w:tcPr>
            <w:tcW w:w="826" w:type="pct"/>
            <w:shd w:val="clear" w:color="000000" w:fill="6E9ECA"/>
            <w:vAlign w:val="center"/>
            <w:hideMark/>
          </w:tcPr>
          <w:p w:rsidR="00263DC6" w:rsidRPr="005030E7" w:rsidRDefault="00263DC6" w:rsidP="00263DC6">
            <w:pPr>
              <w:spacing w:after="0" w:line="240" w:lineRule="auto"/>
              <w:jc w:val="center"/>
              <w:rPr>
                <w:rFonts w:eastAsia="Times New Roman" w:cstheme="minorHAnsi"/>
                <w:b/>
                <w:bCs/>
                <w:color w:val="FFFFFF"/>
                <w:lang w:eastAsia="tr-TR"/>
              </w:rPr>
            </w:pPr>
            <w:r w:rsidRPr="005030E7">
              <w:rPr>
                <w:rFonts w:eastAsia="Times New Roman" w:cstheme="minorHAnsi"/>
                <w:b/>
                <w:bCs/>
                <w:color w:val="FFFFFF"/>
                <w:lang w:eastAsia="tr-TR"/>
              </w:rPr>
              <w:t>Sona Eren/Erdirilen Lisans Sayısı</w:t>
            </w:r>
          </w:p>
        </w:tc>
        <w:tc>
          <w:tcPr>
            <w:tcW w:w="535" w:type="pct"/>
            <w:shd w:val="clear" w:color="000000" w:fill="6E9ECA"/>
            <w:vAlign w:val="center"/>
            <w:hideMark/>
          </w:tcPr>
          <w:p w:rsidR="00263DC6" w:rsidRPr="005030E7" w:rsidRDefault="00263DC6" w:rsidP="00263DC6">
            <w:pPr>
              <w:spacing w:after="0" w:line="240" w:lineRule="auto"/>
              <w:jc w:val="center"/>
              <w:rPr>
                <w:rFonts w:eastAsia="Times New Roman" w:cstheme="minorHAnsi"/>
                <w:b/>
                <w:bCs/>
                <w:color w:val="FFFFFF"/>
                <w:lang w:eastAsia="tr-TR"/>
              </w:rPr>
            </w:pPr>
            <w:r w:rsidRPr="005030E7">
              <w:rPr>
                <w:rFonts w:eastAsia="Times New Roman" w:cstheme="minorHAnsi"/>
                <w:b/>
                <w:bCs/>
                <w:color w:val="FFFFFF"/>
                <w:lang w:eastAsia="tr-TR"/>
              </w:rPr>
              <w:t>İptal Edilen Lisans Sayısı</w:t>
            </w:r>
          </w:p>
        </w:tc>
        <w:tc>
          <w:tcPr>
            <w:tcW w:w="536" w:type="pct"/>
            <w:shd w:val="clear" w:color="000000" w:fill="6E9ECA"/>
            <w:vAlign w:val="center"/>
            <w:hideMark/>
          </w:tcPr>
          <w:p w:rsidR="00263DC6" w:rsidRPr="005030E7" w:rsidRDefault="00263DC6" w:rsidP="00263DC6">
            <w:pPr>
              <w:spacing w:after="0" w:line="240" w:lineRule="auto"/>
              <w:jc w:val="center"/>
              <w:rPr>
                <w:rFonts w:eastAsia="Times New Roman" w:cstheme="minorHAnsi"/>
                <w:b/>
                <w:bCs/>
                <w:color w:val="FFFFFF"/>
                <w:lang w:eastAsia="tr-TR"/>
              </w:rPr>
            </w:pPr>
            <w:r w:rsidRPr="005030E7">
              <w:rPr>
                <w:rFonts w:eastAsia="Times New Roman" w:cstheme="minorHAnsi"/>
                <w:b/>
                <w:bCs/>
                <w:color w:val="FFFFFF"/>
                <w:lang w:eastAsia="tr-TR"/>
              </w:rPr>
              <w:t>Tadil Sayısı</w:t>
            </w:r>
          </w:p>
        </w:tc>
        <w:tc>
          <w:tcPr>
            <w:tcW w:w="536" w:type="pct"/>
            <w:shd w:val="clear" w:color="000000" w:fill="6E9ECA"/>
            <w:vAlign w:val="center"/>
            <w:hideMark/>
          </w:tcPr>
          <w:p w:rsidR="00263DC6" w:rsidRPr="005030E7" w:rsidRDefault="00263DC6" w:rsidP="00263DC6">
            <w:pPr>
              <w:spacing w:after="0" w:line="240" w:lineRule="auto"/>
              <w:jc w:val="center"/>
              <w:rPr>
                <w:rFonts w:eastAsia="Times New Roman" w:cstheme="minorHAnsi"/>
                <w:b/>
                <w:bCs/>
                <w:color w:val="FFFFFF"/>
                <w:lang w:eastAsia="tr-TR"/>
              </w:rPr>
            </w:pPr>
            <w:r w:rsidRPr="005030E7">
              <w:rPr>
                <w:rFonts w:eastAsia="Times New Roman" w:cstheme="minorHAnsi"/>
                <w:b/>
                <w:bCs/>
                <w:color w:val="FFFFFF"/>
                <w:lang w:eastAsia="tr-TR"/>
              </w:rPr>
              <w:t>Genel Toplam</w:t>
            </w:r>
          </w:p>
        </w:tc>
        <w:tc>
          <w:tcPr>
            <w:tcW w:w="642" w:type="pct"/>
            <w:shd w:val="clear" w:color="000000" w:fill="6E9ECA"/>
            <w:vAlign w:val="center"/>
            <w:hideMark/>
          </w:tcPr>
          <w:p w:rsidR="00263DC6" w:rsidRPr="005030E7" w:rsidRDefault="00263DC6" w:rsidP="00263DC6">
            <w:pPr>
              <w:spacing w:after="0" w:line="240" w:lineRule="auto"/>
              <w:jc w:val="center"/>
              <w:rPr>
                <w:rFonts w:eastAsia="Times New Roman" w:cstheme="minorHAnsi"/>
                <w:b/>
                <w:bCs/>
                <w:color w:val="FFFFFF"/>
                <w:lang w:eastAsia="tr-TR"/>
              </w:rPr>
            </w:pPr>
            <w:r w:rsidRPr="005030E7">
              <w:rPr>
                <w:rFonts w:eastAsia="Times New Roman" w:cstheme="minorHAnsi"/>
                <w:b/>
                <w:bCs/>
                <w:color w:val="FFFFFF"/>
                <w:lang w:eastAsia="tr-TR"/>
              </w:rPr>
              <w:t>Dönem Sonu Yürürlükteki Lisans Sayısı</w:t>
            </w:r>
          </w:p>
        </w:tc>
      </w:tr>
      <w:tr w:rsidR="00330B87" w:rsidRPr="005030E7" w:rsidTr="00B44AB8">
        <w:trPr>
          <w:trHeight w:val="340"/>
          <w:jc w:val="center"/>
        </w:trPr>
        <w:tc>
          <w:tcPr>
            <w:tcW w:w="844" w:type="pct"/>
            <w:shd w:val="clear" w:color="auto" w:fill="auto"/>
            <w:vAlign w:val="center"/>
            <w:hideMark/>
          </w:tcPr>
          <w:p w:rsidR="00330B87" w:rsidRPr="005030E7" w:rsidRDefault="00330B87" w:rsidP="00330B87">
            <w:pPr>
              <w:spacing w:after="0" w:line="240" w:lineRule="auto"/>
              <w:jc w:val="left"/>
              <w:rPr>
                <w:rFonts w:eastAsia="Times New Roman" w:cstheme="minorHAnsi"/>
                <w:color w:val="000000"/>
                <w:lang w:eastAsia="tr-TR"/>
              </w:rPr>
            </w:pPr>
            <w:r w:rsidRPr="005030E7">
              <w:rPr>
                <w:rFonts w:eastAsia="Times New Roman" w:cstheme="minorHAnsi"/>
                <w:color w:val="000000"/>
                <w:lang w:eastAsia="tr-TR"/>
              </w:rPr>
              <w:t>Dağıtım Lisansı</w:t>
            </w:r>
          </w:p>
        </w:tc>
        <w:tc>
          <w:tcPr>
            <w:tcW w:w="547" w:type="pct"/>
            <w:shd w:val="clear" w:color="auto" w:fill="auto"/>
            <w:vAlign w:val="center"/>
            <w:hideMark/>
          </w:tcPr>
          <w:p w:rsidR="00330B87" w:rsidRPr="00C73172" w:rsidRDefault="00330B87" w:rsidP="00330B87">
            <w:pPr>
              <w:spacing w:after="0" w:line="240" w:lineRule="auto"/>
              <w:jc w:val="right"/>
              <w:rPr>
                <w:rFonts w:eastAsia="Times New Roman" w:cstheme="minorHAnsi"/>
                <w:color w:val="000000"/>
                <w:lang w:eastAsia="tr-TR"/>
              </w:rPr>
            </w:pPr>
            <w:r w:rsidRPr="00C73172">
              <w:rPr>
                <w:rFonts w:eastAsia="Times New Roman" w:cstheme="minorHAnsi"/>
                <w:color w:val="000000"/>
                <w:lang w:eastAsia="tr-TR"/>
              </w:rPr>
              <w:t>0</w:t>
            </w:r>
          </w:p>
        </w:tc>
        <w:tc>
          <w:tcPr>
            <w:tcW w:w="533" w:type="pct"/>
            <w:shd w:val="clear" w:color="auto" w:fill="auto"/>
            <w:vAlign w:val="center"/>
            <w:hideMark/>
          </w:tcPr>
          <w:p w:rsidR="00330B87" w:rsidRPr="00C73172" w:rsidRDefault="00330B87" w:rsidP="00330B87">
            <w:pPr>
              <w:spacing w:after="0" w:line="240" w:lineRule="auto"/>
              <w:jc w:val="right"/>
              <w:rPr>
                <w:rFonts w:eastAsia="Times New Roman" w:cstheme="minorHAnsi"/>
                <w:color w:val="000000"/>
                <w:lang w:eastAsia="tr-TR"/>
              </w:rPr>
            </w:pPr>
            <w:r w:rsidRPr="00C73172">
              <w:rPr>
                <w:rFonts w:eastAsia="Times New Roman" w:cstheme="minorHAnsi"/>
                <w:color w:val="000000"/>
                <w:lang w:eastAsia="tr-TR"/>
              </w:rPr>
              <w:t>0</w:t>
            </w:r>
          </w:p>
        </w:tc>
        <w:tc>
          <w:tcPr>
            <w:tcW w:w="826" w:type="pct"/>
            <w:shd w:val="clear" w:color="auto" w:fill="auto"/>
            <w:vAlign w:val="center"/>
            <w:hideMark/>
          </w:tcPr>
          <w:p w:rsidR="00330B87" w:rsidRPr="00C73172" w:rsidRDefault="00330B87" w:rsidP="00330B87">
            <w:pPr>
              <w:spacing w:after="0" w:line="240" w:lineRule="auto"/>
              <w:jc w:val="right"/>
              <w:rPr>
                <w:rFonts w:eastAsia="Times New Roman" w:cstheme="minorHAnsi"/>
                <w:color w:val="000000"/>
                <w:lang w:eastAsia="tr-TR"/>
              </w:rPr>
            </w:pPr>
            <w:r w:rsidRPr="00C73172">
              <w:rPr>
                <w:rFonts w:eastAsia="Times New Roman" w:cstheme="minorHAnsi"/>
                <w:color w:val="000000"/>
                <w:lang w:eastAsia="tr-TR"/>
              </w:rPr>
              <w:t>0</w:t>
            </w:r>
          </w:p>
        </w:tc>
        <w:tc>
          <w:tcPr>
            <w:tcW w:w="535" w:type="pct"/>
            <w:shd w:val="clear" w:color="auto" w:fill="auto"/>
            <w:vAlign w:val="center"/>
            <w:hideMark/>
          </w:tcPr>
          <w:p w:rsidR="00330B87" w:rsidRPr="00C73172" w:rsidRDefault="00330B87" w:rsidP="00330B87">
            <w:pPr>
              <w:spacing w:after="0" w:line="240" w:lineRule="auto"/>
              <w:jc w:val="right"/>
              <w:rPr>
                <w:rFonts w:eastAsia="Times New Roman" w:cstheme="minorHAnsi"/>
                <w:color w:val="000000"/>
                <w:lang w:eastAsia="tr-TR"/>
              </w:rPr>
            </w:pPr>
            <w:r w:rsidRPr="00C73172">
              <w:rPr>
                <w:rFonts w:eastAsia="Times New Roman" w:cstheme="minorHAnsi"/>
                <w:color w:val="000000"/>
                <w:lang w:eastAsia="tr-TR"/>
              </w:rPr>
              <w:t>0</w:t>
            </w:r>
          </w:p>
        </w:tc>
        <w:tc>
          <w:tcPr>
            <w:tcW w:w="536" w:type="pct"/>
            <w:shd w:val="clear" w:color="auto" w:fill="auto"/>
            <w:vAlign w:val="center"/>
            <w:hideMark/>
          </w:tcPr>
          <w:p w:rsidR="00330B87" w:rsidRPr="00C73172" w:rsidRDefault="00330B87" w:rsidP="00330B87">
            <w:pPr>
              <w:spacing w:after="0" w:line="240" w:lineRule="auto"/>
              <w:jc w:val="right"/>
              <w:rPr>
                <w:rFonts w:eastAsia="Times New Roman" w:cstheme="minorHAnsi"/>
                <w:color w:val="000000"/>
                <w:lang w:eastAsia="tr-TR"/>
              </w:rPr>
            </w:pPr>
            <w:r w:rsidRPr="00C73172">
              <w:rPr>
                <w:rFonts w:eastAsia="Times New Roman" w:cstheme="minorHAnsi"/>
                <w:color w:val="000000"/>
                <w:lang w:eastAsia="tr-TR"/>
              </w:rPr>
              <w:t> </w:t>
            </w:r>
          </w:p>
        </w:tc>
        <w:tc>
          <w:tcPr>
            <w:tcW w:w="536" w:type="pct"/>
            <w:shd w:val="clear" w:color="auto" w:fill="auto"/>
            <w:vAlign w:val="center"/>
            <w:hideMark/>
          </w:tcPr>
          <w:p w:rsidR="00330B87" w:rsidRPr="00C73172" w:rsidRDefault="00330B87" w:rsidP="00330B87">
            <w:pPr>
              <w:spacing w:after="0" w:line="240" w:lineRule="auto"/>
              <w:jc w:val="right"/>
              <w:rPr>
                <w:rFonts w:eastAsia="Times New Roman" w:cstheme="minorHAnsi"/>
                <w:color w:val="000000"/>
                <w:lang w:eastAsia="tr-TR"/>
              </w:rPr>
            </w:pPr>
            <w:r w:rsidRPr="00C73172">
              <w:rPr>
                <w:rFonts w:eastAsia="Times New Roman" w:cstheme="minorHAnsi"/>
                <w:color w:val="000000"/>
                <w:lang w:eastAsia="tr-TR"/>
              </w:rPr>
              <w:t>0</w:t>
            </w:r>
          </w:p>
        </w:tc>
        <w:tc>
          <w:tcPr>
            <w:tcW w:w="642" w:type="pct"/>
            <w:shd w:val="clear" w:color="auto" w:fill="auto"/>
            <w:vAlign w:val="center"/>
            <w:hideMark/>
          </w:tcPr>
          <w:p w:rsidR="00330B87" w:rsidRPr="00C73172" w:rsidRDefault="00330B87" w:rsidP="00330B87">
            <w:pPr>
              <w:spacing w:after="0" w:line="240" w:lineRule="auto"/>
              <w:jc w:val="right"/>
              <w:rPr>
                <w:rFonts w:eastAsia="Times New Roman" w:cstheme="minorHAnsi"/>
                <w:b/>
                <w:color w:val="000000"/>
                <w:lang w:eastAsia="tr-TR"/>
              </w:rPr>
            </w:pPr>
            <w:r w:rsidRPr="00C73172">
              <w:rPr>
                <w:rFonts w:eastAsia="Times New Roman" w:cstheme="minorHAnsi"/>
                <w:b/>
                <w:color w:val="000000"/>
                <w:lang w:eastAsia="tr-TR"/>
              </w:rPr>
              <w:t>21</w:t>
            </w:r>
          </w:p>
        </w:tc>
      </w:tr>
      <w:tr w:rsidR="00330B87" w:rsidRPr="005030E7" w:rsidTr="00B44AB8">
        <w:trPr>
          <w:trHeight w:val="340"/>
          <w:jc w:val="center"/>
        </w:trPr>
        <w:tc>
          <w:tcPr>
            <w:tcW w:w="844" w:type="pct"/>
            <w:shd w:val="clear" w:color="auto" w:fill="auto"/>
            <w:vAlign w:val="center"/>
            <w:hideMark/>
          </w:tcPr>
          <w:p w:rsidR="00330B87" w:rsidRPr="005030E7" w:rsidRDefault="00330B87" w:rsidP="00330B87">
            <w:pPr>
              <w:spacing w:after="0" w:line="240" w:lineRule="auto"/>
              <w:jc w:val="left"/>
              <w:rPr>
                <w:rFonts w:eastAsia="Times New Roman" w:cstheme="minorHAnsi"/>
                <w:color w:val="000000"/>
                <w:lang w:eastAsia="tr-TR"/>
              </w:rPr>
            </w:pPr>
            <w:r w:rsidRPr="005030E7">
              <w:rPr>
                <w:rFonts w:eastAsia="Times New Roman" w:cstheme="minorHAnsi"/>
                <w:color w:val="000000"/>
                <w:lang w:eastAsia="tr-TR"/>
              </w:rPr>
              <w:t>İletim Lisansı</w:t>
            </w:r>
          </w:p>
        </w:tc>
        <w:tc>
          <w:tcPr>
            <w:tcW w:w="547" w:type="pct"/>
            <w:shd w:val="clear" w:color="auto" w:fill="auto"/>
            <w:vAlign w:val="center"/>
            <w:hideMark/>
          </w:tcPr>
          <w:p w:rsidR="00330B87" w:rsidRPr="00C73172" w:rsidRDefault="00330B87" w:rsidP="00330B87">
            <w:pPr>
              <w:spacing w:after="0" w:line="240" w:lineRule="auto"/>
              <w:jc w:val="right"/>
              <w:rPr>
                <w:rFonts w:eastAsia="Times New Roman" w:cstheme="minorHAnsi"/>
                <w:color w:val="000000"/>
                <w:lang w:eastAsia="tr-TR"/>
              </w:rPr>
            </w:pPr>
            <w:r w:rsidRPr="00C73172">
              <w:rPr>
                <w:rFonts w:eastAsia="Times New Roman" w:cstheme="minorHAnsi"/>
                <w:color w:val="000000"/>
                <w:lang w:eastAsia="tr-TR"/>
              </w:rPr>
              <w:t>0</w:t>
            </w:r>
          </w:p>
        </w:tc>
        <w:tc>
          <w:tcPr>
            <w:tcW w:w="533" w:type="pct"/>
            <w:shd w:val="clear" w:color="auto" w:fill="auto"/>
            <w:vAlign w:val="center"/>
            <w:hideMark/>
          </w:tcPr>
          <w:p w:rsidR="00330B87" w:rsidRPr="00C73172" w:rsidRDefault="00330B87" w:rsidP="00330B87">
            <w:pPr>
              <w:spacing w:after="0" w:line="240" w:lineRule="auto"/>
              <w:jc w:val="right"/>
              <w:rPr>
                <w:rFonts w:eastAsia="Times New Roman" w:cstheme="minorHAnsi"/>
                <w:color w:val="000000"/>
                <w:lang w:eastAsia="tr-TR"/>
              </w:rPr>
            </w:pPr>
            <w:r w:rsidRPr="00C73172">
              <w:rPr>
                <w:rFonts w:eastAsia="Times New Roman" w:cstheme="minorHAnsi"/>
                <w:color w:val="000000"/>
                <w:lang w:eastAsia="tr-TR"/>
              </w:rPr>
              <w:t>0</w:t>
            </w:r>
          </w:p>
        </w:tc>
        <w:tc>
          <w:tcPr>
            <w:tcW w:w="826" w:type="pct"/>
            <w:shd w:val="clear" w:color="auto" w:fill="auto"/>
            <w:vAlign w:val="center"/>
            <w:hideMark/>
          </w:tcPr>
          <w:p w:rsidR="00330B87" w:rsidRPr="00C73172" w:rsidRDefault="00330B87" w:rsidP="00330B87">
            <w:pPr>
              <w:spacing w:after="0" w:line="240" w:lineRule="auto"/>
              <w:jc w:val="right"/>
              <w:rPr>
                <w:rFonts w:eastAsia="Times New Roman" w:cstheme="minorHAnsi"/>
                <w:color w:val="000000"/>
                <w:lang w:eastAsia="tr-TR"/>
              </w:rPr>
            </w:pPr>
            <w:r w:rsidRPr="00C73172">
              <w:rPr>
                <w:rFonts w:eastAsia="Times New Roman" w:cstheme="minorHAnsi"/>
                <w:color w:val="000000"/>
                <w:lang w:eastAsia="tr-TR"/>
              </w:rPr>
              <w:t>0</w:t>
            </w:r>
          </w:p>
        </w:tc>
        <w:tc>
          <w:tcPr>
            <w:tcW w:w="535" w:type="pct"/>
            <w:shd w:val="clear" w:color="auto" w:fill="auto"/>
            <w:vAlign w:val="center"/>
            <w:hideMark/>
          </w:tcPr>
          <w:p w:rsidR="00330B87" w:rsidRPr="00C73172" w:rsidRDefault="00330B87" w:rsidP="00330B87">
            <w:pPr>
              <w:spacing w:after="0" w:line="240" w:lineRule="auto"/>
              <w:jc w:val="right"/>
              <w:rPr>
                <w:rFonts w:eastAsia="Times New Roman" w:cstheme="minorHAnsi"/>
                <w:color w:val="000000"/>
                <w:lang w:eastAsia="tr-TR"/>
              </w:rPr>
            </w:pPr>
            <w:r w:rsidRPr="00C73172">
              <w:rPr>
                <w:rFonts w:eastAsia="Times New Roman" w:cstheme="minorHAnsi"/>
                <w:color w:val="000000"/>
                <w:lang w:eastAsia="tr-TR"/>
              </w:rPr>
              <w:t>0</w:t>
            </w:r>
          </w:p>
        </w:tc>
        <w:tc>
          <w:tcPr>
            <w:tcW w:w="536" w:type="pct"/>
            <w:shd w:val="clear" w:color="auto" w:fill="auto"/>
            <w:vAlign w:val="center"/>
            <w:hideMark/>
          </w:tcPr>
          <w:p w:rsidR="00330B87" w:rsidRPr="00C73172" w:rsidRDefault="00330B87" w:rsidP="00330B87">
            <w:pPr>
              <w:spacing w:after="0" w:line="240" w:lineRule="auto"/>
              <w:jc w:val="right"/>
              <w:rPr>
                <w:rFonts w:eastAsia="Times New Roman" w:cstheme="minorHAnsi"/>
                <w:color w:val="000000"/>
                <w:lang w:eastAsia="tr-TR"/>
              </w:rPr>
            </w:pPr>
            <w:r w:rsidRPr="00C73172">
              <w:rPr>
                <w:rFonts w:eastAsia="Times New Roman" w:cstheme="minorHAnsi"/>
                <w:color w:val="000000"/>
                <w:lang w:eastAsia="tr-TR"/>
              </w:rPr>
              <w:t> </w:t>
            </w:r>
          </w:p>
        </w:tc>
        <w:tc>
          <w:tcPr>
            <w:tcW w:w="536" w:type="pct"/>
            <w:shd w:val="clear" w:color="auto" w:fill="auto"/>
            <w:vAlign w:val="center"/>
            <w:hideMark/>
          </w:tcPr>
          <w:p w:rsidR="00330B87" w:rsidRPr="00C73172" w:rsidRDefault="00330B87" w:rsidP="00330B87">
            <w:pPr>
              <w:spacing w:after="0" w:line="240" w:lineRule="auto"/>
              <w:jc w:val="right"/>
              <w:rPr>
                <w:rFonts w:eastAsia="Times New Roman" w:cstheme="minorHAnsi"/>
                <w:color w:val="000000"/>
                <w:lang w:eastAsia="tr-TR"/>
              </w:rPr>
            </w:pPr>
            <w:r w:rsidRPr="00C73172">
              <w:rPr>
                <w:rFonts w:eastAsia="Times New Roman" w:cstheme="minorHAnsi"/>
                <w:color w:val="000000"/>
                <w:lang w:eastAsia="tr-TR"/>
              </w:rPr>
              <w:t>0</w:t>
            </w:r>
          </w:p>
        </w:tc>
        <w:tc>
          <w:tcPr>
            <w:tcW w:w="642" w:type="pct"/>
            <w:shd w:val="clear" w:color="auto" w:fill="auto"/>
            <w:vAlign w:val="center"/>
            <w:hideMark/>
          </w:tcPr>
          <w:p w:rsidR="00330B87" w:rsidRPr="00C73172" w:rsidRDefault="00330B87" w:rsidP="00330B87">
            <w:pPr>
              <w:spacing w:after="0" w:line="240" w:lineRule="auto"/>
              <w:jc w:val="right"/>
              <w:rPr>
                <w:rFonts w:eastAsia="Times New Roman" w:cstheme="minorHAnsi"/>
                <w:b/>
                <w:color w:val="000000"/>
                <w:lang w:eastAsia="tr-TR"/>
              </w:rPr>
            </w:pPr>
            <w:r w:rsidRPr="00C73172">
              <w:rPr>
                <w:rFonts w:eastAsia="Times New Roman" w:cstheme="minorHAnsi"/>
                <w:b/>
                <w:color w:val="000000"/>
                <w:lang w:eastAsia="tr-TR"/>
              </w:rPr>
              <w:t>1</w:t>
            </w:r>
          </w:p>
        </w:tc>
      </w:tr>
      <w:tr w:rsidR="00330B87" w:rsidRPr="005030E7" w:rsidTr="00B44AB8">
        <w:trPr>
          <w:trHeight w:val="340"/>
          <w:jc w:val="center"/>
        </w:trPr>
        <w:tc>
          <w:tcPr>
            <w:tcW w:w="844" w:type="pct"/>
            <w:shd w:val="clear" w:color="auto" w:fill="auto"/>
            <w:vAlign w:val="center"/>
            <w:hideMark/>
          </w:tcPr>
          <w:p w:rsidR="00330B87" w:rsidRPr="005030E7" w:rsidRDefault="00330B87" w:rsidP="00330B87">
            <w:pPr>
              <w:spacing w:after="0" w:line="240" w:lineRule="auto"/>
              <w:jc w:val="left"/>
              <w:rPr>
                <w:rFonts w:eastAsia="Times New Roman" w:cstheme="minorHAnsi"/>
                <w:color w:val="000000"/>
                <w:lang w:eastAsia="tr-TR"/>
              </w:rPr>
            </w:pPr>
            <w:r w:rsidRPr="005030E7">
              <w:rPr>
                <w:rFonts w:eastAsia="Times New Roman" w:cstheme="minorHAnsi"/>
                <w:color w:val="000000"/>
                <w:lang w:eastAsia="tr-TR"/>
              </w:rPr>
              <w:lastRenderedPageBreak/>
              <w:t>OSB Dağıtım Lisansı</w:t>
            </w:r>
          </w:p>
        </w:tc>
        <w:tc>
          <w:tcPr>
            <w:tcW w:w="547" w:type="pct"/>
            <w:shd w:val="clear" w:color="auto" w:fill="auto"/>
            <w:vAlign w:val="center"/>
            <w:hideMark/>
          </w:tcPr>
          <w:p w:rsidR="00330B87" w:rsidRPr="00C73172" w:rsidRDefault="00330B87" w:rsidP="00330B87">
            <w:pPr>
              <w:spacing w:after="0" w:line="240" w:lineRule="auto"/>
              <w:jc w:val="right"/>
              <w:rPr>
                <w:rFonts w:eastAsia="Times New Roman" w:cstheme="minorHAnsi"/>
                <w:color w:val="000000"/>
                <w:lang w:eastAsia="tr-TR"/>
              </w:rPr>
            </w:pPr>
            <w:r w:rsidRPr="00C73172">
              <w:rPr>
                <w:rFonts w:eastAsia="Times New Roman" w:cstheme="minorHAnsi"/>
                <w:color w:val="000000"/>
                <w:lang w:eastAsia="tr-TR"/>
              </w:rPr>
              <w:t>8</w:t>
            </w:r>
          </w:p>
        </w:tc>
        <w:tc>
          <w:tcPr>
            <w:tcW w:w="533" w:type="pct"/>
            <w:shd w:val="clear" w:color="auto" w:fill="auto"/>
            <w:vAlign w:val="center"/>
            <w:hideMark/>
          </w:tcPr>
          <w:p w:rsidR="00330B87" w:rsidRPr="00C73172" w:rsidRDefault="00330B87" w:rsidP="00330B87">
            <w:pPr>
              <w:spacing w:after="0" w:line="240" w:lineRule="auto"/>
              <w:jc w:val="right"/>
              <w:rPr>
                <w:rFonts w:eastAsia="Times New Roman" w:cstheme="minorHAnsi"/>
                <w:color w:val="000000"/>
                <w:lang w:eastAsia="tr-TR"/>
              </w:rPr>
            </w:pPr>
            <w:r w:rsidRPr="00C73172">
              <w:rPr>
                <w:rFonts w:eastAsia="Times New Roman" w:cstheme="minorHAnsi"/>
                <w:color w:val="000000"/>
                <w:lang w:eastAsia="tr-TR"/>
              </w:rPr>
              <w:t>7</w:t>
            </w:r>
          </w:p>
        </w:tc>
        <w:tc>
          <w:tcPr>
            <w:tcW w:w="826" w:type="pct"/>
            <w:shd w:val="clear" w:color="auto" w:fill="auto"/>
            <w:vAlign w:val="center"/>
            <w:hideMark/>
          </w:tcPr>
          <w:p w:rsidR="00330B87" w:rsidRPr="00C73172" w:rsidRDefault="00330B87" w:rsidP="00330B87">
            <w:pPr>
              <w:spacing w:after="0" w:line="240" w:lineRule="auto"/>
              <w:jc w:val="right"/>
              <w:rPr>
                <w:rFonts w:eastAsia="Times New Roman" w:cstheme="minorHAnsi"/>
                <w:color w:val="000000"/>
                <w:lang w:eastAsia="tr-TR"/>
              </w:rPr>
            </w:pPr>
            <w:r w:rsidRPr="00C73172">
              <w:rPr>
                <w:rFonts w:eastAsia="Times New Roman" w:cstheme="minorHAnsi"/>
                <w:color w:val="000000"/>
                <w:lang w:eastAsia="tr-TR"/>
              </w:rPr>
              <w:t>0</w:t>
            </w:r>
          </w:p>
        </w:tc>
        <w:tc>
          <w:tcPr>
            <w:tcW w:w="535" w:type="pct"/>
            <w:shd w:val="clear" w:color="auto" w:fill="auto"/>
            <w:vAlign w:val="center"/>
            <w:hideMark/>
          </w:tcPr>
          <w:p w:rsidR="00330B87" w:rsidRPr="00C73172" w:rsidRDefault="00330B87" w:rsidP="00330B87">
            <w:pPr>
              <w:spacing w:after="0" w:line="240" w:lineRule="auto"/>
              <w:jc w:val="right"/>
              <w:rPr>
                <w:rFonts w:eastAsia="Times New Roman" w:cstheme="minorHAnsi"/>
                <w:color w:val="000000"/>
                <w:lang w:eastAsia="tr-TR"/>
              </w:rPr>
            </w:pPr>
            <w:r w:rsidRPr="00C73172">
              <w:rPr>
                <w:rFonts w:eastAsia="Times New Roman" w:cstheme="minorHAnsi"/>
                <w:color w:val="000000"/>
                <w:lang w:eastAsia="tr-TR"/>
              </w:rPr>
              <w:t>0</w:t>
            </w:r>
          </w:p>
        </w:tc>
        <w:tc>
          <w:tcPr>
            <w:tcW w:w="536" w:type="pct"/>
            <w:shd w:val="clear" w:color="auto" w:fill="auto"/>
            <w:vAlign w:val="center"/>
            <w:hideMark/>
          </w:tcPr>
          <w:p w:rsidR="00330B87" w:rsidRPr="00C73172" w:rsidRDefault="00330B87" w:rsidP="00330B87">
            <w:pPr>
              <w:spacing w:after="0" w:line="240" w:lineRule="auto"/>
              <w:jc w:val="right"/>
              <w:rPr>
                <w:rFonts w:eastAsia="Times New Roman" w:cstheme="minorHAnsi"/>
                <w:color w:val="000000"/>
                <w:lang w:eastAsia="tr-TR"/>
              </w:rPr>
            </w:pPr>
            <w:r w:rsidRPr="00C73172">
              <w:rPr>
                <w:rFonts w:eastAsia="Times New Roman" w:cstheme="minorHAnsi"/>
                <w:color w:val="000000"/>
                <w:lang w:eastAsia="tr-TR"/>
              </w:rPr>
              <w:t>3</w:t>
            </w:r>
          </w:p>
        </w:tc>
        <w:tc>
          <w:tcPr>
            <w:tcW w:w="536" w:type="pct"/>
            <w:shd w:val="clear" w:color="auto" w:fill="auto"/>
            <w:vAlign w:val="center"/>
            <w:hideMark/>
          </w:tcPr>
          <w:p w:rsidR="00330B87" w:rsidRPr="00C73172" w:rsidRDefault="00330B87" w:rsidP="00330B87">
            <w:pPr>
              <w:spacing w:after="0" w:line="240" w:lineRule="auto"/>
              <w:jc w:val="right"/>
              <w:rPr>
                <w:rFonts w:eastAsia="Times New Roman" w:cstheme="minorHAnsi"/>
                <w:color w:val="000000"/>
                <w:lang w:eastAsia="tr-TR"/>
              </w:rPr>
            </w:pPr>
            <w:r w:rsidRPr="00C73172">
              <w:rPr>
                <w:rFonts w:eastAsia="Times New Roman" w:cstheme="minorHAnsi"/>
                <w:color w:val="000000"/>
                <w:lang w:eastAsia="tr-TR"/>
              </w:rPr>
              <w:t>18</w:t>
            </w:r>
          </w:p>
        </w:tc>
        <w:tc>
          <w:tcPr>
            <w:tcW w:w="642" w:type="pct"/>
            <w:shd w:val="clear" w:color="auto" w:fill="auto"/>
            <w:vAlign w:val="center"/>
            <w:hideMark/>
          </w:tcPr>
          <w:p w:rsidR="00330B87" w:rsidRPr="00C73172" w:rsidRDefault="00330B87" w:rsidP="00330B87">
            <w:pPr>
              <w:spacing w:after="0" w:line="240" w:lineRule="auto"/>
              <w:jc w:val="right"/>
              <w:rPr>
                <w:rFonts w:eastAsia="Times New Roman" w:cstheme="minorHAnsi"/>
                <w:b/>
                <w:color w:val="000000"/>
                <w:lang w:eastAsia="tr-TR"/>
              </w:rPr>
            </w:pPr>
            <w:r w:rsidRPr="00C73172">
              <w:rPr>
                <w:rFonts w:eastAsia="Times New Roman" w:cstheme="minorHAnsi"/>
                <w:b/>
                <w:color w:val="000000"/>
                <w:lang w:eastAsia="tr-TR"/>
              </w:rPr>
              <w:t>196</w:t>
            </w:r>
          </w:p>
        </w:tc>
      </w:tr>
      <w:tr w:rsidR="00330B87" w:rsidRPr="005030E7" w:rsidTr="00B44AB8">
        <w:trPr>
          <w:trHeight w:val="340"/>
          <w:jc w:val="center"/>
        </w:trPr>
        <w:tc>
          <w:tcPr>
            <w:tcW w:w="844" w:type="pct"/>
            <w:shd w:val="clear" w:color="auto" w:fill="auto"/>
            <w:vAlign w:val="center"/>
            <w:hideMark/>
          </w:tcPr>
          <w:p w:rsidR="00330B87" w:rsidRPr="005030E7" w:rsidRDefault="00330B87" w:rsidP="00330B87">
            <w:pPr>
              <w:spacing w:after="0" w:line="240" w:lineRule="auto"/>
              <w:jc w:val="left"/>
              <w:rPr>
                <w:rFonts w:eastAsia="Times New Roman" w:cstheme="minorHAnsi"/>
                <w:color w:val="000000"/>
                <w:lang w:eastAsia="tr-TR"/>
              </w:rPr>
            </w:pPr>
            <w:r w:rsidRPr="005030E7">
              <w:rPr>
                <w:rFonts w:eastAsia="Times New Roman" w:cstheme="minorHAnsi"/>
                <w:color w:val="000000"/>
                <w:lang w:eastAsia="tr-TR"/>
              </w:rPr>
              <w:t>OSB Üretim Lisansı</w:t>
            </w:r>
          </w:p>
        </w:tc>
        <w:tc>
          <w:tcPr>
            <w:tcW w:w="547" w:type="pct"/>
            <w:shd w:val="clear" w:color="auto" w:fill="auto"/>
            <w:vAlign w:val="center"/>
            <w:hideMark/>
          </w:tcPr>
          <w:p w:rsidR="00330B87" w:rsidRPr="00C73172" w:rsidRDefault="00330B87" w:rsidP="00330B87">
            <w:pPr>
              <w:spacing w:after="0" w:line="240" w:lineRule="auto"/>
              <w:jc w:val="right"/>
              <w:rPr>
                <w:rFonts w:eastAsia="Times New Roman" w:cstheme="minorHAnsi"/>
                <w:color w:val="000000"/>
                <w:lang w:eastAsia="tr-TR"/>
              </w:rPr>
            </w:pPr>
            <w:r w:rsidRPr="00C73172">
              <w:rPr>
                <w:rFonts w:eastAsia="Times New Roman" w:cstheme="minorHAnsi"/>
                <w:color w:val="000000"/>
                <w:lang w:eastAsia="tr-TR"/>
              </w:rPr>
              <w:t>0</w:t>
            </w:r>
          </w:p>
        </w:tc>
        <w:tc>
          <w:tcPr>
            <w:tcW w:w="533" w:type="pct"/>
            <w:shd w:val="clear" w:color="auto" w:fill="auto"/>
            <w:vAlign w:val="center"/>
            <w:hideMark/>
          </w:tcPr>
          <w:p w:rsidR="00330B87" w:rsidRPr="00C73172" w:rsidRDefault="00330B87" w:rsidP="00330B87">
            <w:pPr>
              <w:spacing w:after="0" w:line="240" w:lineRule="auto"/>
              <w:jc w:val="right"/>
              <w:rPr>
                <w:rFonts w:eastAsia="Times New Roman" w:cstheme="minorHAnsi"/>
                <w:color w:val="000000"/>
                <w:lang w:eastAsia="tr-TR"/>
              </w:rPr>
            </w:pPr>
            <w:r w:rsidRPr="00C73172">
              <w:rPr>
                <w:rFonts w:eastAsia="Times New Roman" w:cstheme="minorHAnsi"/>
                <w:color w:val="000000"/>
                <w:lang w:eastAsia="tr-TR"/>
              </w:rPr>
              <w:t>0</w:t>
            </w:r>
          </w:p>
        </w:tc>
        <w:tc>
          <w:tcPr>
            <w:tcW w:w="826" w:type="pct"/>
            <w:shd w:val="clear" w:color="auto" w:fill="auto"/>
            <w:vAlign w:val="center"/>
            <w:hideMark/>
          </w:tcPr>
          <w:p w:rsidR="00330B87" w:rsidRPr="00C73172" w:rsidRDefault="00330B87" w:rsidP="00330B87">
            <w:pPr>
              <w:spacing w:after="0" w:line="240" w:lineRule="auto"/>
              <w:jc w:val="right"/>
              <w:rPr>
                <w:rFonts w:eastAsia="Times New Roman" w:cstheme="minorHAnsi"/>
                <w:color w:val="000000"/>
                <w:lang w:eastAsia="tr-TR"/>
              </w:rPr>
            </w:pPr>
            <w:r w:rsidRPr="00C73172">
              <w:rPr>
                <w:rFonts w:eastAsia="Times New Roman" w:cstheme="minorHAnsi"/>
                <w:color w:val="000000"/>
                <w:lang w:eastAsia="tr-TR"/>
              </w:rPr>
              <w:t>0</w:t>
            </w:r>
          </w:p>
        </w:tc>
        <w:tc>
          <w:tcPr>
            <w:tcW w:w="535" w:type="pct"/>
            <w:shd w:val="clear" w:color="auto" w:fill="auto"/>
            <w:vAlign w:val="center"/>
            <w:hideMark/>
          </w:tcPr>
          <w:p w:rsidR="00330B87" w:rsidRPr="00C73172" w:rsidRDefault="00330B87" w:rsidP="00330B87">
            <w:pPr>
              <w:spacing w:after="0" w:line="240" w:lineRule="auto"/>
              <w:jc w:val="right"/>
              <w:rPr>
                <w:rFonts w:eastAsia="Times New Roman" w:cstheme="minorHAnsi"/>
                <w:color w:val="000000"/>
                <w:lang w:eastAsia="tr-TR"/>
              </w:rPr>
            </w:pPr>
            <w:r w:rsidRPr="00C73172">
              <w:rPr>
                <w:rFonts w:eastAsia="Times New Roman" w:cstheme="minorHAnsi"/>
                <w:color w:val="000000"/>
                <w:lang w:eastAsia="tr-TR"/>
              </w:rPr>
              <w:t>0</w:t>
            </w:r>
          </w:p>
        </w:tc>
        <w:tc>
          <w:tcPr>
            <w:tcW w:w="536" w:type="pct"/>
            <w:shd w:val="clear" w:color="auto" w:fill="auto"/>
            <w:vAlign w:val="center"/>
            <w:hideMark/>
          </w:tcPr>
          <w:p w:rsidR="00330B87" w:rsidRPr="00C73172" w:rsidRDefault="00330B87" w:rsidP="00330B87">
            <w:pPr>
              <w:spacing w:after="0" w:line="240" w:lineRule="auto"/>
              <w:jc w:val="right"/>
              <w:rPr>
                <w:rFonts w:eastAsia="Times New Roman" w:cstheme="minorHAnsi"/>
                <w:color w:val="000000"/>
                <w:lang w:eastAsia="tr-TR"/>
              </w:rPr>
            </w:pPr>
            <w:r w:rsidRPr="00C73172">
              <w:rPr>
                <w:rFonts w:eastAsia="Times New Roman" w:cstheme="minorHAnsi"/>
                <w:color w:val="000000"/>
                <w:lang w:eastAsia="tr-TR"/>
              </w:rPr>
              <w:t> </w:t>
            </w:r>
          </w:p>
        </w:tc>
        <w:tc>
          <w:tcPr>
            <w:tcW w:w="536" w:type="pct"/>
            <w:shd w:val="clear" w:color="auto" w:fill="auto"/>
            <w:vAlign w:val="center"/>
            <w:hideMark/>
          </w:tcPr>
          <w:p w:rsidR="00330B87" w:rsidRPr="00C73172" w:rsidRDefault="00330B87" w:rsidP="00330B87">
            <w:pPr>
              <w:spacing w:after="0" w:line="240" w:lineRule="auto"/>
              <w:jc w:val="right"/>
              <w:rPr>
                <w:rFonts w:eastAsia="Times New Roman" w:cstheme="minorHAnsi"/>
                <w:color w:val="000000"/>
                <w:lang w:eastAsia="tr-TR"/>
              </w:rPr>
            </w:pPr>
            <w:r w:rsidRPr="00C73172">
              <w:rPr>
                <w:rFonts w:eastAsia="Times New Roman" w:cstheme="minorHAnsi"/>
                <w:color w:val="000000"/>
                <w:lang w:eastAsia="tr-TR"/>
              </w:rPr>
              <w:t>0</w:t>
            </w:r>
          </w:p>
        </w:tc>
        <w:tc>
          <w:tcPr>
            <w:tcW w:w="642" w:type="pct"/>
            <w:shd w:val="clear" w:color="auto" w:fill="auto"/>
            <w:vAlign w:val="center"/>
            <w:hideMark/>
          </w:tcPr>
          <w:p w:rsidR="00330B87" w:rsidRPr="00C73172" w:rsidRDefault="00330B87" w:rsidP="00330B87">
            <w:pPr>
              <w:spacing w:after="0" w:line="240" w:lineRule="auto"/>
              <w:jc w:val="right"/>
              <w:rPr>
                <w:rFonts w:eastAsia="Times New Roman" w:cstheme="minorHAnsi"/>
                <w:b/>
                <w:color w:val="000000"/>
                <w:lang w:eastAsia="tr-TR"/>
              </w:rPr>
            </w:pPr>
            <w:r w:rsidRPr="00C73172">
              <w:rPr>
                <w:rFonts w:eastAsia="Times New Roman" w:cstheme="minorHAnsi"/>
                <w:b/>
                <w:color w:val="000000"/>
                <w:lang w:eastAsia="tr-TR"/>
              </w:rPr>
              <w:t>3</w:t>
            </w:r>
          </w:p>
        </w:tc>
      </w:tr>
      <w:tr w:rsidR="00330B87" w:rsidRPr="005030E7" w:rsidTr="00B44AB8">
        <w:trPr>
          <w:trHeight w:val="340"/>
          <w:jc w:val="center"/>
        </w:trPr>
        <w:tc>
          <w:tcPr>
            <w:tcW w:w="844" w:type="pct"/>
            <w:shd w:val="clear" w:color="auto" w:fill="auto"/>
            <w:vAlign w:val="center"/>
            <w:hideMark/>
          </w:tcPr>
          <w:p w:rsidR="00330B87" w:rsidRPr="005030E7" w:rsidRDefault="00330B87" w:rsidP="00330B87">
            <w:pPr>
              <w:spacing w:after="0" w:line="240" w:lineRule="auto"/>
              <w:jc w:val="left"/>
              <w:rPr>
                <w:rFonts w:eastAsia="Times New Roman" w:cstheme="minorHAnsi"/>
                <w:color w:val="000000"/>
                <w:lang w:eastAsia="tr-TR"/>
              </w:rPr>
            </w:pPr>
            <w:r w:rsidRPr="005030E7">
              <w:rPr>
                <w:rFonts w:eastAsia="Times New Roman" w:cstheme="minorHAnsi"/>
                <w:color w:val="000000"/>
                <w:lang w:eastAsia="tr-TR"/>
              </w:rPr>
              <w:t>Üretim Önlisans*</w:t>
            </w:r>
          </w:p>
        </w:tc>
        <w:tc>
          <w:tcPr>
            <w:tcW w:w="547" w:type="pct"/>
            <w:shd w:val="clear" w:color="auto" w:fill="auto"/>
            <w:vAlign w:val="center"/>
            <w:hideMark/>
          </w:tcPr>
          <w:p w:rsidR="00330B87" w:rsidRPr="00C73172" w:rsidRDefault="00330B87" w:rsidP="00330B87">
            <w:pPr>
              <w:spacing w:after="0" w:line="240" w:lineRule="auto"/>
              <w:jc w:val="right"/>
              <w:rPr>
                <w:rFonts w:eastAsia="Times New Roman" w:cstheme="minorHAnsi"/>
                <w:color w:val="000000"/>
                <w:lang w:eastAsia="tr-TR"/>
              </w:rPr>
            </w:pPr>
            <w:r w:rsidRPr="00C73172">
              <w:rPr>
                <w:rFonts w:eastAsia="Times New Roman" w:cstheme="minorHAnsi"/>
                <w:color w:val="000000"/>
                <w:lang w:eastAsia="tr-TR"/>
              </w:rPr>
              <w:t>347</w:t>
            </w:r>
          </w:p>
        </w:tc>
        <w:tc>
          <w:tcPr>
            <w:tcW w:w="533" w:type="pct"/>
            <w:shd w:val="clear" w:color="auto" w:fill="auto"/>
            <w:vAlign w:val="center"/>
            <w:hideMark/>
          </w:tcPr>
          <w:p w:rsidR="00330B87" w:rsidRPr="00C73172" w:rsidRDefault="00330B87" w:rsidP="00330B87">
            <w:pPr>
              <w:spacing w:after="0" w:line="240" w:lineRule="auto"/>
              <w:jc w:val="right"/>
              <w:rPr>
                <w:rFonts w:eastAsia="Times New Roman" w:cstheme="minorHAnsi"/>
                <w:color w:val="000000"/>
                <w:lang w:eastAsia="tr-TR"/>
              </w:rPr>
            </w:pPr>
            <w:r w:rsidRPr="00C73172">
              <w:rPr>
                <w:rFonts w:eastAsia="Times New Roman" w:cstheme="minorHAnsi"/>
                <w:color w:val="000000"/>
                <w:lang w:eastAsia="tr-TR"/>
              </w:rPr>
              <w:t>96</w:t>
            </w:r>
          </w:p>
        </w:tc>
        <w:tc>
          <w:tcPr>
            <w:tcW w:w="826" w:type="pct"/>
            <w:shd w:val="clear" w:color="auto" w:fill="auto"/>
            <w:vAlign w:val="center"/>
            <w:hideMark/>
          </w:tcPr>
          <w:p w:rsidR="00330B87" w:rsidRPr="00C73172" w:rsidRDefault="00330B87" w:rsidP="00330B87">
            <w:pPr>
              <w:spacing w:after="0" w:line="240" w:lineRule="auto"/>
              <w:jc w:val="right"/>
              <w:rPr>
                <w:rFonts w:eastAsia="Times New Roman" w:cstheme="minorHAnsi"/>
                <w:color w:val="000000"/>
                <w:lang w:eastAsia="tr-TR"/>
              </w:rPr>
            </w:pPr>
            <w:r w:rsidRPr="00C73172">
              <w:rPr>
                <w:rFonts w:eastAsia="Times New Roman" w:cstheme="minorHAnsi"/>
                <w:color w:val="000000"/>
                <w:lang w:eastAsia="tr-TR"/>
              </w:rPr>
              <w:t>51</w:t>
            </w:r>
          </w:p>
        </w:tc>
        <w:tc>
          <w:tcPr>
            <w:tcW w:w="535" w:type="pct"/>
            <w:shd w:val="clear" w:color="auto" w:fill="auto"/>
            <w:vAlign w:val="center"/>
            <w:hideMark/>
          </w:tcPr>
          <w:p w:rsidR="00330B87" w:rsidRPr="00C73172" w:rsidRDefault="00330B87" w:rsidP="00330B87">
            <w:pPr>
              <w:spacing w:after="0" w:line="240" w:lineRule="auto"/>
              <w:jc w:val="right"/>
              <w:rPr>
                <w:rFonts w:eastAsia="Times New Roman" w:cstheme="minorHAnsi"/>
                <w:color w:val="000000"/>
                <w:lang w:eastAsia="tr-TR"/>
              </w:rPr>
            </w:pPr>
            <w:r w:rsidRPr="00C73172">
              <w:rPr>
                <w:rFonts w:eastAsia="Times New Roman" w:cstheme="minorHAnsi"/>
                <w:color w:val="000000"/>
                <w:lang w:eastAsia="tr-TR"/>
              </w:rPr>
              <w:t>1</w:t>
            </w:r>
          </w:p>
        </w:tc>
        <w:tc>
          <w:tcPr>
            <w:tcW w:w="536" w:type="pct"/>
            <w:shd w:val="clear" w:color="auto" w:fill="auto"/>
            <w:vAlign w:val="center"/>
            <w:hideMark/>
          </w:tcPr>
          <w:p w:rsidR="00330B87" w:rsidRPr="00C73172" w:rsidRDefault="00330B87" w:rsidP="00330B87">
            <w:pPr>
              <w:spacing w:after="0" w:line="240" w:lineRule="auto"/>
              <w:jc w:val="right"/>
              <w:rPr>
                <w:rFonts w:eastAsia="Times New Roman" w:cstheme="minorHAnsi"/>
                <w:color w:val="000000"/>
                <w:lang w:eastAsia="tr-TR"/>
              </w:rPr>
            </w:pPr>
            <w:r w:rsidRPr="00C73172">
              <w:rPr>
                <w:rFonts w:eastAsia="Times New Roman" w:cstheme="minorHAnsi"/>
                <w:color w:val="000000"/>
                <w:lang w:eastAsia="tr-TR"/>
              </w:rPr>
              <w:t>22</w:t>
            </w:r>
          </w:p>
        </w:tc>
        <w:tc>
          <w:tcPr>
            <w:tcW w:w="536" w:type="pct"/>
            <w:shd w:val="clear" w:color="auto" w:fill="auto"/>
            <w:vAlign w:val="center"/>
            <w:hideMark/>
          </w:tcPr>
          <w:p w:rsidR="00330B87" w:rsidRPr="00C73172" w:rsidRDefault="00330B87" w:rsidP="00330B87">
            <w:pPr>
              <w:spacing w:after="0" w:line="240" w:lineRule="auto"/>
              <w:jc w:val="right"/>
              <w:rPr>
                <w:rFonts w:eastAsia="Times New Roman" w:cstheme="minorHAnsi"/>
                <w:color w:val="000000"/>
                <w:lang w:eastAsia="tr-TR"/>
              </w:rPr>
            </w:pPr>
            <w:r w:rsidRPr="00C73172">
              <w:rPr>
                <w:rFonts w:eastAsia="Times New Roman" w:cstheme="minorHAnsi"/>
                <w:color w:val="000000"/>
                <w:lang w:eastAsia="tr-TR"/>
              </w:rPr>
              <w:t>517</w:t>
            </w:r>
          </w:p>
        </w:tc>
        <w:tc>
          <w:tcPr>
            <w:tcW w:w="642" w:type="pct"/>
            <w:shd w:val="clear" w:color="auto" w:fill="auto"/>
            <w:vAlign w:val="center"/>
            <w:hideMark/>
          </w:tcPr>
          <w:p w:rsidR="00330B87" w:rsidRPr="00D34E39" w:rsidRDefault="00330B87" w:rsidP="00330B87">
            <w:pPr>
              <w:spacing w:after="0" w:line="240" w:lineRule="auto"/>
              <w:jc w:val="right"/>
              <w:rPr>
                <w:rFonts w:eastAsia="Times New Roman" w:cstheme="minorHAnsi"/>
                <w:b/>
                <w:color w:val="000000"/>
                <w:lang w:eastAsia="tr-TR"/>
              </w:rPr>
            </w:pPr>
            <w:r w:rsidRPr="00C73172">
              <w:rPr>
                <w:rFonts w:eastAsia="Times New Roman" w:cstheme="minorHAnsi"/>
                <w:b/>
                <w:color w:val="000000"/>
                <w:lang w:eastAsia="tr-TR"/>
              </w:rPr>
              <w:t>263</w:t>
            </w:r>
          </w:p>
        </w:tc>
      </w:tr>
      <w:tr w:rsidR="00330B87" w:rsidRPr="005030E7" w:rsidTr="00B44AB8">
        <w:trPr>
          <w:trHeight w:val="340"/>
          <w:jc w:val="center"/>
        </w:trPr>
        <w:tc>
          <w:tcPr>
            <w:tcW w:w="844" w:type="pct"/>
            <w:shd w:val="clear" w:color="auto" w:fill="auto"/>
            <w:vAlign w:val="center"/>
            <w:hideMark/>
          </w:tcPr>
          <w:p w:rsidR="00330B87" w:rsidRPr="005030E7" w:rsidRDefault="00330B87" w:rsidP="00330B87">
            <w:pPr>
              <w:spacing w:after="0" w:line="240" w:lineRule="auto"/>
              <w:rPr>
                <w:rFonts w:eastAsia="Times New Roman" w:cstheme="minorHAnsi"/>
                <w:color w:val="000000"/>
                <w:lang w:eastAsia="tr-TR"/>
              </w:rPr>
            </w:pPr>
            <w:r w:rsidRPr="005030E7">
              <w:rPr>
                <w:rFonts w:eastAsia="Times New Roman" w:cstheme="minorHAnsi"/>
                <w:color w:val="000000"/>
                <w:lang w:eastAsia="tr-TR"/>
              </w:rPr>
              <w:t>Piyasa İşletim Lisansı</w:t>
            </w:r>
          </w:p>
        </w:tc>
        <w:tc>
          <w:tcPr>
            <w:tcW w:w="547" w:type="pct"/>
            <w:shd w:val="clear" w:color="auto" w:fill="auto"/>
            <w:vAlign w:val="center"/>
            <w:hideMark/>
          </w:tcPr>
          <w:p w:rsidR="00330B87" w:rsidRPr="00C73172" w:rsidRDefault="00330B87" w:rsidP="00330B87">
            <w:pPr>
              <w:spacing w:after="0" w:line="240" w:lineRule="auto"/>
              <w:jc w:val="right"/>
              <w:rPr>
                <w:rFonts w:eastAsia="Times New Roman" w:cstheme="minorHAnsi"/>
                <w:color w:val="000000"/>
                <w:lang w:eastAsia="tr-TR"/>
              </w:rPr>
            </w:pPr>
            <w:r w:rsidRPr="00C73172">
              <w:rPr>
                <w:rFonts w:eastAsia="Times New Roman" w:cstheme="minorHAnsi"/>
                <w:color w:val="000000"/>
                <w:lang w:eastAsia="tr-TR"/>
              </w:rPr>
              <w:t>0</w:t>
            </w:r>
          </w:p>
        </w:tc>
        <w:tc>
          <w:tcPr>
            <w:tcW w:w="533" w:type="pct"/>
            <w:shd w:val="clear" w:color="auto" w:fill="auto"/>
            <w:vAlign w:val="center"/>
            <w:hideMark/>
          </w:tcPr>
          <w:p w:rsidR="00330B87" w:rsidRPr="00C73172" w:rsidRDefault="00330B87" w:rsidP="00330B87">
            <w:pPr>
              <w:spacing w:after="0" w:line="240" w:lineRule="auto"/>
              <w:jc w:val="right"/>
              <w:rPr>
                <w:rFonts w:eastAsia="Times New Roman" w:cstheme="minorHAnsi"/>
                <w:color w:val="000000"/>
                <w:lang w:eastAsia="tr-TR"/>
              </w:rPr>
            </w:pPr>
            <w:r w:rsidRPr="00C73172">
              <w:rPr>
                <w:rFonts w:eastAsia="Times New Roman" w:cstheme="minorHAnsi"/>
                <w:color w:val="000000"/>
                <w:lang w:eastAsia="tr-TR"/>
              </w:rPr>
              <w:t>0</w:t>
            </w:r>
          </w:p>
        </w:tc>
        <w:tc>
          <w:tcPr>
            <w:tcW w:w="826" w:type="pct"/>
            <w:shd w:val="clear" w:color="auto" w:fill="auto"/>
            <w:vAlign w:val="center"/>
            <w:hideMark/>
          </w:tcPr>
          <w:p w:rsidR="00330B87" w:rsidRPr="00C73172" w:rsidRDefault="00330B87" w:rsidP="00330B87">
            <w:pPr>
              <w:spacing w:after="0" w:line="240" w:lineRule="auto"/>
              <w:jc w:val="right"/>
              <w:rPr>
                <w:rFonts w:eastAsia="Times New Roman" w:cstheme="minorHAnsi"/>
                <w:color w:val="000000"/>
                <w:lang w:eastAsia="tr-TR"/>
              </w:rPr>
            </w:pPr>
            <w:r w:rsidRPr="00C73172">
              <w:rPr>
                <w:rFonts w:eastAsia="Times New Roman" w:cstheme="minorHAnsi"/>
                <w:color w:val="000000"/>
                <w:lang w:eastAsia="tr-TR"/>
              </w:rPr>
              <w:t>0</w:t>
            </w:r>
          </w:p>
        </w:tc>
        <w:tc>
          <w:tcPr>
            <w:tcW w:w="535" w:type="pct"/>
            <w:shd w:val="clear" w:color="auto" w:fill="auto"/>
            <w:vAlign w:val="center"/>
            <w:hideMark/>
          </w:tcPr>
          <w:p w:rsidR="00330B87" w:rsidRPr="00C73172" w:rsidRDefault="00330B87" w:rsidP="00330B87">
            <w:pPr>
              <w:spacing w:after="0" w:line="240" w:lineRule="auto"/>
              <w:jc w:val="right"/>
              <w:rPr>
                <w:rFonts w:eastAsia="Times New Roman" w:cstheme="minorHAnsi"/>
                <w:color w:val="000000"/>
                <w:lang w:eastAsia="tr-TR"/>
              </w:rPr>
            </w:pPr>
            <w:r w:rsidRPr="00C73172">
              <w:rPr>
                <w:rFonts w:eastAsia="Times New Roman" w:cstheme="minorHAnsi"/>
                <w:color w:val="000000"/>
                <w:lang w:eastAsia="tr-TR"/>
              </w:rPr>
              <w:t>0</w:t>
            </w:r>
          </w:p>
        </w:tc>
        <w:tc>
          <w:tcPr>
            <w:tcW w:w="536" w:type="pct"/>
            <w:shd w:val="clear" w:color="auto" w:fill="auto"/>
            <w:vAlign w:val="center"/>
            <w:hideMark/>
          </w:tcPr>
          <w:p w:rsidR="00330B87" w:rsidRPr="00C73172" w:rsidRDefault="00537FF1" w:rsidP="00330B87">
            <w:pPr>
              <w:spacing w:after="0" w:line="240" w:lineRule="auto"/>
              <w:jc w:val="right"/>
              <w:rPr>
                <w:rFonts w:eastAsia="Times New Roman" w:cstheme="minorHAnsi"/>
                <w:color w:val="000000"/>
                <w:lang w:eastAsia="tr-TR"/>
              </w:rPr>
            </w:pPr>
            <w:r>
              <w:rPr>
                <w:rFonts w:eastAsia="Times New Roman" w:cstheme="minorHAnsi"/>
                <w:color w:val="000000"/>
                <w:lang w:eastAsia="tr-TR"/>
              </w:rPr>
              <w:t>0</w:t>
            </w:r>
            <w:r w:rsidR="00330B87" w:rsidRPr="00C73172">
              <w:rPr>
                <w:rFonts w:eastAsia="Times New Roman" w:cstheme="minorHAnsi"/>
                <w:color w:val="000000"/>
                <w:lang w:eastAsia="tr-TR"/>
              </w:rPr>
              <w:t> </w:t>
            </w:r>
          </w:p>
        </w:tc>
        <w:tc>
          <w:tcPr>
            <w:tcW w:w="536" w:type="pct"/>
            <w:shd w:val="clear" w:color="auto" w:fill="auto"/>
            <w:vAlign w:val="center"/>
            <w:hideMark/>
          </w:tcPr>
          <w:p w:rsidR="00330B87" w:rsidRPr="00C73172" w:rsidRDefault="00330B87" w:rsidP="00330B87">
            <w:pPr>
              <w:spacing w:after="0" w:line="240" w:lineRule="auto"/>
              <w:jc w:val="right"/>
              <w:rPr>
                <w:rFonts w:eastAsia="Times New Roman" w:cstheme="minorHAnsi"/>
                <w:color w:val="000000"/>
                <w:lang w:eastAsia="tr-TR"/>
              </w:rPr>
            </w:pPr>
            <w:r w:rsidRPr="00C73172">
              <w:rPr>
                <w:rFonts w:eastAsia="Times New Roman" w:cstheme="minorHAnsi"/>
                <w:color w:val="000000"/>
                <w:lang w:eastAsia="tr-TR"/>
              </w:rPr>
              <w:t>0</w:t>
            </w:r>
          </w:p>
        </w:tc>
        <w:tc>
          <w:tcPr>
            <w:tcW w:w="642" w:type="pct"/>
            <w:shd w:val="clear" w:color="auto" w:fill="auto"/>
            <w:vAlign w:val="center"/>
            <w:hideMark/>
          </w:tcPr>
          <w:p w:rsidR="00330B87" w:rsidRPr="00D34E39" w:rsidRDefault="00330B87" w:rsidP="00330B87">
            <w:pPr>
              <w:spacing w:after="0" w:line="240" w:lineRule="auto"/>
              <w:jc w:val="right"/>
              <w:rPr>
                <w:rFonts w:eastAsia="Times New Roman" w:cstheme="minorHAnsi"/>
                <w:b/>
                <w:color w:val="000000"/>
                <w:lang w:eastAsia="tr-TR"/>
              </w:rPr>
            </w:pPr>
            <w:r w:rsidRPr="00C73172">
              <w:rPr>
                <w:rFonts w:eastAsia="Times New Roman" w:cstheme="minorHAnsi"/>
                <w:b/>
                <w:color w:val="000000"/>
                <w:lang w:eastAsia="tr-TR"/>
              </w:rPr>
              <w:t>2</w:t>
            </w:r>
          </w:p>
        </w:tc>
      </w:tr>
      <w:tr w:rsidR="00330B87" w:rsidRPr="005030E7" w:rsidTr="00B44AB8">
        <w:trPr>
          <w:trHeight w:val="340"/>
          <w:jc w:val="center"/>
        </w:trPr>
        <w:tc>
          <w:tcPr>
            <w:tcW w:w="844" w:type="pct"/>
            <w:shd w:val="clear" w:color="auto" w:fill="auto"/>
            <w:vAlign w:val="center"/>
            <w:hideMark/>
          </w:tcPr>
          <w:p w:rsidR="00330B87" w:rsidRPr="005030E7" w:rsidRDefault="00330B87" w:rsidP="00330B87">
            <w:pPr>
              <w:spacing w:after="0" w:line="240" w:lineRule="auto"/>
              <w:rPr>
                <w:rFonts w:eastAsia="Times New Roman" w:cstheme="minorHAnsi"/>
                <w:color w:val="000000"/>
                <w:lang w:eastAsia="tr-TR"/>
              </w:rPr>
            </w:pPr>
            <w:r w:rsidRPr="005030E7">
              <w:rPr>
                <w:rFonts w:eastAsia="Times New Roman" w:cstheme="minorHAnsi"/>
                <w:color w:val="000000"/>
                <w:lang w:eastAsia="tr-TR"/>
              </w:rPr>
              <w:t>Tedarik Lisansı</w:t>
            </w:r>
          </w:p>
        </w:tc>
        <w:tc>
          <w:tcPr>
            <w:tcW w:w="547" w:type="pct"/>
            <w:shd w:val="clear" w:color="auto" w:fill="auto"/>
            <w:vAlign w:val="center"/>
            <w:hideMark/>
          </w:tcPr>
          <w:p w:rsidR="00330B87" w:rsidRPr="00C73172" w:rsidRDefault="00330B87" w:rsidP="00330B87">
            <w:pPr>
              <w:spacing w:after="0" w:line="240" w:lineRule="auto"/>
              <w:jc w:val="right"/>
              <w:rPr>
                <w:rFonts w:eastAsia="Times New Roman" w:cstheme="minorHAnsi"/>
                <w:color w:val="000000"/>
                <w:lang w:eastAsia="tr-TR"/>
              </w:rPr>
            </w:pPr>
            <w:r w:rsidRPr="00C73172">
              <w:rPr>
                <w:rFonts w:cstheme="minorHAnsi"/>
                <w:color w:val="000000"/>
              </w:rPr>
              <w:t>74</w:t>
            </w:r>
          </w:p>
        </w:tc>
        <w:tc>
          <w:tcPr>
            <w:tcW w:w="533" w:type="pct"/>
            <w:shd w:val="clear" w:color="auto" w:fill="auto"/>
            <w:vAlign w:val="center"/>
            <w:hideMark/>
          </w:tcPr>
          <w:p w:rsidR="00330B87" w:rsidRPr="00C73172" w:rsidRDefault="00330B87" w:rsidP="00330B87">
            <w:pPr>
              <w:spacing w:after="0" w:line="240" w:lineRule="auto"/>
              <w:jc w:val="right"/>
              <w:rPr>
                <w:rFonts w:eastAsia="Times New Roman" w:cstheme="minorHAnsi"/>
                <w:color w:val="000000"/>
                <w:lang w:eastAsia="tr-TR"/>
              </w:rPr>
            </w:pPr>
            <w:r w:rsidRPr="00C73172">
              <w:rPr>
                <w:rFonts w:cstheme="minorHAnsi"/>
                <w:color w:val="000000"/>
              </w:rPr>
              <w:t>75</w:t>
            </w:r>
          </w:p>
        </w:tc>
        <w:tc>
          <w:tcPr>
            <w:tcW w:w="826" w:type="pct"/>
            <w:shd w:val="clear" w:color="auto" w:fill="auto"/>
            <w:vAlign w:val="center"/>
            <w:hideMark/>
          </w:tcPr>
          <w:p w:rsidR="00330B87" w:rsidRPr="00C73172" w:rsidRDefault="00330B87" w:rsidP="00330B87">
            <w:pPr>
              <w:spacing w:after="0" w:line="240" w:lineRule="auto"/>
              <w:jc w:val="right"/>
              <w:rPr>
                <w:rFonts w:eastAsia="Times New Roman" w:cstheme="minorHAnsi"/>
                <w:color w:val="000000"/>
                <w:lang w:eastAsia="tr-TR"/>
              </w:rPr>
            </w:pPr>
            <w:r w:rsidRPr="00C73172">
              <w:rPr>
                <w:rFonts w:cstheme="minorHAnsi"/>
                <w:color w:val="000000"/>
              </w:rPr>
              <w:t>3</w:t>
            </w:r>
          </w:p>
        </w:tc>
        <w:tc>
          <w:tcPr>
            <w:tcW w:w="535" w:type="pct"/>
            <w:shd w:val="clear" w:color="auto" w:fill="auto"/>
            <w:vAlign w:val="center"/>
            <w:hideMark/>
          </w:tcPr>
          <w:p w:rsidR="00330B87" w:rsidRPr="00C73172" w:rsidRDefault="00330B87" w:rsidP="00330B87">
            <w:pPr>
              <w:spacing w:after="0" w:line="240" w:lineRule="auto"/>
              <w:jc w:val="right"/>
              <w:rPr>
                <w:rFonts w:eastAsia="Times New Roman" w:cstheme="minorHAnsi"/>
                <w:color w:val="000000"/>
                <w:lang w:eastAsia="tr-TR"/>
              </w:rPr>
            </w:pPr>
            <w:r w:rsidRPr="00C73172">
              <w:rPr>
                <w:rFonts w:cstheme="minorHAnsi"/>
                <w:color w:val="000000"/>
              </w:rPr>
              <w:t>2</w:t>
            </w:r>
          </w:p>
        </w:tc>
        <w:tc>
          <w:tcPr>
            <w:tcW w:w="536" w:type="pct"/>
            <w:shd w:val="clear" w:color="auto" w:fill="auto"/>
            <w:vAlign w:val="center"/>
            <w:hideMark/>
          </w:tcPr>
          <w:p w:rsidR="00330B87" w:rsidRPr="00C73172" w:rsidRDefault="00330B87" w:rsidP="00330B87">
            <w:pPr>
              <w:spacing w:after="0" w:line="240" w:lineRule="auto"/>
              <w:jc w:val="right"/>
              <w:rPr>
                <w:rFonts w:eastAsia="Times New Roman" w:cstheme="minorHAnsi"/>
                <w:color w:val="000000"/>
                <w:lang w:eastAsia="tr-TR"/>
              </w:rPr>
            </w:pPr>
            <w:r w:rsidRPr="00C73172">
              <w:rPr>
                <w:rFonts w:cstheme="minorHAnsi"/>
                <w:color w:val="000000"/>
              </w:rPr>
              <w:t>15</w:t>
            </w:r>
          </w:p>
        </w:tc>
        <w:tc>
          <w:tcPr>
            <w:tcW w:w="536" w:type="pct"/>
            <w:shd w:val="clear" w:color="auto" w:fill="auto"/>
            <w:vAlign w:val="center"/>
            <w:hideMark/>
          </w:tcPr>
          <w:p w:rsidR="00330B87" w:rsidRPr="00C73172" w:rsidRDefault="00330B87" w:rsidP="00330B87">
            <w:pPr>
              <w:spacing w:after="0" w:line="240" w:lineRule="auto"/>
              <w:jc w:val="right"/>
              <w:rPr>
                <w:rFonts w:eastAsia="Times New Roman" w:cstheme="minorHAnsi"/>
                <w:color w:val="000000"/>
                <w:lang w:eastAsia="tr-TR"/>
              </w:rPr>
            </w:pPr>
            <w:r w:rsidRPr="00C73172">
              <w:rPr>
                <w:rFonts w:cstheme="minorHAnsi"/>
                <w:color w:val="000000"/>
              </w:rPr>
              <w:t>169</w:t>
            </w:r>
          </w:p>
        </w:tc>
        <w:tc>
          <w:tcPr>
            <w:tcW w:w="642" w:type="pct"/>
            <w:shd w:val="clear" w:color="auto" w:fill="auto"/>
            <w:vAlign w:val="center"/>
            <w:hideMark/>
          </w:tcPr>
          <w:p w:rsidR="00330B87" w:rsidRPr="00D34E39" w:rsidRDefault="00330B87" w:rsidP="00330B87">
            <w:pPr>
              <w:spacing w:after="0" w:line="240" w:lineRule="auto"/>
              <w:jc w:val="right"/>
              <w:rPr>
                <w:rFonts w:eastAsia="Times New Roman" w:cstheme="minorHAnsi"/>
                <w:b/>
                <w:color w:val="000000"/>
                <w:lang w:eastAsia="tr-TR"/>
              </w:rPr>
            </w:pPr>
            <w:r w:rsidRPr="00C73172">
              <w:rPr>
                <w:rFonts w:cstheme="minorHAnsi"/>
                <w:b/>
                <w:color w:val="000000"/>
              </w:rPr>
              <w:t>301</w:t>
            </w:r>
          </w:p>
        </w:tc>
      </w:tr>
      <w:tr w:rsidR="00330B87" w:rsidRPr="005030E7" w:rsidTr="00B44AB8">
        <w:trPr>
          <w:trHeight w:val="340"/>
          <w:jc w:val="center"/>
        </w:trPr>
        <w:tc>
          <w:tcPr>
            <w:tcW w:w="844" w:type="pct"/>
            <w:shd w:val="clear" w:color="auto" w:fill="auto"/>
            <w:vAlign w:val="center"/>
            <w:hideMark/>
          </w:tcPr>
          <w:p w:rsidR="00330B87" w:rsidRPr="005030E7" w:rsidRDefault="00330B87" w:rsidP="00330B87">
            <w:pPr>
              <w:spacing w:after="0" w:line="240" w:lineRule="auto"/>
              <w:rPr>
                <w:rFonts w:eastAsia="Times New Roman" w:cstheme="minorHAnsi"/>
                <w:color w:val="000000"/>
                <w:lang w:eastAsia="tr-TR"/>
              </w:rPr>
            </w:pPr>
            <w:r w:rsidRPr="005030E7">
              <w:rPr>
                <w:rFonts w:eastAsia="Times New Roman" w:cstheme="minorHAnsi"/>
                <w:color w:val="000000"/>
                <w:lang w:eastAsia="tr-TR"/>
              </w:rPr>
              <w:t>Üretim Lisansı</w:t>
            </w:r>
          </w:p>
        </w:tc>
        <w:tc>
          <w:tcPr>
            <w:tcW w:w="547" w:type="pct"/>
            <w:shd w:val="clear" w:color="auto" w:fill="auto"/>
            <w:vAlign w:val="center"/>
            <w:hideMark/>
          </w:tcPr>
          <w:p w:rsidR="00330B87" w:rsidRPr="00C73172" w:rsidRDefault="00330B87" w:rsidP="00330B87">
            <w:pPr>
              <w:spacing w:after="0" w:line="240" w:lineRule="auto"/>
              <w:jc w:val="right"/>
              <w:rPr>
                <w:rFonts w:eastAsia="Times New Roman" w:cstheme="minorHAnsi"/>
                <w:color w:val="000000"/>
                <w:lang w:eastAsia="tr-TR"/>
              </w:rPr>
            </w:pPr>
            <w:r w:rsidRPr="00C73172">
              <w:rPr>
                <w:rFonts w:cstheme="minorHAnsi"/>
                <w:color w:val="000000"/>
              </w:rPr>
              <w:t>39</w:t>
            </w:r>
          </w:p>
        </w:tc>
        <w:tc>
          <w:tcPr>
            <w:tcW w:w="533" w:type="pct"/>
            <w:shd w:val="clear" w:color="auto" w:fill="auto"/>
            <w:vAlign w:val="center"/>
            <w:hideMark/>
          </w:tcPr>
          <w:p w:rsidR="00330B87" w:rsidRPr="00C73172" w:rsidRDefault="00330B87" w:rsidP="00330B87">
            <w:pPr>
              <w:spacing w:after="0" w:line="240" w:lineRule="auto"/>
              <w:jc w:val="right"/>
              <w:rPr>
                <w:rFonts w:eastAsia="Times New Roman" w:cstheme="minorHAnsi"/>
                <w:color w:val="000000"/>
                <w:lang w:eastAsia="tr-TR"/>
              </w:rPr>
            </w:pPr>
            <w:r w:rsidRPr="00C73172">
              <w:rPr>
                <w:rFonts w:cstheme="minorHAnsi"/>
                <w:color w:val="000000"/>
              </w:rPr>
              <w:t>62</w:t>
            </w:r>
          </w:p>
        </w:tc>
        <w:tc>
          <w:tcPr>
            <w:tcW w:w="826" w:type="pct"/>
            <w:shd w:val="clear" w:color="auto" w:fill="auto"/>
            <w:vAlign w:val="center"/>
            <w:hideMark/>
          </w:tcPr>
          <w:p w:rsidR="00330B87" w:rsidRPr="00C73172" w:rsidRDefault="00330B87" w:rsidP="00330B87">
            <w:pPr>
              <w:spacing w:after="0" w:line="240" w:lineRule="auto"/>
              <w:jc w:val="right"/>
              <w:rPr>
                <w:rFonts w:eastAsia="Times New Roman" w:cstheme="minorHAnsi"/>
                <w:color w:val="000000"/>
                <w:lang w:eastAsia="tr-TR"/>
              </w:rPr>
            </w:pPr>
            <w:r w:rsidRPr="00C73172">
              <w:rPr>
                <w:rFonts w:cstheme="minorHAnsi"/>
                <w:color w:val="000000"/>
              </w:rPr>
              <w:t>52</w:t>
            </w:r>
          </w:p>
        </w:tc>
        <w:tc>
          <w:tcPr>
            <w:tcW w:w="535" w:type="pct"/>
            <w:shd w:val="clear" w:color="auto" w:fill="auto"/>
            <w:vAlign w:val="center"/>
            <w:hideMark/>
          </w:tcPr>
          <w:p w:rsidR="00330B87" w:rsidRPr="00C73172" w:rsidRDefault="00330B87" w:rsidP="00330B87">
            <w:pPr>
              <w:spacing w:after="0" w:line="240" w:lineRule="auto"/>
              <w:jc w:val="right"/>
              <w:rPr>
                <w:rFonts w:eastAsia="Times New Roman" w:cstheme="minorHAnsi"/>
                <w:color w:val="000000"/>
                <w:lang w:eastAsia="tr-TR"/>
              </w:rPr>
            </w:pPr>
            <w:r w:rsidRPr="00C73172">
              <w:rPr>
                <w:rFonts w:cstheme="minorHAnsi"/>
                <w:color w:val="000000"/>
              </w:rPr>
              <w:t>5</w:t>
            </w:r>
          </w:p>
        </w:tc>
        <w:tc>
          <w:tcPr>
            <w:tcW w:w="536" w:type="pct"/>
            <w:shd w:val="clear" w:color="auto" w:fill="auto"/>
            <w:vAlign w:val="center"/>
            <w:hideMark/>
          </w:tcPr>
          <w:p w:rsidR="00330B87" w:rsidRPr="00C73172" w:rsidRDefault="00330B87" w:rsidP="00330B87">
            <w:pPr>
              <w:spacing w:after="0" w:line="240" w:lineRule="auto"/>
              <w:jc w:val="right"/>
              <w:rPr>
                <w:rFonts w:eastAsia="Times New Roman" w:cstheme="minorHAnsi"/>
                <w:color w:val="000000"/>
                <w:lang w:eastAsia="tr-TR"/>
              </w:rPr>
            </w:pPr>
            <w:r w:rsidRPr="00C73172">
              <w:rPr>
                <w:rFonts w:cstheme="minorHAnsi"/>
                <w:color w:val="000000"/>
              </w:rPr>
              <w:t>417</w:t>
            </w:r>
          </w:p>
        </w:tc>
        <w:tc>
          <w:tcPr>
            <w:tcW w:w="536" w:type="pct"/>
            <w:shd w:val="clear" w:color="auto" w:fill="auto"/>
            <w:vAlign w:val="center"/>
            <w:hideMark/>
          </w:tcPr>
          <w:p w:rsidR="00330B87" w:rsidRPr="00C73172" w:rsidRDefault="00330B87" w:rsidP="00330B87">
            <w:pPr>
              <w:spacing w:after="0" w:line="240" w:lineRule="auto"/>
              <w:jc w:val="right"/>
              <w:rPr>
                <w:rFonts w:eastAsia="Times New Roman" w:cstheme="minorHAnsi"/>
                <w:color w:val="000000"/>
                <w:lang w:eastAsia="tr-TR"/>
              </w:rPr>
            </w:pPr>
            <w:r w:rsidRPr="00C73172">
              <w:rPr>
                <w:rFonts w:cstheme="minorHAnsi"/>
                <w:color w:val="000000"/>
              </w:rPr>
              <w:t>575</w:t>
            </w:r>
          </w:p>
        </w:tc>
        <w:tc>
          <w:tcPr>
            <w:tcW w:w="642" w:type="pct"/>
            <w:shd w:val="clear" w:color="auto" w:fill="auto"/>
            <w:vAlign w:val="center"/>
            <w:hideMark/>
          </w:tcPr>
          <w:p w:rsidR="00330B87" w:rsidRPr="00D34E39" w:rsidRDefault="00330B87" w:rsidP="00330B87">
            <w:pPr>
              <w:spacing w:after="0" w:line="240" w:lineRule="auto"/>
              <w:jc w:val="right"/>
              <w:rPr>
                <w:rFonts w:eastAsia="Times New Roman" w:cstheme="minorHAnsi"/>
                <w:b/>
                <w:color w:val="000000"/>
                <w:lang w:eastAsia="tr-TR"/>
              </w:rPr>
            </w:pPr>
            <w:r w:rsidRPr="00C73172">
              <w:rPr>
                <w:rFonts w:cstheme="minorHAnsi"/>
                <w:b/>
                <w:color w:val="000000"/>
              </w:rPr>
              <w:t>1890</w:t>
            </w:r>
          </w:p>
        </w:tc>
      </w:tr>
      <w:tr w:rsidR="00881DA9" w:rsidRPr="005030E7" w:rsidTr="00B44AB8">
        <w:trPr>
          <w:trHeight w:val="340"/>
          <w:jc w:val="center"/>
        </w:trPr>
        <w:tc>
          <w:tcPr>
            <w:tcW w:w="844" w:type="pct"/>
            <w:shd w:val="clear" w:color="auto" w:fill="auto"/>
            <w:vAlign w:val="center"/>
            <w:hideMark/>
          </w:tcPr>
          <w:p w:rsidR="00881DA9" w:rsidRPr="005030E7" w:rsidRDefault="00881DA9" w:rsidP="00881DA9">
            <w:pPr>
              <w:spacing w:after="0" w:line="240" w:lineRule="auto"/>
              <w:rPr>
                <w:rFonts w:eastAsia="Times New Roman" w:cstheme="minorHAnsi"/>
                <w:b/>
                <w:bCs/>
                <w:color w:val="000000"/>
                <w:lang w:eastAsia="tr-TR"/>
              </w:rPr>
            </w:pPr>
            <w:r w:rsidRPr="005030E7">
              <w:rPr>
                <w:rFonts w:eastAsia="Times New Roman" w:cstheme="minorHAnsi"/>
                <w:b/>
                <w:bCs/>
                <w:color w:val="000000"/>
                <w:lang w:eastAsia="tr-TR"/>
              </w:rPr>
              <w:t>Toplam</w:t>
            </w:r>
          </w:p>
        </w:tc>
        <w:tc>
          <w:tcPr>
            <w:tcW w:w="547" w:type="pct"/>
            <w:tcBorders>
              <w:top w:val="single" w:sz="8" w:space="0" w:color="D3D3D3"/>
              <w:left w:val="single" w:sz="8" w:space="0" w:color="D3D3D3"/>
              <w:bottom w:val="single" w:sz="8" w:space="0" w:color="D3D3D3"/>
              <w:right w:val="single" w:sz="8" w:space="0" w:color="D3D3D3"/>
            </w:tcBorders>
            <w:shd w:val="clear" w:color="auto" w:fill="auto"/>
            <w:vAlign w:val="center"/>
            <w:hideMark/>
          </w:tcPr>
          <w:p w:rsidR="00881DA9" w:rsidRPr="00C73172" w:rsidRDefault="00537FF1" w:rsidP="00881DA9">
            <w:pPr>
              <w:spacing w:after="0" w:line="240" w:lineRule="auto"/>
              <w:jc w:val="right"/>
              <w:rPr>
                <w:rFonts w:eastAsia="Times New Roman" w:cstheme="minorHAnsi"/>
                <w:b/>
                <w:bCs/>
                <w:color w:val="000000"/>
                <w:lang w:eastAsia="tr-TR"/>
              </w:rPr>
            </w:pPr>
            <w:r>
              <w:rPr>
                <w:b/>
              </w:rPr>
              <w:t>468</w:t>
            </w:r>
          </w:p>
        </w:tc>
        <w:tc>
          <w:tcPr>
            <w:tcW w:w="533" w:type="pct"/>
            <w:tcBorders>
              <w:top w:val="single" w:sz="8" w:space="0" w:color="D3D3D3"/>
              <w:left w:val="single" w:sz="8" w:space="0" w:color="D3D3D3"/>
              <w:bottom w:val="single" w:sz="8" w:space="0" w:color="D3D3D3"/>
              <w:right w:val="single" w:sz="8" w:space="0" w:color="D3D3D3"/>
            </w:tcBorders>
            <w:shd w:val="clear" w:color="auto" w:fill="auto"/>
            <w:vAlign w:val="center"/>
            <w:hideMark/>
          </w:tcPr>
          <w:p w:rsidR="00881DA9" w:rsidRPr="00C73172" w:rsidRDefault="00537FF1" w:rsidP="00881DA9">
            <w:pPr>
              <w:spacing w:after="0" w:line="240" w:lineRule="auto"/>
              <w:jc w:val="right"/>
              <w:rPr>
                <w:rFonts w:eastAsia="Times New Roman" w:cstheme="minorHAnsi"/>
                <w:b/>
                <w:bCs/>
                <w:color w:val="000000"/>
                <w:lang w:eastAsia="tr-TR"/>
              </w:rPr>
            </w:pPr>
            <w:r>
              <w:rPr>
                <w:b/>
              </w:rPr>
              <w:t>240</w:t>
            </w:r>
          </w:p>
        </w:tc>
        <w:tc>
          <w:tcPr>
            <w:tcW w:w="826" w:type="pct"/>
            <w:tcBorders>
              <w:top w:val="single" w:sz="8" w:space="0" w:color="D3D3D3"/>
              <w:left w:val="single" w:sz="8" w:space="0" w:color="D3D3D3"/>
              <w:bottom w:val="single" w:sz="8" w:space="0" w:color="D3D3D3"/>
              <w:right w:val="single" w:sz="8" w:space="0" w:color="D3D3D3"/>
            </w:tcBorders>
            <w:shd w:val="clear" w:color="auto" w:fill="auto"/>
            <w:vAlign w:val="center"/>
            <w:hideMark/>
          </w:tcPr>
          <w:p w:rsidR="00881DA9" w:rsidRPr="00C73172" w:rsidRDefault="00537FF1" w:rsidP="00881DA9">
            <w:pPr>
              <w:spacing w:after="0" w:line="240" w:lineRule="auto"/>
              <w:jc w:val="right"/>
              <w:rPr>
                <w:rFonts w:eastAsia="Times New Roman" w:cstheme="minorHAnsi"/>
                <w:b/>
                <w:bCs/>
                <w:color w:val="000000"/>
                <w:lang w:eastAsia="tr-TR"/>
              </w:rPr>
            </w:pPr>
            <w:r>
              <w:rPr>
                <w:b/>
              </w:rPr>
              <w:t>108</w:t>
            </w:r>
          </w:p>
        </w:tc>
        <w:tc>
          <w:tcPr>
            <w:tcW w:w="535" w:type="pct"/>
            <w:tcBorders>
              <w:top w:val="single" w:sz="8" w:space="0" w:color="D3D3D3"/>
              <w:left w:val="single" w:sz="8" w:space="0" w:color="D3D3D3"/>
              <w:bottom w:val="single" w:sz="8" w:space="0" w:color="D3D3D3"/>
              <w:right w:val="single" w:sz="8" w:space="0" w:color="D3D3D3"/>
            </w:tcBorders>
            <w:shd w:val="clear" w:color="auto" w:fill="auto"/>
            <w:vAlign w:val="center"/>
            <w:hideMark/>
          </w:tcPr>
          <w:p w:rsidR="00881DA9" w:rsidRPr="00C73172" w:rsidRDefault="00881DA9" w:rsidP="00881DA9">
            <w:pPr>
              <w:spacing w:after="0" w:line="240" w:lineRule="auto"/>
              <w:jc w:val="right"/>
              <w:rPr>
                <w:rFonts w:eastAsia="Times New Roman" w:cstheme="minorHAnsi"/>
                <w:b/>
                <w:bCs/>
                <w:color w:val="000000"/>
                <w:lang w:eastAsia="tr-TR"/>
              </w:rPr>
            </w:pPr>
            <w:r w:rsidRPr="00E6446B">
              <w:rPr>
                <w:b/>
              </w:rPr>
              <w:t>8</w:t>
            </w:r>
          </w:p>
        </w:tc>
        <w:tc>
          <w:tcPr>
            <w:tcW w:w="536" w:type="pct"/>
            <w:tcBorders>
              <w:top w:val="single" w:sz="8" w:space="0" w:color="D3D3D3"/>
              <w:left w:val="single" w:sz="8" w:space="0" w:color="D3D3D3"/>
              <w:bottom w:val="single" w:sz="8" w:space="0" w:color="D3D3D3"/>
              <w:right w:val="single" w:sz="8" w:space="0" w:color="D3D3D3"/>
            </w:tcBorders>
            <w:shd w:val="clear" w:color="auto" w:fill="auto"/>
            <w:vAlign w:val="center"/>
            <w:hideMark/>
          </w:tcPr>
          <w:p w:rsidR="00881DA9" w:rsidRPr="00C73172" w:rsidRDefault="00B44AB8" w:rsidP="00881DA9">
            <w:pPr>
              <w:spacing w:after="0" w:line="240" w:lineRule="auto"/>
              <w:jc w:val="right"/>
              <w:rPr>
                <w:rFonts w:eastAsia="Times New Roman" w:cstheme="minorHAnsi"/>
                <w:b/>
                <w:bCs/>
                <w:color w:val="000000"/>
                <w:lang w:eastAsia="tr-TR"/>
              </w:rPr>
            </w:pPr>
            <w:r>
              <w:rPr>
                <w:b/>
              </w:rPr>
              <w:t>483</w:t>
            </w:r>
          </w:p>
        </w:tc>
        <w:tc>
          <w:tcPr>
            <w:tcW w:w="536" w:type="pct"/>
            <w:tcBorders>
              <w:top w:val="single" w:sz="8" w:space="0" w:color="D3D3D3"/>
              <w:left w:val="single" w:sz="8" w:space="0" w:color="D3D3D3"/>
              <w:bottom w:val="single" w:sz="8" w:space="0" w:color="D3D3D3"/>
              <w:right w:val="single" w:sz="8" w:space="0" w:color="D3D3D3"/>
            </w:tcBorders>
            <w:shd w:val="clear" w:color="auto" w:fill="auto"/>
            <w:vAlign w:val="center"/>
            <w:hideMark/>
          </w:tcPr>
          <w:p w:rsidR="00881DA9" w:rsidRPr="00C73172" w:rsidRDefault="00881DA9" w:rsidP="00881DA9">
            <w:pPr>
              <w:spacing w:after="0" w:line="240" w:lineRule="auto"/>
              <w:jc w:val="right"/>
              <w:rPr>
                <w:rFonts w:eastAsia="Times New Roman" w:cstheme="minorHAnsi"/>
                <w:b/>
                <w:bCs/>
                <w:color w:val="000000"/>
                <w:lang w:eastAsia="tr-TR"/>
              </w:rPr>
            </w:pPr>
            <w:r w:rsidRPr="00E6446B">
              <w:rPr>
                <w:b/>
              </w:rPr>
              <w:t>1</w:t>
            </w:r>
            <w:r w:rsidR="00537FF1">
              <w:rPr>
                <w:b/>
              </w:rPr>
              <w:t>279</w:t>
            </w:r>
          </w:p>
        </w:tc>
        <w:tc>
          <w:tcPr>
            <w:tcW w:w="642" w:type="pct"/>
            <w:tcBorders>
              <w:top w:val="single" w:sz="8" w:space="0" w:color="D3D3D3"/>
              <w:left w:val="single" w:sz="8" w:space="0" w:color="D3D3D3"/>
              <w:bottom w:val="single" w:sz="8" w:space="0" w:color="D3D3D3"/>
              <w:right w:val="single" w:sz="8" w:space="0" w:color="D3D3D3"/>
            </w:tcBorders>
            <w:shd w:val="clear" w:color="auto" w:fill="auto"/>
            <w:vAlign w:val="center"/>
            <w:hideMark/>
          </w:tcPr>
          <w:p w:rsidR="00881DA9" w:rsidRPr="00C73172" w:rsidRDefault="00537FF1" w:rsidP="00881DA9">
            <w:pPr>
              <w:spacing w:after="0" w:line="240" w:lineRule="auto"/>
              <w:jc w:val="right"/>
              <w:rPr>
                <w:rFonts w:eastAsia="Times New Roman" w:cstheme="minorHAnsi"/>
                <w:b/>
                <w:bCs/>
                <w:color w:val="000000"/>
                <w:lang w:eastAsia="tr-TR"/>
              </w:rPr>
            </w:pPr>
            <w:r>
              <w:rPr>
                <w:b/>
              </w:rPr>
              <w:t>2453</w:t>
            </w:r>
          </w:p>
        </w:tc>
      </w:tr>
    </w:tbl>
    <w:p w:rsidR="00CB5826" w:rsidRPr="00E9291A" w:rsidRDefault="00CB5826" w:rsidP="00CB5826">
      <w:pPr>
        <w:spacing w:after="0" w:line="240" w:lineRule="auto"/>
        <w:rPr>
          <w:sz w:val="20"/>
          <w:szCs w:val="20"/>
        </w:rPr>
      </w:pPr>
      <w:r w:rsidRPr="00E9291A">
        <w:rPr>
          <w:sz w:val="20"/>
          <w:szCs w:val="20"/>
        </w:rPr>
        <w:t>*</w:t>
      </w:r>
      <w:r w:rsidRPr="00A60B8A">
        <w:rPr>
          <w:i/>
          <w:sz w:val="20"/>
          <w:szCs w:val="20"/>
        </w:rPr>
        <w:t>Üretim lisansı başvurusunda bulunan tüzel kişiye, üretim tesisi yatırımına başlaması için mevzuattan kaynaklanan izin, onay, ruhsat ve benzeri belgeleri edinebilmesi ve üretim tesisinin kurulacağı sahanın mülkiyet veya kullanım hakkını elde edebilmesi için Kurum tarafından belirli süre ile verilen izindir.</w:t>
      </w:r>
    </w:p>
    <w:p w:rsidR="00CB5826" w:rsidRPr="00E9291A" w:rsidRDefault="00CB5826" w:rsidP="00CB5826">
      <w:pPr>
        <w:spacing w:after="0"/>
      </w:pPr>
    </w:p>
    <w:p w:rsidR="00CB5826" w:rsidRPr="00E9291A" w:rsidRDefault="00CB5826" w:rsidP="00CB5826">
      <w:pPr>
        <w:spacing w:after="0"/>
      </w:pPr>
      <w:r w:rsidRPr="00E9291A">
        <w:t>Üretim faaliyeti kapsamında Kurum tarafından gerçekleş</w:t>
      </w:r>
      <w:r w:rsidR="00F200E0">
        <w:t>tirilen lisans işlemleri ve 202</w:t>
      </w:r>
      <w:r w:rsidR="00442F9A">
        <w:t>2</w:t>
      </w:r>
      <w:r w:rsidRPr="00E9291A">
        <w:t xml:space="preserve"> yılı sonu itibar</w:t>
      </w:r>
      <w:r w:rsidR="0070655F">
        <w:t>ı</w:t>
      </w:r>
      <w:r w:rsidRPr="00E9291A">
        <w:t>yl</w:t>
      </w:r>
      <w:r w:rsidR="0070655F">
        <w:t>a</w:t>
      </w:r>
      <w:r w:rsidRPr="00E9291A">
        <w:t xml:space="preserve"> lisanslı üretim kapasitesinin, yakıt/kaynak türü ve kurulu güç bazın</w:t>
      </w:r>
      <w:r w:rsidR="00443A47">
        <w:t>da dağılımı Tablo 3.2</w:t>
      </w:r>
      <w:r w:rsidR="00B059FE">
        <w:t>’d</w:t>
      </w:r>
      <w:r w:rsidRPr="00E9291A">
        <w:t>e gösterilmektedir.</w:t>
      </w:r>
    </w:p>
    <w:p w:rsidR="00CB5826" w:rsidRPr="00E9291A" w:rsidRDefault="00CB5826" w:rsidP="00C466F8">
      <w:pPr>
        <w:spacing w:after="0"/>
        <w:jc w:val="center"/>
      </w:pPr>
    </w:p>
    <w:p w:rsidR="00CB5826" w:rsidRDefault="00CB5826" w:rsidP="00C466F8">
      <w:pPr>
        <w:pStyle w:val="Balk5"/>
        <w:spacing w:before="0"/>
        <w:jc w:val="center"/>
        <w:rPr>
          <w:rStyle w:val="Gl"/>
          <w:color w:val="000000" w:themeColor="text1"/>
        </w:rPr>
      </w:pPr>
      <w:bookmarkStart w:id="149" w:name="_Toc416447578"/>
      <w:bookmarkStart w:id="150" w:name="_Toc442441731"/>
      <w:bookmarkStart w:id="151" w:name="_Toc132713892"/>
      <w:bookmarkStart w:id="152" w:name="_Hlk126241511"/>
      <w:r w:rsidRPr="00FD3B66">
        <w:rPr>
          <w:rStyle w:val="Gl"/>
          <w:color w:val="000000" w:themeColor="text1"/>
        </w:rPr>
        <w:t>Tabl</w:t>
      </w:r>
      <w:r w:rsidR="00443A47" w:rsidRPr="00FD3B66">
        <w:rPr>
          <w:rStyle w:val="Gl"/>
          <w:color w:val="000000" w:themeColor="text1"/>
        </w:rPr>
        <w:t>o 3.2</w:t>
      </w:r>
      <w:r w:rsidR="00F200E0" w:rsidRPr="00FD3B66">
        <w:rPr>
          <w:rStyle w:val="Gl"/>
          <w:color w:val="000000" w:themeColor="text1"/>
        </w:rPr>
        <w:t>: Elektrik Piyasasında 20</w:t>
      </w:r>
      <w:r w:rsidR="00574ED0" w:rsidRPr="00FD3B66">
        <w:rPr>
          <w:rStyle w:val="Gl"/>
          <w:color w:val="000000" w:themeColor="text1"/>
        </w:rPr>
        <w:t>2</w:t>
      </w:r>
      <w:r w:rsidR="002233DB">
        <w:rPr>
          <w:rStyle w:val="Gl"/>
          <w:color w:val="000000" w:themeColor="text1"/>
        </w:rPr>
        <w:t>2</w:t>
      </w:r>
      <w:r w:rsidRPr="00FD3B66">
        <w:rPr>
          <w:rStyle w:val="Gl"/>
          <w:color w:val="000000" w:themeColor="text1"/>
        </w:rPr>
        <w:t xml:space="preserve"> Yılında Üretim Faaliyeti</w:t>
      </w:r>
      <w:bookmarkStart w:id="153" w:name="_Toc416447579"/>
      <w:bookmarkEnd w:id="149"/>
      <w:r w:rsidRPr="00FD3B66">
        <w:rPr>
          <w:rStyle w:val="Gl"/>
          <w:color w:val="000000" w:themeColor="text1"/>
        </w:rPr>
        <w:t xml:space="preserve"> Kapsamında Gerçekleştirilen</w:t>
      </w:r>
      <w:r w:rsidR="00175DF4" w:rsidRPr="00FD3B66">
        <w:rPr>
          <w:rStyle w:val="Gl"/>
          <w:color w:val="000000" w:themeColor="text1"/>
        </w:rPr>
        <w:t xml:space="preserve"> </w:t>
      </w:r>
      <w:r w:rsidRPr="00FD3B66">
        <w:rPr>
          <w:rStyle w:val="Gl"/>
          <w:color w:val="000000" w:themeColor="text1"/>
        </w:rPr>
        <w:t>Lisans İşlemleri</w:t>
      </w:r>
      <w:bookmarkEnd w:id="150"/>
      <w:bookmarkEnd w:id="151"/>
      <w:bookmarkEnd w:id="153"/>
      <w:r w:rsidR="005B7DED" w:rsidRPr="00FD3B66">
        <w:rPr>
          <w:rStyle w:val="Gl"/>
          <w:color w:val="000000" w:themeColor="text1"/>
        </w:rPr>
        <w:t xml:space="preserve"> </w:t>
      </w:r>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918"/>
        <w:gridCol w:w="1359"/>
        <w:gridCol w:w="1148"/>
        <w:gridCol w:w="1248"/>
        <w:gridCol w:w="1422"/>
        <w:gridCol w:w="1030"/>
        <w:gridCol w:w="1515"/>
        <w:gridCol w:w="1272"/>
      </w:tblGrid>
      <w:tr w:rsidR="00442F9A" w:rsidRPr="005030E7" w:rsidTr="004B6C76">
        <w:trPr>
          <w:trHeight w:val="340"/>
          <w:tblHeader/>
        </w:trPr>
        <w:tc>
          <w:tcPr>
            <w:tcW w:w="463" w:type="pct"/>
            <w:shd w:val="clear" w:color="000000" w:fill="6E9ECA"/>
            <w:vAlign w:val="center"/>
            <w:hideMark/>
          </w:tcPr>
          <w:p w:rsidR="00442F9A" w:rsidRPr="005030E7" w:rsidRDefault="00442F9A" w:rsidP="00442F9A">
            <w:pPr>
              <w:spacing w:after="0" w:line="240" w:lineRule="auto"/>
              <w:jc w:val="center"/>
              <w:rPr>
                <w:rFonts w:ascii="Calibri" w:eastAsia="Times New Roman" w:hAnsi="Calibri" w:cs="Calibri"/>
                <w:b/>
                <w:bCs/>
                <w:color w:val="FFFFFF"/>
                <w:lang w:eastAsia="tr-TR"/>
              </w:rPr>
            </w:pPr>
            <w:r w:rsidRPr="005030E7">
              <w:rPr>
                <w:rFonts w:ascii="Calibri" w:eastAsia="Times New Roman" w:hAnsi="Calibri" w:cs="Calibri"/>
                <w:b/>
                <w:bCs/>
                <w:color w:val="FFFFFF"/>
                <w:lang w:eastAsia="tr-TR"/>
              </w:rPr>
              <w:t>Lisans Tipi</w:t>
            </w:r>
          </w:p>
        </w:tc>
        <w:tc>
          <w:tcPr>
            <w:tcW w:w="686" w:type="pct"/>
            <w:shd w:val="clear" w:color="auto" w:fill="6E9ECA"/>
            <w:vAlign w:val="center"/>
            <w:hideMark/>
          </w:tcPr>
          <w:p w:rsidR="00442F9A" w:rsidRPr="005030E7" w:rsidRDefault="00442F9A" w:rsidP="00442F9A">
            <w:pPr>
              <w:spacing w:after="0" w:line="240" w:lineRule="auto"/>
              <w:jc w:val="center"/>
              <w:rPr>
                <w:rFonts w:ascii="Calibri" w:eastAsia="Times New Roman" w:hAnsi="Calibri" w:cs="Calibri"/>
                <w:b/>
                <w:bCs/>
                <w:color w:val="FFFFFF"/>
                <w:lang w:eastAsia="tr-TR"/>
              </w:rPr>
            </w:pPr>
            <w:r w:rsidRPr="005030E7">
              <w:rPr>
                <w:rFonts w:ascii="Calibri" w:eastAsia="Times New Roman" w:hAnsi="Calibri" w:cs="Calibri"/>
                <w:b/>
                <w:bCs/>
                <w:color w:val="FFFFFF"/>
                <w:lang w:eastAsia="tr-TR"/>
              </w:rPr>
              <w:t>Kaynak/Yakıt Türü</w:t>
            </w:r>
          </w:p>
        </w:tc>
        <w:tc>
          <w:tcPr>
            <w:tcW w:w="579" w:type="pct"/>
            <w:shd w:val="clear" w:color="000000" w:fill="6E9ECA"/>
            <w:vAlign w:val="center"/>
            <w:hideMark/>
          </w:tcPr>
          <w:p w:rsidR="00442F9A" w:rsidRPr="005030E7" w:rsidRDefault="00442F9A" w:rsidP="00442F9A">
            <w:pPr>
              <w:spacing w:after="0" w:line="240" w:lineRule="auto"/>
              <w:jc w:val="center"/>
              <w:rPr>
                <w:rFonts w:ascii="Calibri" w:eastAsia="Times New Roman" w:hAnsi="Calibri" w:cs="Calibri"/>
                <w:b/>
                <w:bCs/>
                <w:color w:val="FFFFFF"/>
                <w:lang w:eastAsia="tr-TR"/>
              </w:rPr>
            </w:pPr>
            <w:r w:rsidRPr="005030E7">
              <w:rPr>
                <w:rFonts w:ascii="Calibri" w:eastAsia="Times New Roman" w:hAnsi="Calibri" w:cs="Calibri"/>
                <w:b/>
                <w:bCs/>
                <w:color w:val="FFFFFF"/>
                <w:lang w:eastAsia="tr-TR"/>
              </w:rPr>
              <w:t>Lisans Başvurusu</w:t>
            </w:r>
            <w:r>
              <w:rPr>
                <w:rFonts w:ascii="Calibri" w:eastAsia="Times New Roman" w:hAnsi="Calibri" w:cs="Calibri"/>
                <w:b/>
                <w:bCs/>
                <w:color w:val="FFFFFF"/>
                <w:lang w:eastAsia="tr-TR"/>
              </w:rPr>
              <w:t xml:space="preserve"> (MWe)</w:t>
            </w:r>
          </w:p>
          <w:p w:rsidR="00442F9A" w:rsidRPr="005030E7" w:rsidRDefault="00442F9A" w:rsidP="00442F9A">
            <w:pPr>
              <w:spacing w:after="0" w:line="240" w:lineRule="auto"/>
              <w:jc w:val="center"/>
              <w:rPr>
                <w:rFonts w:ascii="Calibri" w:eastAsia="Times New Roman" w:hAnsi="Calibri" w:cs="Calibri"/>
                <w:b/>
                <w:bCs/>
                <w:color w:val="FFFFFF"/>
                <w:lang w:eastAsia="tr-TR"/>
              </w:rPr>
            </w:pPr>
          </w:p>
        </w:tc>
        <w:tc>
          <w:tcPr>
            <w:tcW w:w="630" w:type="pct"/>
            <w:shd w:val="clear" w:color="000000" w:fill="6E9ECA"/>
            <w:vAlign w:val="center"/>
            <w:hideMark/>
          </w:tcPr>
          <w:p w:rsidR="00442F9A" w:rsidRPr="005030E7" w:rsidRDefault="00442F9A" w:rsidP="00442F9A">
            <w:pPr>
              <w:spacing w:after="0" w:line="240" w:lineRule="auto"/>
              <w:jc w:val="center"/>
              <w:rPr>
                <w:rFonts w:ascii="Calibri" w:eastAsia="Times New Roman" w:hAnsi="Calibri" w:cs="Calibri"/>
                <w:b/>
                <w:bCs/>
                <w:color w:val="FFFFFF"/>
                <w:lang w:eastAsia="tr-TR"/>
              </w:rPr>
            </w:pPr>
            <w:r w:rsidRPr="005030E7">
              <w:rPr>
                <w:rFonts w:ascii="Calibri" w:eastAsia="Times New Roman" w:hAnsi="Calibri" w:cs="Calibri"/>
                <w:b/>
                <w:bCs/>
                <w:color w:val="FFFFFF"/>
                <w:lang w:eastAsia="tr-TR"/>
              </w:rPr>
              <w:t>Verilen Lisans</w:t>
            </w:r>
            <w:r>
              <w:rPr>
                <w:rFonts w:ascii="Calibri" w:eastAsia="Times New Roman" w:hAnsi="Calibri" w:cs="Calibri"/>
                <w:b/>
                <w:bCs/>
                <w:color w:val="FFFFFF"/>
                <w:lang w:eastAsia="tr-TR"/>
              </w:rPr>
              <w:t xml:space="preserve"> Kurulu Gücü(MWe)</w:t>
            </w:r>
          </w:p>
        </w:tc>
        <w:tc>
          <w:tcPr>
            <w:tcW w:w="717" w:type="pct"/>
            <w:shd w:val="clear" w:color="000000" w:fill="6E9ECA"/>
            <w:vAlign w:val="center"/>
            <w:hideMark/>
          </w:tcPr>
          <w:p w:rsidR="00442F9A" w:rsidRPr="005030E7" w:rsidRDefault="00442F9A" w:rsidP="00442F9A">
            <w:pPr>
              <w:spacing w:after="0" w:line="240" w:lineRule="auto"/>
              <w:jc w:val="center"/>
              <w:rPr>
                <w:rFonts w:ascii="Calibri" w:eastAsia="Times New Roman" w:hAnsi="Calibri" w:cs="Calibri"/>
                <w:b/>
                <w:bCs/>
                <w:color w:val="FFFFFF"/>
                <w:lang w:eastAsia="tr-TR"/>
              </w:rPr>
            </w:pPr>
            <w:r w:rsidRPr="005030E7">
              <w:rPr>
                <w:rFonts w:ascii="Calibri" w:eastAsia="Times New Roman" w:hAnsi="Calibri" w:cs="Calibri"/>
                <w:b/>
                <w:bCs/>
                <w:color w:val="FFFFFF"/>
                <w:lang w:eastAsia="tr-TR"/>
              </w:rPr>
              <w:t>Sona Eren/Erdirilen</w:t>
            </w:r>
          </w:p>
          <w:p w:rsidR="00442F9A" w:rsidRPr="005030E7" w:rsidRDefault="00442F9A" w:rsidP="00442F9A">
            <w:pPr>
              <w:spacing w:after="0" w:line="240" w:lineRule="auto"/>
              <w:jc w:val="center"/>
              <w:rPr>
                <w:rFonts w:ascii="Calibri" w:eastAsia="Times New Roman" w:hAnsi="Calibri" w:cs="Calibri"/>
                <w:b/>
                <w:bCs/>
                <w:color w:val="FFFFFF"/>
                <w:lang w:eastAsia="tr-TR"/>
              </w:rPr>
            </w:pPr>
            <w:r w:rsidRPr="005030E7">
              <w:rPr>
                <w:rFonts w:ascii="Calibri" w:eastAsia="Times New Roman" w:hAnsi="Calibri" w:cs="Calibri"/>
                <w:b/>
                <w:bCs/>
                <w:color w:val="FFFFFF"/>
                <w:lang w:eastAsia="tr-TR"/>
              </w:rPr>
              <w:t>Lisans</w:t>
            </w:r>
            <w:r>
              <w:rPr>
                <w:rFonts w:ascii="Calibri" w:eastAsia="Times New Roman" w:hAnsi="Calibri" w:cs="Calibri"/>
                <w:b/>
                <w:bCs/>
                <w:color w:val="FFFFFF"/>
                <w:lang w:eastAsia="tr-TR"/>
              </w:rPr>
              <w:t>Kurulu Gücü (MWe)</w:t>
            </w:r>
          </w:p>
        </w:tc>
        <w:tc>
          <w:tcPr>
            <w:tcW w:w="520" w:type="pct"/>
            <w:shd w:val="clear" w:color="000000" w:fill="6E9ECA"/>
            <w:vAlign w:val="center"/>
            <w:hideMark/>
          </w:tcPr>
          <w:p w:rsidR="00442F9A" w:rsidRPr="005030E7" w:rsidRDefault="00442F9A" w:rsidP="00442F9A">
            <w:pPr>
              <w:spacing w:after="0" w:line="240" w:lineRule="auto"/>
              <w:jc w:val="center"/>
              <w:rPr>
                <w:rFonts w:ascii="Calibri" w:eastAsia="Times New Roman" w:hAnsi="Calibri" w:cs="Calibri"/>
                <w:b/>
                <w:bCs/>
                <w:color w:val="FFFFFF"/>
                <w:lang w:eastAsia="tr-TR"/>
              </w:rPr>
            </w:pPr>
            <w:r w:rsidRPr="005030E7">
              <w:rPr>
                <w:rFonts w:ascii="Calibri" w:eastAsia="Times New Roman" w:hAnsi="Calibri" w:cs="Calibri"/>
                <w:b/>
                <w:bCs/>
                <w:color w:val="FFFFFF"/>
                <w:lang w:eastAsia="tr-TR"/>
              </w:rPr>
              <w:t xml:space="preserve">İptal Edilen Lisans </w:t>
            </w:r>
            <w:r>
              <w:rPr>
                <w:rFonts w:ascii="Calibri" w:eastAsia="Times New Roman" w:hAnsi="Calibri" w:cs="Calibri"/>
                <w:b/>
                <w:bCs/>
                <w:color w:val="FFFFFF"/>
                <w:lang w:eastAsia="tr-TR"/>
              </w:rPr>
              <w:t>Kurulu Gücü (MWe)</w:t>
            </w:r>
          </w:p>
        </w:tc>
        <w:tc>
          <w:tcPr>
            <w:tcW w:w="764" w:type="pct"/>
            <w:shd w:val="clear" w:color="000000" w:fill="6E9ECA"/>
            <w:vAlign w:val="center"/>
            <w:hideMark/>
          </w:tcPr>
          <w:p w:rsidR="00442F9A" w:rsidRPr="005030E7" w:rsidRDefault="00442F9A" w:rsidP="00442F9A">
            <w:pPr>
              <w:spacing w:after="0" w:line="240" w:lineRule="auto"/>
              <w:jc w:val="center"/>
              <w:rPr>
                <w:rFonts w:ascii="Calibri" w:eastAsia="Times New Roman" w:hAnsi="Calibri" w:cs="Calibri"/>
                <w:b/>
                <w:bCs/>
                <w:color w:val="FFFFFF"/>
                <w:lang w:eastAsia="tr-TR"/>
              </w:rPr>
            </w:pPr>
            <w:r w:rsidRPr="005030E7">
              <w:rPr>
                <w:rFonts w:ascii="Calibri" w:eastAsia="Times New Roman" w:hAnsi="Calibri" w:cs="Calibri"/>
                <w:b/>
                <w:bCs/>
                <w:color w:val="FFFFFF"/>
                <w:lang w:eastAsia="tr-TR"/>
              </w:rPr>
              <w:t>Dönem Sonu Yürürlükteki Lisanslı Kurulu Güç</w:t>
            </w:r>
          </w:p>
        </w:tc>
        <w:tc>
          <w:tcPr>
            <w:tcW w:w="642" w:type="pct"/>
            <w:shd w:val="clear" w:color="000000" w:fill="6E9ECA"/>
            <w:vAlign w:val="center"/>
            <w:hideMark/>
          </w:tcPr>
          <w:p w:rsidR="00442F9A" w:rsidRPr="005030E7" w:rsidRDefault="00442F9A" w:rsidP="00442F9A">
            <w:pPr>
              <w:spacing w:after="0" w:line="240" w:lineRule="auto"/>
              <w:jc w:val="center"/>
              <w:rPr>
                <w:rFonts w:ascii="Calibri" w:eastAsia="Times New Roman" w:hAnsi="Calibri" w:cs="Calibri"/>
                <w:b/>
                <w:bCs/>
                <w:color w:val="FFFFFF"/>
                <w:lang w:eastAsia="tr-TR"/>
              </w:rPr>
            </w:pPr>
            <w:r w:rsidRPr="005030E7">
              <w:rPr>
                <w:rFonts w:ascii="Calibri" w:eastAsia="Times New Roman" w:hAnsi="Calibri" w:cs="Calibri"/>
                <w:b/>
                <w:bCs/>
                <w:color w:val="FFFFFF"/>
                <w:lang w:eastAsia="tr-TR"/>
              </w:rPr>
              <w:t>Dönem Sonu Yürürlükteki Lisans Sayısı (Adet)</w:t>
            </w:r>
          </w:p>
        </w:tc>
      </w:tr>
      <w:tr w:rsidR="00FD3B66" w:rsidRPr="005030E7" w:rsidTr="004B6C76">
        <w:trPr>
          <w:trHeight w:val="340"/>
        </w:trPr>
        <w:tc>
          <w:tcPr>
            <w:tcW w:w="463" w:type="pct"/>
            <w:vMerge w:val="restart"/>
            <w:shd w:val="clear" w:color="auto" w:fill="auto"/>
            <w:vAlign w:val="center"/>
            <w:hideMark/>
          </w:tcPr>
          <w:p w:rsidR="00FD3B66" w:rsidRPr="005030E7" w:rsidRDefault="00FD3B66" w:rsidP="00FD3B66">
            <w:pPr>
              <w:spacing w:after="0" w:line="240" w:lineRule="auto"/>
              <w:rPr>
                <w:rFonts w:ascii="Calibri" w:eastAsia="Times New Roman" w:hAnsi="Calibri" w:cs="Calibri"/>
                <w:b/>
                <w:bCs/>
                <w:color w:val="000000"/>
                <w:lang w:eastAsia="tr-TR"/>
              </w:rPr>
            </w:pPr>
            <w:r w:rsidRPr="005030E7">
              <w:rPr>
                <w:rFonts w:ascii="Calibri" w:eastAsia="Times New Roman" w:hAnsi="Calibri" w:cs="Calibri"/>
                <w:b/>
                <w:bCs/>
                <w:color w:val="000000"/>
                <w:lang w:eastAsia="tr-TR"/>
              </w:rPr>
              <w:t>OSB Üretim Lisansı</w:t>
            </w:r>
          </w:p>
        </w:tc>
        <w:tc>
          <w:tcPr>
            <w:tcW w:w="686" w:type="pct"/>
            <w:shd w:val="clear" w:color="auto" w:fill="auto"/>
            <w:vAlign w:val="center"/>
            <w:hideMark/>
          </w:tcPr>
          <w:p w:rsidR="00FD3B66" w:rsidRPr="005030E7" w:rsidRDefault="00FD3B66" w:rsidP="00FD3B66">
            <w:pPr>
              <w:spacing w:after="0" w:line="240" w:lineRule="auto"/>
              <w:rPr>
                <w:rFonts w:ascii="Calibri" w:eastAsia="Times New Roman" w:hAnsi="Calibri" w:cs="Calibri"/>
                <w:b/>
                <w:bCs/>
                <w:color w:val="000000"/>
                <w:lang w:eastAsia="tr-TR"/>
              </w:rPr>
            </w:pPr>
            <w:r w:rsidRPr="005030E7">
              <w:rPr>
                <w:rFonts w:ascii="Calibri" w:eastAsia="Times New Roman" w:hAnsi="Calibri" w:cs="Calibri"/>
                <w:b/>
                <w:bCs/>
                <w:color w:val="000000"/>
                <w:lang w:eastAsia="tr-TR"/>
              </w:rPr>
              <w:t>Doğal Gaz</w:t>
            </w:r>
          </w:p>
        </w:tc>
        <w:tc>
          <w:tcPr>
            <w:tcW w:w="579"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630"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717"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520"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0,00</w:t>
            </w:r>
          </w:p>
        </w:tc>
        <w:tc>
          <w:tcPr>
            <w:tcW w:w="764"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156,68</w:t>
            </w:r>
            <w:r w:rsidR="00B44AB8">
              <w:rPr>
                <w:rFonts w:cstheme="minorHAnsi"/>
                <w:color w:val="000000"/>
              </w:rPr>
              <w:t>2</w:t>
            </w:r>
          </w:p>
        </w:tc>
        <w:tc>
          <w:tcPr>
            <w:tcW w:w="642" w:type="pct"/>
            <w:shd w:val="clear" w:color="auto" w:fill="auto"/>
            <w:hideMark/>
          </w:tcPr>
          <w:p w:rsidR="00FD3B66" w:rsidRPr="005030E7" w:rsidRDefault="00FD3B66" w:rsidP="00FD3B66">
            <w:pPr>
              <w:spacing w:after="0" w:line="240" w:lineRule="auto"/>
              <w:jc w:val="right"/>
              <w:rPr>
                <w:rFonts w:eastAsia="Times New Roman" w:cstheme="minorHAnsi"/>
                <w:color w:val="000000"/>
                <w:lang w:eastAsia="tr-TR"/>
              </w:rPr>
            </w:pPr>
            <w:r w:rsidRPr="005030E7">
              <w:rPr>
                <w:rFonts w:cstheme="minorHAnsi"/>
                <w:color w:val="000000"/>
              </w:rPr>
              <w:t>3</w:t>
            </w:r>
          </w:p>
        </w:tc>
      </w:tr>
      <w:tr w:rsidR="00FD3B66" w:rsidRPr="005030E7" w:rsidTr="004B6C76">
        <w:trPr>
          <w:trHeight w:val="340"/>
        </w:trPr>
        <w:tc>
          <w:tcPr>
            <w:tcW w:w="463" w:type="pct"/>
            <w:vMerge/>
            <w:vAlign w:val="center"/>
            <w:hideMark/>
          </w:tcPr>
          <w:p w:rsidR="00FD3B66" w:rsidRPr="005030E7" w:rsidRDefault="00FD3B66" w:rsidP="00FD3B66">
            <w:pPr>
              <w:spacing w:after="0" w:line="240" w:lineRule="auto"/>
              <w:jc w:val="left"/>
              <w:rPr>
                <w:rFonts w:ascii="Calibri" w:eastAsia="Times New Roman" w:hAnsi="Calibri" w:cs="Calibri"/>
                <w:b/>
                <w:bCs/>
                <w:color w:val="000000"/>
                <w:lang w:eastAsia="tr-TR"/>
              </w:rPr>
            </w:pPr>
          </w:p>
        </w:tc>
        <w:tc>
          <w:tcPr>
            <w:tcW w:w="686" w:type="pct"/>
            <w:shd w:val="clear" w:color="auto" w:fill="6E9ECA"/>
            <w:vAlign w:val="center"/>
            <w:hideMark/>
          </w:tcPr>
          <w:p w:rsidR="00FD3B66" w:rsidRPr="005030E7" w:rsidRDefault="00FD3B66" w:rsidP="00FD3B66">
            <w:pPr>
              <w:spacing w:after="0" w:line="240" w:lineRule="auto"/>
              <w:rPr>
                <w:rFonts w:ascii="Calibri" w:eastAsia="Times New Roman" w:hAnsi="Calibri" w:cs="Calibri"/>
                <w:b/>
                <w:bCs/>
                <w:color w:val="000000"/>
                <w:lang w:eastAsia="tr-TR"/>
              </w:rPr>
            </w:pPr>
            <w:r w:rsidRPr="005030E7">
              <w:rPr>
                <w:rFonts w:ascii="Calibri" w:eastAsia="Times New Roman" w:hAnsi="Calibri" w:cs="Calibri"/>
                <w:b/>
                <w:bCs/>
                <w:color w:val="000000"/>
                <w:lang w:eastAsia="tr-TR"/>
              </w:rPr>
              <w:t>Toplam</w:t>
            </w:r>
          </w:p>
        </w:tc>
        <w:tc>
          <w:tcPr>
            <w:tcW w:w="579" w:type="pct"/>
            <w:shd w:val="clear" w:color="auto" w:fill="6E9ECA"/>
            <w:hideMark/>
          </w:tcPr>
          <w:p w:rsidR="00FD3B66" w:rsidRPr="005030E7" w:rsidRDefault="00FD3B66" w:rsidP="00FD3B66">
            <w:pPr>
              <w:spacing w:after="0" w:line="240" w:lineRule="auto"/>
              <w:jc w:val="right"/>
              <w:rPr>
                <w:rFonts w:eastAsia="Times New Roman" w:cstheme="minorHAnsi"/>
                <w:b/>
                <w:bCs/>
                <w:color w:val="000000"/>
                <w:lang w:eastAsia="tr-TR"/>
              </w:rPr>
            </w:pPr>
            <w:r w:rsidRPr="005030E7">
              <w:rPr>
                <w:rFonts w:cstheme="minorHAnsi"/>
                <w:b/>
                <w:bCs/>
                <w:color w:val="000000"/>
              </w:rPr>
              <w:t>0,00</w:t>
            </w:r>
          </w:p>
        </w:tc>
        <w:tc>
          <w:tcPr>
            <w:tcW w:w="630" w:type="pct"/>
            <w:shd w:val="clear" w:color="auto" w:fill="6E9ECA"/>
            <w:hideMark/>
          </w:tcPr>
          <w:p w:rsidR="00FD3B66" w:rsidRPr="005030E7" w:rsidRDefault="00FD3B66" w:rsidP="00FD3B66">
            <w:pPr>
              <w:spacing w:after="0" w:line="240" w:lineRule="auto"/>
              <w:jc w:val="right"/>
              <w:rPr>
                <w:rFonts w:eastAsia="Times New Roman" w:cstheme="minorHAnsi"/>
                <w:b/>
                <w:bCs/>
                <w:color w:val="000000"/>
                <w:lang w:eastAsia="tr-TR"/>
              </w:rPr>
            </w:pPr>
            <w:r w:rsidRPr="005030E7">
              <w:rPr>
                <w:rFonts w:cstheme="minorHAnsi"/>
                <w:b/>
                <w:bCs/>
                <w:color w:val="000000"/>
              </w:rPr>
              <w:t>0,00</w:t>
            </w:r>
          </w:p>
        </w:tc>
        <w:tc>
          <w:tcPr>
            <w:tcW w:w="717" w:type="pct"/>
            <w:shd w:val="clear" w:color="auto" w:fill="6E9ECA"/>
            <w:hideMark/>
          </w:tcPr>
          <w:p w:rsidR="00FD3B66" w:rsidRPr="005030E7" w:rsidRDefault="00FD3B66" w:rsidP="00FD3B66">
            <w:pPr>
              <w:spacing w:after="0" w:line="240" w:lineRule="auto"/>
              <w:jc w:val="right"/>
              <w:rPr>
                <w:rFonts w:eastAsia="Times New Roman" w:cstheme="minorHAnsi"/>
                <w:b/>
                <w:bCs/>
                <w:color w:val="000000"/>
                <w:lang w:eastAsia="tr-TR"/>
              </w:rPr>
            </w:pPr>
            <w:r w:rsidRPr="005030E7">
              <w:rPr>
                <w:rFonts w:cstheme="minorHAnsi"/>
                <w:b/>
                <w:bCs/>
                <w:color w:val="000000"/>
              </w:rPr>
              <w:t>0,00</w:t>
            </w:r>
          </w:p>
        </w:tc>
        <w:tc>
          <w:tcPr>
            <w:tcW w:w="520" w:type="pct"/>
            <w:shd w:val="clear" w:color="auto" w:fill="6E9ECA"/>
            <w:hideMark/>
          </w:tcPr>
          <w:p w:rsidR="00FD3B66" w:rsidRPr="005030E7" w:rsidRDefault="00FD3B66" w:rsidP="00FD3B66">
            <w:pPr>
              <w:spacing w:after="0" w:line="240" w:lineRule="auto"/>
              <w:jc w:val="right"/>
              <w:rPr>
                <w:rFonts w:eastAsia="Times New Roman" w:cstheme="minorHAnsi"/>
                <w:b/>
                <w:bCs/>
                <w:color w:val="000000"/>
                <w:lang w:eastAsia="tr-TR"/>
              </w:rPr>
            </w:pPr>
            <w:r w:rsidRPr="005030E7">
              <w:rPr>
                <w:rFonts w:cstheme="minorHAnsi"/>
                <w:b/>
                <w:bCs/>
                <w:color w:val="000000"/>
              </w:rPr>
              <w:t>0,00</w:t>
            </w:r>
          </w:p>
        </w:tc>
        <w:tc>
          <w:tcPr>
            <w:tcW w:w="764" w:type="pct"/>
            <w:shd w:val="clear" w:color="auto" w:fill="6E9ECA"/>
            <w:hideMark/>
          </w:tcPr>
          <w:p w:rsidR="00FD3B66" w:rsidRPr="005030E7" w:rsidRDefault="00FD3B66" w:rsidP="00FD3B66">
            <w:pPr>
              <w:spacing w:after="0" w:line="240" w:lineRule="auto"/>
              <w:jc w:val="right"/>
              <w:rPr>
                <w:rFonts w:eastAsia="Times New Roman" w:cstheme="minorHAnsi"/>
                <w:b/>
                <w:bCs/>
                <w:color w:val="000000"/>
                <w:lang w:eastAsia="tr-TR"/>
              </w:rPr>
            </w:pPr>
            <w:r w:rsidRPr="005030E7">
              <w:rPr>
                <w:rFonts w:cstheme="minorHAnsi"/>
                <w:b/>
                <w:bCs/>
                <w:color w:val="000000"/>
              </w:rPr>
              <w:t>156,68</w:t>
            </w:r>
            <w:r w:rsidR="00B44AB8">
              <w:rPr>
                <w:rFonts w:cstheme="minorHAnsi"/>
                <w:b/>
                <w:bCs/>
                <w:color w:val="000000"/>
              </w:rPr>
              <w:t>2</w:t>
            </w:r>
          </w:p>
        </w:tc>
        <w:tc>
          <w:tcPr>
            <w:tcW w:w="642" w:type="pct"/>
            <w:shd w:val="clear" w:color="auto" w:fill="6E9ECA"/>
            <w:hideMark/>
          </w:tcPr>
          <w:p w:rsidR="00FD3B66" w:rsidRPr="005030E7" w:rsidRDefault="00FD3B66" w:rsidP="00FD3B66">
            <w:pPr>
              <w:spacing w:after="0" w:line="240" w:lineRule="auto"/>
              <w:jc w:val="right"/>
              <w:rPr>
                <w:rFonts w:eastAsia="Times New Roman" w:cstheme="minorHAnsi"/>
                <w:b/>
                <w:bCs/>
                <w:color w:val="000000"/>
                <w:lang w:eastAsia="tr-TR"/>
              </w:rPr>
            </w:pPr>
            <w:r w:rsidRPr="005030E7">
              <w:rPr>
                <w:rFonts w:cstheme="minorHAnsi"/>
                <w:b/>
                <w:bCs/>
                <w:color w:val="000000"/>
              </w:rPr>
              <w:t>3</w:t>
            </w:r>
          </w:p>
        </w:tc>
      </w:tr>
      <w:tr w:rsidR="00537FF1" w:rsidRPr="005030E7" w:rsidTr="004B6C76">
        <w:trPr>
          <w:trHeight w:val="340"/>
        </w:trPr>
        <w:tc>
          <w:tcPr>
            <w:tcW w:w="463" w:type="pct"/>
            <w:vMerge w:val="restart"/>
            <w:shd w:val="clear" w:color="auto" w:fill="auto"/>
            <w:vAlign w:val="center"/>
            <w:hideMark/>
          </w:tcPr>
          <w:p w:rsidR="00537FF1" w:rsidRPr="005030E7" w:rsidRDefault="00537FF1" w:rsidP="00537FF1">
            <w:pPr>
              <w:spacing w:after="0" w:line="240" w:lineRule="auto"/>
              <w:rPr>
                <w:rFonts w:ascii="Calibri" w:eastAsia="Times New Roman" w:hAnsi="Calibri" w:cs="Calibri"/>
                <w:b/>
                <w:bCs/>
                <w:color w:val="000000"/>
                <w:lang w:eastAsia="tr-TR"/>
              </w:rPr>
            </w:pPr>
            <w:r w:rsidRPr="005030E7">
              <w:rPr>
                <w:rFonts w:ascii="Calibri" w:eastAsia="Times New Roman" w:hAnsi="Calibri" w:cs="Calibri"/>
                <w:b/>
                <w:bCs/>
                <w:color w:val="000000"/>
                <w:lang w:eastAsia="tr-TR"/>
              </w:rPr>
              <w:t>Önlisans</w:t>
            </w:r>
          </w:p>
        </w:tc>
        <w:tc>
          <w:tcPr>
            <w:tcW w:w="686" w:type="pct"/>
            <w:shd w:val="clear" w:color="auto" w:fill="auto"/>
            <w:hideMark/>
          </w:tcPr>
          <w:p w:rsidR="00537FF1" w:rsidRPr="005030E7" w:rsidRDefault="00537FF1" w:rsidP="00537FF1">
            <w:pPr>
              <w:spacing w:after="0" w:line="240" w:lineRule="auto"/>
              <w:rPr>
                <w:rFonts w:ascii="Calibri" w:eastAsia="Times New Roman" w:hAnsi="Calibri" w:cs="Calibri"/>
                <w:b/>
                <w:bCs/>
                <w:color w:val="000000"/>
                <w:lang w:eastAsia="tr-TR"/>
              </w:rPr>
            </w:pPr>
            <w:r>
              <w:rPr>
                <w:rFonts w:ascii="Arial" w:eastAsia="Arial" w:hAnsi="Arial"/>
                <w:b/>
                <w:color w:val="000000"/>
                <w:sz w:val="20"/>
              </w:rPr>
              <w:t>Biyokütle</w:t>
            </w:r>
          </w:p>
        </w:tc>
        <w:tc>
          <w:tcPr>
            <w:tcW w:w="579" w:type="pct"/>
            <w:shd w:val="clear" w:color="auto" w:fill="auto"/>
            <w:hideMark/>
          </w:tcPr>
          <w:p w:rsidR="00537FF1" w:rsidRPr="00DF24BF" w:rsidRDefault="00537FF1" w:rsidP="00537FF1">
            <w:pPr>
              <w:spacing w:after="0" w:line="240" w:lineRule="auto"/>
              <w:jc w:val="right"/>
              <w:rPr>
                <w:rFonts w:eastAsia="Times New Roman" w:cstheme="minorHAnsi"/>
                <w:color w:val="000000"/>
                <w:lang w:eastAsia="tr-TR"/>
              </w:rPr>
            </w:pPr>
            <w:r w:rsidRPr="00DF24BF">
              <w:rPr>
                <w:rFonts w:eastAsia="Arial" w:cstheme="minorHAnsi"/>
                <w:color w:val="000000"/>
              </w:rPr>
              <w:t>80,275</w:t>
            </w:r>
          </w:p>
        </w:tc>
        <w:tc>
          <w:tcPr>
            <w:tcW w:w="630" w:type="pct"/>
            <w:shd w:val="clear" w:color="auto" w:fill="auto"/>
            <w:hideMark/>
          </w:tcPr>
          <w:p w:rsidR="00537FF1" w:rsidRPr="00DF24BF" w:rsidRDefault="00537FF1" w:rsidP="00537FF1">
            <w:pPr>
              <w:spacing w:after="0" w:line="240" w:lineRule="auto"/>
              <w:jc w:val="right"/>
              <w:rPr>
                <w:rFonts w:eastAsia="Times New Roman" w:cstheme="minorHAnsi"/>
                <w:color w:val="000000"/>
                <w:lang w:eastAsia="tr-TR"/>
              </w:rPr>
            </w:pPr>
            <w:r w:rsidRPr="00DF24BF">
              <w:rPr>
                <w:rFonts w:eastAsia="Arial" w:cstheme="minorHAnsi"/>
                <w:color w:val="000000"/>
              </w:rPr>
              <w:t>49,740</w:t>
            </w:r>
          </w:p>
        </w:tc>
        <w:tc>
          <w:tcPr>
            <w:tcW w:w="717" w:type="pct"/>
            <w:shd w:val="clear" w:color="auto" w:fill="auto"/>
            <w:hideMark/>
          </w:tcPr>
          <w:p w:rsidR="00537FF1" w:rsidRPr="00DF24BF" w:rsidRDefault="00537FF1" w:rsidP="00537FF1">
            <w:pPr>
              <w:spacing w:after="0" w:line="240" w:lineRule="auto"/>
              <w:jc w:val="right"/>
              <w:rPr>
                <w:rFonts w:eastAsia="Times New Roman" w:cstheme="minorHAnsi"/>
                <w:color w:val="000000"/>
                <w:lang w:eastAsia="tr-TR"/>
              </w:rPr>
            </w:pPr>
            <w:r w:rsidRPr="00DF24BF">
              <w:rPr>
                <w:rFonts w:eastAsia="Arial" w:cstheme="minorHAnsi"/>
                <w:color w:val="000000"/>
              </w:rPr>
              <w:t>96,959</w:t>
            </w:r>
          </w:p>
        </w:tc>
        <w:tc>
          <w:tcPr>
            <w:tcW w:w="520" w:type="pct"/>
            <w:shd w:val="clear" w:color="auto" w:fill="auto"/>
            <w:hideMark/>
          </w:tcPr>
          <w:p w:rsidR="00537FF1" w:rsidRPr="00DF24BF" w:rsidRDefault="00537FF1" w:rsidP="00537FF1">
            <w:pPr>
              <w:spacing w:after="0" w:line="240" w:lineRule="auto"/>
              <w:jc w:val="right"/>
              <w:rPr>
                <w:rFonts w:eastAsia="Times New Roman" w:cstheme="minorHAnsi"/>
                <w:color w:val="000000"/>
                <w:lang w:eastAsia="tr-TR"/>
              </w:rPr>
            </w:pPr>
            <w:r w:rsidRPr="00DF24BF">
              <w:rPr>
                <w:rFonts w:eastAsia="Arial" w:cstheme="minorHAnsi"/>
                <w:color w:val="000000"/>
              </w:rPr>
              <w:t>0,000</w:t>
            </w:r>
          </w:p>
        </w:tc>
        <w:tc>
          <w:tcPr>
            <w:tcW w:w="764" w:type="pct"/>
            <w:shd w:val="clear" w:color="auto" w:fill="auto"/>
            <w:hideMark/>
          </w:tcPr>
          <w:p w:rsidR="00537FF1" w:rsidRPr="00DF24BF" w:rsidRDefault="00537FF1" w:rsidP="00537FF1">
            <w:pPr>
              <w:spacing w:after="0" w:line="240" w:lineRule="auto"/>
              <w:jc w:val="right"/>
              <w:rPr>
                <w:rFonts w:eastAsia="Times New Roman" w:cstheme="minorHAnsi"/>
                <w:color w:val="000000"/>
                <w:lang w:eastAsia="tr-TR"/>
              </w:rPr>
            </w:pPr>
            <w:r w:rsidRPr="00DF24BF">
              <w:rPr>
                <w:rFonts w:eastAsia="Arial" w:cstheme="minorHAnsi"/>
                <w:color w:val="000000"/>
              </w:rPr>
              <w:t>464,088</w:t>
            </w:r>
          </w:p>
        </w:tc>
        <w:tc>
          <w:tcPr>
            <w:tcW w:w="642" w:type="pct"/>
            <w:shd w:val="clear" w:color="auto" w:fill="auto"/>
            <w:hideMark/>
          </w:tcPr>
          <w:p w:rsidR="00537FF1" w:rsidRPr="00DF24BF" w:rsidRDefault="00537FF1" w:rsidP="00537FF1">
            <w:pPr>
              <w:spacing w:after="0" w:line="240" w:lineRule="auto"/>
              <w:jc w:val="right"/>
              <w:rPr>
                <w:rFonts w:eastAsia="Times New Roman" w:cstheme="minorHAnsi"/>
                <w:color w:val="000000"/>
                <w:lang w:eastAsia="tr-TR"/>
              </w:rPr>
            </w:pPr>
            <w:r w:rsidRPr="00DF24BF">
              <w:rPr>
                <w:rFonts w:eastAsia="Arial" w:cstheme="minorHAnsi"/>
                <w:color w:val="000000"/>
              </w:rPr>
              <w:t>75</w:t>
            </w:r>
          </w:p>
        </w:tc>
      </w:tr>
      <w:tr w:rsidR="00537FF1" w:rsidRPr="005030E7" w:rsidTr="004B6C76">
        <w:trPr>
          <w:trHeight w:val="340"/>
        </w:trPr>
        <w:tc>
          <w:tcPr>
            <w:tcW w:w="463" w:type="pct"/>
            <w:vMerge/>
            <w:vAlign w:val="center"/>
            <w:hideMark/>
          </w:tcPr>
          <w:p w:rsidR="00537FF1" w:rsidRPr="005030E7" w:rsidRDefault="00537FF1" w:rsidP="00537FF1">
            <w:pPr>
              <w:spacing w:after="0" w:line="240" w:lineRule="auto"/>
              <w:jc w:val="left"/>
              <w:rPr>
                <w:rFonts w:ascii="Calibri" w:eastAsia="Times New Roman" w:hAnsi="Calibri" w:cs="Calibri"/>
                <w:b/>
                <w:bCs/>
                <w:color w:val="000000"/>
                <w:lang w:eastAsia="tr-TR"/>
              </w:rPr>
            </w:pPr>
          </w:p>
        </w:tc>
        <w:tc>
          <w:tcPr>
            <w:tcW w:w="686" w:type="pct"/>
            <w:shd w:val="clear" w:color="auto" w:fill="auto"/>
            <w:hideMark/>
          </w:tcPr>
          <w:p w:rsidR="00537FF1" w:rsidRPr="005030E7" w:rsidRDefault="00537FF1" w:rsidP="00537FF1">
            <w:pPr>
              <w:spacing w:after="0" w:line="240" w:lineRule="auto"/>
              <w:rPr>
                <w:rFonts w:ascii="Calibri" w:eastAsia="Times New Roman" w:hAnsi="Calibri" w:cs="Calibri"/>
                <w:b/>
                <w:bCs/>
                <w:color w:val="000000"/>
                <w:lang w:eastAsia="tr-TR"/>
              </w:rPr>
            </w:pPr>
            <w:r>
              <w:rPr>
                <w:rFonts w:ascii="Arial" w:eastAsia="Arial" w:hAnsi="Arial"/>
                <w:b/>
                <w:color w:val="000000"/>
                <w:sz w:val="20"/>
              </w:rPr>
              <w:t>Diğer</w:t>
            </w:r>
          </w:p>
        </w:tc>
        <w:tc>
          <w:tcPr>
            <w:tcW w:w="579" w:type="pct"/>
            <w:shd w:val="clear" w:color="auto" w:fill="auto"/>
            <w:hideMark/>
          </w:tcPr>
          <w:p w:rsidR="00537FF1" w:rsidRPr="00DF24BF" w:rsidRDefault="00537FF1" w:rsidP="00537FF1">
            <w:pPr>
              <w:spacing w:after="0" w:line="240" w:lineRule="auto"/>
              <w:jc w:val="right"/>
              <w:rPr>
                <w:rFonts w:eastAsia="Times New Roman" w:cstheme="minorHAnsi"/>
                <w:color w:val="000000"/>
                <w:lang w:eastAsia="tr-TR"/>
              </w:rPr>
            </w:pPr>
            <w:r w:rsidRPr="00DF24BF">
              <w:rPr>
                <w:rFonts w:eastAsia="Arial" w:cstheme="minorHAnsi"/>
                <w:color w:val="000000"/>
              </w:rPr>
              <w:t>0,000</w:t>
            </w:r>
          </w:p>
        </w:tc>
        <w:tc>
          <w:tcPr>
            <w:tcW w:w="630" w:type="pct"/>
            <w:shd w:val="clear" w:color="auto" w:fill="auto"/>
            <w:hideMark/>
          </w:tcPr>
          <w:p w:rsidR="00537FF1" w:rsidRPr="00DF24BF" w:rsidRDefault="00537FF1" w:rsidP="00537FF1">
            <w:pPr>
              <w:spacing w:after="0" w:line="240" w:lineRule="auto"/>
              <w:jc w:val="right"/>
              <w:rPr>
                <w:rFonts w:eastAsia="Times New Roman" w:cstheme="minorHAnsi"/>
                <w:color w:val="000000"/>
                <w:lang w:eastAsia="tr-TR"/>
              </w:rPr>
            </w:pPr>
            <w:r w:rsidRPr="00DF24BF">
              <w:rPr>
                <w:rFonts w:eastAsia="Arial" w:cstheme="minorHAnsi"/>
                <w:color w:val="000000"/>
              </w:rPr>
              <w:t>0,000</w:t>
            </w:r>
          </w:p>
        </w:tc>
        <w:tc>
          <w:tcPr>
            <w:tcW w:w="717" w:type="pct"/>
            <w:shd w:val="clear" w:color="auto" w:fill="auto"/>
            <w:hideMark/>
          </w:tcPr>
          <w:p w:rsidR="00537FF1" w:rsidRPr="00DF24BF" w:rsidRDefault="00537FF1" w:rsidP="00537FF1">
            <w:pPr>
              <w:spacing w:after="0" w:line="240" w:lineRule="auto"/>
              <w:jc w:val="right"/>
              <w:rPr>
                <w:rFonts w:eastAsia="Times New Roman" w:cstheme="minorHAnsi"/>
                <w:color w:val="000000"/>
                <w:lang w:eastAsia="tr-TR"/>
              </w:rPr>
            </w:pPr>
            <w:r w:rsidRPr="00DF24BF">
              <w:rPr>
                <w:rFonts w:eastAsia="Arial" w:cstheme="minorHAnsi"/>
                <w:color w:val="000000"/>
              </w:rPr>
              <w:t>0,000</w:t>
            </w:r>
          </w:p>
        </w:tc>
        <w:tc>
          <w:tcPr>
            <w:tcW w:w="520" w:type="pct"/>
            <w:shd w:val="clear" w:color="auto" w:fill="auto"/>
            <w:hideMark/>
          </w:tcPr>
          <w:p w:rsidR="00537FF1" w:rsidRPr="00DF24BF" w:rsidRDefault="00537FF1" w:rsidP="00537FF1">
            <w:pPr>
              <w:spacing w:after="0" w:line="240" w:lineRule="auto"/>
              <w:jc w:val="right"/>
              <w:rPr>
                <w:rFonts w:eastAsia="Times New Roman" w:cstheme="minorHAnsi"/>
                <w:color w:val="000000"/>
                <w:lang w:eastAsia="tr-TR"/>
              </w:rPr>
            </w:pPr>
            <w:r w:rsidRPr="00DF24BF">
              <w:rPr>
                <w:rFonts w:eastAsia="Arial" w:cstheme="minorHAnsi"/>
                <w:color w:val="000000"/>
              </w:rPr>
              <w:t>0,000</w:t>
            </w:r>
          </w:p>
        </w:tc>
        <w:tc>
          <w:tcPr>
            <w:tcW w:w="764" w:type="pct"/>
            <w:shd w:val="clear" w:color="auto" w:fill="auto"/>
            <w:hideMark/>
          </w:tcPr>
          <w:p w:rsidR="00537FF1" w:rsidRPr="00DF24BF" w:rsidRDefault="00537FF1" w:rsidP="00537FF1">
            <w:pPr>
              <w:spacing w:after="0" w:line="240" w:lineRule="auto"/>
              <w:jc w:val="right"/>
              <w:rPr>
                <w:rFonts w:eastAsia="Times New Roman" w:cstheme="minorHAnsi"/>
                <w:color w:val="000000"/>
                <w:lang w:eastAsia="tr-TR"/>
              </w:rPr>
            </w:pPr>
            <w:r w:rsidRPr="00DF24BF">
              <w:rPr>
                <w:rFonts w:eastAsia="Arial" w:cstheme="minorHAnsi"/>
                <w:color w:val="000000"/>
              </w:rPr>
              <w:t>0,000</w:t>
            </w:r>
          </w:p>
        </w:tc>
        <w:tc>
          <w:tcPr>
            <w:tcW w:w="642" w:type="pct"/>
            <w:shd w:val="clear" w:color="auto" w:fill="auto"/>
            <w:hideMark/>
          </w:tcPr>
          <w:p w:rsidR="00537FF1" w:rsidRPr="00DF24BF" w:rsidRDefault="00537FF1" w:rsidP="00537FF1">
            <w:pPr>
              <w:spacing w:after="0" w:line="240" w:lineRule="auto"/>
              <w:jc w:val="right"/>
              <w:rPr>
                <w:rFonts w:eastAsia="Times New Roman" w:cstheme="minorHAnsi"/>
                <w:color w:val="000000"/>
                <w:lang w:eastAsia="tr-TR"/>
              </w:rPr>
            </w:pPr>
            <w:r w:rsidRPr="00DF24BF">
              <w:rPr>
                <w:rFonts w:eastAsia="Arial" w:cstheme="minorHAnsi"/>
                <w:color w:val="000000"/>
              </w:rPr>
              <w:t>0</w:t>
            </w:r>
          </w:p>
        </w:tc>
      </w:tr>
      <w:tr w:rsidR="00537FF1" w:rsidRPr="005030E7" w:rsidTr="004B6C76">
        <w:trPr>
          <w:trHeight w:val="340"/>
        </w:trPr>
        <w:tc>
          <w:tcPr>
            <w:tcW w:w="463" w:type="pct"/>
            <w:vMerge/>
            <w:vAlign w:val="center"/>
            <w:hideMark/>
          </w:tcPr>
          <w:p w:rsidR="00537FF1" w:rsidRPr="005030E7" w:rsidRDefault="00537FF1" w:rsidP="00537FF1">
            <w:pPr>
              <w:spacing w:after="0" w:line="240" w:lineRule="auto"/>
              <w:jc w:val="left"/>
              <w:rPr>
                <w:rFonts w:ascii="Calibri" w:eastAsia="Times New Roman" w:hAnsi="Calibri" w:cs="Calibri"/>
                <w:b/>
                <w:bCs/>
                <w:color w:val="000000"/>
                <w:lang w:eastAsia="tr-TR"/>
              </w:rPr>
            </w:pPr>
          </w:p>
        </w:tc>
        <w:tc>
          <w:tcPr>
            <w:tcW w:w="686" w:type="pct"/>
            <w:shd w:val="clear" w:color="auto" w:fill="auto"/>
            <w:hideMark/>
          </w:tcPr>
          <w:p w:rsidR="00537FF1" w:rsidRPr="005030E7" w:rsidRDefault="00537FF1" w:rsidP="00537FF1">
            <w:pPr>
              <w:spacing w:after="0" w:line="240" w:lineRule="auto"/>
              <w:rPr>
                <w:rFonts w:ascii="Calibri" w:eastAsia="Times New Roman" w:hAnsi="Calibri" w:cs="Calibri"/>
                <w:b/>
                <w:bCs/>
                <w:color w:val="000000"/>
                <w:lang w:eastAsia="tr-TR"/>
              </w:rPr>
            </w:pPr>
            <w:r>
              <w:rPr>
                <w:rFonts w:ascii="Arial" w:eastAsia="Arial" w:hAnsi="Arial"/>
                <w:b/>
                <w:color w:val="000000"/>
                <w:sz w:val="20"/>
              </w:rPr>
              <w:t>Doğal Gaz</w:t>
            </w:r>
          </w:p>
        </w:tc>
        <w:tc>
          <w:tcPr>
            <w:tcW w:w="579" w:type="pct"/>
            <w:shd w:val="clear" w:color="auto" w:fill="auto"/>
            <w:hideMark/>
          </w:tcPr>
          <w:p w:rsidR="00537FF1" w:rsidRPr="00DF24BF" w:rsidRDefault="00537FF1" w:rsidP="00537FF1">
            <w:pPr>
              <w:spacing w:after="0" w:line="240" w:lineRule="auto"/>
              <w:jc w:val="right"/>
              <w:rPr>
                <w:rFonts w:eastAsia="Times New Roman" w:cstheme="minorHAnsi"/>
                <w:color w:val="000000"/>
                <w:lang w:eastAsia="tr-TR"/>
              </w:rPr>
            </w:pPr>
            <w:r w:rsidRPr="00DF24BF">
              <w:rPr>
                <w:rFonts w:eastAsia="Arial" w:cstheme="minorHAnsi"/>
                <w:color w:val="000000"/>
              </w:rPr>
              <w:t>5,500</w:t>
            </w:r>
          </w:p>
        </w:tc>
        <w:tc>
          <w:tcPr>
            <w:tcW w:w="630" w:type="pct"/>
            <w:shd w:val="clear" w:color="auto" w:fill="auto"/>
            <w:hideMark/>
          </w:tcPr>
          <w:p w:rsidR="00537FF1" w:rsidRPr="00DF24BF" w:rsidRDefault="00537FF1" w:rsidP="00537FF1">
            <w:pPr>
              <w:spacing w:after="0" w:line="240" w:lineRule="auto"/>
              <w:jc w:val="right"/>
              <w:rPr>
                <w:rFonts w:eastAsia="Times New Roman" w:cstheme="minorHAnsi"/>
                <w:color w:val="000000"/>
                <w:lang w:eastAsia="tr-TR"/>
              </w:rPr>
            </w:pPr>
            <w:r w:rsidRPr="00DF24BF">
              <w:rPr>
                <w:rFonts w:eastAsia="Arial" w:cstheme="minorHAnsi"/>
                <w:color w:val="000000"/>
              </w:rPr>
              <w:t>4,300</w:t>
            </w:r>
          </w:p>
        </w:tc>
        <w:tc>
          <w:tcPr>
            <w:tcW w:w="717" w:type="pct"/>
            <w:shd w:val="clear" w:color="auto" w:fill="auto"/>
            <w:hideMark/>
          </w:tcPr>
          <w:p w:rsidR="00537FF1" w:rsidRPr="00DF24BF" w:rsidRDefault="00537FF1" w:rsidP="00537FF1">
            <w:pPr>
              <w:spacing w:after="0" w:line="240" w:lineRule="auto"/>
              <w:jc w:val="right"/>
              <w:rPr>
                <w:rFonts w:eastAsia="Times New Roman" w:cstheme="minorHAnsi"/>
                <w:color w:val="000000"/>
                <w:lang w:eastAsia="tr-TR"/>
              </w:rPr>
            </w:pPr>
            <w:r w:rsidRPr="00DF24BF">
              <w:rPr>
                <w:rFonts w:eastAsia="Arial" w:cstheme="minorHAnsi"/>
                <w:color w:val="000000"/>
              </w:rPr>
              <w:t>4,300</w:t>
            </w:r>
          </w:p>
        </w:tc>
        <w:tc>
          <w:tcPr>
            <w:tcW w:w="520" w:type="pct"/>
            <w:shd w:val="clear" w:color="auto" w:fill="auto"/>
            <w:hideMark/>
          </w:tcPr>
          <w:p w:rsidR="00537FF1" w:rsidRPr="00DF24BF" w:rsidRDefault="00537FF1" w:rsidP="00537FF1">
            <w:pPr>
              <w:spacing w:after="0" w:line="240" w:lineRule="auto"/>
              <w:jc w:val="right"/>
              <w:rPr>
                <w:rFonts w:eastAsia="Times New Roman" w:cstheme="minorHAnsi"/>
                <w:color w:val="000000"/>
                <w:lang w:eastAsia="tr-TR"/>
              </w:rPr>
            </w:pPr>
            <w:r w:rsidRPr="00DF24BF">
              <w:rPr>
                <w:rFonts w:eastAsia="Arial" w:cstheme="minorHAnsi"/>
                <w:color w:val="000000"/>
              </w:rPr>
              <w:t>0,000</w:t>
            </w:r>
          </w:p>
        </w:tc>
        <w:tc>
          <w:tcPr>
            <w:tcW w:w="764" w:type="pct"/>
            <w:shd w:val="clear" w:color="auto" w:fill="auto"/>
            <w:hideMark/>
          </w:tcPr>
          <w:p w:rsidR="00537FF1" w:rsidRPr="00DF24BF" w:rsidRDefault="00537FF1" w:rsidP="00537FF1">
            <w:pPr>
              <w:spacing w:after="0" w:line="240" w:lineRule="auto"/>
              <w:jc w:val="right"/>
              <w:rPr>
                <w:rFonts w:eastAsia="Times New Roman" w:cstheme="minorHAnsi"/>
                <w:color w:val="000000"/>
                <w:lang w:eastAsia="tr-TR"/>
              </w:rPr>
            </w:pPr>
            <w:r w:rsidRPr="00DF24BF">
              <w:rPr>
                <w:rFonts w:eastAsia="Arial" w:cstheme="minorHAnsi"/>
                <w:color w:val="000000"/>
              </w:rPr>
              <w:t>0,000</w:t>
            </w:r>
          </w:p>
        </w:tc>
        <w:tc>
          <w:tcPr>
            <w:tcW w:w="642" w:type="pct"/>
            <w:shd w:val="clear" w:color="auto" w:fill="auto"/>
            <w:hideMark/>
          </w:tcPr>
          <w:p w:rsidR="00537FF1" w:rsidRPr="00DF24BF" w:rsidRDefault="00537FF1" w:rsidP="00537FF1">
            <w:pPr>
              <w:spacing w:after="0" w:line="240" w:lineRule="auto"/>
              <w:jc w:val="right"/>
              <w:rPr>
                <w:rFonts w:eastAsia="Times New Roman" w:cstheme="minorHAnsi"/>
                <w:color w:val="000000"/>
                <w:lang w:eastAsia="tr-TR"/>
              </w:rPr>
            </w:pPr>
            <w:r w:rsidRPr="00DF24BF">
              <w:rPr>
                <w:rFonts w:eastAsia="Arial" w:cstheme="minorHAnsi"/>
                <w:color w:val="000000"/>
              </w:rPr>
              <w:t>0</w:t>
            </w:r>
          </w:p>
        </w:tc>
      </w:tr>
      <w:tr w:rsidR="00537FF1" w:rsidRPr="005030E7" w:rsidTr="004B6C76">
        <w:trPr>
          <w:trHeight w:val="340"/>
        </w:trPr>
        <w:tc>
          <w:tcPr>
            <w:tcW w:w="463" w:type="pct"/>
            <w:vMerge/>
            <w:vAlign w:val="center"/>
          </w:tcPr>
          <w:p w:rsidR="00537FF1" w:rsidRPr="005030E7" w:rsidRDefault="00537FF1" w:rsidP="00537FF1">
            <w:pPr>
              <w:spacing w:after="0" w:line="240" w:lineRule="auto"/>
              <w:jc w:val="left"/>
              <w:rPr>
                <w:rFonts w:ascii="Calibri" w:eastAsia="Times New Roman" w:hAnsi="Calibri" w:cs="Calibri"/>
                <w:b/>
                <w:bCs/>
                <w:color w:val="000000"/>
                <w:lang w:eastAsia="tr-TR"/>
              </w:rPr>
            </w:pPr>
          </w:p>
        </w:tc>
        <w:tc>
          <w:tcPr>
            <w:tcW w:w="686" w:type="pct"/>
            <w:shd w:val="clear" w:color="auto" w:fill="auto"/>
          </w:tcPr>
          <w:p w:rsidR="00537FF1" w:rsidRPr="005030E7" w:rsidRDefault="00537FF1" w:rsidP="00537FF1">
            <w:pPr>
              <w:spacing w:after="0" w:line="240" w:lineRule="auto"/>
              <w:rPr>
                <w:rFonts w:ascii="Calibri" w:eastAsia="Times New Roman" w:hAnsi="Calibri" w:cs="Calibri"/>
                <w:b/>
                <w:bCs/>
                <w:color w:val="000000"/>
                <w:lang w:eastAsia="tr-TR"/>
              </w:rPr>
            </w:pPr>
            <w:r>
              <w:rPr>
                <w:rFonts w:ascii="Arial" w:eastAsia="Arial" w:hAnsi="Arial"/>
                <w:b/>
                <w:color w:val="000000"/>
                <w:sz w:val="20"/>
              </w:rPr>
              <w:t>Endüstriyel Atık</w:t>
            </w:r>
          </w:p>
        </w:tc>
        <w:tc>
          <w:tcPr>
            <w:tcW w:w="579" w:type="pct"/>
            <w:shd w:val="clear" w:color="auto" w:fill="auto"/>
          </w:tcPr>
          <w:p w:rsidR="00537FF1" w:rsidRPr="00DF24BF" w:rsidRDefault="00537FF1" w:rsidP="00537FF1">
            <w:pPr>
              <w:spacing w:after="0" w:line="240" w:lineRule="auto"/>
              <w:jc w:val="right"/>
              <w:rPr>
                <w:rFonts w:cstheme="minorHAnsi"/>
                <w:color w:val="000000"/>
              </w:rPr>
            </w:pPr>
            <w:r w:rsidRPr="00DF24BF">
              <w:rPr>
                <w:rFonts w:eastAsia="Arial" w:cstheme="minorHAnsi"/>
                <w:color w:val="000000"/>
              </w:rPr>
              <w:t>5,680</w:t>
            </w:r>
          </w:p>
        </w:tc>
        <w:tc>
          <w:tcPr>
            <w:tcW w:w="630" w:type="pct"/>
            <w:shd w:val="clear" w:color="auto" w:fill="auto"/>
          </w:tcPr>
          <w:p w:rsidR="00537FF1" w:rsidRPr="00DF24BF" w:rsidRDefault="00537FF1" w:rsidP="00537FF1">
            <w:pPr>
              <w:spacing w:after="0" w:line="240" w:lineRule="auto"/>
              <w:jc w:val="right"/>
              <w:rPr>
                <w:rFonts w:cstheme="minorHAnsi"/>
                <w:color w:val="000000"/>
              </w:rPr>
            </w:pPr>
            <w:r w:rsidRPr="00DF24BF">
              <w:rPr>
                <w:rFonts w:eastAsia="Arial" w:cstheme="minorHAnsi"/>
                <w:color w:val="000000"/>
              </w:rPr>
              <w:t>11,360</w:t>
            </w:r>
          </w:p>
        </w:tc>
        <w:tc>
          <w:tcPr>
            <w:tcW w:w="717" w:type="pct"/>
            <w:shd w:val="clear" w:color="auto" w:fill="auto"/>
          </w:tcPr>
          <w:p w:rsidR="00537FF1" w:rsidRPr="00DF24BF" w:rsidRDefault="00537FF1" w:rsidP="00537FF1">
            <w:pPr>
              <w:spacing w:after="0" w:line="240" w:lineRule="auto"/>
              <w:jc w:val="right"/>
              <w:rPr>
                <w:rFonts w:cstheme="minorHAnsi"/>
                <w:color w:val="000000"/>
              </w:rPr>
            </w:pPr>
            <w:r w:rsidRPr="00DF24BF">
              <w:rPr>
                <w:rFonts w:eastAsia="Arial" w:cstheme="minorHAnsi"/>
                <w:color w:val="000000"/>
              </w:rPr>
              <w:t>0,000</w:t>
            </w:r>
          </w:p>
        </w:tc>
        <w:tc>
          <w:tcPr>
            <w:tcW w:w="520" w:type="pct"/>
            <w:shd w:val="clear" w:color="auto" w:fill="auto"/>
          </w:tcPr>
          <w:p w:rsidR="00537FF1" w:rsidRPr="00DF24BF" w:rsidRDefault="00537FF1" w:rsidP="00537FF1">
            <w:pPr>
              <w:spacing w:after="0" w:line="240" w:lineRule="auto"/>
              <w:jc w:val="right"/>
              <w:rPr>
                <w:rFonts w:cstheme="minorHAnsi"/>
                <w:color w:val="000000"/>
              </w:rPr>
            </w:pPr>
            <w:r w:rsidRPr="00DF24BF">
              <w:rPr>
                <w:rFonts w:eastAsia="Arial" w:cstheme="minorHAnsi"/>
                <w:color w:val="000000"/>
              </w:rPr>
              <w:t>0,000</w:t>
            </w:r>
          </w:p>
        </w:tc>
        <w:tc>
          <w:tcPr>
            <w:tcW w:w="764" w:type="pct"/>
            <w:shd w:val="clear" w:color="auto" w:fill="auto"/>
          </w:tcPr>
          <w:p w:rsidR="00537FF1" w:rsidRPr="00DF24BF" w:rsidRDefault="00537FF1" w:rsidP="00537FF1">
            <w:pPr>
              <w:spacing w:after="0" w:line="240" w:lineRule="auto"/>
              <w:jc w:val="right"/>
              <w:rPr>
                <w:rFonts w:cstheme="minorHAnsi"/>
                <w:color w:val="000000"/>
              </w:rPr>
            </w:pPr>
            <w:r w:rsidRPr="00DF24BF">
              <w:rPr>
                <w:rFonts w:eastAsia="Arial" w:cstheme="minorHAnsi"/>
                <w:color w:val="000000"/>
              </w:rPr>
              <w:t>5,680</w:t>
            </w:r>
          </w:p>
        </w:tc>
        <w:tc>
          <w:tcPr>
            <w:tcW w:w="642" w:type="pct"/>
            <w:shd w:val="clear" w:color="auto" w:fill="auto"/>
          </w:tcPr>
          <w:p w:rsidR="00537FF1" w:rsidRPr="00DF24BF" w:rsidRDefault="00537FF1" w:rsidP="00537FF1">
            <w:pPr>
              <w:spacing w:after="0" w:line="240" w:lineRule="auto"/>
              <w:jc w:val="right"/>
              <w:rPr>
                <w:rFonts w:cstheme="minorHAnsi"/>
                <w:color w:val="000000"/>
              </w:rPr>
            </w:pPr>
            <w:r w:rsidRPr="00DF24BF">
              <w:rPr>
                <w:rFonts w:eastAsia="Arial" w:cstheme="minorHAnsi"/>
                <w:color w:val="000000"/>
              </w:rPr>
              <w:t>1</w:t>
            </w:r>
          </w:p>
        </w:tc>
      </w:tr>
      <w:tr w:rsidR="00537FF1" w:rsidRPr="005030E7" w:rsidTr="004B6C76">
        <w:trPr>
          <w:trHeight w:val="340"/>
        </w:trPr>
        <w:tc>
          <w:tcPr>
            <w:tcW w:w="463" w:type="pct"/>
            <w:vMerge/>
            <w:vAlign w:val="center"/>
            <w:hideMark/>
          </w:tcPr>
          <w:p w:rsidR="00537FF1" w:rsidRPr="005030E7" w:rsidRDefault="00537FF1" w:rsidP="00537FF1">
            <w:pPr>
              <w:spacing w:after="0" w:line="240" w:lineRule="auto"/>
              <w:jc w:val="left"/>
              <w:rPr>
                <w:rFonts w:ascii="Calibri" w:eastAsia="Times New Roman" w:hAnsi="Calibri" w:cs="Calibri"/>
                <w:b/>
                <w:bCs/>
                <w:color w:val="000000"/>
                <w:lang w:eastAsia="tr-TR"/>
              </w:rPr>
            </w:pPr>
          </w:p>
        </w:tc>
        <w:tc>
          <w:tcPr>
            <w:tcW w:w="686" w:type="pct"/>
            <w:shd w:val="clear" w:color="auto" w:fill="auto"/>
            <w:hideMark/>
          </w:tcPr>
          <w:p w:rsidR="00537FF1" w:rsidRPr="005030E7" w:rsidRDefault="00537FF1" w:rsidP="00537FF1">
            <w:pPr>
              <w:spacing w:after="0" w:line="240" w:lineRule="auto"/>
              <w:rPr>
                <w:rFonts w:ascii="Calibri" w:eastAsia="Times New Roman" w:hAnsi="Calibri" w:cs="Calibri"/>
                <w:b/>
                <w:bCs/>
                <w:color w:val="000000"/>
                <w:lang w:eastAsia="tr-TR"/>
              </w:rPr>
            </w:pPr>
            <w:r>
              <w:rPr>
                <w:rFonts w:ascii="Arial" w:eastAsia="Arial" w:hAnsi="Arial"/>
                <w:b/>
                <w:color w:val="000000"/>
                <w:sz w:val="20"/>
              </w:rPr>
              <w:t>Güneş</w:t>
            </w:r>
          </w:p>
        </w:tc>
        <w:tc>
          <w:tcPr>
            <w:tcW w:w="579" w:type="pct"/>
            <w:shd w:val="clear" w:color="auto" w:fill="auto"/>
            <w:hideMark/>
          </w:tcPr>
          <w:p w:rsidR="00537FF1" w:rsidRPr="00DF24BF" w:rsidRDefault="00537FF1" w:rsidP="00537FF1">
            <w:pPr>
              <w:spacing w:after="0" w:line="240" w:lineRule="auto"/>
              <w:jc w:val="right"/>
              <w:rPr>
                <w:rFonts w:eastAsia="Times New Roman" w:cstheme="minorHAnsi"/>
                <w:color w:val="000000"/>
                <w:lang w:eastAsia="tr-TR"/>
              </w:rPr>
            </w:pPr>
            <w:r w:rsidRPr="00DF24BF">
              <w:rPr>
                <w:rFonts w:eastAsia="Arial" w:cstheme="minorHAnsi"/>
                <w:color w:val="000000"/>
              </w:rPr>
              <w:t>6.905,276</w:t>
            </w:r>
          </w:p>
        </w:tc>
        <w:tc>
          <w:tcPr>
            <w:tcW w:w="630" w:type="pct"/>
            <w:shd w:val="clear" w:color="auto" w:fill="auto"/>
            <w:hideMark/>
          </w:tcPr>
          <w:p w:rsidR="00537FF1" w:rsidRPr="00DF24BF" w:rsidRDefault="00537FF1" w:rsidP="00537FF1">
            <w:pPr>
              <w:spacing w:after="0" w:line="240" w:lineRule="auto"/>
              <w:jc w:val="right"/>
              <w:rPr>
                <w:rFonts w:eastAsia="Times New Roman" w:cstheme="minorHAnsi"/>
                <w:color w:val="000000"/>
                <w:lang w:eastAsia="tr-TR"/>
              </w:rPr>
            </w:pPr>
            <w:r w:rsidRPr="00DF24BF">
              <w:rPr>
                <w:rFonts w:eastAsia="Arial" w:cstheme="minorHAnsi"/>
                <w:color w:val="000000"/>
              </w:rPr>
              <w:t>1.420,000</w:t>
            </w:r>
          </w:p>
        </w:tc>
        <w:tc>
          <w:tcPr>
            <w:tcW w:w="717" w:type="pct"/>
            <w:shd w:val="clear" w:color="auto" w:fill="auto"/>
            <w:hideMark/>
          </w:tcPr>
          <w:p w:rsidR="00537FF1" w:rsidRPr="00DF24BF" w:rsidRDefault="00537FF1" w:rsidP="00537FF1">
            <w:pPr>
              <w:spacing w:after="0" w:line="240" w:lineRule="auto"/>
              <w:jc w:val="right"/>
              <w:rPr>
                <w:rFonts w:eastAsia="Times New Roman" w:cstheme="minorHAnsi"/>
                <w:color w:val="000000"/>
                <w:lang w:eastAsia="tr-TR"/>
              </w:rPr>
            </w:pPr>
            <w:r w:rsidRPr="00DF24BF">
              <w:rPr>
                <w:rFonts w:eastAsia="Arial" w:cstheme="minorHAnsi"/>
                <w:color w:val="000000"/>
              </w:rPr>
              <w:t>0,000</w:t>
            </w:r>
          </w:p>
        </w:tc>
        <w:tc>
          <w:tcPr>
            <w:tcW w:w="520" w:type="pct"/>
            <w:shd w:val="clear" w:color="auto" w:fill="auto"/>
            <w:hideMark/>
          </w:tcPr>
          <w:p w:rsidR="00537FF1" w:rsidRPr="00DF24BF" w:rsidRDefault="00537FF1" w:rsidP="00537FF1">
            <w:pPr>
              <w:spacing w:after="0" w:line="240" w:lineRule="auto"/>
              <w:jc w:val="right"/>
              <w:rPr>
                <w:rFonts w:eastAsia="Times New Roman" w:cstheme="minorHAnsi"/>
                <w:color w:val="000000"/>
                <w:lang w:eastAsia="tr-TR"/>
              </w:rPr>
            </w:pPr>
            <w:r w:rsidRPr="00DF24BF">
              <w:rPr>
                <w:rFonts w:eastAsia="Arial" w:cstheme="minorHAnsi"/>
                <w:color w:val="000000"/>
              </w:rPr>
              <w:t>0,000</w:t>
            </w:r>
          </w:p>
        </w:tc>
        <w:tc>
          <w:tcPr>
            <w:tcW w:w="764" w:type="pct"/>
            <w:shd w:val="clear" w:color="auto" w:fill="auto"/>
            <w:hideMark/>
          </w:tcPr>
          <w:p w:rsidR="00537FF1" w:rsidRPr="00DF24BF" w:rsidRDefault="00537FF1" w:rsidP="00537FF1">
            <w:pPr>
              <w:spacing w:after="0" w:line="240" w:lineRule="auto"/>
              <w:jc w:val="right"/>
              <w:rPr>
                <w:rFonts w:eastAsia="Times New Roman" w:cstheme="minorHAnsi"/>
                <w:color w:val="000000"/>
                <w:lang w:eastAsia="tr-TR"/>
              </w:rPr>
            </w:pPr>
            <w:r w:rsidRPr="00DF24BF">
              <w:rPr>
                <w:rFonts w:eastAsia="Arial" w:cstheme="minorHAnsi"/>
                <w:color w:val="000000"/>
              </w:rPr>
              <w:t>1.170,000</w:t>
            </w:r>
          </w:p>
        </w:tc>
        <w:tc>
          <w:tcPr>
            <w:tcW w:w="642" w:type="pct"/>
            <w:shd w:val="clear" w:color="auto" w:fill="auto"/>
            <w:hideMark/>
          </w:tcPr>
          <w:p w:rsidR="00537FF1" w:rsidRPr="00DF24BF" w:rsidRDefault="00537FF1" w:rsidP="00537FF1">
            <w:pPr>
              <w:spacing w:after="0" w:line="240" w:lineRule="auto"/>
              <w:jc w:val="right"/>
              <w:rPr>
                <w:rFonts w:eastAsia="Times New Roman" w:cstheme="minorHAnsi"/>
                <w:color w:val="000000"/>
                <w:lang w:eastAsia="tr-TR"/>
              </w:rPr>
            </w:pPr>
            <w:r w:rsidRPr="00DF24BF">
              <w:rPr>
                <w:rFonts w:eastAsia="Arial" w:cstheme="minorHAnsi"/>
                <w:color w:val="000000"/>
              </w:rPr>
              <w:t>57</w:t>
            </w:r>
          </w:p>
        </w:tc>
      </w:tr>
      <w:tr w:rsidR="00537FF1" w:rsidRPr="005030E7" w:rsidTr="004B6C76">
        <w:trPr>
          <w:trHeight w:val="340"/>
        </w:trPr>
        <w:tc>
          <w:tcPr>
            <w:tcW w:w="463" w:type="pct"/>
            <w:vMerge/>
            <w:vAlign w:val="center"/>
            <w:hideMark/>
          </w:tcPr>
          <w:p w:rsidR="00537FF1" w:rsidRPr="005030E7" w:rsidRDefault="00537FF1" w:rsidP="00537FF1">
            <w:pPr>
              <w:spacing w:after="0" w:line="240" w:lineRule="auto"/>
              <w:jc w:val="left"/>
              <w:rPr>
                <w:rFonts w:ascii="Calibri" w:eastAsia="Times New Roman" w:hAnsi="Calibri" w:cs="Calibri"/>
                <w:b/>
                <w:bCs/>
                <w:color w:val="000000"/>
                <w:lang w:eastAsia="tr-TR"/>
              </w:rPr>
            </w:pPr>
          </w:p>
        </w:tc>
        <w:tc>
          <w:tcPr>
            <w:tcW w:w="686" w:type="pct"/>
            <w:shd w:val="clear" w:color="auto" w:fill="auto"/>
            <w:hideMark/>
          </w:tcPr>
          <w:p w:rsidR="00537FF1" w:rsidRPr="005030E7" w:rsidRDefault="00537FF1" w:rsidP="00537FF1">
            <w:pPr>
              <w:spacing w:after="0" w:line="240" w:lineRule="auto"/>
              <w:rPr>
                <w:rFonts w:ascii="Calibri" w:eastAsia="Times New Roman" w:hAnsi="Calibri" w:cs="Calibri"/>
                <w:b/>
                <w:bCs/>
                <w:color w:val="000000"/>
                <w:lang w:eastAsia="tr-TR"/>
              </w:rPr>
            </w:pPr>
            <w:r>
              <w:rPr>
                <w:rFonts w:ascii="Arial" w:eastAsia="Arial" w:hAnsi="Arial"/>
                <w:b/>
                <w:color w:val="000000"/>
                <w:sz w:val="20"/>
              </w:rPr>
              <w:t>Hidrolik</w:t>
            </w:r>
          </w:p>
        </w:tc>
        <w:tc>
          <w:tcPr>
            <w:tcW w:w="579" w:type="pct"/>
            <w:shd w:val="clear" w:color="auto" w:fill="auto"/>
            <w:hideMark/>
          </w:tcPr>
          <w:p w:rsidR="00537FF1" w:rsidRPr="00DF24BF" w:rsidRDefault="00537FF1" w:rsidP="00537FF1">
            <w:pPr>
              <w:spacing w:after="0" w:line="240" w:lineRule="auto"/>
              <w:jc w:val="right"/>
              <w:rPr>
                <w:rFonts w:eastAsia="Times New Roman" w:cstheme="minorHAnsi"/>
                <w:color w:val="000000"/>
                <w:lang w:eastAsia="tr-TR"/>
              </w:rPr>
            </w:pPr>
            <w:r w:rsidRPr="00DF24BF">
              <w:rPr>
                <w:rFonts w:eastAsia="Arial" w:cstheme="minorHAnsi"/>
                <w:color w:val="000000"/>
              </w:rPr>
              <w:t>504,802</w:t>
            </w:r>
          </w:p>
        </w:tc>
        <w:tc>
          <w:tcPr>
            <w:tcW w:w="630" w:type="pct"/>
            <w:shd w:val="clear" w:color="auto" w:fill="auto"/>
            <w:hideMark/>
          </w:tcPr>
          <w:p w:rsidR="00537FF1" w:rsidRPr="00DF24BF" w:rsidRDefault="00537FF1" w:rsidP="00537FF1">
            <w:pPr>
              <w:spacing w:after="0" w:line="240" w:lineRule="auto"/>
              <w:jc w:val="right"/>
              <w:rPr>
                <w:rFonts w:eastAsia="Times New Roman" w:cstheme="minorHAnsi"/>
                <w:color w:val="000000"/>
                <w:lang w:eastAsia="tr-TR"/>
              </w:rPr>
            </w:pPr>
            <w:r w:rsidRPr="00DF24BF">
              <w:rPr>
                <w:rFonts w:eastAsia="Arial" w:cstheme="minorHAnsi"/>
                <w:color w:val="000000"/>
              </w:rPr>
              <w:t>386,851</w:t>
            </w:r>
          </w:p>
        </w:tc>
        <w:tc>
          <w:tcPr>
            <w:tcW w:w="717" w:type="pct"/>
            <w:shd w:val="clear" w:color="auto" w:fill="auto"/>
            <w:hideMark/>
          </w:tcPr>
          <w:p w:rsidR="00537FF1" w:rsidRPr="00DF24BF" w:rsidRDefault="00537FF1" w:rsidP="00537FF1">
            <w:pPr>
              <w:spacing w:after="0" w:line="240" w:lineRule="auto"/>
              <w:jc w:val="right"/>
              <w:rPr>
                <w:rFonts w:eastAsia="Times New Roman" w:cstheme="minorHAnsi"/>
                <w:color w:val="000000"/>
                <w:lang w:eastAsia="tr-TR"/>
              </w:rPr>
            </w:pPr>
            <w:r w:rsidRPr="00DF24BF">
              <w:rPr>
                <w:rFonts w:eastAsia="Arial" w:cstheme="minorHAnsi"/>
                <w:color w:val="000000"/>
              </w:rPr>
              <w:t>663,886</w:t>
            </w:r>
          </w:p>
        </w:tc>
        <w:tc>
          <w:tcPr>
            <w:tcW w:w="520" w:type="pct"/>
            <w:shd w:val="clear" w:color="auto" w:fill="auto"/>
            <w:hideMark/>
          </w:tcPr>
          <w:p w:rsidR="00537FF1" w:rsidRPr="00DF24BF" w:rsidRDefault="00537FF1" w:rsidP="00537FF1">
            <w:pPr>
              <w:spacing w:after="0" w:line="240" w:lineRule="auto"/>
              <w:jc w:val="right"/>
              <w:rPr>
                <w:rFonts w:eastAsia="Times New Roman" w:cstheme="minorHAnsi"/>
                <w:color w:val="000000"/>
                <w:lang w:eastAsia="tr-TR"/>
              </w:rPr>
            </w:pPr>
            <w:r w:rsidRPr="00DF24BF">
              <w:rPr>
                <w:rFonts w:eastAsia="Arial" w:cstheme="minorHAnsi"/>
                <w:color w:val="000000"/>
              </w:rPr>
              <w:t>16,040</w:t>
            </w:r>
          </w:p>
        </w:tc>
        <w:tc>
          <w:tcPr>
            <w:tcW w:w="764" w:type="pct"/>
            <w:shd w:val="clear" w:color="auto" w:fill="auto"/>
            <w:hideMark/>
          </w:tcPr>
          <w:p w:rsidR="00537FF1" w:rsidRPr="00DF24BF" w:rsidRDefault="00537FF1" w:rsidP="00537FF1">
            <w:pPr>
              <w:spacing w:after="0" w:line="240" w:lineRule="auto"/>
              <w:jc w:val="right"/>
              <w:rPr>
                <w:rFonts w:eastAsia="Times New Roman" w:cstheme="minorHAnsi"/>
                <w:color w:val="000000"/>
                <w:lang w:eastAsia="tr-TR"/>
              </w:rPr>
            </w:pPr>
            <w:r w:rsidRPr="00DF24BF">
              <w:rPr>
                <w:rFonts w:eastAsia="Arial" w:cstheme="minorHAnsi"/>
                <w:color w:val="000000"/>
              </w:rPr>
              <w:t>2.941,238</w:t>
            </w:r>
          </w:p>
        </w:tc>
        <w:tc>
          <w:tcPr>
            <w:tcW w:w="642" w:type="pct"/>
            <w:shd w:val="clear" w:color="auto" w:fill="auto"/>
            <w:hideMark/>
          </w:tcPr>
          <w:p w:rsidR="00537FF1" w:rsidRPr="00DF24BF" w:rsidRDefault="00537FF1" w:rsidP="00537FF1">
            <w:pPr>
              <w:spacing w:after="0" w:line="240" w:lineRule="auto"/>
              <w:jc w:val="right"/>
              <w:rPr>
                <w:rFonts w:eastAsia="Times New Roman" w:cstheme="minorHAnsi"/>
                <w:color w:val="000000"/>
                <w:lang w:eastAsia="tr-TR"/>
              </w:rPr>
            </w:pPr>
            <w:r w:rsidRPr="00DF24BF">
              <w:rPr>
                <w:rFonts w:eastAsia="Arial" w:cstheme="minorHAnsi"/>
                <w:color w:val="000000"/>
              </w:rPr>
              <w:t>64</w:t>
            </w:r>
          </w:p>
        </w:tc>
      </w:tr>
      <w:tr w:rsidR="00537FF1" w:rsidRPr="005030E7" w:rsidTr="004B6C76">
        <w:trPr>
          <w:trHeight w:val="340"/>
        </w:trPr>
        <w:tc>
          <w:tcPr>
            <w:tcW w:w="463" w:type="pct"/>
            <w:vMerge/>
            <w:vAlign w:val="center"/>
            <w:hideMark/>
          </w:tcPr>
          <w:p w:rsidR="00537FF1" w:rsidRPr="005030E7" w:rsidRDefault="00537FF1" w:rsidP="00537FF1">
            <w:pPr>
              <w:spacing w:after="0" w:line="240" w:lineRule="auto"/>
              <w:jc w:val="left"/>
              <w:rPr>
                <w:rFonts w:ascii="Calibri" w:eastAsia="Times New Roman" w:hAnsi="Calibri" w:cs="Calibri"/>
                <w:b/>
                <w:bCs/>
                <w:color w:val="000000"/>
                <w:lang w:eastAsia="tr-TR"/>
              </w:rPr>
            </w:pPr>
          </w:p>
        </w:tc>
        <w:tc>
          <w:tcPr>
            <w:tcW w:w="686" w:type="pct"/>
            <w:shd w:val="clear" w:color="auto" w:fill="auto"/>
            <w:hideMark/>
          </w:tcPr>
          <w:p w:rsidR="00537FF1" w:rsidRPr="005030E7" w:rsidRDefault="00537FF1" w:rsidP="00537FF1">
            <w:pPr>
              <w:spacing w:after="0" w:line="240" w:lineRule="auto"/>
              <w:rPr>
                <w:rFonts w:ascii="Calibri" w:eastAsia="Times New Roman" w:hAnsi="Calibri" w:cs="Calibri"/>
                <w:b/>
                <w:bCs/>
                <w:color w:val="000000"/>
                <w:lang w:eastAsia="tr-TR"/>
              </w:rPr>
            </w:pPr>
            <w:r>
              <w:rPr>
                <w:rFonts w:ascii="Arial" w:eastAsia="Arial" w:hAnsi="Arial"/>
                <w:b/>
                <w:color w:val="000000"/>
                <w:sz w:val="20"/>
              </w:rPr>
              <w:t>İthal Kömür</w:t>
            </w:r>
          </w:p>
        </w:tc>
        <w:tc>
          <w:tcPr>
            <w:tcW w:w="579" w:type="pct"/>
            <w:shd w:val="clear" w:color="auto" w:fill="auto"/>
            <w:hideMark/>
          </w:tcPr>
          <w:p w:rsidR="00537FF1" w:rsidRPr="00DF24BF" w:rsidRDefault="00537FF1" w:rsidP="00537FF1">
            <w:pPr>
              <w:spacing w:after="0" w:line="240" w:lineRule="auto"/>
              <w:jc w:val="right"/>
              <w:rPr>
                <w:rFonts w:eastAsia="Times New Roman" w:cstheme="minorHAnsi"/>
                <w:color w:val="000000"/>
                <w:lang w:eastAsia="tr-TR"/>
              </w:rPr>
            </w:pPr>
            <w:r w:rsidRPr="00DF24BF">
              <w:rPr>
                <w:rFonts w:eastAsia="Arial" w:cstheme="minorHAnsi"/>
                <w:color w:val="000000"/>
              </w:rPr>
              <w:t>0,000</w:t>
            </w:r>
          </w:p>
        </w:tc>
        <w:tc>
          <w:tcPr>
            <w:tcW w:w="630" w:type="pct"/>
            <w:shd w:val="clear" w:color="auto" w:fill="auto"/>
            <w:hideMark/>
          </w:tcPr>
          <w:p w:rsidR="00537FF1" w:rsidRPr="00DF24BF" w:rsidRDefault="00537FF1" w:rsidP="00537FF1">
            <w:pPr>
              <w:spacing w:after="0" w:line="240" w:lineRule="auto"/>
              <w:jc w:val="right"/>
              <w:rPr>
                <w:rFonts w:eastAsia="Times New Roman" w:cstheme="minorHAnsi"/>
                <w:color w:val="000000"/>
                <w:lang w:eastAsia="tr-TR"/>
              </w:rPr>
            </w:pPr>
            <w:r w:rsidRPr="00DF24BF">
              <w:rPr>
                <w:rFonts w:eastAsia="Arial" w:cstheme="minorHAnsi"/>
                <w:color w:val="000000"/>
              </w:rPr>
              <w:t>0,000</w:t>
            </w:r>
          </w:p>
        </w:tc>
        <w:tc>
          <w:tcPr>
            <w:tcW w:w="717" w:type="pct"/>
            <w:shd w:val="clear" w:color="auto" w:fill="auto"/>
            <w:hideMark/>
          </w:tcPr>
          <w:p w:rsidR="00537FF1" w:rsidRPr="00DF24BF" w:rsidRDefault="00537FF1" w:rsidP="00537FF1">
            <w:pPr>
              <w:spacing w:after="0" w:line="240" w:lineRule="auto"/>
              <w:jc w:val="right"/>
              <w:rPr>
                <w:rFonts w:eastAsia="Times New Roman" w:cstheme="minorHAnsi"/>
                <w:color w:val="000000"/>
                <w:lang w:eastAsia="tr-TR"/>
              </w:rPr>
            </w:pPr>
            <w:r w:rsidRPr="00DF24BF">
              <w:rPr>
                <w:rFonts w:eastAsia="Arial" w:cstheme="minorHAnsi"/>
                <w:color w:val="000000"/>
              </w:rPr>
              <w:t>0,000</w:t>
            </w:r>
          </w:p>
        </w:tc>
        <w:tc>
          <w:tcPr>
            <w:tcW w:w="520" w:type="pct"/>
            <w:shd w:val="clear" w:color="auto" w:fill="auto"/>
            <w:hideMark/>
          </w:tcPr>
          <w:p w:rsidR="00537FF1" w:rsidRPr="00DF24BF" w:rsidRDefault="00537FF1" w:rsidP="00537FF1">
            <w:pPr>
              <w:spacing w:after="0" w:line="240" w:lineRule="auto"/>
              <w:jc w:val="right"/>
              <w:rPr>
                <w:rFonts w:eastAsia="Times New Roman" w:cstheme="minorHAnsi"/>
                <w:color w:val="000000"/>
                <w:lang w:eastAsia="tr-TR"/>
              </w:rPr>
            </w:pPr>
            <w:r w:rsidRPr="00DF24BF">
              <w:rPr>
                <w:rFonts w:eastAsia="Arial" w:cstheme="minorHAnsi"/>
                <w:color w:val="000000"/>
              </w:rPr>
              <w:t>0,000</w:t>
            </w:r>
          </w:p>
        </w:tc>
        <w:tc>
          <w:tcPr>
            <w:tcW w:w="764" w:type="pct"/>
            <w:shd w:val="clear" w:color="auto" w:fill="auto"/>
            <w:hideMark/>
          </w:tcPr>
          <w:p w:rsidR="00537FF1" w:rsidRPr="00DF24BF" w:rsidRDefault="00537FF1" w:rsidP="00537FF1">
            <w:pPr>
              <w:spacing w:after="0" w:line="240" w:lineRule="auto"/>
              <w:jc w:val="right"/>
              <w:rPr>
                <w:rFonts w:eastAsia="Times New Roman" w:cstheme="minorHAnsi"/>
                <w:color w:val="000000"/>
                <w:lang w:eastAsia="tr-TR"/>
              </w:rPr>
            </w:pPr>
            <w:r w:rsidRPr="00DF24BF">
              <w:rPr>
                <w:rFonts w:eastAsia="Arial" w:cstheme="minorHAnsi"/>
                <w:color w:val="000000"/>
              </w:rPr>
              <w:t>0,000</w:t>
            </w:r>
          </w:p>
        </w:tc>
        <w:tc>
          <w:tcPr>
            <w:tcW w:w="642" w:type="pct"/>
            <w:shd w:val="clear" w:color="auto" w:fill="auto"/>
            <w:hideMark/>
          </w:tcPr>
          <w:p w:rsidR="00537FF1" w:rsidRPr="00DF24BF" w:rsidRDefault="00537FF1" w:rsidP="00537FF1">
            <w:pPr>
              <w:spacing w:after="0" w:line="240" w:lineRule="auto"/>
              <w:jc w:val="right"/>
              <w:rPr>
                <w:rFonts w:eastAsia="Times New Roman" w:cstheme="minorHAnsi"/>
                <w:color w:val="000000"/>
                <w:lang w:eastAsia="tr-TR"/>
              </w:rPr>
            </w:pPr>
            <w:r w:rsidRPr="00DF24BF">
              <w:rPr>
                <w:rFonts w:eastAsia="Arial" w:cstheme="minorHAnsi"/>
                <w:color w:val="000000"/>
              </w:rPr>
              <w:t>0</w:t>
            </w:r>
          </w:p>
        </w:tc>
      </w:tr>
      <w:tr w:rsidR="00537FF1" w:rsidRPr="005030E7" w:rsidTr="004B6C76">
        <w:trPr>
          <w:trHeight w:val="340"/>
        </w:trPr>
        <w:tc>
          <w:tcPr>
            <w:tcW w:w="463" w:type="pct"/>
            <w:vMerge/>
            <w:vAlign w:val="center"/>
            <w:hideMark/>
          </w:tcPr>
          <w:p w:rsidR="00537FF1" w:rsidRPr="005030E7" w:rsidRDefault="00537FF1" w:rsidP="00537FF1">
            <w:pPr>
              <w:spacing w:after="0" w:line="240" w:lineRule="auto"/>
              <w:jc w:val="left"/>
              <w:rPr>
                <w:rFonts w:ascii="Calibri" w:eastAsia="Times New Roman" w:hAnsi="Calibri" w:cs="Calibri"/>
                <w:b/>
                <w:bCs/>
                <w:color w:val="000000"/>
                <w:lang w:eastAsia="tr-TR"/>
              </w:rPr>
            </w:pPr>
          </w:p>
        </w:tc>
        <w:tc>
          <w:tcPr>
            <w:tcW w:w="686" w:type="pct"/>
            <w:shd w:val="clear" w:color="auto" w:fill="auto"/>
            <w:hideMark/>
          </w:tcPr>
          <w:p w:rsidR="00537FF1" w:rsidRPr="005030E7" w:rsidRDefault="00537FF1" w:rsidP="00537FF1">
            <w:pPr>
              <w:spacing w:after="0" w:line="240" w:lineRule="auto"/>
              <w:rPr>
                <w:rFonts w:ascii="Calibri" w:eastAsia="Times New Roman" w:hAnsi="Calibri" w:cs="Calibri"/>
                <w:b/>
                <w:bCs/>
                <w:color w:val="000000"/>
                <w:lang w:eastAsia="tr-TR"/>
              </w:rPr>
            </w:pPr>
            <w:r>
              <w:rPr>
                <w:rFonts w:ascii="Arial" w:eastAsia="Arial" w:hAnsi="Arial"/>
                <w:b/>
                <w:color w:val="000000"/>
                <w:sz w:val="20"/>
              </w:rPr>
              <w:t>Jeotermal</w:t>
            </w:r>
          </w:p>
        </w:tc>
        <w:tc>
          <w:tcPr>
            <w:tcW w:w="579" w:type="pct"/>
            <w:shd w:val="clear" w:color="auto" w:fill="auto"/>
            <w:hideMark/>
          </w:tcPr>
          <w:p w:rsidR="00537FF1" w:rsidRPr="00DF24BF" w:rsidRDefault="00537FF1" w:rsidP="00537FF1">
            <w:pPr>
              <w:spacing w:after="0" w:line="240" w:lineRule="auto"/>
              <w:jc w:val="right"/>
              <w:rPr>
                <w:rFonts w:eastAsia="Times New Roman" w:cstheme="minorHAnsi"/>
                <w:color w:val="000000"/>
                <w:lang w:eastAsia="tr-TR"/>
              </w:rPr>
            </w:pPr>
            <w:r w:rsidRPr="00DF24BF">
              <w:rPr>
                <w:rFonts w:eastAsia="Arial" w:cstheme="minorHAnsi"/>
                <w:color w:val="000000"/>
              </w:rPr>
              <w:t>37,700</w:t>
            </w:r>
          </w:p>
        </w:tc>
        <w:tc>
          <w:tcPr>
            <w:tcW w:w="630" w:type="pct"/>
            <w:shd w:val="clear" w:color="auto" w:fill="auto"/>
            <w:hideMark/>
          </w:tcPr>
          <w:p w:rsidR="00537FF1" w:rsidRPr="00DF24BF" w:rsidRDefault="00537FF1" w:rsidP="00537FF1">
            <w:pPr>
              <w:spacing w:after="0" w:line="240" w:lineRule="auto"/>
              <w:jc w:val="right"/>
              <w:rPr>
                <w:rFonts w:eastAsia="Times New Roman" w:cstheme="minorHAnsi"/>
                <w:color w:val="000000"/>
                <w:lang w:eastAsia="tr-TR"/>
              </w:rPr>
            </w:pPr>
            <w:r w:rsidRPr="00DF24BF">
              <w:rPr>
                <w:rFonts w:eastAsia="Arial" w:cstheme="minorHAnsi"/>
                <w:color w:val="000000"/>
              </w:rPr>
              <w:t>73,200</w:t>
            </w:r>
          </w:p>
        </w:tc>
        <w:tc>
          <w:tcPr>
            <w:tcW w:w="717" w:type="pct"/>
            <w:shd w:val="clear" w:color="auto" w:fill="auto"/>
            <w:hideMark/>
          </w:tcPr>
          <w:p w:rsidR="00537FF1" w:rsidRPr="00DF24BF" w:rsidRDefault="00537FF1" w:rsidP="00537FF1">
            <w:pPr>
              <w:spacing w:after="0" w:line="240" w:lineRule="auto"/>
              <w:jc w:val="right"/>
              <w:rPr>
                <w:rFonts w:eastAsia="Times New Roman" w:cstheme="minorHAnsi"/>
                <w:color w:val="000000"/>
                <w:lang w:eastAsia="tr-TR"/>
              </w:rPr>
            </w:pPr>
            <w:r w:rsidRPr="00DF24BF">
              <w:rPr>
                <w:rFonts w:eastAsia="Arial" w:cstheme="minorHAnsi"/>
                <w:color w:val="000000"/>
              </w:rPr>
              <w:t>35,000</w:t>
            </w:r>
          </w:p>
        </w:tc>
        <w:tc>
          <w:tcPr>
            <w:tcW w:w="520" w:type="pct"/>
            <w:shd w:val="clear" w:color="auto" w:fill="auto"/>
            <w:hideMark/>
          </w:tcPr>
          <w:p w:rsidR="00537FF1" w:rsidRPr="00DF24BF" w:rsidRDefault="00537FF1" w:rsidP="00537FF1">
            <w:pPr>
              <w:spacing w:after="0" w:line="240" w:lineRule="auto"/>
              <w:jc w:val="right"/>
              <w:rPr>
                <w:rFonts w:eastAsia="Times New Roman" w:cstheme="minorHAnsi"/>
                <w:color w:val="000000"/>
                <w:lang w:eastAsia="tr-TR"/>
              </w:rPr>
            </w:pPr>
            <w:r w:rsidRPr="00DF24BF">
              <w:rPr>
                <w:rFonts w:eastAsia="Arial" w:cstheme="minorHAnsi"/>
                <w:color w:val="000000"/>
              </w:rPr>
              <w:t>0,000</w:t>
            </w:r>
          </w:p>
        </w:tc>
        <w:tc>
          <w:tcPr>
            <w:tcW w:w="764" w:type="pct"/>
            <w:shd w:val="clear" w:color="auto" w:fill="auto"/>
            <w:hideMark/>
          </w:tcPr>
          <w:p w:rsidR="00537FF1" w:rsidRPr="00DF24BF" w:rsidRDefault="00537FF1" w:rsidP="00537FF1">
            <w:pPr>
              <w:spacing w:after="0" w:line="240" w:lineRule="auto"/>
              <w:jc w:val="right"/>
              <w:rPr>
                <w:rFonts w:eastAsia="Times New Roman" w:cstheme="minorHAnsi"/>
                <w:color w:val="000000"/>
                <w:lang w:eastAsia="tr-TR"/>
              </w:rPr>
            </w:pPr>
            <w:r w:rsidRPr="00DF24BF">
              <w:rPr>
                <w:rFonts w:eastAsia="Arial" w:cstheme="minorHAnsi"/>
                <w:color w:val="000000"/>
              </w:rPr>
              <w:t>336,960</w:t>
            </w:r>
          </w:p>
        </w:tc>
        <w:tc>
          <w:tcPr>
            <w:tcW w:w="642" w:type="pct"/>
            <w:shd w:val="clear" w:color="auto" w:fill="auto"/>
            <w:hideMark/>
          </w:tcPr>
          <w:p w:rsidR="00537FF1" w:rsidRPr="00DF24BF" w:rsidRDefault="00537FF1" w:rsidP="00537FF1">
            <w:pPr>
              <w:spacing w:after="0" w:line="240" w:lineRule="auto"/>
              <w:jc w:val="right"/>
              <w:rPr>
                <w:rFonts w:eastAsia="Times New Roman" w:cstheme="minorHAnsi"/>
                <w:color w:val="000000"/>
                <w:lang w:eastAsia="tr-TR"/>
              </w:rPr>
            </w:pPr>
            <w:r w:rsidRPr="00DF24BF">
              <w:rPr>
                <w:rFonts w:eastAsia="Arial" w:cstheme="minorHAnsi"/>
                <w:color w:val="000000"/>
              </w:rPr>
              <w:t>14</w:t>
            </w:r>
          </w:p>
        </w:tc>
      </w:tr>
      <w:tr w:rsidR="00537FF1" w:rsidRPr="005030E7" w:rsidTr="004B6C76">
        <w:trPr>
          <w:trHeight w:val="340"/>
        </w:trPr>
        <w:tc>
          <w:tcPr>
            <w:tcW w:w="463" w:type="pct"/>
            <w:vMerge/>
            <w:vAlign w:val="center"/>
            <w:hideMark/>
          </w:tcPr>
          <w:p w:rsidR="00537FF1" w:rsidRPr="005030E7" w:rsidRDefault="00537FF1" w:rsidP="00537FF1">
            <w:pPr>
              <w:spacing w:after="0" w:line="240" w:lineRule="auto"/>
              <w:jc w:val="left"/>
              <w:rPr>
                <w:rFonts w:ascii="Calibri" w:eastAsia="Times New Roman" w:hAnsi="Calibri" w:cs="Calibri"/>
                <w:b/>
                <w:bCs/>
                <w:color w:val="000000"/>
                <w:lang w:eastAsia="tr-TR"/>
              </w:rPr>
            </w:pPr>
          </w:p>
        </w:tc>
        <w:tc>
          <w:tcPr>
            <w:tcW w:w="686" w:type="pct"/>
            <w:shd w:val="clear" w:color="auto" w:fill="auto"/>
            <w:hideMark/>
          </w:tcPr>
          <w:p w:rsidR="00537FF1" w:rsidRPr="005030E7" w:rsidRDefault="00537FF1" w:rsidP="00537FF1">
            <w:pPr>
              <w:spacing w:after="0" w:line="240" w:lineRule="auto"/>
              <w:rPr>
                <w:rFonts w:ascii="Calibri" w:eastAsia="Times New Roman" w:hAnsi="Calibri" w:cs="Calibri"/>
                <w:b/>
                <w:bCs/>
                <w:color w:val="000000"/>
                <w:lang w:eastAsia="tr-TR"/>
              </w:rPr>
            </w:pPr>
            <w:r>
              <w:rPr>
                <w:rFonts w:ascii="Arial" w:eastAsia="Arial" w:hAnsi="Arial"/>
                <w:b/>
                <w:color w:val="000000"/>
                <w:sz w:val="20"/>
              </w:rPr>
              <w:t>Kömür</w:t>
            </w:r>
          </w:p>
        </w:tc>
        <w:tc>
          <w:tcPr>
            <w:tcW w:w="579" w:type="pct"/>
            <w:shd w:val="clear" w:color="auto" w:fill="auto"/>
            <w:hideMark/>
          </w:tcPr>
          <w:p w:rsidR="00537FF1" w:rsidRPr="00DF24BF" w:rsidRDefault="00537FF1" w:rsidP="00537FF1">
            <w:pPr>
              <w:spacing w:after="0" w:line="240" w:lineRule="auto"/>
              <w:jc w:val="right"/>
              <w:rPr>
                <w:rFonts w:eastAsia="Times New Roman" w:cstheme="minorHAnsi"/>
                <w:color w:val="000000"/>
                <w:lang w:eastAsia="tr-TR"/>
              </w:rPr>
            </w:pPr>
            <w:r w:rsidRPr="00DF24BF">
              <w:rPr>
                <w:rFonts w:eastAsia="Arial" w:cstheme="minorHAnsi"/>
                <w:color w:val="000000"/>
              </w:rPr>
              <w:t>5,650</w:t>
            </w:r>
          </w:p>
        </w:tc>
        <w:tc>
          <w:tcPr>
            <w:tcW w:w="630" w:type="pct"/>
            <w:shd w:val="clear" w:color="auto" w:fill="auto"/>
            <w:hideMark/>
          </w:tcPr>
          <w:p w:rsidR="00537FF1" w:rsidRPr="00DF24BF" w:rsidRDefault="00537FF1" w:rsidP="00537FF1">
            <w:pPr>
              <w:spacing w:after="0" w:line="240" w:lineRule="auto"/>
              <w:jc w:val="right"/>
              <w:rPr>
                <w:rFonts w:eastAsia="Times New Roman" w:cstheme="minorHAnsi"/>
                <w:color w:val="000000"/>
                <w:lang w:eastAsia="tr-TR"/>
              </w:rPr>
            </w:pPr>
            <w:r w:rsidRPr="00DF24BF">
              <w:rPr>
                <w:rFonts w:eastAsia="Arial" w:cstheme="minorHAnsi"/>
                <w:color w:val="000000"/>
              </w:rPr>
              <w:t>5,650</w:t>
            </w:r>
          </w:p>
        </w:tc>
        <w:tc>
          <w:tcPr>
            <w:tcW w:w="717" w:type="pct"/>
            <w:shd w:val="clear" w:color="auto" w:fill="auto"/>
            <w:hideMark/>
          </w:tcPr>
          <w:p w:rsidR="00537FF1" w:rsidRPr="00DF24BF" w:rsidRDefault="00537FF1" w:rsidP="00537FF1">
            <w:pPr>
              <w:spacing w:after="0" w:line="240" w:lineRule="auto"/>
              <w:jc w:val="right"/>
              <w:rPr>
                <w:rFonts w:eastAsia="Times New Roman" w:cstheme="minorHAnsi"/>
                <w:color w:val="000000"/>
                <w:lang w:eastAsia="tr-TR"/>
              </w:rPr>
            </w:pPr>
            <w:r w:rsidRPr="00DF24BF">
              <w:rPr>
                <w:rFonts w:eastAsia="Arial" w:cstheme="minorHAnsi"/>
                <w:color w:val="000000"/>
              </w:rPr>
              <w:t>0,000</w:t>
            </w:r>
          </w:p>
        </w:tc>
        <w:tc>
          <w:tcPr>
            <w:tcW w:w="520" w:type="pct"/>
            <w:shd w:val="clear" w:color="auto" w:fill="auto"/>
            <w:hideMark/>
          </w:tcPr>
          <w:p w:rsidR="00537FF1" w:rsidRPr="00DF24BF" w:rsidRDefault="00537FF1" w:rsidP="00537FF1">
            <w:pPr>
              <w:spacing w:after="0" w:line="240" w:lineRule="auto"/>
              <w:jc w:val="right"/>
              <w:rPr>
                <w:rFonts w:eastAsia="Times New Roman" w:cstheme="minorHAnsi"/>
                <w:color w:val="000000"/>
                <w:lang w:eastAsia="tr-TR"/>
              </w:rPr>
            </w:pPr>
            <w:r w:rsidRPr="00DF24BF">
              <w:rPr>
                <w:rFonts w:eastAsia="Arial" w:cstheme="minorHAnsi"/>
                <w:color w:val="000000"/>
              </w:rPr>
              <w:t>0,000</w:t>
            </w:r>
          </w:p>
        </w:tc>
        <w:tc>
          <w:tcPr>
            <w:tcW w:w="764" w:type="pct"/>
            <w:shd w:val="clear" w:color="auto" w:fill="auto"/>
            <w:hideMark/>
          </w:tcPr>
          <w:p w:rsidR="00537FF1" w:rsidRPr="00DF24BF" w:rsidRDefault="00537FF1" w:rsidP="00537FF1">
            <w:pPr>
              <w:spacing w:after="0" w:line="240" w:lineRule="auto"/>
              <w:jc w:val="right"/>
              <w:rPr>
                <w:rFonts w:eastAsia="Times New Roman" w:cstheme="minorHAnsi"/>
                <w:color w:val="000000"/>
                <w:lang w:eastAsia="tr-TR"/>
              </w:rPr>
            </w:pPr>
            <w:r w:rsidRPr="00DF24BF">
              <w:rPr>
                <w:rFonts w:eastAsia="Arial" w:cstheme="minorHAnsi"/>
                <w:color w:val="000000"/>
              </w:rPr>
              <w:t>0,000</w:t>
            </w:r>
          </w:p>
        </w:tc>
        <w:tc>
          <w:tcPr>
            <w:tcW w:w="642" w:type="pct"/>
            <w:shd w:val="clear" w:color="auto" w:fill="auto"/>
            <w:hideMark/>
          </w:tcPr>
          <w:p w:rsidR="00537FF1" w:rsidRPr="00DF24BF" w:rsidRDefault="00537FF1" w:rsidP="00537FF1">
            <w:pPr>
              <w:spacing w:after="0" w:line="240" w:lineRule="auto"/>
              <w:jc w:val="right"/>
              <w:rPr>
                <w:rFonts w:eastAsia="Times New Roman" w:cstheme="minorHAnsi"/>
                <w:color w:val="000000"/>
                <w:lang w:eastAsia="tr-TR"/>
              </w:rPr>
            </w:pPr>
            <w:r w:rsidRPr="00DF24BF">
              <w:rPr>
                <w:rFonts w:eastAsia="Arial" w:cstheme="minorHAnsi"/>
                <w:color w:val="000000"/>
              </w:rPr>
              <w:t>0</w:t>
            </w:r>
          </w:p>
        </w:tc>
      </w:tr>
      <w:tr w:rsidR="00537FF1" w:rsidRPr="005030E7" w:rsidTr="004B6C76">
        <w:trPr>
          <w:trHeight w:val="340"/>
        </w:trPr>
        <w:tc>
          <w:tcPr>
            <w:tcW w:w="463" w:type="pct"/>
            <w:vMerge/>
            <w:vAlign w:val="center"/>
          </w:tcPr>
          <w:p w:rsidR="00537FF1" w:rsidRPr="005030E7" w:rsidRDefault="00537FF1" w:rsidP="00537FF1">
            <w:pPr>
              <w:spacing w:after="0" w:line="240" w:lineRule="auto"/>
              <w:jc w:val="left"/>
              <w:rPr>
                <w:rFonts w:ascii="Calibri" w:eastAsia="Times New Roman" w:hAnsi="Calibri" w:cs="Calibri"/>
                <w:b/>
                <w:bCs/>
                <w:color w:val="000000"/>
                <w:lang w:eastAsia="tr-TR"/>
              </w:rPr>
            </w:pPr>
          </w:p>
        </w:tc>
        <w:tc>
          <w:tcPr>
            <w:tcW w:w="686" w:type="pct"/>
            <w:shd w:val="clear" w:color="auto" w:fill="auto"/>
          </w:tcPr>
          <w:p w:rsidR="00537FF1" w:rsidRPr="005030E7" w:rsidRDefault="00537FF1" w:rsidP="00537FF1">
            <w:pPr>
              <w:spacing w:after="0" w:line="240" w:lineRule="auto"/>
              <w:rPr>
                <w:rFonts w:ascii="Calibri" w:eastAsia="Times New Roman" w:hAnsi="Calibri" w:cs="Calibri"/>
                <w:b/>
                <w:bCs/>
                <w:color w:val="000000"/>
                <w:lang w:eastAsia="tr-TR"/>
              </w:rPr>
            </w:pPr>
            <w:r>
              <w:rPr>
                <w:rFonts w:ascii="Arial" w:eastAsia="Arial" w:hAnsi="Arial"/>
                <w:b/>
                <w:color w:val="000000"/>
                <w:sz w:val="20"/>
              </w:rPr>
              <w:t>LNG</w:t>
            </w:r>
          </w:p>
        </w:tc>
        <w:tc>
          <w:tcPr>
            <w:tcW w:w="579" w:type="pct"/>
            <w:shd w:val="clear" w:color="auto" w:fill="auto"/>
          </w:tcPr>
          <w:p w:rsidR="00537FF1" w:rsidRPr="00DF24BF" w:rsidRDefault="00537FF1" w:rsidP="00537FF1">
            <w:pPr>
              <w:spacing w:after="0" w:line="240" w:lineRule="auto"/>
              <w:jc w:val="right"/>
              <w:rPr>
                <w:rFonts w:cstheme="minorHAnsi"/>
                <w:color w:val="000000"/>
              </w:rPr>
            </w:pPr>
            <w:r w:rsidRPr="00DF24BF">
              <w:rPr>
                <w:rFonts w:eastAsia="Arial" w:cstheme="minorHAnsi"/>
                <w:color w:val="000000"/>
              </w:rPr>
              <w:t>1,000</w:t>
            </w:r>
          </w:p>
        </w:tc>
        <w:tc>
          <w:tcPr>
            <w:tcW w:w="630" w:type="pct"/>
            <w:shd w:val="clear" w:color="auto" w:fill="auto"/>
          </w:tcPr>
          <w:p w:rsidR="00537FF1" w:rsidRPr="00DF24BF" w:rsidRDefault="00537FF1" w:rsidP="00537FF1">
            <w:pPr>
              <w:spacing w:after="0" w:line="240" w:lineRule="auto"/>
              <w:jc w:val="right"/>
              <w:rPr>
                <w:rFonts w:cstheme="minorHAnsi"/>
                <w:color w:val="000000"/>
              </w:rPr>
            </w:pPr>
            <w:r w:rsidRPr="00DF24BF">
              <w:rPr>
                <w:rFonts w:eastAsia="Arial" w:cstheme="minorHAnsi"/>
                <w:color w:val="000000"/>
              </w:rPr>
              <w:t>0,000</w:t>
            </w:r>
          </w:p>
        </w:tc>
        <w:tc>
          <w:tcPr>
            <w:tcW w:w="717" w:type="pct"/>
            <w:shd w:val="clear" w:color="auto" w:fill="auto"/>
          </w:tcPr>
          <w:p w:rsidR="00537FF1" w:rsidRPr="00DF24BF" w:rsidRDefault="00537FF1" w:rsidP="00537FF1">
            <w:pPr>
              <w:spacing w:after="0" w:line="240" w:lineRule="auto"/>
              <w:jc w:val="right"/>
              <w:rPr>
                <w:rFonts w:cstheme="minorHAnsi"/>
                <w:color w:val="000000"/>
              </w:rPr>
            </w:pPr>
            <w:r w:rsidRPr="00DF24BF">
              <w:rPr>
                <w:rFonts w:eastAsia="Arial" w:cstheme="minorHAnsi"/>
                <w:color w:val="000000"/>
              </w:rPr>
              <w:t>0,000</w:t>
            </w:r>
          </w:p>
        </w:tc>
        <w:tc>
          <w:tcPr>
            <w:tcW w:w="520" w:type="pct"/>
            <w:shd w:val="clear" w:color="auto" w:fill="auto"/>
          </w:tcPr>
          <w:p w:rsidR="00537FF1" w:rsidRPr="00DF24BF" w:rsidRDefault="00537FF1" w:rsidP="00537FF1">
            <w:pPr>
              <w:spacing w:after="0" w:line="240" w:lineRule="auto"/>
              <w:jc w:val="right"/>
              <w:rPr>
                <w:rFonts w:cstheme="minorHAnsi"/>
                <w:color w:val="000000"/>
              </w:rPr>
            </w:pPr>
            <w:r w:rsidRPr="00DF24BF">
              <w:rPr>
                <w:rFonts w:eastAsia="Arial" w:cstheme="minorHAnsi"/>
                <w:color w:val="000000"/>
              </w:rPr>
              <w:t>0,000</w:t>
            </w:r>
          </w:p>
        </w:tc>
        <w:tc>
          <w:tcPr>
            <w:tcW w:w="764" w:type="pct"/>
            <w:shd w:val="clear" w:color="auto" w:fill="auto"/>
          </w:tcPr>
          <w:p w:rsidR="00537FF1" w:rsidRPr="00DF24BF" w:rsidRDefault="00537FF1" w:rsidP="00537FF1">
            <w:pPr>
              <w:spacing w:after="0" w:line="240" w:lineRule="auto"/>
              <w:jc w:val="right"/>
              <w:rPr>
                <w:rFonts w:cstheme="minorHAnsi"/>
                <w:color w:val="000000"/>
              </w:rPr>
            </w:pPr>
            <w:r w:rsidRPr="00DF24BF">
              <w:rPr>
                <w:rFonts w:eastAsia="Arial" w:cstheme="minorHAnsi"/>
                <w:color w:val="000000"/>
              </w:rPr>
              <w:t>0,000</w:t>
            </w:r>
          </w:p>
        </w:tc>
        <w:tc>
          <w:tcPr>
            <w:tcW w:w="642" w:type="pct"/>
            <w:shd w:val="clear" w:color="auto" w:fill="auto"/>
          </w:tcPr>
          <w:p w:rsidR="00537FF1" w:rsidRPr="00DF24BF" w:rsidRDefault="00537FF1" w:rsidP="00537FF1">
            <w:pPr>
              <w:spacing w:after="0" w:line="240" w:lineRule="auto"/>
              <w:jc w:val="right"/>
              <w:rPr>
                <w:rFonts w:cstheme="minorHAnsi"/>
                <w:color w:val="000000"/>
              </w:rPr>
            </w:pPr>
            <w:r w:rsidRPr="00DF24BF">
              <w:rPr>
                <w:rFonts w:eastAsia="Arial" w:cstheme="minorHAnsi"/>
                <w:color w:val="000000"/>
              </w:rPr>
              <w:t>0</w:t>
            </w:r>
          </w:p>
        </w:tc>
      </w:tr>
      <w:tr w:rsidR="00537FF1" w:rsidRPr="005030E7" w:rsidTr="004B6C76">
        <w:trPr>
          <w:trHeight w:val="340"/>
        </w:trPr>
        <w:tc>
          <w:tcPr>
            <w:tcW w:w="463" w:type="pct"/>
            <w:vMerge/>
            <w:vAlign w:val="center"/>
            <w:hideMark/>
          </w:tcPr>
          <w:p w:rsidR="00537FF1" w:rsidRPr="005030E7" w:rsidRDefault="00537FF1" w:rsidP="00537FF1">
            <w:pPr>
              <w:spacing w:after="0" w:line="240" w:lineRule="auto"/>
              <w:jc w:val="left"/>
              <w:rPr>
                <w:rFonts w:ascii="Calibri" w:eastAsia="Times New Roman" w:hAnsi="Calibri" w:cs="Calibri"/>
                <w:b/>
                <w:bCs/>
                <w:color w:val="000000"/>
                <w:lang w:eastAsia="tr-TR"/>
              </w:rPr>
            </w:pPr>
          </w:p>
        </w:tc>
        <w:tc>
          <w:tcPr>
            <w:tcW w:w="686" w:type="pct"/>
            <w:shd w:val="clear" w:color="auto" w:fill="auto"/>
            <w:hideMark/>
          </w:tcPr>
          <w:p w:rsidR="00537FF1" w:rsidRPr="005030E7" w:rsidRDefault="00537FF1" w:rsidP="00537FF1">
            <w:pPr>
              <w:spacing w:after="0" w:line="240" w:lineRule="auto"/>
              <w:rPr>
                <w:rFonts w:ascii="Calibri" w:eastAsia="Times New Roman" w:hAnsi="Calibri" w:cs="Calibri"/>
                <w:b/>
                <w:bCs/>
                <w:color w:val="000000"/>
                <w:lang w:eastAsia="tr-TR"/>
              </w:rPr>
            </w:pPr>
            <w:r>
              <w:rPr>
                <w:rFonts w:ascii="Arial" w:eastAsia="Arial" w:hAnsi="Arial"/>
                <w:b/>
                <w:color w:val="000000"/>
                <w:sz w:val="20"/>
              </w:rPr>
              <w:t>Motorin</w:t>
            </w:r>
          </w:p>
        </w:tc>
        <w:tc>
          <w:tcPr>
            <w:tcW w:w="579" w:type="pct"/>
            <w:shd w:val="clear" w:color="auto" w:fill="auto"/>
            <w:hideMark/>
          </w:tcPr>
          <w:p w:rsidR="00537FF1" w:rsidRPr="00DF24BF" w:rsidRDefault="00537FF1" w:rsidP="00537FF1">
            <w:pPr>
              <w:spacing w:after="0" w:line="240" w:lineRule="auto"/>
              <w:jc w:val="right"/>
              <w:rPr>
                <w:rFonts w:eastAsia="Times New Roman" w:cstheme="minorHAnsi"/>
                <w:color w:val="000000"/>
                <w:lang w:eastAsia="tr-TR"/>
              </w:rPr>
            </w:pPr>
            <w:r w:rsidRPr="00DF24BF">
              <w:rPr>
                <w:rFonts w:eastAsia="Arial" w:cstheme="minorHAnsi"/>
                <w:color w:val="000000"/>
              </w:rPr>
              <w:t>0,000</w:t>
            </w:r>
          </w:p>
        </w:tc>
        <w:tc>
          <w:tcPr>
            <w:tcW w:w="630" w:type="pct"/>
            <w:shd w:val="clear" w:color="auto" w:fill="auto"/>
            <w:hideMark/>
          </w:tcPr>
          <w:p w:rsidR="00537FF1" w:rsidRPr="00DF24BF" w:rsidRDefault="00537FF1" w:rsidP="00537FF1">
            <w:pPr>
              <w:spacing w:after="0" w:line="240" w:lineRule="auto"/>
              <w:jc w:val="right"/>
              <w:rPr>
                <w:rFonts w:eastAsia="Times New Roman" w:cstheme="minorHAnsi"/>
                <w:color w:val="000000"/>
                <w:lang w:eastAsia="tr-TR"/>
              </w:rPr>
            </w:pPr>
            <w:r w:rsidRPr="00DF24BF">
              <w:rPr>
                <w:rFonts w:eastAsia="Arial" w:cstheme="minorHAnsi"/>
                <w:color w:val="000000"/>
              </w:rPr>
              <w:t>0,000</w:t>
            </w:r>
          </w:p>
        </w:tc>
        <w:tc>
          <w:tcPr>
            <w:tcW w:w="717" w:type="pct"/>
            <w:shd w:val="clear" w:color="auto" w:fill="auto"/>
            <w:hideMark/>
          </w:tcPr>
          <w:p w:rsidR="00537FF1" w:rsidRPr="00DF24BF" w:rsidRDefault="00537FF1" w:rsidP="00537FF1">
            <w:pPr>
              <w:spacing w:after="0" w:line="240" w:lineRule="auto"/>
              <w:jc w:val="right"/>
              <w:rPr>
                <w:rFonts w:eastAsia="Times New Roman" w:cstheme="minorHAnsi"/>
                <w:color w:val="000000"/>
                <w:lang w:eastAsia="tr-TR"/>
              </w:rPr>
            </w:pPr>
            <w:r w:rsidRPr="00DF24BF">
              <w:rPr>
                <w:rFonts w:eastAsia="Arial" w:cstheme="minorHAnsi"/>
                <w:color w:val="000000"/>
              </w:rPr>
              <w:t>0,000</w:t>
            </w:r>
          </w:p>
        </w:tc>
        <w:tc>
          <w:tcPr>
            <w:tcW w:w="520" w:type="pct"/>
            <w:shd w:val="clear" w:color="auto" w:fill="auto"/>
            <w:hideMark/>
          </w:tcPr>
          <w:p w:rsidR="00537FF1" w:rsidRPr="00DF24BF" w:rsidRDefault="00537FF1" w:rsidP="00537FF1">
            <w:pPr>
              <w:spacing w:after="0" w:line="240" w:lineRule="auto"/>
              <w:jc w:val="right"/>
              <w:rPr>
                <w:rFonts w:eastAsia="Times New Roman" w:cstheme="minorHAnsi"/>
                <w:color w:val="000000"/>
                <w:lang w:eastAsia="tr-TR"/>
              </w:rPr>
            </w:pPr>
            <w:r w:rsidRPr="00DF24BF">
              <w:rPr>
                <w:rFonts w:eastAsia="Arial" w:cstheme="minorHAnsi"/>
                <w:color w:val="000000"/>
              </w:rPr>
              <w:t>0,000</w:t>
            </w:r>
          </w:p>
        </w:tc>
        <w:tc>
          <w:tcPr>
            <w:tcW w:w="764" w:type="pct"/>
            <w:shd w:val="clear" w:color="auto" w:fill="auto"/>
            <w:hideMark/>
          </w:tcPr>
          <w:p w:rsidR="00537FF1" w:rsidRPr="00DF24BF" w:rsidRDefault="00537FF1" w:rsidP="00537FF1">
            <w:pPr>
              <w:spacing w:after="0" w:line="240" w:lineRule="auto"/>
              <w:jc w:val="right"/>
              <w:rPr>
                <w:rFonts w:eastAsia="Times New Roman" w:cstheme="minorHAnsi"/>
                <w:color w:val="000000"/>
                <w:lang w:eastAsia="tr-TR"/>
              </w:rPr>
            </w:pPr>
            <w:r w:rsidRPr="00DF24BF">
              <w:rPr>
                <w:rFonts w:eastAsia="Arial" w:cstheme="minorHAnsi"/>
                <w:color w:val="000000"/>
              </w:rPr>
              <w:t>0,000</w:t>
            </w:r>
          </w:p>
        </w:tc>
        <w:tc>
          <w:tcPr>
            <w:tcW w:w="642" w:type="pct"/>
            <w:shd w:val="clear" w:color="auto" w:fill="auto"/>
            <w:hideMark/>
          </w:tcPr>
          <w:p w:rsidR="00537FF1" w:rsidRPr="00DF24BF" w:rsidRDefault="00537FF1" w:rsidP="00537FF1">
            <w:pPr>
              <w:spacing w:after="0" w:line="240" w:lineRule="auto"/>
              <w:jc w:val="right"/>
              <w:rPr>
                <w:rFonts w:eastAsia="Times New Roman" w:cstheme="minorHAnsi"/>
                <w:color w:val="000000"/>
                <w:lang w:eastAsia="tr-TR"/>
              </w:rPr>
            </w:pPr>
            <w:r w:rsidRPr="00DF24BF">
              <w:rPr>
                <w:rFonts w:eastAsia="Arial" w:cstheme="minorHAnsi"/>
                <w:color w:val="000000"/>
              </w:rPr>
              <w:t>0</w:t>
            </w:r>
          </w:p>
        </w:tc>
      </w:tr>
      <w:tr w:rsidR="00537FF1" w:rsidRPr="005030E7" w:rsidTr="004B6C76">
        <w:trPr>
          <w:trHeight w:val="340"/>
        </w:trPr>
        <w:tc>
          <w:tcPr>
            <w:tcW w:w="463" w:type="pct"/>
            <w:vMerge/>
            <w:vAlign w:val="center"/>
            <w:hideMark/>
          </w:tcPr>
          <w:p w:rsidR="00537FF1" w:rsidRPr="005030E7" w:rsidRDefault="00537FF1" w:rsidP="00537FF1">
            <w:pPr>
              <w:spacing w:after="0" w:line="240" w:lineRule="auto"/>
              <w:jc w:val="left"/>
              <w:rPr>
                <w:rFonts w:ascii="Calibri" w:eastAsia="Times New Roman" w:hAnsi="Calibri" w:cs="Calibri"/>
                <w:b/>
                <w:bCs/>
                <w:color w:val="000000"/>
                <w:lang w:eastAsia="tr-TR"/>
              </w:rPr>
            </w:pPr>
          </w:p>
        </w:tc>
        <w:tc>
          <w:tcPr>
            <w:tcW w:w="686" w:type="pct"/>
            <w:shd w:val="clear" w:color="auto" w:fill="auto"/>
            <w:hideMark/>
          </w:tcPr>
          <w:p w:rsidR="00537FF1" w:rsidRPr="005030E7" w:rsidRDefault="00537FF1" w:rsidP="00537FF1">
            <w:pPr>
              <w:spacing w:after="0" w:line="240" w:lineRule="auto"/>
              <w:rPr>
                <w:rFonts w:ascii="Calibri" w:eastAsia="Times New Roman" w:hAnsi="Calibri" w:cs="Calibri"/>
                <w:b/>
                <w:bCs/>
                <w:color w:val="000000"/>
                <w:lang w:eastAsia="tr-TR"/>
              </w:rPr>
            </w:pPr>
            <w:r>
              <w:rPr>
                <w:rFonts w:ascii="Arial" w:eastAsia="Arial" w:hAnsi="Arial"/>
                <w:b/>
                <w:color w:val="000000"/>
                <w:sz w:val="20"/>
              </w:rPr>
              <w:t>Proses Atık Isısı</w:t>
            </w:r>
          </w:p>
        </w:tc>
        <w:tc>
          <w:tcPr>
            <w:tcW w:w="579" w:type="pct"/>
            <w:shd w:val="clear" w:color="auto" w:fill="auto"/>
            <w:hideMark/>
          </w:tcPr>
          <w:p w:rsidR="00537FF1" w:rsidRPr="00DF24BF" w:rsidRDefault="00537FF1" w:rsidP="00537FF1">
            <w:pPr>
              <w:spacing w:after="0" w:line="240" w:lineRule="auto"/>
              <w:jc w:val="right"/>
              <w:rPr>
                <w:rFonts w:eastAsia="Times New Roman" w:cstheme="minorHAnsi"/>
                <w:color w:val="000000"/>
                <w:lang w:eastAsia="tr-TR"/>
              </w:rPr>
            </w:pPr>
            <w:r w:rsidRPr="00DF24BF">
              <w:rPr>
                <w:rFonts w:eastAsia="Arial" w:cstheme="minorHAnsi"/>
                <w:color w:val="000000"/>
              </w:rPr>
              <w:t>10,000</w:t>
            </w:r>
          </w:p>
        </w:tc>
        <w:tc>
          <w:tcPr>
            <w:tcW w:w="630" w:type="pct"/>
            <w:shd w:val="clear" w:color="auto" w:fill="auto"/>
            <w:hideMark/>
          </w:tcPr>
          <w:p w:rsidR="00537FF1" w:rsidRPr="00DF24BF" w:rsidRDefault="00537FF1" w:rsidP="00537FF1">
            <w:pPr>
              <w:spacing w:after="0" w:line="240" w:lineRule="auto"/>
              <w:jc w:val="right"/>
              <w:rPr>
                <w:rFonts w:eastAsia="Times New Roman" w:cstheme="minorHAnsi"/>
                <w:color w:val="000000"/>
                <w:lang w:eastAsia="tr-TR"/>
              </w:rPr>
            </w:pPr>
            <w:r w:rsidRPr="00DF24BF">
              <w:rPr>
                <w:rFonts w:eastAsia="Arial" w:cstheme="minorHAnsi"/>
                <w:color w:val="000000"/>
              </w:rPr>
              <w:t>10,000</w:t>
            </w:r>
          </w:p>
        </w:tc>
        <w:tc>
          <w:tcPr>
            <w:tcW w:w="717" w:type="pct"/>
            <w:shd w:val="clear" w:color="auto" w:fill="auto"/>
            <w:hideMark/>
          </w:tcPr>
          <w:p w:rsidR="00537FF1" w:rsidRPr="00DF24BF" w:rsidRDefault="00537FF1" w:rsidP="00537FF1">
            <w:pPr>
              <w:spacing w:after="0" w:line="240" w:lineRule="auto"/>
              <w:jc w:val="right"/>
              <w:rPr>
                <w:rFonts w:eastAsia="Times New Roman" w:cstheme="minorHAnsi"/>
                <w:color w:val="000000"/>
                <w:lang w:eastAsia="tr-TR"/>
              </w:rPr>
            </w:pPr>
            <w:r w:rsidRPr="00DF24BF">
              <w:rPr>
                <w:rFonts w:eastAsia="Arial" w:cstheme="minorHAnsi"/>
                <w:color w:val="000000"/>
              </w:rPr>
              <w:t>0,000</w:t>
            </w:r>
          </w:p>
        </w:tc>
        <w:tc>
          <w:tcPr>
            <w:tcW w:w="520" w:type="pct"/>
            <w:shd w:val="clear" w:color="auto" w:fill="auto"/>
            <w:hideMark/>
          </w:tcPr>
          <w:p w:rsidR="00537FF1" w:rsidRPr="00DF24BF" w:rsidRDefault="00537FF1" w:rsidP="00537FF1">
            <w:pPr>
              <w:spacing w:after="0" w:line="240" w:lineRule="auto"/>
              <w:jc w:val="right"/>
              <w:rPr>
                <w:rFonts w:eastAsia="Times New Roman" w:cstheme="minorHAnsi"/>
                <w:color w:val="000000"/>
                <w:lang w:eastAsia="tr-TR"/>
              </w:rPr>
            </w:pPr>
            <w:r w:rsidRPr="00DF24BF">
              <w:rPr>
                <w:rFonts w:eastAsia="Arial" w:cstheme="minorHAnsi"/>
                <w:color w:val="000000"/>
              </w:rPr>
              <w:t>0,000</w:t>
            </w:r>
          </w:p>
        </w:tc>
        <w:tc>
          <w:tcPr>
            <w:tcW w:w="764" w:type="pct"/>
            <w:shd w:val="clear" w:color="auto" w:fill="auto"/>
            <w:hideMark/>
          </w:tcPr>
          <w:p w:rsidR="00537FF1" w:rsidRPr="00DF24BF" w:rsidRDefault="00537FF1" w:rsidP="00537FF1">
            <w:pPr>
              <w:spacing w:after="0" w:line="240" w:lineRule="auto"/>
              <w:jc w:val="right"/>
              <w:rPr>
                <w:rFonts w:eastAsia="Times New Roman" w:cstheme="minorHAnsi"/>
                <w:color w:val="000000"/>
                <w:lang w:eastAsia="tr-TR"/>
              </w:rPr>
            </w:pPr>
            <w:r w:rsidRPr="00DF24BF">
              <w:rPr>
                <w:rFonts w:eastAsia="Arial" w:cstheme="minorHAnsi"/>
                <w:color w:val="000000"/>
              </w:rPr>
              <w:t>15,300</w:t>
            </w:r>
          </w:p>
        </w:tc>
        <w:tc>
          <w:tcPr>
            <w:tcW w:w="642" w:type="pct"/>
            <w:shd w:val="clear" w:color="auto" w:fill="auto"/>
            <w:hideMark/>
          </w:tcPr>
          <w:p w:rsidR="00537FF1" w:rsidRPr="00DF24BF" w:rsidRDefault="00537FF1" w:rsidP="00537FF1">
            <w:pPr>
              <w:spacing w:after="0" w:line="240" w:lineRule="auto"/>
              <w:jc w:val="right"/>
              <w:rPr>
                <w:rFonts w:eastAsia="Times New Roman" w:cstheme="minorHAnsi"/>
                <w:color w:val="000000"/>
                <w:lang w:eastAsia="tr-TR"/>
              </w:rPr>
            </w:pPr>
            <w:r w:rsidRPr="00DF24BF">
              <w:rPr>
                <w:rFonts w:eastAsia="Arial" w:cstheme="minorHAnsi"/>
                <w:color w:val="000000"/>
              </w:rPr>
              <w:t>2</w:t>
            </w:r>
          </w:p>
        </w:tc>
      </w:tr>
      <w:tr w:rsidR="00537FF1" w:rsidRPr="005030E7" w:rsidTr="004B6C76">
        <w:trPr>
          <w:trHeight w:val="340"/>
        </w:trPr>
        <w:tc>
          <w:tcPr>
            <w:tcW w:w="463" w:type="pct"/>
            <w:vMerge/>
            <w:vAlign w:val="center"/>
            <w:hideMark/>
          </w:tcPr>
          <w:p w:rsidR="00537FF1" w:rsidRPr="005030E7" w:rsidRDefault="00537FF1" w:rsidP="00537FF1">
            <w:pPr>
              <w:spacing w:after="0" w:line="240" w:lineRule="auto"/>
              <w:jc w:val="left"/>
              <w:rPr>
                <w:rFonts w:ascii="Calibri" w:eastAsia="Times New Roman" w:hAnsi="Calibri" w:cs="Calibri"/>
                <w:b/>
                <w:bCs/>
                <w:color w:val="000000"/>
                <w:lang w:eastAsia="tr-TR"/>
              </w:rPr>
            </w:pPr>
          </w:p>
        </w:tc>
        <w:tc>
          <w:tcPr>
            <w:tcW w:w="686" w:type="pct"/>
            <w:shd w:val="clear" w:color="auto" w:fill="auto"/>
            <w:hideMark/>
          </w:tcPr>
          <w:p w:rsidR="00537FF1" w:rsidRPr="005030E7" w:rsidRDefault="00151CF9" w:rsidP="00537FF1">
            <w:pPr>
              <w:spacing w:after="0" w:line="240" w:lineRule="auto"/>
              <w:rPr>
                <w:rFonts w:ascii="Calibri" w:eastAsia="Times New Roman" w:hAnsi="Calibri" w:cs="Calibri"/>
                <w:b/>
                <w:bCs/>
                <w:color w:val="000000"/>
                <w:lang w:eastAsia="tr-TR"/>
              </w:rPr>
            </w:pPr>
            <w:r>
              <w:rPr>
                <w:rFonts w:ascii="Arial" w:eastAsia="Arial" w:hAnsi="Arial"/>
                <w:b/>
                <w:color w:val="000000"/>
                <w:sz w:val="20"/>
              </w:rPr>
              <w:t>Rüzgâr</w:t>
            </w:r>
          </w:p>
        </w:tc>
        <w:tc>
          <w:tcPr>
            <w:tcW w:w="579" w:type="pct"/>
            <w:shd w:val="clear" w:color="auto" w:fill="auto"/>
            <w:hideMark/>
          </w:tcPr>
          <w:p w:rsidR="00537FF1" w:rsidRPr="00DF24BF" w:rsidRDefault="00537FF1" w:rsidP="00537FF1">
            <w:pPr>
              <w:spacing w:after="0" w:line="240" w:lineRule="auto"/>
              <w:jc w:val="right"/>
              <w:rPr>
                <w:rFonts w:eastAsia="Times New Roman" w:cstheme="minorHAnsi"/>
                <w:color w:val="000000"/>
                <w:lang w:eastAsia="tr-TR"/>
              </w:rPr>
            </w:pPr>
            <w:r w:rsidRPr="00DF24BF">
              <w:rPr>
                <w:rFonts w:eastAsia="Arial" w:cstheme="minorHAnsi"/>
                <w:color w:val="000000"/>
              </w:rPr>
              <w:t>11.030,790</w:t>
            </w:r>
          </w:p>
        </w:tc>
        <w:tc>
          <w:tcPr>
            <w:tcW w:w="630" w:type="pct"/>
            <w:shd w:val="clear" w:color="auto" w:fill="auto"/>
            <w:hideMark/>
          </w:tcPr>
          <w:p w:rsidR="00537FF1" w:rsidRPr="00DF24BF" w:rsidRDefault="00537FF1" w:rsidP="00537FF1">
            <w:pPr>
              <w:spacing w:after="0" w:line="240" w:lineRule="auto"/>
              <w:jc w:val="right"/>
              <w:rPr>
                <w:rFonts w:eastAsia="Times New Roman" w:cstheme="minorHAnsi"/>
                <w:color w:val="000000"/>
                <w:lang w:eastAsia="tr-TR"/>
              </w:rPr>
            </w:pPr>
            <w:r w:rsidRPr="00DF24BF">
              <w:rPr>
                <w:rFonts w:eastAsia="Arial" w:cstheme="minorHAnsi"/>
                <w:color w:val="000000"/>
              </w:rPr>
              <w:t>294,000</w:t>
            </w:r>
          </w:p>
        </w:tc>
        <w:tc>
          <w:tcPr>
            <w:tcW w:w="717" w:type="pct"/>
            <w:shd w:val="clear" w:color="auto" w:fill="auto"/>
            <w:hideMark/>
          </w:tcPr>
          <w:p w:rsidR="00537FF1" w:rsidRPr="00DF24BF" w:rsidRDefault="00537FF1" w:rsidP="00537FF1">
            <w:pPr>
              <w:spacing w:after="0" w:line="240" w:lineRule="auto"/>
              <w:jc w:val="right"/>
              <w:rPr>
                <w:rFonts w:eastAsia="Times New Roman" w:cstheme="minorHAnsi"/>
                <w:color w:val="000000"/>
                <w:lang w:eastAsia="tr-TR"/>
              </w:rPr>
            </w:pPr>
            <w:r w:rsidRPr="00DF24BF">
              <w:rPr>
                <w:rFonts w:eastAsia="Arial" w:cstheme="minorHAnsi"/>
                <w:color w:val="000000"/>
              </w:rPr>
              <w:t>254,995</w:t>
            </w:r>
          </w:p>
        </w:tc>
        <w:tc>
          <w:tcPr>
            <w:tcW w:w="520" w:type="pct"/>
            <w:shd w:val="clear" w:color="auto" w:fill="auto"/>
            <w:hideMark/>
          </w:tcPr>
          <w:p w:rsidR="00537FF1" w:rsidRPr="00DF24BF" w:rsidRDefault="00537FF1" w:rsidP="00537FF1">
            <w:pPr>
              <w:spacing w:after="0" w:line="240" w:lineRule="auto"/>
              <w:jc w:val="right"/>
              <w:rPr>
                <w:rFonts w:eastAsia="Times New Roman" w:cstheme="minorHAnsi"/>
                <w:color w:val="000000"/>
                <w:lang w:eastAsia="tr-TR"/>
              </w:rPr>
            </w:pPr>
            <w:r w:rsidRPr="00DF24BF">
              <w:rPr>
                <w:rFonts w:eastAsia="Arial" w:cstheme="minorHAnsi"/>
                <w:color w:val="000000"/>
              </w:rPr>
              <w:t>0,000</w:t>
            </w:r>
          </w:p>
        </w:tc>
        <w:tc>
          <w:tcPr>
            <w:tcW w:w="764" w:type="pct"/>
            <w:shd w:val="clear" w:color="auto" w:fill="auto"/>
            <w:hideMark/>
          </w:tcPr>
          <w:p w:rsidR="00537FF1" w:rsidRPr="00DF24BF" w:rsidRDefault="00537FF1" w:rsidP="00537FF1">
            <w:pPr>
              <w:spacing w:after="0" w:line="240" w:lineRule="auto"/>
              <w:jc w:val="right"/>
              <w:rPr>
                <w:rFonts w:eastAsia="Times New Roman" w:cstheme="minorHAnsi"/>
                <w:color w:val="000000"/>
                <w:lang w:eastAsia="tr-TR"/>
              </w:rPr>
            </w:pPr>
            <w:r w:rsidRPr="00DF24BF">
              <w:rPr>
                <w:rFonts w:eastAsia="Arial" w:cstheme="minorHAnsi"/>
                <w:color w:val="000000"/>
              </w:rPr>
              <w:t>2.985,656</w:t>
            </w:r>
          </w:p>
        </w:tc>
        <w:tc>
          <w:tcPr>
            <w:tcW w:w="642" w:type="pct"/>
            <w:shd w:val="clear" w:color="auto" w:fill="auto"/>
            <w:hideMark/>
          </w:tcPr>
          <w:p w:rsidR="00537FF1" w:rsidRPr="00DF24BF" w:rsidRDefault="00537FF1" w:rsidP="00537FF1">
            <w:pPr>
              <w:spacing w:after="0" w:line="240" w:lineRule="auto"/>
              <w:jc w:val="right"/>
              <w:rPr>
                <w:rFonts w:eastAsia="Times New Roman" w:cstheme="minorHAnsi"/>
                <w:color w:val="000000"/>
                <w:lang w:eastAsia="tr-TR"/>
              </w:rPr>
            </w:pPr>
            <w:r w:rsidRPr="00DF24BF">
              <w:rPr>
                <w:rFonts w:eastAsia="Arial" w:cstheme="minorHAnsi"/>
                <w:color w:val="000000"/>
              </w:rPr>
              <w:t>50</w:t>
            </w:r>
          </w:p>
        </w:tc>
      </w:tr>
      <w:tr w:rsidR="00537FF1" w:rsidRPr="005030E7" w:rsidTr="004B6C76">
        <w:trPr>
          <w:trHeight w:val="340"/>
        </w:trPr>
        <w:tc>
          <w:tcPr>
            <w:tcW w:w="463" w:type="pct"/>
            <w:vMerge/>
            <w:vAlign w:val="center"/>
            <w:hideMark/>
          </w:tcPr>
          <w:p w:rsidR="00537FF1" w:rsidRPr="005030E7" w:rsidRDefault="00537FF1" w:rsidP="00537FF1">
            <w:pPr>
              <w:spacing w:after="0" w:line="240" w:lineRule="auto"/>
              <w:jc w:val="left"/>
              <w:rPr>
                <w:rFonts w:ascii="Calibri" w:eastAsia="Times New Roman" w:hAnsi="Calibri" w:cs="Calibri"/>
                <w:b/>
                <w:bCs/>
                <w:color w:val="000000"/>
                <w:lang w:eastAsia="tr-TR"/>
              </w:rPr>
            </w:pPr>
          </w:p>
        </w:tc>
        <w:tc>
          <w:tcPr>
            <w:tcW w:w="686" w:type="pct"/>
            <w:shd w:val="clear" w:color="auto" w:fill="auto"/>
            <w:hideMark/>
          </w:tcPr>
          <w:p w:rsidR="00537FF1" w:rsidRPr="005030E7" w:rsidRDefault="00537FF1" w:rsidP="00537FF1">
            <w:pPr>
              <w:spacing w:after="0" w:line="240" w:lineRule="auto"/>
              <w:rPr>
                <w:rFonts w:ascii="Calibri" w:eastAsia="Times New Roman" w:hAnsi="Calibri" w:cs="Calibri"/>
                <w:b/>
                <w:bCs/>
                <w:color w:val="000000"/>
                <w:lang w:eastAsia="tr-TR"/>
              </w:rPr>
            </w:pPr>
            <w:r>
              <w:rPr>
                <w:rFonts w:ascii="Arial" w:eastAsia="Arial" w:hAnsi="Arial"/>
                <w:b/>
                <w:color w:val="000000"/>
                <w:sz w:val="20"/>
              </w:rPr>
              <w:t>Uranyum</w:t>
            </w:r>
          </w:p>
        </w:tc>
        <w:tc>
          <w:tcPr>
            <w:tcW w:w="579" w:type="pct"/>
            <w:shd w:val="clear" w:color="auto" w:fill="auto"/>
            <w:hideMark/>
          </w:tcPr>
          <w:p w:rsidR="00537FF1" w:rsidRPr="00DF24BF" w:rsidRDefault="00537FF1" w:rsidP="00537FF1">
            <w:pPr>
              <w:spacing w:after="0" w:line="240" w:lineRule="auto"/>
              <w:jc w:val="right"/>
              <w:rPr>
                <w:rFonts w:eastAsia="Times New Roman" w:cstheme="minorHAnsi"/>
                <w:color w:val="000000"/>
                <w:lang w:eastAsia="tr-TR"/>
              </w:rPr>
            </w:pPr>
            <w:r w:rsidRPr="00DF24BF">
              <w:rPr>
                <w:rFonts w:eastAsia="Arial" w:cstheme="minorHAnsi"/>
                <w:color w:val="000000"/>
              </w:rPr>
              <w:t>0,000</w:t>
            </w:r>
          </w:p>
        </w:tc>
        <w:tc>
          <w:tcPr>
            <w:tcW w:w="630" w:type="pct"/>
            <w:shd w:val="clear" w:color="auto" w:fill="auto"/>
            <w:hideMark/>
          </w:tcPr>
          <w:p w:rsidR="00537FF1" w:rsidRPr="00DF24BF" w:rsidRDefault="00537FF1" w:rsidP="00537FF1">
            <w:pPr>
              <w:spacing w:after="0" w:line="240" w:lineRule="auto"/>
              <w:jc w:val="right"/>
              <w:rPr>
                <w:rFonts w:eastAsia="Times New Roman" w:cstheme="minorHAnsi"/>
                <w:color w:val="000000"/>
                <w:lang w:eastAsia="tr-TR"/>
              </w:rPr>
            </w:pPr>
            <w:r w:rsidRPr="00DF24BF">
              <w:rPr>
                <w:rFonts w:eastAsia="Arial" w:cstheme="minorHAnsi"/>
                <w:color w:val="000000"/>
              </w:rPr>
              <w:t>0,000</w:t>
            </w:r>
          </w:p>
        </w:tc>
        <w:tc>
          <w:tcPr>
            <w:tcW w:w="717" w:type="pct"/>
            <w:shd w:val="clear" w:color="auto" w:fill="auto"/>
            <w:hideMark/>
          </w:tcPr>
          <w:p w:rsidR="00537FF1" w:rsidRPr="00DF24BF" w:rsidRDefault="00537FF1" w:rsidP="00537FF1">
            <w:pPr>
              <w:spacing w:after="0" w:line="240" w:lineRule="auto"/>
              <w:jc w:val="right"/>
              <w:rPr>
                <w:rFonts w:eastAsia="Times New Roman" w:cstheme="minorHAnsi"/>
                <w:color w:val="000000"/>
                <w:lang w:eastAsia="tr-TR"/>
              </w:rPr>
            </w:pPr>
            <w:r w:rsidRPr="00DF24BF">
              <w:rPr>
                <w:rFonts w:eastAsia="Arial" w:cstheme="minorHAnsi"/>
                <w:color w:val="000000"/>
              </w:rPr>
              <w:t>0,000</w:t>
            </w:r>
          </w:p>
        </w:tc>
        <w:tc>
          <w:tcPr>
            <w:tcW w:w="520" w:type="pct"/>
            <w:shd w:val="clear" w:color="auto" w:fill="auto"/>
            <w:hideMark/>
          </w:tcPr>
          <w:p w:rsidR="00537FF1" w:rsidRPr="00DF24BF" w:rsidRDefault="00537FF1" w:rsidP="00537FF1">
            <w:pPr>
              <w:spacing w:after="0" w:line="240" w:lineRule="auto"/>
              <w:jc w:val="right"/>
              <w:rPr>
                <w:rFonts w:eastAsia="Times New Roman" w:cstheme="minorHAnsi"/>
                <w:color w:val="000000"/>
                <w:lang w:eastAsia="tr-TR"/>
              </w:rPr>
            </w:pPr>
            <w:r w:rsidRPr="00DF24BF">
              <w:rPr>
                <w:rFonts w:eastAsia="Arial" w:cstheme="minorHAnsi"/>
                <w:color w:val="000000"/>
              </w:rPr>
              <w:t>0,000</w:t>
            </w:r>
          </w:p>
        </w:tc>
        <w:tc>
          <w:tcPr>
            <w:tcW w:w="764" w:type="pct"/>
            <w:shd w:val="clear" w:color="auto" w:fill="auto"/>
            <w:hideMark/>
          </w:tcPr>
          <w:p w:rsidR="00537FF1" w:rsidRPr="00DF24BF" w:rsidRDefault="00537FF1" w:rsidP="00537FF1">
            <w:pPr>
              <w:spacing w:after="0" w:line="240" w:lineRule="auto"/>
              <w:jc w:val="right"/>
              <w:rPr>
                <w:rFonts w:eastAsia="Times New Roman" w:cstheme="minorHAnsi"/>
                <w:color w:val="000000"/>
                <w:lang w:eastAsia="tr-TR"/>
              </w:rPr>
            </w:pPr>
            <w:r w:rsidRPr="00DF24BF">
              <w:rPr>
                <w:rFonts w:eastAsia="Arial" w:cstheme="minorHAnsi"/>
                <w:color w:val="000000"/>
              </w:rPr>
              <w:t>0,000</w:t>
            </w:r>
          </w:p>
        </w:tc>
        <w:tc>
          <w:tcPr>
            <w:tcW w:w="642" w:type="pct"/>
            <w:shd w:val="clear" w:color="auto" w:fill="auto"/>
            <w:hideMark/>
          </w:tcPr>
          <w:p w:rsidR="00537FF1" w:rsidRPr="00DF24BF" w:rsidRDefault="00537FF1" w:rsidP="00537FF1">
            <w:pPr>
              <w:spacing w:after="0" w:line="240" w:lineRule="auto"/>
              <w:jc w:val="right"/>
              <w:rPr>
                <w:rFonts w:eastAsia="Times New Roman" w:cstheme="minorHAnsi"/>
                <w:color w:val="000000"/>
                <w:lang w:eastAsia="tr-TR"/>
              </w:rPr>
            </w:pPr>
            <w:r w:rsidRPr="00DF24BF">
              <w:rPr>
                <w:rFonts w:eastAsia="Arial" w:cstheme="minorHAnsi"/>
                <w:color w:val="000000"/>
              </w:rPr>
              <w:t>0</w:t>
            </w:r>
          </w:p>
        </w:tc>
      </w:tr>
      <w:tr w:rsidR="00537FF1" w:rsidRPr="005030E7" w:rsidTr="004B6C76">
        <w:trPr>
          <w:trHeight w:val="340"/>
        </w:trPr>
        <w:tc>
          <w:tcPr>
            <w:tcW w:w="463" w:type="pct"/>
            <w:vMerge/>
            <w:vAlign w:val="center"/>
            <w:hideMark/>
          </w:tcPr>
          <w:p w:rsidR="00537FF1" w:rsidRPr="005030E7" w:rsidRDefault="00537FF1" w:rsidP="00537FF1">
            <w:pPr>
              <w:spacing w:after="0" w:line="240" w:lineRule="auto"/>
              <w:jc w:val="left"/>
              <w:rPr>
                <w:rFonts w:ascii="Calibri" w:eastAsia="Times New Roman" w:hAnsi="Calibri" w:cs="Calibri"/>
                <w:b/>
                <w:bCs/>
                <w:color w:val="000000"/>
                <w:lang w:eastAsia="tr-TR"/>
              </w:rPr>
            </w:pPr>
          </w:p>
        </w:tc>
        <w:tc>
          <w:tcPr>
            <w:tcW w:w="686" w:type="pct"/>
            <w:shd w:val="clear" w:color="auto" w:fill="auto"/>
            <w:hideMark/>
          </w:tcPr>
          <w:p w:rsidR="00537FF1" w:rsidRPr="005030E7" w:rsidRDefault="00537FF1" w:rsidP="00537FF1">
            <w:pPr>
              <w:spacing w:after="0" w:line="240" w:lineRule="auto"/>
              <w:rPr>
                <w:rFonts w:ascii="Calibri" w:eastAsia="Times New Roman" w:hAnsi="Calibri" w:cs="Calibri"/>
                <w:b/>
                <w:bCs/>
                <w:color w:val="000000"/>
                <w:lang w:eastAsia="tr-TR"/>
              </w:rPr>
            </w:pPr>
            <w:r>
              <w:rPr>
                <w:rFonts w:ascii="Arial" w:eastAsia="Arial" w:hAnsi="Arial"/>
                <w:b/>
                <w:color w:val="000000"/>
                <w:sz w:val="20"/>
              </w:rPr>
              <w:t>Yerli Kömür</w:t>
            </w:r>
          </w:p>
        </w:tc>
        <w:tc>
          <w:tcPr>
            <w:tcW w:w="579" w:type="pct"/>
            <w:shd w:val="clear" w:color="auto" w:fill="auto"/>
            <w:hideMark/>
          </w:tcPr>
          <w:p w:rsidR="00537FF1" w:rsidRPr="00DF24BF" w:rsidRDefault="00537FF1" w:rsidP="00537FF1">
            <w:pPr>
              <w:spacing w:after="0" w:line="240" w:lineRule="auto"/>
              <w:jc w:val="right"/>
              <w:rPr>
                <w:rFonts w:eastAsia="Times New Roman" w:cstheme="minorHAnsi"/>
                <w:color w:val="000000"/>
                <w:lang w:eastAsia="tr-TR"/>
              </w:rPr>
            </w:pPr>
            <w:r w:rsidRPr="00DF24BF">
              <w:rPr>
                <w:rFonts w:eastAsia="Arial" w:cstheme="minorHAnsi"/>
                <w:color w:val="000000"/>
              </w:rPr>
              <w:t>0,000</w:t>
            </w:r>
          </w:p>
        </w:tc>
        <w:tc>
          <w:tcPr>
            <w:tcW w:w="630" w:type="pct"/>
            <w:shd w:val="clear" w:color="auto" w:fill="auto"/>
            <w:hideMark/>
          </w:tcPr>
          <w:p w:rsidR="00537FF1" w:rsidRPr="00DF24BF" w:rsidRDefault="00537FF1" w:rsidP="00537FF1">
            <w:pPr>
              <w:spacing w:after="0" w:line="240" w:lineRule="auto"/>
              <w:jc w:val="right"/>
              <w:rPr>
                <w:rFonts w:eastAsia="Times New Roman" w:cstheme="minorHAnsi"/>
                <w:color w:val="000000"/>
                <w:lang w:eastAsia="tr-TR"/>
              </w:rPr>
            </w:pPr>
            <w:r w:rsidRPr="00DF24BF">
              <w:rPr>
                <w:rFonts w:eastAsia="Arial" w:cstheme="minorHAnsi"/>
                <w:color w:val="000000"/>
              </w:rPr>
              <w:t>0,000</w:t>
            </w:r>
          </w:p>
        </w:tc>
        <w:tc>
          <w:tcPr>
            <w:tcW w:w="717" w:type="pct"/>
            <w:shd w:val="clear" w:color="auto" w:fill="auto"/>
            <w:hideMark/>
          </w:tcPr>
          <w:p w:rsidR="00537FF1" w:rsidRPr="00DF24BF" w:rsidRDefault="00537FF1" w:rsidP="00537FF1">
            <w:pPr>
              <w:spacing w:after="0" w:line="240" w:lineRule="auto"/>
              <w:jc w:val="right"/>
              <w:rPr>
                <w:rFonts w:eastAsia="Times New Roman" w:cstheme="minorHAnsi"/>
                <w:color w:val="000000"/>
                <w:lang w:eastAsia="tr-TR"/>
              </w:rPr>
            </w:pPr>
            <w:r w:rsidRPr="00DF24BF">
              <w:rPr>
                <w:rFonts w:eastAsia="Arial" w:cstheme="minorHAnsi"/>
                <w:color w:val="000000"/>
              </w:rPr>
              <w:t>4,830</w:t>
            </w:r>
          </w:p>
        </w:tc>
        <w:tc>
          <w:tcPr>
            <w:tcW w:w="520" w:type="pct"/>
            <w:shd w:val="clear" w:color="auto" w:fill="auto"/>
            <w:hideMark/>
          </w:tcPr>
          <w:p w:rsidR="00537FF1" w:rsidRPr="00DF24BF" w:rsidRDefault="00537FF1" w:rsidP="00537FF1">
            <w:pPr>
              <w:spacing w:after="0" w:line="240" w:lineRule="auto"/>
              <w:jc w:val="right"/>
              <w:rPr>
                <w:rFonts w:eastAsia="Times New Roman" w:cstheme="minorHAnsi"/>
                <w:color w:val="000000"/>
                <w:lang w:eastAsia="tr-TR"/>
              </w:rPr>
            </w:pPr>
            <w:r w:rsidRPr="00DF24BF">
              <w:rPr>
                <w:rFonts w:eastAsia="Arial" w:cstheme="minorHAnsi"/>
                <w:color w:val="000000"/>
              </w:rPr>
              <w:t>0,000</w:t>
            </w:r>
          </w:p>
        </w:tc>
        <w:tc>
          <w:tcPr>
            <w:tcW w:w="764" w:type="pct"/>
            <w:shd w:val="clear" w:color="auto" w:fill="auto"/>
            <w:hideMark/>
          </w:tcPr>
          <w:p w:rsidR="00537FF1" w:rsidRPr="00DF24BF" w:rsidRDefault="00537FF1" w:rsidP="00537FF1">
            <w:pPr>
              <w:spacing w:after="0" w:line="240" w:lineRule="auto"/>
              <w:jc w:val="right"/>
              <w:rPr>
                <w:rFonts w:eastAsia="Times New Roman" w:cstheme="minorHAnsi"/>
                <w:color w:val="000000"/>
                <w:lang w:eastAsia="tr-TR"/>
              </w:rPr>
            </w:pPr>
            <w:r w:rsidRPr="00DF24BF">
              <w:rPr>
                <w:rFonts w:eastAsia="Arial" w:cstheme="minorHAnsi"/>
                <w:color w:val="000000"/>
              </w:rPr>
              <w:t>0,000</w:t>
            </w:r>
          </w:p>
        </w:tc>
        <w:tc>
          <w:tcPr>
            <w:tcW w:w="642" w:type="pct"/>
            <w:shd w:val="clear" w:color="auto" w:fill="auto"/>
            <w:hideMark/>
          </w:tcPr>
          <w:p w:rsidR="00537FF1" w:rsidRPr="00DF24BF" w:rsidRDefault="00537FF1" w:rsidP="00537FF1">
            <w:pPr>
              <w:spacing w:after="0" w:line="240" w:lineRule="auto"/>
              <w:jc w:val="right"/>
              <w:rPr>
                <w:rFonts w:eastAsia="Times New Roman" w:cstheme="minorHAnsi"/>
                <w:color w:val="000000"/>
                <w:lang w:eastAsia="tr-TR"/>
              </w:rPr>
            </w:pPr>
            <w:r w:rsidRPr="00DF24BF">
              <w:rPr>
                <w:rFonts w:eastAsia="Arial" w:cstheme="minorHAnsi"/>
                <w:color w:val="000000"/>
              </w:rPr>
              <w:t>0</w:t>
            </w:r>
          </w:p>
        </w:tc>
      </w:tr>
      <w:tr w:rsidR="00537FF1" w:rsidRPr="005030E7" w:rsidTr="004B6C76">
        <w:trPr>
          <w:trHeight w:val="340"/>
        </w:trPr>
        <w:tc>
          <w:tcPr>
            <w:tcW w:w="463" w:type="pct"/>
            <w:vMerge/>
            <w:vAlign w:val="center"/>
            <w:hideMark/>
          </w:tcPr>
          <w:p w:rsidR="00537FF1" w:rsidRPr="005030E7" w:rsidRDefault="00537FF1" w:rsidP="00537FF1">
            <w:pPr>
              <w:spacing w:after="0" w:line="240" w:lineRule="auto"/>
              <w:jc w:val="left"/>
              <w:rPr>
                <w:rFonts w:ascii="Calibri" w:eastAsia="Times New Roman" w:hAnsi="Calibri" w:cs="Calibri"/>
                <w:b/>
                <w:bCs/>
                <w:color w:val="000000"/>
                <w:lang w:eastAsia="tr-TR"/>
              </w:rPr>
            </w:pPr>
          </w:p>
        </w:tc>
        <w:tc>
          <w:tcPr>
            <w:tcW w:w="686" w:type="pct"/>
            <w:shd w:val="clear" w:color="auto" w:fill="6E9ECA"/>
            <w:hideMark/>
          </w:tcPr>
          <w:p w:rsidR="00537FF1" w:rsidRPr="005030E7" w:rsidRDefault="00537FF1" w:rsidP="00537FF1">
            <w:pPr>
              <w:spacing w:after="0" w:line="240" w:lineRule="auto"/>
              <w:rPr>
                <w:rFonts w:ascii="Calibri" w:eastAsia="Times New Roman" w:hAnsi="Calibri" w:cs="Calibri"/>
                <w:b/>
                <w:bCs/>
                <w:lang w:eastAsia="tr-TR"/>
              </w:rPr>
            </w:pPr>
            <w:r>
              <w:rPr>
                <w:rFonts w:ascii="Arial" w:eastAsia="Arial" w:hAnsi="Arial"/>
                <w:b/>
                <w:color w:val="000000"/>
                <w:sz w:val="20"/>
              </w:rPr>
              <w:t>Toplam</w:t>
            </w:r>
          </w:p>
        </w:tc>
        <w:tc>
          <w:tcPr>
            <w:tcW w:w="579" w:type="pct"/>
            <w:shd w:val="clear" w:color="auto" w:fill="6E9ECA"/>
            <w:hideMark/>
          </w:tcPr>
          <w:p w:rsidR="00537FF1" w:rsidRPr="00DF24BF" w:rsidRDefault="00537FF1" w:rsidP="00537FF1">
            <w:pPr>
              <w:spacing w:after="0" w:line="240" w:lineRule="auto"/>
              <w:jc w:val="right"/>
              <w:rPr>
                <w:rFonts w:eastAsia="Times New Roman" w:cstheme="minorHAnsi"/>
                <w:b/>
                <w:bCs/>
                <w:lang w:eastAsia="tr-TR"/>
              </w:rPr>
            </w:pPr>
            <w:r w:rsidRPr="00DF24BF">
              <w:rPr>
                <w:rFonts w:eastAsia="Arial" w:cstheme="minorHAnsi"/>
                <w:b/>
                <w:color w:val="000000"/>
              </w:rPr>
              <w:t>18.586,673</w:t>
            </w:r>
          </w:p>
        </w:tc>
        <w:tc>
          <w:tcPr>
            <w:tcW w:w="630" w:type="pct"/>
            <w:shd w:val="clear" w:color="auto" w:fill="6E9ECA"/>
            <w:hideMark/>
          </w:tcPr>
          <w:p w:rsidR="00537FF1" w:rsidRPr="00DF24BF" w:rsidRDefault="00537FF1" w:rsidP="00537FF1">
            <w:pPr>
              <w:spacing w:after="0" w:line="240" w:lineRule="auto"/>
              <w:jc w:val="right"/>
              <w:rPr>
                <w:rFonts w:eastAsia="Times New Roman" w:cstheme="minorHAnsi"/>
                <w:b/>
                <w:bCs/>
                <w:lang w:eastAsia="tr-TR"/>
              </w:rPr>
            </w:pPr>
            <w:r w:rsidRPr="00DF24BF">
              <w:rPr>
                <w:rFonts w:eastAsia="Arial" w:cstheme="minorHAnsi"/>
                <w:b/>
                <w:color w:val="000000"/>
              </w:rPr>
              <w:t>2.255,101</w:t>
            </w:r>
          </w:p>
        </w:tc>
        <w:tc>
          <w:tcPr>
            <w:tcW w:w="717" w:type="pct"/>
            <w:shd w:val="clear" w:color="auto" w:fill="6E9ECA"/>
            <w:hideMark/>
          </w:tcPr>
          <w:p w:rsidR="00537FF1" w:rsidRPr="00DF24BF" w:rsidRDefault="00537FF1" w:rsidP="00537FF1">
            <w:pPr>
              <w:spacing w:after="0" w:line="240" w:lineRule="auto"/>
              <w:jc w:val="right"/>
              <w:rPr>
                <w:rFonts w:eastAsia="Times New Roman" w:cstheme="minorHAnsi"/>
                <w:b/>
                <w:bCs/>
                <w:lang w:eastAsia="tr-TR"/>
              </w:rPr>
            </w:pPr>
            <w:r w:rsidRPr="00DF24BF">
              <w:rPr>
                <w:rFonts w:eastAsia="Arial" w:cstheme="minorHAnsi"/>
                <w:b/>
                <w:color w:val="000000"/>
              </w:rPr>
              <w:t>1.059,970</w:t>
            </w:r>
          </w:p>
        </w:tc>
        <w:tc>
          <w:tcPr>
            <w:tcW w:w="520" w:type="pct"/>
            <w:shd w:val="clear" w:color="auto" w:fill="6E9ECA"/>
            <w:hideMark/>
          </w:tcPr>
          <w:p w:rsidR="00537FF1" w:rsidRPr="00DF24BF" w:rsidRDefault="00537FF1" w:rsidP="00537FF1">
            <w:pPr>
              <w:spacing w:after="0" w:line="240" w:lineRule="auto"/>
              <w:jc w:val="right"/>
              <w:rPr>
                <w:rFonts w:eastAsia="Times New Roman" w:cstheme="minorHAnsi"/>
                <w:b/>
                <w:bCs/>
                <w:lang w:eastAsia="tr-TR"/>
              </w:rPr>
            </w:pPr>
            <w:r w:rsidRPr="00DF24BF">
              <w:rPr>
                <w:rFonts w:eastAsia="Arial" w:cstheme="minorHAnsi"/>
                <w:b/>
                <w:color w:val="000000"/>
              </w:rPr>
              <w:t>16,040</w:t>
            </w:r>
          </w:p>
        </w:tc>
        <w:tc>
          <w:tcPr>
            <w:tcW w:w="764" w:type="pct"/>
            <w:shd w:val="clear" w:color="auto" w:fill="6E9ECA"/>
            <w:hideMark/>
          </w:tcPr>
          <w:p w:rsidR="00537FF1" w:rsidRPr="00DF24BF" w:rsidRDefault="00537FF1" w:rsidP="00537FF1">
            <w:pPr>
              <w:spacing w:after="0" w:line="240" w:lineRule="auto"/>
              <w:jc w:val="right"/>
              <w:rPr>
                <w:rFonts w:eastAsia="Times New Roman" w:cstheme="minorHAnsi"/>
                <w:b/>
                <w:bCs/>
                <w:lang w:eastAsia="tr-TR"/>
              </w:rPr>
            </w:pPr>
            <w:r w:rsidRPr="00DF24BF">
              <w:rPr>
                <w:rFonts w:eastAsia="Arial" w:cstheme="minorHAnsi"/>
                <w:b/>
                <w:color w:val="000000"/>
              </w:rPr>
              <w:t>7.918,922</w:t>
            </w:r>
          </w:p>
        </w:tc>
        <w:tc>
          <w:tcPr>
            <w:tcW w:w="642" w:type="pct"/>
            <w:shd w:val="clear" w:color="auto" w:fill="6E9ECA"/>
            <w:hideMark/>
          </w:tcPr>
          <w:p w:rsidR="00537FF1" w:rsidRPr="00DF24BF" w:rsidRDefault="00537FF1" w:rsidP="00537FF1">
            <w:pPr>
              <w:spacing w:after="0" w:line="240" w:lineRule="auto"/>
              <w:jc w:val="right"/>
              <w:rPr>
                <w:rFonts w:eastAsia="Times New Roman" w:cstheme="minorHAnsi"/>
                <w:b/>
                <w:bCs/>
                <w:lang w:eastAsia="tr-TR"/>
              </w:rPr>
            </w:pPr>
            <w:r w:rsidRPr="00DF24BF">
              <w:rPr>
                <w:rFonts w:eastAsia="Arial" w:cstheme="minorHAnsi"/>
                <w:b/>
                <w:color w:val="000000"/>
              </w:rPr>
              <w:t>263</w:t>
            </w:r>
          </w:p>
        </w:tc>
      </w:tr>
      <w:tr w:rsidR="00537FF1" w:rsidRPr="005030E7" w:rsidTr="004B6C76">
        <w:trPr>
          <w:trHeight w:val="340"/>
        </w:trPr>
        <w:tc>
          <w:tcPr>
            <w:tcW w:w="463" w:type="pct"/>
            <w:vMerge w:val="restart"/>
            <w:shd w:val="clear" w:color="auto" w:fill="auto"/>
            <w:vAlign w:val="center"/>
            <w:hideMark/>
          </w:tcPr>
          <w:p w:rsidR="00537FF1" w:rsidRPr="005030E7" w:rsidRDefault="00537FF1" w:rsidP="00537FF1">
            <w:pPr>
              <w:spacing w:after="0" w:line="240" w:lineRule="auto"/>
              <w:rPr>
                <w:rFonts w:ascii="Calibri" w:eastAsia="Times New Roman" w:hAnsi="Calibri" w:cs="Calibri"/>
                <w:b/>
                <w:bCs/>
                <w:color w:val="000000"/>
                <w:lang w:eastAsia="tr-TR"/>
              </w:rPr>
            </w:pPr>
            <w:r w:rsidRPr="005030E7">
              <w:rPr>
                <w:rFonts w:ascii="Calibri" w:eastAsia="Times New Roman" w:hAnsi="Calibri" w:cs="Calibri"/>
                <w:b/>
                <w:bCs/>
                <w:color w:val="000000"/>
                <w:lang w:eastAsia="tr-TR"/>
              </w:rPr>
              <w:lastRenderedPageBreak/>
              <w:t>Üretim Lisansı</w:t>
            </w:r>
          </w:p>
        </w:tc>
        <w:tc>
          <w:tcPr>
            <w:tcW w:w="686" w:type="pct"/>
            <w:shd w:val="clear" w:color="auto" w:fill="auto"/>
            <w:hideMark/>
          </w:tcPr>
          <w:p w:rsidR="00537FF1" w:rsidRPr="005030E7" w:rsidRDefault="00537FF1" w:rsidP="00537FF1">
            <w:pPr>
              <w:spacing w:after="0" w:line="240" w:lineRule="auto"/>
              <w:rPr>
                <w:rFonts w:ascii="Calibri" w:eastAsia="Times New Roman" w:hAnsi="Calibri" w:cs="Calibri"/>
                <w:b/>
                <w:bCs/>
                <w:color w:val="000000"/>
                <w:lang w:eastAsia="tr-TR"/>
              </w:rPr>
            </w:pPr>
            <w:r>
              <w:rPr>
                <w:rFonts w:ascii="Arial" w:eastAsia="Arial" w:hAnsi="Arial"/>
                <w:b/>
                <w:color w:val="000000"/>
                <w:sz w:val="20"/>
              </w:rPr>
              <w:t>Biyokütle</w:t>
            </w:r>
          </w:p>
        </w:tc>
        <w:tc>
          <w:tcPr>
            <w:tcW w:w="579"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37,256</w:t>
            </w:r>
          </w:p>
        </w:tc>
        <w:tc>
          <w:tcPr>
            <w:tcW w:w="630"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121,725</w:t>
            </w:r>
          </w:p>
        </w:tc>
        <w:tc>
          <w:tcPr>
            <w:tcW w:w="717"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88,635</w:t>
            </w:r>
          </w:p>
        </w:tc>
        <w:tc>
          <w:tcPr>
            <w:tcW w:w="520"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0,000</w:t>
            </w:r>
          </w:p>
        </w:tc>
        <w:tc>
          <w:tcPr>
            <w:tcW w:w="764"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2.653,143</w:t>
            </w:r>
          </w:p>
        </w:tc>
        <w:tc>
          <w:tcPr>
            <w:tcW w:w="642"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344</w:t>
            </w:r>
          </w:p>
        </w:tc>
      </w:tr>
      <w:tr w:rsidR="00537FF1" w:rsidRPr="005030E7" w:rsidTr="004B6C76">
        <w:trPr>
          <w:trHeight w:val="340"/>
        </w:trPr>
        <w:tc>
          <w:tcPr>
            <w:tcW w:w="463" w:type="pct"/>
            <w:vMerge/>
            <w:shd w:val="clear" w:color="auto" w:fill="auto"/>
            <w:vAlign w:val="center"/>
          </w:tcPr>
          <w:p w:rsidR="00537FF1" w:rsidRPr="005030E7" w:rsidRDefault="00537FF1" w:rsidP="00537FF1">
            <w:pPr>
              <w:spacing w:after="0" w:line="240" w:lineRule="auto"/>
              <w:rPr>
                <w:rFonts w:ascii="Calibri" w:eastAsia="Times New Roman" w:hAnsi="Calibri" w:cs="Calibri"/>
                <w:b/>
                <w:bCs/>
                <w:color w:val="000000"/>
                <w:lang w:eastAsia="tr-TR"/>
              </w:rPr>
            </w:pPr>
          </w:p>
        </w:tc>
        <w:tc>
          <w:tcPr>
            <w:tcW w:w="686" w:type="pct"/>
            <w:shd w:val="clear" w:color="auto" w:fill="auto"/>
          </w:tcPr>
          <w:p w:rsidR="00537FF1" w:rsidRPr="005030E7" w:rsidRDefault="00537FF1" w:rsidP="00537FF1">
            <w:pPr>
              <w:spacing w:after="0" w:line="240" w:lineRule="auto"/>
              <w:rPr>
                <w:rFonts w:ascii="Calibri" w:eastAsia="Times New Roman" w:hAnsi="Calibri" w:cs="Calibri"/>
                <w:b/>
                <w:bCs/>
                <w:color w:val="000000"/>
                <w:lang w:eastAsia="tr-TR"/>
              </w:rPr>
            </w:pPr>
            <w:r>
              <w:rPr>
                <w:rFonts w:ascii="Arial" w:eastAsia="Arial" w:hAnsi="Arial"/>
                <w:b/>
                <w:color w:val="000000"/>
                <w:sz w:val="20"/>
              </w:rPr>
              <w:t>Dalga</w:t>
            </w:r>
          </w:p>
        </w:tc>
        <w:tc>
          <w:tcPr>
            <w:tcW w:w="579" w:type="pct"/>
            <w:tcBorders>
              <w:top w:val="single" w:sz="7" w:space="0" w:color="D3D3D3"/>
              <w:left w:val="single" w:sz="7" w:space="0" w:color="D3D3D3"/>
              <w:bottom w:val="single" w:sz="7" w:space="0" w:color="D3D3D3"/>
              <w:right w:val="single" w:sz="7" w:space="0" w:color="D3D3D3"/>
            </w:tcBorders>
          </w:tcPr>
          <w:p w:rsidR="00537FF1" w:rsidRPr="005030E7" w:rsidRDefault="00537FF1" w:rsidP="00537FF1">
            <w:pPr>
              <w:spacing w:after="0" w:line="240" w:lineRule="auto"/>
              <w:jc w:val="right"/>
              <w:rPr>
                <w:rFonts w:eastAsia="Arial" w:cstheme="minorHAnsi"/>
                <w:color w:val="000000"/>
              </w:rPr>
            </w:pPr>
            <w:r>
              <w:rPr>
                <w:rFonts w:ascii="Arial" w:eastAsia="Arial" w:hAnsi="Arial"/>
                <w:color w:val="000000"/>
                <w:sz w:val="20"/>
              </w:rPr>
              <w:t>0,000</w:t>
            </w:r>
          </w:p>
        </w:tc>
        <w:tc>
          <w:tcPr>
            <w:tcW w:w="630" w:type="pct"/>
            <w:tcBorders>
              <w:top w:val="single" w:sz="7" w:space="0" w:color="D3D3D3"/>
              <w:left w:val="single" w:sz="7" w:space="0" w:color="D3D3D3"/>
              <w:bottom w:val="single" w:sz="7" w:space="0" w:color="D3D3D3"/>
              <w:right w:val="single" w:sz="7" w:space="0" w:color="D3D3D3"/>
            </w:tcBorders>
          </w:tcPr>
          <w:p w:rsidR="00537FF1" w:rsidRPr="005030E7" w:rsidRDefault="00537FF1" w:rsidP="00537FF1">
            <w:pPr>
              <w:spacing w:after="0" w:line="240" w:lineRule="auto"/>
              <w:jc w:val="right"/>
              <w:rPr>
                <w:rFonts w:eastAsia="Arial" w:cstheme="minorHAnsi"/>
                <w:color w:val="000000"/>
              </w:rPr>
            </w:pPr>
            <w:r>
              <w:rPr>
                <w:rFonts w:ascii="Arial" w:eastAsia="Arial" w:hAnsi="Arial"/>
                <w:color w:val="000000"/>
                <w:sz w:val="20"/>
              </w:rPr>
              <w:t>0,000</w:t>
            </w:r>
          </w:p>
        </w:tc>
        <w:tc>
          <w:tcPr>
            <w:tcW w:w="717" w:type="pct"/>
            <w:tcBorders>
              <w:top w:val="single" w:sz="7" w:space="0" w:color="D3D3D3"/>
              <w:left w:val="single" w:sz="7" w:space="0" w:color="D3D3D3"/>
              <w:bottom w:val="single" w:sz="7" w:space="0" w:color="D3D3D3"/>
              <w:right w:val="single" w:sz="7" w:space="0" w:color="D3D3D3"/>
            </w:tcBorders>
          </w:tcPr>
          <w:p w:rsidR="00537FF1" w:rsidRPr="005030E7" w:rsidRDefault="00537FF1" w:rsidP="00537FF1">
            <w:pPr>
              <w:spacing w:after="0" w:line="240" w:lineRule="auto"/>
              <w:jc w:val="right"/>
              <w:rPr>
                <w:rFonts w:eastAsia="Arial" w:cstheme="minorHAnsi"/>
                <w:color w:val="000000"/>
              </w:rPr>
            </w:pPr>
            <w:r>
              <w:rPr>
                <w:rFonts w:ascii="Arial" w:eastAsia="Arial" w:hAnsi="Arial"/>
                <w:color w:val="000000"/>
                <w:sz w:val="20"/>
              </w:rPr>
              <w:t>0,000</w:t>
            </w:r>
          </w:p>
        </w:tc>
        <w:tc>
          <w:tcPr>
            <w:tcW w:w="520" w:type="pct"/>
            <w:tcBorders>
              <w:top w:val="single" w:sz="7" w:space="0" w:color="D3D3D3"/>
              <w:left w:val="single" w:sz="7" w:space="0" w:color="D3D3D3"/>
              <w:bottom w:val="single" w:sz="7" w:space="0" w:color="D3D3D3"/>
              <w:right w:val="single" w:sz="7" w:space="0" w:color="D3D3D3"/>
            </w:tcBorders>
          </w:tcPr>
          <w:p w:rsidR="00537FF1" w:rsidRPr="005030E7" w:rsidRDefault="00537FF1" w:rsidP="00537FF1">
            <w:pPr>
              <w:spacing w:after="0" w:line="240" w:lineRule="auto"/>
              <w:jc w:val="right"/>
              <w:rPr>
                <w:rFonts w:cstheme="minorHAnsi"/>
                <w:color w:val="000000"/>
              </w:rPr>
            </w:pPr>
            <w:r>
              <w:rPr>
                <w:rFonts w:ascii="Arial" w:eastAsia="Arial" w:hAnsi="Arial"/>
                <w:color w:val="000000"/>
                <w:sz w:val="20"/>
              </w:rPr>
              <w:t>0,000</w:t>
            </w:r>
          </w:p>
        </w:tc>
        <w:tc>
          <w:tcPr>
            <w:tcW w:w="764" w:type="pct"/>
            <w:tcBorders>
              <w:top w:val="single" w:sz="7" w:space="0" w:color="D3D3D3"/>
              <w:left w:val="single" w:sz="7" w:space="0" w:color="D3D3D3"/>
              <w:bottom w:val="single" w:sz="7" w:space="0" w:color="D3D3D3"/>
              <w:right w:val="single" w:sz="7" w:space="0" w:color="D3D3D3"/>
            </w:tcBorders>
          </w:tcPr>
          <w:p w:rsidR="00537FF1" w:rsidRPr="005030E7" w:rsidRDefault="00537FF1" w:rsidP="00537FF1">
            <w:pPr>
              <w:spacing w:after="0" w:line="240" w:lineRule="auto"/>
              <w:jc w:val="right"/>
              <w:rPr>
                <w:rFonts w:eastAsia="Arial" w:cstheme="minorHAnsi"/>
                <w:color w:val="000000"/>
              </w:rPr>
            </w:pPr>
            <w:r>
              <w:rPr>
                <w:rFonts w:ascii="Arial" w:eastAsia="Arial" w:hAnsi="Arial"/>
                <w:color w:val="000000"/>
                <w:sz w:val="20"/>
              </w:rPr>
              <w:t>0,000</w:t>
            </w:r>
          </w:p>
        </w:tc>
        <w:tc>
          <w:tcPr>
            <w:tcW w:w="642" w:type="pct"/>
            <w:tcBorders>
              <w:top w:val="single" w:sz="7" w:space="0" w:color="D3D3D3"/>
              <w:left w:val="single" w:sz="7" w:space="0" w:color="D3D3D3"/>
              <w:bottom w:val="single" w:sz="7" w:space="0" w:color="D3D3D3"/>
              <w:right w:val="single" w:sz="7" w:space="0" w:color="D3D3D3"/>
            </w:tcBorders>
          </w:tcPr>
          <w:p w:rsidR="00537FF1" w:rsidRPr="005030E7" w:rsidRDefault="00537FF1" w:rsidP="00537FF1">
            <w:pPr>
              <w:spacing w:after="0" w:line="240" w:lineRule="auto"/>
              <w:jc w:val="right"/>
              <w:rPr>
                <w:rFonts w:eastAsia="Arial" w:cstheme="minorHAnsi"/>
                <w:color w:val="000000"/>
              </w:rPr>
            </w:pPr>
            <w:r>
              <w:rPr>
                <w:rFonts w:ascii="Arial" w:eastAsia="Arial" w:hAnsi="Arial"/>
                <w:color w:val="000000"/>
                <w:sz w:val="20"/>
              </w:rPr>
              <w:t>0</w:t>
            </w:r>
          </w:p>
        </w:tc>
      </w:tr>
      <w:tr w:rsidR="00537FF1" w:rsidRPr="005030E7" w:rsidTr="004B6C76">
        <w:trPr>
          <w:trHeight w:val="340"/>
        </w:trPr>
        <w:tc>
          <w:tcPr>
            <w:tcW w:w="463" w:type="pct"/>
            <w:vMerge/>
            <w:vAlign w:val="center"/>
            <w:hideMark/>
          </w:tcPr>
          <w:p w:rsidR="00537FF1" w:rsidRPr="005030E7" w:rsidRDefault="00537FF1" w:rsidP="00537FF1">
            <w:pPr>
              <w:spacing w:after="0" w:line="240" w:lineRule="auto"/>
              <w:jc w:val="left"/>
              <w:rPr>
                <w:rFonts w:ascii="Calibri" w:eastAsia="Times New Roman" w:hAnsi="Calibri" w:cs="Calibri"/>
                <w:b/>
                <w:bCs/>
                <w:color w:val="000000"/>
                <w:lang w:eastAsia="tr-TR"/>
              </w:rPr>
            </w:pPr>
          </w:p>
        </w:tc>
        <w:tc>
          <w:tcPr>
            <w:tcW w:w="686" w:type="pct"/>
            <w:shd w:val="clear" w:color="auto" w:fill="auto"/>
            <w:hideMark/>
          </w:tcPr>
          <w:p w:rsidR="00537FF1" w:rsidRPr="005030E7" w:rsidRDefault="00537FF1" w:rsidP="00537FF1">
            <w:pPr>
              <w:spacing w:after="0" w:line="240" w:lineRule="auto"/>
              <w:rPr>
                <w:rFonts w:ascii="Calibri" w:eastAsia="Times New Roman" w:hAnsi="Calibri" w:cs="Calibri"/>
                <w:b/>
                <w:bCs/>
                <w:color w:val="000000"/>
                <w:lang w:eastAsia="tr-TR"/>
              </w:rPr>
            </w:pPr>
            <w:r>
              <w:rPr>
                <w:rFonts w:ascii="Arial" w:eastAsia="Arial" w:hAnsi="Arial"/>
                <w:b/>
                <w:color w:val="000000"/>
                <w:sz w:val="20"/>
              </w:rPr>
              <w:t>Diğer</w:t>
            </w:r>
          </w:p>
        </w:tc>
        <w:tc>
          <w:tcPr>
            <w:tcW w:w="579"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0,000</w:t>
            </w:r>
          </w:p>
        </w:tc>
        <w:tc>
          <w:tcPr>
            <w:tcW w:w="630"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0,000</w:t>
            </w:r>
          </w:p>
        </w:tc>
        <w:tc>
          <w:tcPr>
            <w:tcW w:w="717"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0,000</w:t>
            </w:r>
          </w:p>
        </w:tc>
        <w:tc>
          <w:tcPr>
            <w:tcW w:w="520"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0,000</w:t>
            </w:r>
          </w:p>
        </w:tc>
        <w:tc>
          <w:tcPr>
            <w:tcW w:w="764"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66,390</w:t>
            </w:r>
          </w:p>
        </w:tc>
        <w:tc>
          <w:tcPr>
            <w:tcW w:w="642"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8</w:t>
            </w:r>
          </w:p>
        </w:tc>
      </w:tr>
      <w:tr w:rsidR="00537FF1" w:rsidRPr="005030E7" w:rsidTr="004B6C76">
        <w:trPr>
          <w:trHeight w:val="340"/>
        </w:trPr>
        <w:tc>
          <w:tcPr>
            <w:tcW w:w="463" w:type="pct"/>
            <w:vMerge/>
            <w:vAlign w:val="center"/>
            <w:hideMark/>
          </w:tcPr>
          <w:p w:rsidR="00537FF1" w:rsidRPr="005030E7" w:rsidRDefault="00537FF1" w:rsidP="00537FF1">
            <w:pPr>
              <w:spacing w:after="0" w:line="240" w:lineRule="auto"/>
              <w:jc w:val="left"/>
              <w:rPr>
                <w:rFonts w:ascii="Calibri" w:eastAsia="Times New Roman" w:hAnsi="Calibri" w:cs="Calibri"/>
                <w:b/>
                <w:bCs/>
                <w:color w:val="000000"/>
                <w:lang w:eastAsia="tr-TR"/>
              </w:rPr>
            </w:pPr>
          </w:p>
        </w:tc>
        <w:tc>
          <w:tcPr>
            <w:tcW w:w="686" w:type="pct"/>
            <w:shd w:val="clear" w:color="auto" w:fill="auto"/>
            <w:hideMark/>
          </w:tcPr>
          <w:p w:rsidR="00537FF1" w:rsidRPr="005030E7" w:rsidRDefault="00537FF1" w:rsidP="00537FF1">
            <w:pPr>
              <w:spacing w:after="0" w:line="240" w:lineRule="auto"/>
              <w:rPr>
                <w:rFonts w:ascii="Calibri" w:eastAsia="Times New Roman" w:hAnsi="Calibri" w:cs="Calibri"/>
                <w:b/>
                <w:bCs/>
                <w:color w:val="000000"/>
                <w:lang w:eastAsia="tr-TR"/>
              </w:rPr>
            </w:pPr>
            <w:r>
              <w:rPr>
                <w:rFonts w:ascii="Arial" w:eastAsia="Arial" w:hAnsi="Arial"/>
                <w:b/>
                <w:color w:val="000000"/>
                <w:sz w:val="20"/>
              </w:rPr>
              <w:t>Doğal Gaz</w:t>
            </w:r>
          </w:p>
        </w:tc>
        <w:tc>
          <w:tcPr>
            <w:tcW w:w="579"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28,360</w:t>
            </w:r>
          </w:p>
        </w:tc>
        <w:tc>
          <w:tcPr>
            <w:tcW w:w="630"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43,360</w:t>
            </w:r>
          </w:p>
        </w:tc>
        <w:tc>
          <w:tcPr>
            <w:tcW w:w="717"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224,953</w:t>
            </w:r>
          </w:p>
        </w:tc>
        <w:tc>
          <w:tcPr>
            <w:tcW w:w="520"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0,000</w:t>
            </w:r>
          </w:p>
        </w:tc>
        <w:tc>
          <w:tcPr>
            <w:tcW w:w="764"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26.709,135</w:t>
            </w:r>
          </w:p>
        </w:tc>
        <w:tc>
          <w:tcPr>
            <w:tcW w:w="642"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266</w:t>
            </w:r>
          </w:p>
        </w:tc>
      </w:tr>
      <w:tr w:rsidR="00537FF1" w:rsidRPr="005030E7" w:rsidTr="004B6C76">
        <w:trPr>
          <w:trHeight w:val="340"/>
        </w:trPr>
        <w:tc>
          <w:tcPr>
            <w:tcW w:w="463" w:type="pct"/>
            <w:vMerge/>
            <w:vAlign w:val="center"/>
            <w:hideMark/>
          </w:tcPr>
          <w:p w:rsidR="00537FF1" w:rsidRPr="005030E7" w:rsidRDefault="00537FF1" w:rsidP="00537FF1">
            <w:pPr>
              <w:spacing w:after="0" w:line="240" w:lineRule="auto"/>
              <w:jc w:val="left"/>
              <w:rPr>
                <w:rFonts w:ascii="Calibri" w:eastAsia="Times New Roman" w:hAnsi="Calibri" w:cs="Calibri"/>
                <w:b/>
                <w:bCs/>
                <w:color w:val="000000"/>
                <w:lang w:eastAsia="tr-TR"/>
              </w:rPr>
            </w:pPr>
          </w:p>
        </w:tc>
        <w:tc>
          <w:tcPr>
            <w:tcW w:w="686" w:type="pct"/>
            <w:shd w:val="clear" w:color="auto" w:fill="auto"/>
            <w:hideMark/>
          </w:tcPr>
          <w:p w:rsidR="00537FF1" w:rsidRPr="005030E7" w:rsidRDefault="00537FF1" w:rsidP="00537FF1">
            <w:pPr>
              <w:spacing w:after="0" w:line="240" w:lineRule="auto"/>
              <w:rPr>
                <w:rFonts w:ascii="Calibri" w:eastAsia="Times New Roman" w:hAnsi="Calibri" w:cs="Calibri"/>
                <w:b/>
                <w:bCs/>
                <w:color w:val="000000"/>
                <w:lang w:eastAsia="tr-TR"/>
              </w:rPr>
            </w:pPr>
            <w:r>
              <w:rPr>
                <w:rFonts w:ascii="Arial" w:eastAsia="Arial" w:hAnsi="Arial"/>
                <w:b/>
                <w:color w:val="000000"/>
                <w:sz w:val="20"/>
              </w:rPr>
              <w:t>Fuel-oil</w:t>
            </w:r>
          </w:p>
        </w:tc>
        <w:tc>
          <w:tcPr>
            <w:tcW w:w="579"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0,000</w:t>
            </w:r>
          </w:p>
        </w:tc>
        <w:tc>
          <w:tcPr>
            <w:tcW w:w="630"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0,000</w:t>
            </w:r>
          </w:p>
        </w:tc>
        <w:tc>
          <w:tcPr>
            <w:tcW w:w="717"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0,000</w:t>
            </w:r>
          </w:p>
        </w:tc>
        <w:tc>
          <w:tcPr>
            <w:tcW w:w="520"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0,000</w:t>
            </w:r>
          </w:p>
        </w:tc>
        <w:tc>
          <w:tcPr>
            <w:tcW w:w="764"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991,506</w:t>
            </w:r>
          </w:p>
        </w:tc>
        <w:tc>
          <w:tcPr>
            <w:tcW w:w="642"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21</w:t>
            </w:r>
          </w:p>
        </w:tc>
      </w:tr>
      <w:tr w:rsidR="00537FF1" w:rsidRPr="005030E7" w:rsidTr="004B6C76">
        <w:trPr>
          <w:trHeight w:val="340"/>
        </w:trPr>
        <w:tc>
          <w:tcPr>
            <w:tcW w:w="463" w:type="pct"/>
            <w:vMerge/>
            <w:vAlign w:val="center"/>
            <w:hideMark/>
          </w:tcPr>
          <w:p w:rsidR="00537FF1" w:rsidRPr="005030E7" w:rsidRDefault="00537FF1" w:rsidP="00537FF1">
            <w:pPr>
              <w:spacing w:after="0" w:line="240" w:lineRule="auto"/>
              <w:jc w:val="left"/>
              <w:rPr>
                <w:rFonts w:ascii="Calibri" w:eastAsia="Times New Roman" w:hAnsi="Calibri" w:cs="Calibri"/>
                <w:b/>
                <w:bCs/>
                <w:color w:val="000000"/>
                <w:lang w:eastAsia="tr-TR"/>
              </w:rPr>
            </w:pPr>
          </w:p>
        </w:tc>
        <w:tc>
          <w:tcPr>
            <w:tcW w:w="686" w:type="pct"/>
            <w:shd w:val="clear" w:color="auto" w:fill="auto"/>
            <w:hideMark/>
          </w:tcPr>
          <w:p w:rsidR="00537FF1" w:rsidRPr="005030E7" w:rsidRDefault="00537FF1" w:rsidP="00537FF1">
            <w:pPr>
              <w:spacing w:after="0" w:line="240" w:lineRule="auto"/>
              <w:rPr>
                <w:rFonts w:ascii="Calibri" w:eastAsia="Times New Roman" w:hAnsi="Calibri" w:cs="Calibri"/>
                <w:b/>
                <w:bCs/>
                <w:color w:val="000000"/>
                <w:lang w:eastAsia="tr-TR"/>
              </w:rPr>
            </w:pPr>
            <w:r>
              <w:rPr>
                <w:rFonts w:ascii="Arial" w:eastAsia="Arial" w:hAnsi="Arial"/>
                <w:b/>
                <w:color w:val="000000"/>
                <w:sz w:val="20"/>
              </w:rPr>
              <w:t>Güneş</w:t>
            </w:r>
          </w:p>
        </w:tc>
        <w:tc>
          <w:tcPr>
            <w:tcW w:w="579"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0,000</w:t>
            </w:r>
          </w:p>
        </w:tc>
        <w:tc>
          <w:tcPr>
            <w:tcW w:w="630"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7,000</w:t>
            </w:r>
          </w:p>
        </w:tc>
        <w:tc>
          <w:tcPr>
            <w:tcW w:w="717"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7,000</w:t>
            </w:r>
          </w:p>
        </w:tc>
        <w:tc>
          <w:tcPr>
            <w:tcW w:w="520"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0,000</w:t>
            </w:r>
          </w:p>
        </w:tc>
        <w:tc>
          <w:tcPr>
            <w:tcW w:w="764"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1.468,814</w:t>
            </w:r>
          </w:p>
        </w:tc>
        <w:tc>
          <w:tcPr>
            <w:tcW w:w="642"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37</w:t>
            </w:r>
          </w:p>
        </w:tc>
      </w:tr>
      <w:tr w:rsidR="00537FF1" w:rsidRPr="005030E7" w:rsidTr="004B6C76">
        <w:trPr>
          <w:trHeight w:val="340"/>
        </w:trPr>
        <w:tc>
          <w:tcPr>
            <w:tcW w:w="463" w:type="pct"/>
            <w:vMerge/>
            <w:vAlign w:val="center"/>
            <w:hideMark/>
          </w:tcPr>
          <w:p w:rsidR="00537FF1" w:rsidRPr="005030E7" w:rsidRDefault="00537FF1" w:rsidP="00537FF1">
            <w:pPr>
              <w:spacing w:after="0" w:line="240" w:lineRule="auto"/>
              <w:jc w:val="left"/>
              <w:rPr>
                <w:rFonts w:ascii="Calibri" w:eastAsia="Times New Roman" w:hAnsi="Calibri" w:cs="Calibri"/>
                <w:b/>
                <w:bCs/>
                <w:color w:val="000000"/>
                <w:lang w:eastAsia="tr-TR"/>
              </w:rPr>
            </w:pPr>
          </w:p>
        </w:tc>
        <w:tc>
          <w:tcPr>
            <w:tcW w:w="686" w:type="pct"/>
            <w:shd w:val="clear" w:color="auto" w:fill="auto"/>
            <w:hideMark/>
          </w:tcPr>
          <w:p w:rsidR="00537FF1" w:rsidRPr="005030E7" w:rsidRDefault="00537FF1" w:rsidP="00537FF1">
            <w:pPr>
              <w:spacing w:after="0" w:line="240" w:lineRule="auto"/>
              <w:rPr>
                <w:rFonts w:ascii="Calibri" w:eastAsia="Times New Roman" w:hAnsi="Calibri" w:cs="Calibri"/>
                <w:b/>
                <w:bCs/>
                <w:color w:val="000000"/>
                <w:lang w:eastAsia="tr-TR"/>
              </w:rPr>
            </w:pPr>
            <w:r>
              <w:rPr>
                <w:rFonts w:ascii="Arial" w:eastAsia="Arial" w:hAnsi="Arial"/>
                <w:b/>
                <w:color w:val="000000"/>
                <w:sz w:val="20"/>
              </w:rPr>
              <w:t>Hidrolik</w:t>
            </w:r>
          </w:p>
        </w:tc>
        <w:tc>
          <w:tcPr>
            <w:tcW w:w="579"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305,559</w:t>
            </w:r>
          </w:p>
        </w:tc>
        <w:tc>
          <w:tcPr>
            <w:tcW w:w="630"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348,037</w:t>
            </w:r>
          </w:p>
        </w:tc>
        <w:tc>
          <w:tcPr>
            <w:tcW w:w="717"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411,537</w:t>
            </w:r>
          </w:p>
        </w:tc>
        <w:tc>
          <w:tcPr>
            <w:tcW w:w="520"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107,030</w:t>
            </w:r>
          </w:p>
        </w:tc>
        <w:tc>
          <w:tcPr>
            <w:tcW w:w="764"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32.957,555</w:t>
            </w:r>
          </w:p>
        </w:tc>
        <w:tc>
          <w:tcPr>
            <w:tcW w:w="642"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782</w:t>
            </w:r>
          </w:p>
        </w:tc>
      </w:tr>
      <w:tr w:rsidR="00537FF1" w:rsidRPr="005030E7" w:rsidTr="004B6C76">
        <w:trPr>
          <w:trHeight w:val="340"/>
        </w:trPr>
        <w:tc>
          <w:tcPr>
            <w:tcW w:w="463" w:type="pct"/>
            <w:vMerge/>
            <w:vAlign w:val="center"/>
            <w:hideMark/>
          </w:tcPr>
          <w:p w:rsidR="00537FF1" w:rsidRPr="005030E7" w:rsidRDefault="00537FF1" w:rsidP="00537FF1">
            <w:pPr>
              <w:spacing w:after="0" w:line="240" w:lineRule="auto"/>
              <w:jc w:val="left"/>
              <w:rPr>
                <w:rFonts w:ascii="Calibri" w:eastAsia="Times New Roman" w:hAnsi="Calibri" w:cs="Calibri"/>
                <w:b/>
                <w:bCs/>
                <w:color w:val="000000"/>
                <w:lang w:eastAsia="tr-TR"/>
              </w:rPr>
            </w:pPr>
          </w:p>
        </w:tc>
        <w:tc>
          <w:tcPr>
            <w:tcW w:w="686" w:type="pct"/>
            <w:shd w:val="clear" w:color="auto" w:fill="auto"/>
            <w:hideMark/>
          </w:tcPr>
          <w:p w:rsidR="00537FF1" w:rsidRPr="005030E7" w:rsidRDefault="00537FF1" w:rsidP="00537FF1">
            <w:pPr>
              <w:spacing w:after="0" w:line="240" w:lineRule="auto"/>
              <w:rPr>
                <w:rFonts w:ascii="Calibri" w:eastAsia="Times New Roman" w:hAnsi="Calibri" w:cs="Calibri"/>
                <w:b/>
                <w:bCs/>
                <w:color w:val="000000"/>
                <w:lang w:eastAsia="tr-TR"/>
              </w:rPr>
            </w:pPr>
            <w:r>
              <w:rPr>
                <w:rFonts w:ascii="Arial" w:eastAsia="Arial" w:hAnsi="Arial"/>
                <w:b/>
                <w:color w:val="000000"/>
                <w:sz w:val="20"/>
              </w:rPr>
              <w:t>İthal Kömür</w:t>
            </w:r>
          </w:p>
        </w:tc>
        <w:tc>
          <w:tcPr>
            <w:tcW w:w="579"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0,000</w:t>
            </w:r>
          </w:p>
        </w:tc>
        <w:tc>
          <w:tcPr>
            <w:tcW w:w="630"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0,000</w:t>
            </w:r>
          </w:p>
        </w:tc>
        <w:tc>
          <w:tcPr>
            <w:tcW w:w="717"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0,000</w:t>
            </w:r>
          </w:p>
        </w:tc>
        <w:tc>
          <w:tcPr>
            <w:tcW w:w="520"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0,000</w:t>
            </w:r>
          </w:p>
        </w:tc>
        <w:tc>
          <w:tcPr>
            <w:tcW w:w="764"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12.814,800</w:t>
            </w:r>
          </w:p>
        </w:tc>
        <w:tc>
          <w:tcPr>
            <w:tcW w:w="642"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15</w:t>
            </w:r>
          </w:p>
        </w:tc>
      </w:tr>
      <w:tr w:rsidR="00537FF1" w:rsidRPr="005030E7" w:rsidTr="004B6C76">
        <w:trPr>
          <w:trHeight w:val="340"/>
        </w:trPr>
        <w:tc>
          <w:tcPr>
            <w:tcW w:w="463" w:type="pct"/>
            <w:vMerge/>
            <w:vAlign w:val="center"/>
            <w:hideMark/>
          </w:tcPr>
          <w:p w:rsidR="00537FF1" w:rsidRPr="005030E7" w:rsidRDefault="00537FF1" w:rsidP="00537FF1">
            <w:pPr>
              <w:spacing w:after="0" w:line="240" w:lineRule="auto"/>
              <w:jc w:val="left"/>
              <w:rPr>
                <w:rFonts w:ascii="Calibri" w:eastAsia="Times New Roman" w:hAnsi="Calibri" w:cs="Calibri"/>
                <w:b/>
                <w:bCs/>
                <w:color w:val="000000"/>
                <w:lang w:eastAsia="tr-TR"/>
              </w:rPr>
            </w:pPr>
          </w:p>
        </w:tc>
        <w:tc>
          <w:tcPr>
            <w:tcW w:w="686" w:type="pct"/>
            <w:shd w:val="clear" w:color="auto" w:fill="auto"/>
            <w:hideMark/>
          </w:tcPr>
          <w:p w:rsidR="00537FF1" w:rsidRPr="005030E7" w:rsidRDefault="00537FF1" w:rsidP="00537FF1">
            <w:pPr>
              <w:spacing w:after="0" w:line="240" w:lineRule="auto"/>
              <w:rPr>
                <w:rFonts w:ascii="Calibri" w:eastAsia="Times New Roman" w:hAnsi="Calibri" w:cs="Calibri"/>
                <w:b/>
                <w:bCs/>
                <w:color w:val="000000"/>
                <w:lang w:eastAsia="tr-TR"/>
              </w:rPr>
            </w:pPr>
            <w:r>
              <w:rPr>
                <w:rFonts w:ascii="Arial" w:eastAsia="Arial" w:hAnsi="Arial"/>
                <w:b/>
                <w:color w:val="000000"/>
                <w:sz w:val="20"/>
              </w:rPr>
              <w:t>Jeotermal</w:t>
            </w:r>
          </w:p>
        </w:tc>
        <w:tc>
          <w:tcPr>
            <w:tcW w:w="579"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25,000</w:t>
            </w:r>
          </w:p>
        </w:tc>
        <w:tc>
          <w:tcPr>
            <w:tcW w:w="630"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25,000</w:t>
            </w:r>
          </w:p>
        </w:tc>
        <w:tc>
          <w:tcPr>
            <w:tcW w:w="717"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0,000</w:t>
            </w:r>
          </w:p>
        </w:tc>
        <w:tc>
          <w:tcPr>
            <w:tcW w:w="520"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0,000</w:t>
            </w:r>
          </w:p>
        </w:tc>
        <w:tc>
          <w:tcPr>
            <w:tcW w:w="764"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1.860,633</w:t>
            </w:r>
          </w:p>
        </w:tc>
        <w:tc>
          <w:tcPr>
            <w:tcW w:w="642"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66</w:t>
            </w:r>
          </w:p>
        </w:tc>
      </w:tr>
      <w:tr w:rsidR="00537FF1" w:rsidRPr="005030E7" w:rsidTr="004B6C76">
        <w:trPr>
          <w:trHeight w:val="340"/>
        </w:trPr>
        <w:tc>
          <w:tcPr>
            <w:tcW w:w="463" w:type="pct"/>
            <w:vMerge/>
            <w:vAlign w:val="center"/>
            <w:hideMark/>
          </w:tcPr>
          <w:p w:rsidR="00537FF1" w:rsidRPr="005030E7" w:rsidRDefault="00537FF1" w:rsidP="00537FF1">
            <w:pPr>
              <w:spacing w:after="0" w:line="240" w:lineRule="auto"/>
              <w:jc w:val="left"/>
              <w:rPr>
                <w:rFonts w:ascii="Calibri" w:eastAsia="Times New Roman" w:hAnsi="Calibri" w:cs="Calibri"/>
                <w:b/>
                <w:bCs/>
                <w:color w:val="000000"/>
                <w:lang w:eastAsia="tr-TR"/>
              </w:rPr>
            </w:pPr>
          </w:p>
        </w:tc>
        <w:tc>
          <w:tcPr>
            <w:tcW w:w="686" w:type="pct"/>
            <w:shd w:val="clear" w:color="auto" w:fill="auto"/>
            <w:hideMark/>
          </w:tcPr>
          <w:p w:rsidR="00537FF1" w:rsidRPr="005030E7" w:rsidRDefault="00537FF1" w:rsidP="00537FF1">
            <w:pPr>
              <w:spacing w:after="0" w:line="240" w:lineRule="auto"/>
              <w:rPr>
                <w:rFonts w:ascii="Calibri" w:eastAsia="Times New Roman" w:hAnsi="Calibri" w:cs="Calibri"/>
                <w:b/>
                <w:bCs/>
                <w:color w:val="000000"/>
                <w:lang w:eastAsia="tr-TR"/>
              </w:rPr>
            </w:pPr>
            <w:r>
              <w:rPr>
                <w:rFonts w:ascii="Arial" w:eastAsia="Arial" w:hAnsi="Arial"/>
                <w:b/>
                <w:color w:val="000000"/>
                <w:sz w:val="20"/>
              </w:rPr>
              <w:t>Kömür</w:t>
            </w:r>
          </w:p>
        </w:tc>
        <w:tc>
          <w:tcPr>
            <w:tcW w:w="579"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0,000</w:t>
            </w:r>
          </w:p>
        </w:tc>
        <w:tc>
          <w:tcPr>
            <w:tcW w:w="630"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55,000</w:t>
            </w:r>
          </w:p>
        </w:tc>
        <w:tc>
          <w:tcPr>
            <w:tcW w:w="717"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61,000</w:t>
            </w:r>
          </w:p>
        </w:tc>
        <w:tc>
          <w:tcPr>
            <w:tcW w:w="520"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0,000</w:t>
            </w:r>
          </w:p>
        </w:tc>
        <w:tc>
          <w:tcPr>
            <w:tcW w:w="764"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1.252,374</w:t>
            </w:r>
          </w:p>
        </w:tc>
        <w:tc>
          <w:tcPr>
            <w:tcW w:w="642"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14</w:t>
            </w:r>
          </w:p>
        </w:tc>
      </w:tr>
      <w:tr w:rsidR="00537FF1" w:rsidRPr="005030E7" w:rsidTr="004B6C76">
        <w:trPr>
          <w:trHeight w:val="340"/>
        </w:trPr>
        <w:tc>
          <w:tcPr>
            <w:tcW w:w="463" w:type="pct"/>
            <w:vMerge/>
            <w:vAlign w:val="center"/>
            <w:hideMark/>
          </w:tcPr>
          <w:p w:rsidR="00537FF1" w:rsidRPr="005030E7" w:rsidRDefault="00537FF1" w:rsidP="00537FF1">
            <w:pPr>
              <w:spacing w:after="0" w:line="240" w:lineRule="auto"/>
              <w:jc w:val="left"/>
              <w:rPr>
                <w:rFonts w:ascii="Calibri" w:eastAsia="Times New Roman" w:hAnsi="Calibri" w:cs="Calibri"/>
                <w:b/>
                <w:bCs/>
                <w:color w:val="000000"/>
                <w:lang w:eastAsia="tr-TR"/>
              </w:rPr>
            </w:pPr>
          </w:p>
        </w:tc>
        <w:tc>
          <w:tcPr>
            <w:tcW w:w="686" w:type="pct"/>
            <w:shd w:val="clear" w:color="auto" w:fill="auto"/>
            <w:hideMark/>
          </w:tcPr>
          <w:p w:rsidR="00537FF1" w:rsidRPr="005030E7" w:rsidRDefault="00537FF1" w:rsidP="00537FF1">
            <w:pPr>
              <w:spacing w:after="0" w:line="240" w:lineRule="auto"/>
              <w:rPr>
                <w:rFonts w:ascii="Calibri" w:eastAsia="Times New Roman" w:hAnsi="Calibri" w:cs="Calibri"/>
                <w:b/>
                <w:bCs/>
                <w:color w:val="000000"/>
                <w:lang w:eastAsia="tr-TR"/>
              </w:rPr>
            </w:pPr>
            <w:r>
              <w:rPr>
                <w:rFonts w:ascii="Arial" w:eastAsia="Arial" w:hAnsi="Arial"/>
                <w:b/>
                <w:color w:val="000000"/>
                <w:sz w:val="20"/>
              </w:rPr>
              <w:t>Motorin</w:t>
            </w:r>
          </w:p>
        </w:tc>
        <w:tc>
          <w:tcPr>
            <w:tcW w:w="579"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0,000</w:t>
            </w:r>
          </w:p>
        </w:tc>
        <w:tc>
          <w:tcPr>
            <w:tcW w:w="630"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0,000</w:t>
            </w:r>
          </w:p>
        </w:tc>
        <w:tc>
          <w:tcPr>
            <w:tcW w:w="717"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0,000</w:t>
            </w:r>
          </w:p>
        </w:tc>
        <w:tc>
          <w:tcPr>
            <w:tcW w:w="520"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0,000</w:t>
            </w:r>
          </w:p>
        </w:tc>
        <w:tc>
          <w:tcPr>
            <w:tcW w:w="764"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209,864</w:t>
            </w:r>
          </w:p>
        </w:tc>
        <w:tc>
          <w:tcPr>
            <w:tcW w:w="642"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9</w:t>
            </w:r>
          </w:p>
        </w:tc>
      </w:tr>
      <w:tr w:rsidR="00537FF1" w:rsidRPr="005030E7" w:rsidTr="004B6C76">
        <w:trPr>
          <w:trHeight w:val="340"/>
        </w:trPr>
        <w:tc>
          <w:tcPr>
            <w:tcW w:w="463" w:type="pct"/>
            <w:vMerge/>
            <w:vAlign w:val="center"/>
            <w:hideMark/>
          </w:tcPr>
          <w:p w:rsidR="00537FF1" w:rsidRPr="005030E7" w:rsidRDefault="00537FF1" w:rsidP="00537FF1">
            <w:pPr>
              <w:spacing w:after="0" w:line="240" w:lineRule="auto"/>
              <w:jc w:val="left"/>
              <w:rPr>
                <w:rFonts w:ascii="Calibri" w:eastAsia="Times New Roman" w:hAnsi="Calibri" w:cs="Calibri"/>
                <w:b/>
                <w:bCs/>
                <w:color w:val="000000"/>
                <w:lang w:eastAsia="tr-TR"/>
              </w:rPr>
            </w:pPr>
          </w:p>
        </w:tc>
        <w:tc>
          <w:tcPr>
            <w:tcW w:w="686" w:type="pct"/>
            <w:shd w:val="clear" w:color="auto" w:fill="auto"/>
            <w:hideMark/>
          </w:tcPr>
          <w:p w:rsidR="00537FF1" w:rsidRPr="005030E7" w:rsidRDefault="00537FF1" w:rsidP="00537FF1">
            <w:pPr>
              <w:spacing w:after="0" w:line="240" w:lineRule="auto"/>
              <w:rPr>
                <w:rFonts w:ascii="Calibri" w:eastAsia="Times New Roman" w:hAnsi="Calibri" w:cs="Calibri"/>
                <w:b/>
                <w:bCs/>
                <w:color w:val="000000"/>
                <w:lang w:eastAsia="tr-TR"/>
              </w:rPr>
            </w:pPr>
            <w:r>
              <w:rPr>
                <w:rFonts w:ascii="Arial" w:eastAsia="Arial" w:hAnsi="Arial"/>
                <w:b/>
                <w:color w:val="000000"/>
                <w:sz w:val="20"/>
              </w:rPr>
              <w:t>Nafta</w:t>
            </w:r>
          </w:p>
        </w:tc>
        <w:tc>
          <w:tcPr>
            <w:tcW w:w="579"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0,000</w:t>
            </w:r>
          </w:p>
        </w:tc>
        <w:tc>
          <w:tcPr>
            <w:tcW w:w="630"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0,000</w:t>
            </w:r>
          </w:p>
        </w:tc>
        <w:tc>
          <w:tcPr>
            <w:tcW w:w="717"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0,000</w:t>
            </w:r>
          </w:p>
        </w:tc>
        <w:tc>
          <w:tcPr>
            <w:tcW w:w="520"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0,000</w:t>
            </w:r>
          </w:p>
        </w:tc>
        <w:tc>
          <w:tcPr>
            <w:tcW w:w="764"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16,872</w:t>
            </w:r>
          </w:p>
        </w:tc>
        <w:tc>
          <w:tcPr>
            <w:tcW w:w="642"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2</w:t>
            </w:r>
          </w:p>
        </w:tc>
      </w:tr>
      <w:tr w:rsidR="00537FF1" w:rsidRPr="005030E7" w:rsidTr="004B6C76">
        <w:trPr>
          <w:trHeight w:val="340"/>
        </w:trPr>
        <w:tc>
          <w:tcPr>
            <w:tcW w:w="463" w:type="pct"/>
            <w:vMerge/>
            <w:vAlign w:val="center"/>
            <w:hideMark/>
          </w:tcPr>
          <w:p w:rsidR="00537FF1" w:rsidRPr="005030E7" w:rsidRDefault="00537FF1" w:rsidP="00537FF1">
            <w:pPr>
              <w:spacing w:after="0" w:line="240" w:lineRule="auto"/>
              <w:jc w:val="left"/>
              <w:rPr>
                <w:rFonts w:ascii="Calibri" w:eastAsia="Times New Roman" w:hAnsi="Calibri" w:cs="Calibri"/>
                <w:b/>
                <w:bCs/>
                <w:color w:val="000000"/>
                <w:lang w:eastAsia="tr-TR"/>
              </w:rPr>
            </w:pPr>
          </w:p>
        </w:tc>
        <w:tc>
          <w:tcPr>
            <w:tcW w:w="686" w:type="pct"/>
            <w:shd w:val="clear" w:color="auto" w:fill="auto"/>
            <w:hideMark/>
          </w:tcPr>
          <w:p w:rsidR="00537FF1" w:rsidRPr="005030E7" w:rsidRDefault="00537FF1" w:rsidP="00537FF1">
            <w:pPr>
              <w:spacing w:after="0" w:line="240" w:lineRule="auto"/>
              <w:rPr>
                <w:rFonts w:ascii="Calibri" w:eastAsia="Times New Roman" w:hAnsi="Calibri" w:cs="Calibri"/>
                <w:b/>
                <w:bCs/>
                <w:color w:val="000000"/>
                <w:lang w:eastAsia="tr-TR"/>
              </w:rPr>
            </w:pPr>
            <w:r>
              <w:rPr>
                <w:rFonts w:ascii="Arial" w:eastAsia="Arial" w:hAnsi="Arial"/>
                <w:b/>
                <w:color w:val="000000"/>
                <w:sz w:val="20"/>
              </w:rPr>
              <w:t>Prolitik Oil &amp; Prolitik Gaz</w:t>
            </w:r>
          </w:p>
        </w:tc>
        <w:tc>
          <w:tcPr>
            <w:tcW w:w="579"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0,000</w:t>
            </w:r>
          </w:p>
        </w:tc>
        <w:tc>
          <w:tcPr>
            <w:tcW w:w="630"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0,000</w:t>
            </w:r>
          </w:p>
        </w:tc>
        <w:tc>
          <w:tcPr>
            <w:tcW w:w="717"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0,000</w:t>
            </w:r>
          </w:p>
        </w:tc>
        <w:tc>
          <w:tcPr>
            <w:tcW w:w="520"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0,000</w:t>
            </w:r>
          </w:p>
        </w:tc>
        <w:tc>
          <w:tcPr>
            <w:tcW w:w="764"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0,000</w:t>
            </w:r>
          </w:p>
        </w:tc>
        <w:tc>
          <w:tcPr>
            <w:tcW w:w="642"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0</w:t>
            </w:r>
          </w:p>
        </w:tc>
      </w:tr>
      <w:tr w:rsidR="00537FF1" w:rsidRPr="005030E7" w:rsidTr="004B6C76">
        <w:trPr>
          <w:trHeight w:val="340"/>
        </w:trPr>
        <w:tc>
          <w:tcPr>
            <w:tcW w:w="463" w:type="pct"/>
            <w:vMerge/>
            <w:vAlign w:val="center"/>
            <w:hideMark/>
          </w:tcPr>
          <w:p w:rsidR="00537FF1" w:rsidRPr="005030E7" w:rsidRDefault="00537FF1" w:rsidP="00537FF1">
            <w:pPr>
              <w:spacing w:after="0" w:line="240" w:lineRule="auto"/>
              <w:jc w:val="left"/>
              <w:rPr>
                <w:rFonts w:ascii="Calibri" w:eastAsia="Times New Roman" w:hAnsi="Calibri" w:cs="Calibri"/>
                <w:b/>
                <w:bCs/>
                <w:color w:val="000000"/>
                <w:lang w:eastAsia="tr-TR"/>
              </w:rPr>
            </w:pPr>
          </w:p>
        </w:tc>
        <w:tc>
          <w:tcPr>
            <w:tcW w:w="686" w:type="pct"/>
            <w:shd w:val="clear" w:color="auto" w:fill="auto"/>
            <w:hideMark/>
          </w:tcPr>
          <w:p w:rsidR="00537FF1" w:rsidRPr="005030E7" w:rsidRDefault="00537FF1" w:rsidP="00537FF1">
            <w:pPr>
              <w:spacing w:after="0" w:line="240" w:lineRule="auto"/>
              <w:rPr>
                <w:rFonts w:ascii="Calibri" w:eastAsia="Times New Roman" w:hAnsi="Calibri" w:cs="Calibri"/>
                <w:b/>
                <w:bCs/>
                <w:color w:val="000000"/>
                <w:lang w:eastAsia="tr-TR"/>
              </w:rPr>
            </w:pPr>
            <w:r>
              <w:rPr>
                <w:rFonts w:ascii="Arial" w:eastAsia="Arial" w:hAnsi="Arial"/>
                <w:b/>
                <w:color w:val="000000"/>
                <w:sz w:val="20"/>
              </w:rPr>
              <w:t>Proses Atık Isısı</w:t>
            </w:r>
          </w:p>
        </w:tc>
        <w:tc>
          <w:tcPr>
            <w:tcW w:w="579"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0,000</w:t>
            </w:r>
          </w:p>
        </w:tc>
        <w:tc>
          <w:tcPr>
            <w:tcW w:w="630"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0,000</w:t>
            </w:r>
          </w:p>
        </w:tc>
        <w:tc>
          <w:tcPr>
            <w:tcW w:w="717"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0,000</w:t>
            </w:r>
          </w:p>
        </w:tc>
        <w:tc>
          <w:tcPr>
            <w:tcW w:w="520"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0,000</w:t>
            </w:r>
          </w:p>
        </w:tc>
        <w:tc>
          <w:tcPr>
            <w:tcW w:w="764"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161,945</w:t>
            </w:r>
          </w:p>
        </w:tc>
        <w:tc>
          <w:tcPr>
            <w:tcW w:w="642"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14</w:t>
            </w:r>
          </w:p>
        </w:tc>
      </w:tr>
      <w:tr w:rsidR="00537FF1" w:rsidRPr="005030E7" w:rsidTr="004B6C76">
        <w:trPr>
          <w:trHeight w:val="340"/>
        </w:trPr>
        <w:tc>
          <w:tcPr>
            <w:tcW w:w="463" w:type="pct"/>
            <w:vMerge/>
            <w:vAlign w:val="center"/>
            <w:hideMark/>
          </w:tcPr>
          <w:p w:rsidR="00537FF1" w:rsidRPr="005030E7" w:rsidRDefault="00537FF1" w:rsidP="00537FF1">
            <w:pPr>
              <w:spacing w:after="0" w:line="240" w:lineRule="auto"/>
              <w:jc w:val="left"/>
              <w:rPr>
                <w:rFonts w:ascii="Calibri" w:eastAsia="Times New Roman" w:hAnsi="Calibri" w:cs="Calibri"/>
                <w:b/>
                <w:bCs/>
                <w:color w:val="000000"/>
                <w:lang w:eastAsia="tr-TR"/>
              </w:rPr>
            </w:pPr>
          </w:p>
        </w:tc>
        <w:tc>
          <w:tcPr>
            <w:tcW w:w="686" w:type="pct"/>
            <w:shd w:val="clear" w:color="auto" w:fill="auto"/>
            <w:hideMark/>
          </w:tcPr>
          <w:p w:rsidR="00537FF1" w:rsidRPr="005030E7" w:rsidRDefault="00151CF9" w:rsidP="00537FF1">
            <w:pPr>
              <w:spacing w:after="0" w:line="240" w:lineRule="auto"/>
              <w:rPr>
                <w:rFonts w:ascii="Calibri" w:eastAsia="Times New Roman" w:hAnsi="Calibri" w:cs="Calibri"/>
                <w:b/>
                <w:bCs/>
                <w:color w:val="000000"/>
                <w:lang w:eastAsia="tr-TR"/>
              </w:rPr>
            </w:pPr>
            <w:r>
              <w:rPr>
                <w:rFonts w:ascii="Arial" w:eastAsia="Arial" w:hAnsi="Arial"/>
                <w:b/>
                <w:color w:val="000000"/>
                <w:sz w:val="20"/>
              </w:rPr>
              <w:t>Rüzgâr</w:t>
            </w:r>
          </w:p>
        </w:tc>
        <w:tc>
          <w:tcPr>
            <w:tcW w:w="579"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266,195</w:t>
            </w:r>
          </w:p>
        </w:tc>
        <w:tc>
          <w:tcPr>
            <w:tcW w:w="630"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626,690</w:t>
            </w:r>
          </w:p>
        </w:tc>
        <w:tc>
          <w:tcPr>
            <w:tcW w:w="717"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346,895</w:t>
            </w:r>
          </w:p>
        </w:tc>
        <w:tc>
          <w:tcPr>
            <w:tcW w:w="520"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11,200</w:t>
            </w:r>
          </w:p>
        </w:tc>
        <w:tc>
          <w:tcPr>
            <w:tcW w:w="764"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13.397,045</w:t>
            </w:r>
          </w:p>
        </w:tc>
        <w:tc>
          <w:tcPr>
            <w:tcW w:w="642"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287</w:t>
            </w:r>
          </w:p>
        </w:tc>
      </w:tr>
      <w:tr w:rsidR="00537FF1" w:rsidRPr="005030E7" w:rsidTr="004B6C76">
        <w:trPr>
          <w:trHeight w:val="340"/>
        </w:trPr>
        <w:tc>
          <w:tcPr>
            <w:tcW w:w="463" w:type="pct"/>
            <w:vMerge/>
            <w:vAlign w:val="center"/>
            <w:hideMark/>
          </w:tcPr>
          <w:p w:rsidR="00537FF1" w:rsidRPr="005030E7" w:rsidRDefault="00537FF1" w:rsidP="00537FF1">
            <w:pPr>
              <w:spacing w:after="0" w:line="240" w:lineRule="auto"/>
              <w:jc w:val="left"/>
              <w:rPr>
                <w:rFonts w:ascii="Calibri" w:eastAsia="Times New Roman" w:hAnsi="Calibri" w:cs="Calibri"/>
                <w:b/>
                <w:bCs/>
                <w:color w:val="000000"/>
                <w:lang w:eastAsia="tr-TR"/>
              </w:rPr>
            </w:pPr>
          </w:p>
        </w:tc>
        <w:tc>
          <w:tcPr>
            <w:tcW w:w="686" w:type="pct"/>
            <w:shd w:val="clear" w:color="auto" w:fill="auto"/>
            <w:hideMark/>
          </w:tcPr>
          <w:p w:rsidR="00537FF1" w:rsidRPr="005030E7" w:rsidRDefault="00537FF1" w:rsidP="00537FF1">
            <w:pPr>
              <w:spacing w:after="0" w:line="240" w:lineRule="auto"/>
              <w:rPr>
                <w:rFonts w:ascii="Calibri" w:eastAsia="Times New Roman" w:hAnsi="Calibri" w:cs="Calibri"/>
                <w:b/>
                <w:bCs/>
                <w:color w:val="000000"/>
                <w:lang w:eastAsia="tr-TR"/>
              </w:rPr>
            </w:pPr>
            <w:r>
              <w:rPr>
                <w:rFonts w:ascii="Arial" w:eastAsia="Arial" w:hAnsi="Arial"/>
                <w:b/>
                <w:color w:val="000000"/>
                <w:sz w:val="20"/>
              </w:rPr>
              <w:t>Uranyum</w:t>
            </w:r>
          </w:p>
        </w:tc>
        <w:tc>
          <w:tcPr>
            <w:tcW w:w="579"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0,000</w:t>
            </w:r>
          </w:p>
        </w:tc>
        <w:tc>
          <w:tcPr>
            <w:tcW w:w="630"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0,000</w:t>
            </w:r>
          </w:p>
        </w:tc>
        <w:tc>
          <w:tcPr>
            <w:tcW w:w="717"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0,000</w:t>
            </w:r>
          </w:p>
        </w:tc>
        <w:tc>
          <w:tcPr>
            <w:tcW w:w="520"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0,000</w:t>
            </w:r>
          </w:p>
        </w:tc>
        <w:tc>
          <w:tcPr>
            <w:tcW w:w="764"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4.800,000</w:t>
            </w:r>
          </w:p>
        </w:tc>
        <w:tc>
          <w:tcPr>
            <w:tcW w:w="642"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1</w:t>
            </w:r>
          </w:p>
        </w:tc>
      </w:tr>
      <w:tr w:rsidR="00537FF1" w:rsidRPr="005030E7" w:rsidTr="004B6C76">
        <w:trPr>
          <w:trHeight w:val="340"/>
        </w:trPr>
        <w:tc>
          <w:tcPr>
            <w:tcW w:w="463" w:type="pct"/>
            <w:vMerge/>
            <w:vAlign w:val="center"/>
            <w:hideMark/>
          </w:tcPr>
          <w:p w:rsidR="00537FF1" w:rsidRPr="005030E7" w:rsidRDefault="00537FF1" w:rsidP="00537FF1">
            <w:pPr>
              <w:spacing w:after="0" w:line="240" w:lineRule="auto"/>
              <w:jc w:val="left"/>
              <w:rPr>
                <w:rFonts w:ascii="Calibri" w:eastAsia="Times New Roman" w:hAnsi="Calibri" w:cs="Calibri"/>
                <w:b/>
                <w:bCs/>
                <w:color w:val="000000"/>
                <w:lang w:eastAsia="tr-TR"/>
              </w:rPr>
            </w:pPr>
          </w:p>
        </w:tc>
        <w:tc>
          <w:tcPr>
            <w:tcW w:w="686" w:type="pct"/>
            <w:shd w:val="clear" w:color="auto" w:fill="auto"/>
            <w:hideMark/>
          </w:tcPr>
          <w:p w:rsidR="00537FF1" w:rsidRPr="005030E7" w:rsidRDefault="00537FF1" w:rsidP="00537FF1">
            <w:pPr>
              <w:spacing w:after="0" w:line="240" w:lineRule="auto"/>
              <w:rPr>
                <w:rFonts w:ascii="Calibri" w:eastAsia="Times New Roman" w:hAnsi="Calibri" w:cs="Calibri"/>
                <w:b/>
                <w:bCs/>
                <w:color w:val="000000"/>
                <w:lang w:eastAsia="tr-TR"/>
              </w:rPr>
            </w:pPr>
            <w:r>
              <w:rPr>
                <w:rFonts w:ascii="Arial" w:eastAsia="Arial" w:hAnsi="Arial"/>
                <w:b/>
                <w:color w:val="000000"/>
                <w:sz w:val="20"/>
              </w:rPr>
              <w:t>Yerli Asfaltit</w:t>
            </w:r>
          </w:p>
        </w:tc>
        <w:tc>
          <w:tcPr>
            <w:tcW w:w="579"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0,000</w:t>
            </w:r>
          </w:p>
        </w:tc>
        <w:tc>
          <w:tcPr>
            <w:tcW w:w="630"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0,000</w:t>
            </w:r>
          </w:p>
        </w:tc>
        <w:tc>
          <w:tcPr>
            <w:tcW w:w="717"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0,000</w:t>
            </w:r>
          </w:p>
        </w:tc>
        <w:tc>
          <w:tcPr>
            <w:tcW w:w="520"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0,000</w:t>
            </w:r>
          </w:p>
        </w:tc>
        <w:tc>
          <w:tcPr>
            <w:tcW w:w="764"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405,000</w:t>
            </w:r>
          </w:p>
        </w:tc>
        <w:tc>
          <w:tcPr>
            <w:tcW w:w="642"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1</w:t>
            </w:r>
          </w:p>
        </w:tc>
      </w:tr>
      <w:tr w:rsidR="00537FF1" w:rsidRPr="005030E7" w:rsidTr="004B6C76">
        <w:trPr>
          <w:trHeight w:val="340"/>
        </w:trPr>
        <w:tc>
          <w:tcPr>
            <w:tcW w:w="463" w:type="pct"/>
            <w:vMerge/>
            <w:vAlign w:val="center"/>
            <w:hideMark/>
          </w:tcPr>
          <w:p w:rsidR="00537FF1" w:rsidRPr="005030E7" w:rsidRDefault="00537FF1" w:rsidP="00537FF1">
            <w:pPr>
              <w:spacing w:after="0" w:line="240" w:lineRule="auto"/>
              <w:jc w:val="left"/>
              <w:rPr>
                <w:rFonts w:ascii="Calibri" w:eastAsia="Times New Roman" w:hAnsi="Calibri" w:cs="Calibri"/>
                <w:b/>
                <w:bCs/>
                <w:color w:val="000000"/>
                <w:lang w:eastAsia="tr-TR"/>
              </w:rPr>
            </w:pPr>
          </w:p>
        </w:tc>
        <w:tc>
          <w:tcPr>
            <w:tcW w:w="686" w:type="pct"/>
            <w:shd w:val="clear" w:color="auto" w:fill="auto"/>
            <w:hideMark/>
          </w:tcPr>
          <w:p w:rsidR="00537FF1" w:rsidRPr="005030E7" w:rsidRDefault="00537FF1" w:rsidP="00537FF1">
            <w:pPr>
              <w:spacing w:after="0" w:line="240" w:lineRule="auto"/>
              <w:rPr>
                <w:rFonts w:ascii="Calibri" w:eastAsia="Times New Roman" w:hAnsi="Calibri" w:cs="Calibri"/>
                <w:b/>
                <w:bCs/>
                <w:color w:val="000000"/>
                <w:lang w:eastAsia="tr-TR"/>
              </w:rPr>
            </w:pPr>
            <w:r>
              <w:rPr>
                <w:rFonts w:ascii="Arial" w:eastAsia="Arial" w:hAnsi="Arial"/>
                <w:b/>
                <w:color w:val="000000"/>
                <w:sz w:val="20"/>
              </w:rPr>
              <w:t>Yerli Kömür</w:t>
            </w:r>
          </w:p>
        </w:tc>
        <w:tc>
          <w:tcPr>
            <w:tcW w:w="579"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0,000</w:t>
            </w:r>
          </w:p>
        </w:tc>
        <w:tc>
          <w:tcPr>
            <w:tcW w:w="630"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0,000</w:t>
            </w:r>
          </w:p>
        </w:tc>
        <w:tc>
          <w:tcPr>
            <w:tcW w:w="717"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0,000</w:t>
            </w:r>
          </w:p>
        </w:tc>
        <w:tc>
          <w:tcPr>
            <w:tcW w:w="520"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500,000</w:t>
            </w:r>
          </w:p>
        </w:tc>
        <w:tc>
          <w:tcPr>
            <w:tcW w:w="764"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10.184,496</w:t>
            </w:r>
          </w:p>
        </w:tc>
        <w:tc>
          <w:tcPr>
            <w:tcW w:w="642" w:type="pct"/>
            <w:tcBorders>
              <w:top w:val="single" w:sz="7" w:space="0" w:color="D3D3D3"/>
              <w:left w:val="single" w:sz="7" w:space="0" w:color="D3D3D3"/>
              <w:bottom w:val="single" w:sz="7" w:space="0" w:color="D3D3D3"/>
              <w:right w:val="single" w:sz="7" w:space="0" w:color="D3D3D3"/>
            </w:tcBorders>
            <w:hideMark/>
          </w:tcPr>
          <w:p w:rsidR="00537FF1" w:rsidRPr="005030E7" w:rsidRDefault="00537FF1" w:rsidP="00537FF1">
            <w:pPr>
              <w:spacing w:after="0" w:line="240" w:lineRule="auto"/>
              <w:jc w:val="right"/>
              <w:rPr>
                <w:rFonts w:eastAsia="Times New Roman" w:cstheme="minorHAnsi"/>
                <w:color w:val="000000"/>
                <w:lang w:eastAsia="tr-TR"/>
              </w:rPr>
            </w:pPr>
            <w:r>
              <w:rPr>
                <w:rFonts w:ascii="Arial" w:eastAsia="Arial" w:hAnsi="Arial"/>
                <w:color w:val="000000"/>
                <w:sz w:val="20"/>
              </w:rPr>
              <w:t>23</w:t>
            </w:r>
          </w:p>
        </w:tc>
      </w:tr>
      <w:tr w:rsidR="00537FF1" w:rsidRPr="005030E7" w:rsidTr="004B6C76">
        <w:trPr>
          <w:trHeight w:val="340"/>
        </w:trPr>
        <w:tc>
          <w:tcPr>
            <w:tcW w:w="463" w:type="pct"/>
            <w:vMerge/>
            <w:vAlign w:val="center"/>
            <w:hideMark/>
          </w:tcPr>
          <w:p w:rsidR="00537FF1" w:rsidRPr="005030E7" w:rsidRDefault="00537FF1" w:rsidP="00537FF1">
            <w:pPr>
              <w:spacing w:after="0" w:line="240" w:lineRule="auto"/>
              <w:jc w:val="left"/>
              <w:rPr>
                <w:rFonts w:ascii="Calibri" w:eastAsia="Times New Roman" w:hAnsi="Calibri" w:cs="Calibri"/>
                <w:b/>
                <w:bCs/>
                <w:color w:val="000000"/>
                <w:lang w:eastAsia="tr-TR"/>
              </w:rPr>
            </w:pPr>
          </w:p>
        </w:tc>
        <w:tc>
          <w:tcPr>
            <w:tcW w:w="686" w:type="pct"/>
            <w:shd w:val="clear" w:color="000000" w:fill="6E9ECA"/>
            <w:hideMark/>
          </w:tcPr>
          <w:p w:rsidR="00537FF1" w:rsidRPr="005030E7" w:rsidRDefault="00537FF1" w:rsidP="00537FF1">
            <w:pPr>
              <w:spacing w:after="0" w:line="240" w:lineRule="auto"/>
              <w:jc w:val="right"/>
              <w:rPr>
                <w:rFonts w:ascii="Calibri" w:eastAsia="Times New Roman" w:hAnsi="Calibri" w:cs="Calibri"/>
                <w:b/>
                <w:bCs/>
                <w:color w:val="000000"/>
                <w:lang w:eastAsia="tr-TR"/>
              </w:rPr>
            </w:pPr>
            <w:r>
              <w:rPr>
                <w:rFonts w:ascii="Arial" w:eastAsia="Arial" w:hAnsi="Arial"/>
                <w:b/>
                <w:color w:val="000000"/>
                <w:sz w:val="20"/>
              </w:rPr>
              <w:t>Toplam</w:t>
            </w:r>
          </w:p>
        </w:tc>
        <w:tc>
          <w:tcPr>
            <w:tcW w:w="579" w:type="pct"/>
            <w:tcBorders>
              <w:top w:val="single" w:sz="7" w:space="0" w:color="D3D3D3"/>
              <w:left w:val="single" w:sz="7" w:space="0" w:color="D3D3D3"/>
              <w:bottom w:val="single" w:sz="7" w:space="0" w:color="D3D3D3"/>
              <w:right w:val="single" w:sz="7" w:space="0" w:color="D3D3D3"/>
            </w:tcBorders>
            <w:shd w:val="clear" w:color="auto" w:fill="6E9ECA"/>
            <w:hideMark/>
          </w:tcPr>
          <w:p w:rsidR="00537FF1" w:rsidRPr="005030E7" w:rsidRDefault="00537FF1" w:rsidP="00537FF1">
            <w:pPr>
              <w:spacing w:after="0" w:line="240" w:lineRule="auto"/>
              <w:jc w:val="right"/>
              <w:rPr>
                <w:rFonts w:eastAsia="Times New Roman" w:cstheme="minorHAnsi"/>
                <w:b/>
                <w:bCs/>
                <w:color w:val="000000"/>
                <w:lang w:eastAsia="tr-TR"/>
              </w:rPr>
            </w:pPr>
            <w:r>
              <w:rPr>
                <w:rFonts w:ascii="Arial" w:eastAsia="Arial" w:hAnsi="Arial"/>
                <w:b/>
                <w:color w:val="000000"/>
                <w:sz w:val="20"/>
              </w:rPr>
              <w:t>662,370</w:t>
            </w:r>
          </w:p>
        </w:tc>
        <w:tc>
          <w:tcPr>
            <w:tcW w:w="630" w:type="pct"/>
            <w:tcBorders>
              <w:top w:val="single" w:sz="7" w:space="0" w:color="D3D3D3"/>
              <w:left w:val="single" w:sz="7" w:space="0" w:color="D3D3D3"/>
              <w:bottom w:val="single" w:sz="7" w:space="0" w:color="D3D3D3"/>
              <w:right w:val="single" w:sz="7" w:space="0" w:color="D3D3D3"/>
            </w:tcBorders>
            <w:shd w:val="clear" w:color="auto" w:fill="6E9ECA"/>
            <w:hideMark/>
          </w:tcPr>
          <w:p w:rsidR="00537FF1" w:rsidRPr="005030E7" w:rsidRDefault="00537FF1" w:rsidP="00537FF1">
            <w:pPr>
              <w:spacing w:after="0" w:line="240" w:lineRule="auto"/>
              <w:jc w:val="right"/>
              <w:rPr>
                <w:rFonts w:eastAsia="Times New Roman" w:cstheme="minorHAnsi"/>
                <w:b/>
                <w:bCs/>
                <w:color w:val="000000"/>
                <w:lang w:eastAsia="tr-TR"/>
              </w:rPr>
            </w:pPr>
            <w:r>
              <w:rPr>
                <w:rFonts w:ascii="Arial" w:eastAsia="Arial" w:hAnsi="Arial"/>
                <w:b/>
                <w:color w:val="000000"/>
                <w:sz w:val="20"/>
              </w:rPr>
              <w:t>1.226,812</w:t>
            </w:r>
          </w:p>
        </w:tc>
        <w:tc>
          <w:tcPr>
            <w:tcW w:w="717" w:type="pct"/>
            <w:tcBorders>
              <w:top w:val="single" w:sz="7" w:space="0" w:color="D3D3D3"/>
              <w:left w:val="single" w:sz="7" w:space="0" w:color="D3D3D3"/>
              <w:bottom w:val="single" w:sz="7" w:space="0" w:color="D3D3D3"/>
              <w:right w:val="single" w:sz="7" w:space="0" w:color="D3D3D3"/>
            </w:tcBorders>
            <w:shd w:val="clear" w:color="auto" w:fill="6E9ECA"/>
            <w:hideMark/>
          </w:tcPr>
          <w:p w:rsidR="00537FF1" w:rsidRPr="005030E7" w:rsidRDefault="00537FF1" w:rsidP="00537FF1">
            <w:pPr>
              <w:spacing w:after="0" w:line="240" w:lineRule="auto"/>
              <w:jc w:val="right"/>
              <w:rPr>
                <w:rFonts w:eastAsia="Times New Roman" w:cstheme="minorHAnsi"/>
                <w:b/>
                <w:bCs/>
                <w:color w:val="000000"/>
                <w:lang w:eastAsia="tr-TR"/>
              </w:rPr>
            </w:pPr>
            <w:r>
              <w:rPr>
                <w:rFonts w:ascii="Arial" w:eastAsia="Arial" w:hAnsi="Arial"/>
                <w:b/>
                <w:color w:val="000000"/>
                <w:sz w:val="20"/>
              </w:rPr>
              <w:t>1.140,020</w:t>
            </w:r>
          </w:p>
        </w:tc>
        <w:tc>
          <w:tcPr>
            <w:tcW w:w="520" w:type="pct"/>
            <w:tcBorders>
              <w:top w:val="single" w:sz="7" w:space="0" w:color="D3D3D3"/>
              <w:left w:val="single" w:sz="7" w:space="0" w:color="D3D3D3"/>
              <w:bottom w:val="single" w:sz="7" w:space="0" w:color="D3D3D3"/>
              <w:right w:val="single" w:sz="7" w:space="0" w:color="D3D3D3"/>
            </w:tcBorders>
            <w:shd w:val="clear" w:color="auto" w:fill="6E9ECA"/>
            <w:hideMark/>
          </w:tcPr>
          <w:p w:rsidR="00537FF1" w:rsidRPr="005030E7" w:rsidRDefault="00537FF1" w:rsidP="00537FF1">
            <w:pPr>
              <w:spacing w:after="0" w:line="240" w:lineRule="auto"/>
              <w:jc w:val="right"/>
              <w:rPr>
                <w:rFonts w:eastAsia="Times New Roman" w:cstheme="minorHAnsi"/>
                <w:b/>
                <w:bCs/>
                <w:color w:val="000000"/>
                <w:lang w:eastAsia="tr-TR"/>
              </w:rPr>
            </w:pPr>
            <w:r>
              <w:rPr>
                <w:rFonts w:ascii="Arial" w:eastAsia="Arial" w:hAnsi="Arial"/>
                <w:b/>
                <w:color w:val="000000"/>
                <w:sz w:val="20"/>
              </w:rPr>
              <w:t>618,230</w:t>
            </w:r>
          </w:p>
        </w:tc>
        <w:tc>
          <w:tcPr>
            <w:tcW w:w="764" w:type="pct"/>
            <w:tcBorders>
              <w:top w:val="single" w:sz="7" w:space="0" w:color="D3D3D3"/>
              <w:left w:val="single" w:sz="7" w:space="0" w:color="D3D3D3"/>
              <w:bottom w:val="single" w:sz="7" w:space="0" w:color="D3D3D3"/>
              <w:right w:val="single" w:sz="7" w:space="0" w:color="D3D3D3"/>
            </w:tcBorders>
            <w:shd w:val="clear" w:color="auto" w:fill="6E9ECA"/>
            <w:hideMark/>
          </w:tcPr>
          <w:p w:rsidR="00537FF1" w:rsidRPr="005030E7" w:rsidRDefault="00537FF1" w:rsidP="00537FF1">
            <w:pPr>
              <w:spacing w:after="0" w:line="240" w:lineRule="auto"/>
              <w:jc w:val="right"/>
              <w:rPr>
                <w:rFonts w:eastAsia="Times New Roman" w:cstheme="minorHAnsi"/>
                <w:b/>
                <w:bCs/>
                <w:color w:val="000000"/>
                <w:lang w:eastAsia="tr-TR"/>
              </w:rPr>
            </w:pPr>
            <w:r>
              <w:rPr>
                <w:rFonts w:ascii="Arial" w:eastAsia="Arial" w:hAnsi="Arial"/>
                <w:b/>
                <w:color w:val="000000"/>
                <w:sz w:val="20"/>
              </w:rPr>
              <w:t>109.949,572</w:t>
            </w:r>
          </w:p>
        </w:tc>
        <w:tc>
          <w:tcPr>
            <w:tcW w:w="642" w:type="pct"/>
            <w:tcBorders>
              <w:top w:val="single" w:sz="7" w:space="0" w:color="D3D3D3"/>
              <w:left w:val="single" w:sz="7" w:space="0" w:color="D3D3D3"/>
              <w:bottom w:val="single" w:sz="7" w:space="0" w:color="D3D3D3"/>
              <w:right w:val="single" w:sz="7" w:space="0" w:color="D3D3D3"/>
            </w:tcBorders>
            <w:shd w:val="clear" w:color="auto" w:fill="6E9ECA"/>
            <w:hideMark/>
          </w:tcPr>
          <w:p w:rsidR="00537FF1" w:rsidRPr="005030E7" w:rsidRDefault="00537FF1" w:rsidP="00537FF1">
            <w:pPr>
              <w:spacing w:after="0" w:line="240" w:lineRule="auto"/>
              <w:jc w:val="right"/>
              <w:rPr>
                <w:rFonts w:eastAsia="Times New Roman" w:cstheme="minorHAnsi"/>
                <w:b/>
                <w:bCs/>
                <w:color w:val="000000"/>
                <w:lang w:eastAsia="tr-TR"/>
              </w:rPr>
            </w:pPr>
            <w:r>
              <w:rPr>
                <w:rFonts w:ascii="Arial" w:eastAsia="Arial" w:hAnsi="Arial"/>
                <w:b/>
                <w:color w:val="000000"/>
                <w:sz w:val="20"/>
              </w:rPr>
              <w:t>1</w:t>
            </w:r>
            <w:r w:rsidR="004B6C76">
              <w:rPr>
                <w:rFonts w:ascii="Arial" w:eastAsia="Arial" w:hAnsi="Arial"/>
                <w:b/>
                <w:color w:val="000000"/>
                <w:sz w:val="20"/>
              </w:rPr>
              <w:t>.</w:t>
            </w:r>
            <w:r>
              <w:rPr>
                <w:rFonts w:ascii="Arial" w:eastAsia="Arial" w:hAnsi="Arial"/>
                <w:b/>
                <w:color w:val="000000"/>
                <w:sz w:val="20"/>
              </w:rPr>
              <w:t>890</w:t>
            </w:r>
          </w:p>
        </w:tc>
      </w:tr>
      <w:tr w:rsidR="004B6C76" w:rsidRPr="005030E7" w:rsidTr="004B6C76">
        <w:trPr>
          <w:trHeight w:val="340"/>
        </w:trPr>
        <w:tc>
          <w:tcPr>
            <w:tcW w:w="1149" w:type="pct"/>
            <w:gridSpan w:val="2"/>
            <w:shd w:val="clear" w:color="auto" w:fill="6E9ECA"/>
            <w:vAlign w:val="center"/>
            <w:hideMark/>
          </w:tcPr>
          <w:p w:rsidR="004B6C76" w:rsidRPr="005030E7" w:rsidRDefault="004B6C76" w:rsidP="004B6C76">
            <w:pPr>
              <w:spacing w:after="0" w:line="240" w:lineRule="auto"/>
              <w:jc w:val="right"/>
              <w:rPr>
                <w:rFonts w:ascii="Calibri" w:eastAsia="Times New Roman" w:hAnsi="Calibri" w:cs="Calibri"/>
                <w:b/>
                <w:bCs/>
                <w:color w:val="000000"/>
                <w:lang w:eastAsia="tr-TR"/>
              </w:rPr>
            </w:pPr>
            <w:r w:rsidRPr="005030E7">
              <w:rPr>
                <w:rFonts w:ascii="Calibri" w:eastAsia="Times New Roman" w:hAnsi="Calibri" w:cs="Calibri"/>
                <w:b/>
                <w:bCs/>
                <w:color w:val="000000"/>
                <w:lang w:eastAsia="tr-TR"/>
              </w:rPr>
              <w:t>Genel Toplam</w:t>
            </w:r>
          </w:p>
        </w:tc>
        <w:tc>
          <w:tcPr>
            <w:tcW w:w="579" w:type="pct"/>
            <w:tcBorders>
              <w:top w:val="single" w:sz="7" w:space="0" w:color="D3D3D3"/>
              <w:left w:val="single" w:sz="7" w:space="0" w:color="D3D3D3"/>
              <w:bottom w:val="single" w:sz="7" w:space="0" w:color="D3D3D3"/>
              <w:right w:val="single" w:sz="7" w:space="0" w:color="D3D3D3"/>
            </w:tcBorders>
            <w:shd w:val="clear" w:color="auto" w:fill="6E9ECA"/>
            <w:hideMark/>
          </w:tcPr>
          <w:p w:rsidR="004B6C76" w:rsidRPr="005030E7" w:rsidRDefault="004B6C76" w:rsidP="004B6C76">
            <w:pPr>
              <w:spacing w:after="0" w:line="240" w:lineRule="auto"/>
              <w:jc w:val="right"/>
              <w:rPr>
                <w:rFonts w:eastAsia="Times New Roman" w:cstheme="minorHAnsi"/>
                <w:b/>
                <w:bCs/>
                <w:color w:val="000000"/>
                <w:lang w:eastAsia="tr-TR"/>
              </w:rPr>
            </w:pPr>
            <w:r>
              <w:rPr>
                <w:rFonts w:ascii="Arial" w:eastAsia="Arial" w:hAnsi="Arial"/>
                <w:b/>
                <w:color w:val="000000"/>
                <w:sz w:val="20"/>
              </w:rPr>
              <w:t>19.249,043</w:t>
            </w:r>
          </w:p>
        </w:tc>
        <w:tc>
          <w:tcPr>
            <w:tcW w:w="630" w:type="pct"/>
            <w:tcBorders>
              <w:top w:val="single" w:sz="7" w:space="0" w:color="D3D3D3"/>
              <w:left w:val="single" w:sz="7" w:space="0" w:color="D3D3D3"/>
              <w:bottom w:val="single" w:sz="7" w:space="0" w:color="D3D3D3"/>
              <w:right w:val="single" w:sz="7" w:space="0" w:color="D3D3D3"/>
            </w:tcBorders>
            <w:shd w:val="clear" w:color="auto" w:fill="6E9ECA"/>
            <w:hideMark/>
          </w:tcPr>
          <w:p w:rsidR="004B6C76" w:rsidRPr="005030E7" w:rsidRDefault="004B6C76" w:rsidP="004B6C76">
            <w:pPr>
              <w:spacing w:after="0" w:line="240" w:lineRule="auto"/>
              <w:jc w:val="right"/>
              <w:rPr>
                <w:rFonts w:eastAsia="Times New Roman" w:cstheme="minorHAnsi"/>
                <w:b/>
                <w:bCs/>
                <w:color w:val="000000"/>
                <w:lang w:eastAsia="tr-TR"/>
              </w:rPr>
            </w:pPr>
            <w:r>
              <w:rPr>
                <w:rFonts w:ascii="Arial" w:eastAsia="Arial" w:hAnsi="Arial"/>
                <w:b/>
                <w:color w:val="000000"/>
                <w:sz w:val="20"/>
              </w:rPr>
              <w:t>3.481,913</w:t>
            </w:r>
          </w:p>
        </w:tc>
        <w:tc>
          <w:tcPr>
            <w:tcW w:w="717" w:type="pct"/>
            <w:tcBorders>
              <w:top w:val="single" w:sz="7" w:space="0" w:color="D3D3D3"/>
              <w:left w:val="single" w:sz="7" w:space="0" w:color="D3D3D3"/>
              <w:bottom w:val="single" w:sz="7" w:space="0" w:color="D3D3D3"/>
              <w:right w:val="single" w:sz="7" w:space="0" w:color="D3D3D3"/>
            </w:tcBorders>
            <w:shd w:val="clear" w:color="auto" w:fill="6E9ECA"/>
            <w:hideMark/>
          </w:tcPr>
          <w:p w:rsidR="004B6C76" w:rsidRPr="005030E7" w:rsidRDefault="004B6C76" w:rsidP="004B6C76">
            <w:pPr>
              <w:spacing w:after="0" w:line="240" w:lineRule="auto"/>
              <w:jc w:val="right"/>
              <w:rPr>
                <w:rFonts w:eastAsia="Times New Roman" w:cstheme="minorHAnsi"/>
                <w:b/>
                <w:bCs/>
                <w:color w:val="000000"/>
                <w:lang w:eastAsia="tr-TR"/>
              </w:rPr>
            </w:pPr>
            <w:r>
              <w:rPr>
                <w:rFonts w:ascii="Arial" w:eastAsia="Arial" w:hAnsi="Arial"/>
                <w:b/>
                <w:color w:val="000000"/>
                <w:sz w:val="20"/>
              </w:rPr>
              <w:t>2.199,990</w:t>
            </w:r>
          </w:p>
        </w:tc>
        <w:tc>
          <w:tcPr>
            <w:tcW w:w="520" w:type="pct"/>
            <w:tcBorders>
              <w:top w:val="single" w:sz="7" w:space="0" w:color="D3D3D3"/>
              <w:left w:val="single" w:sz="7" w:space="0" w:color="D3D3D3"/>
              <w:bottom w:val="single" w:sz="7" w:space="0" w:color="D3D3D3"/>
              <w:right w:val="single" w:sz="7" w:space="0" w:color="D3D3D3"/>
            </w:tcBorders>
            <w:shd w:val="clear" w:color="auto" w:fill="6E9ECA"/>
            <w:hideMark/>
          </w:tcPr>
          <w:p w:rsidR="004B6C76" w:rsidRPr="005030E7" w:rsidRDefault="004B6C76" w:rsidP="004B6C76">
            <w:pPr>
              <w:spacing w:after="0" w:line="240" w:lineRule="auto"/>
              <w:jc w:val="right"/>
              <w:rPr>
                <w:rFonts w:eastAsia="Times New Roman" w:cstheme="minorHAnsi"/>
                <w:b/>
                <w:bCs/>
                <w:color w:val="000000"/>
                <w:lang w:eastAsia="tr-TR"/>
              </w:rPr>
            </w:pPr>
            <w:r>
              <w:rPr>
                <w:rFonts w:ascii="Arial" w:eastAsia="Arial" w:hAnsi="Arial"/>
                <w:b/>
                <w:color w:val="000000"/>
                <w:sz w:val="20"/>
              </w:rPr>
              <w:t>634,270</w:t>
            </w:r>
          </w:p>
        </w:tc>
        <w:tc>
          <w:tcPr>
            <w:tcW w:w="764" w:type="pct"/>
            <w:tcBorders>
              <w:top w:val="single" w:sz="7" w:space="0" w:color="D3D3D3"/>
              <w:left w:val="single" w:sz="7" w:space="0" w:color="D3D3D3"/>
              <w:bottom w:val="single" w:sz="7" w:space="0" w:color="D3D3D3"/>
              <w:right w:val="single" w:sz="7" w:space="0" w:color="D3D3D3"/>
            </w:tcBorders>
            <w:shd w:val="clear" w:color="auto" w:fill="6E9ECA"/>
            <w:hideMark/>
          </w:tcPr>
          <w:p w:rsidR="004B6C76" w:rsidRPr="005030E7" w:rsidRDefault="004B6C76" w:rsidP="004B6C76">
            <w:pPr>
              <w:spacing w:after="0" w:line="240" w:lineRule="auto"/>
              <w:jc w:val="right"/>
              <w:rPr>
                <w:rFonts w:eastAsia="Times New Roman" w:cstheme="minorHAnsi"/>
                <w:b/>
                <w:bCs/>
                <w:color w:val="000000"/>
                <w:lang w:eastAsia="tr-TR"/>
              </w:rPr>
            </w:pPr>
            <w:r>
              <w:rPr>
                <w:rFonts w:ascii="Arial" w:eastAsia="Arial" w:hAnsi="Arial"/>
                <w:b/>
                <w:color w:val="000000"/>
                <w:sz w:val="20"/>
              </w:rPr>
              <w:t>118.025,175</w:t>
            </w:r>
          </w:p>
        </w:tc>
        <w:tc>
          <w:tcPr>
            <w:tcW w:w="642" w:type="pct"/>
            <w:tcBorders>
              <w:top w:val="single" w:sz="7" w:space="0" w:color="D3D3D3"/>
              <w:left w:val="single" w:sz="7" w:space="0" w:color="D3D3D3"/>
              <w:bottom w:val="single" w:sz="7" w:space="0" w:color="D3D3D3"/>
              <w:right w:val="single" w:sz="7" w:space="0" w:color="D3D3D3"/>
            </w:tcBorders>
            <w:shd w:val="clear" w:color="auto" w:fill="6E9ECA"/>
            <w:hideMark/>
          </w:tcPr>
          <w:p w:rsidR="004B6C76" w:rsidRPr="005030E7" w:rsidRDefault="004B6C76" w:rsidP="004B6C76">
            <w:pPr>
              <w:spacing w:after="0" w:line="240" w:lineRule="auto"/>
              <w:jc w:val="right"/>
              <w:rPr>
                <w:rFonts w:eastAsia="Times New Roman" w:cstheme="minorHAnsi"/>
                <w:b/>
                <w:bCs/>
                <w:color w:val="000000"/>
                <w:lang w:eastAsia="tr-TR"/>
              </w:rPr>
            </w:pPr>
            <w:r>
              <w:rPr>
                <w:rFonts w:ascii="Arial" w:eastAsia="Arial" w:hAnsi="Arial"/>
                <w:b/>
                <w:color w:val="000000"/>
                <w:sz w:val="20"/>
              </w:rPr>
              <w:t>2.156</w:t>
            </w:r>
          </w:p>
        </w:tc>
      </w:tr>
    </w:tbl>
    <w:p w:rsidR="00CB5826" w:rsidRPr="001D08CC" w:rsidRDefault="00CB5826" w:rsidP="000A5A56">
      <w:pPr>
        <w:pStyle w:val="Balk3"/>
        <w:numPr>
          <w:ilvl w:val="2"/>
          <w:numId w:val="11"/>
        </w:numPr>
        <w:spacing w:after="240"/>
        <w:rPr>
          <w:rFonts w:asciiTheme="minorHAnsi" w:hAnsiTheme="minorHAnsi"/>
          <w:color w:val="auto"/>
        </w:rPr>
      </w:pPr>
      <w:bookmarkStart w:id="154" w:name="_Toc442431257"/>
      <w:bookmarkStart w:id="155" w:name="_Toc132713785"/>
      <w:bookmarkEnd w:id="152"/>
      <w:r w:rsidRPr="001D08CC">
        <w:rPr>
          <w:rFonts w:asciiTheme="minorHAnsi" w:hAnsiTheme="minorHAnsi"/>
          <w:color w:val="auto"/>
        </w:rPr>
        <w:t>İthalat ve İhracat İzinleri</w:t>
      </w:r>
      <w:bookmarkEnd w:id="154"/>
      <w:bookmarkEnd w:id="155"/>
    </w:p>
    <w:p w:rsidR="00CB5826" w:rsidRPr="00E9291A" w:rsidRDefault="00CB5826" w:rsidP="00CF408B">
      <w:pPr>
        <w:tabs>
          <w:tab w:val="left" w:pos="284"/>
          <w:tab w:val="left" w:pos="567"/>
          <w:tab w:val="left" w:pos="709"/>
          <w:tab w:val="left" w:pos="851"/>
        </w:tabs>
        <w:spacing w:after="0"/>
        <w:contextualSpacing/>
        <w:rPr>
          <w:rFonts w:eastAsia="Times New Roman"/>
          <w:lang w:eastAsia="tr-TR"/>
        </w:rPr>
      </w:pPr>
      <w:r w:rsidRPr="00E9291A">
        <w:rPr>
          <w:rFonts w:eastAsia="Times New Roman"/>
          <w:lang w:eastAsia="tr-TR"/>
        </w:rPr>
        <w:t>Tedarik lisansı sahibi tüzel kişiler ithalat ve/veya ihracat; üretim lisansı sahibi tüzel kişiler de ihracat faaliyetinde bulunabilmektedirler. Bu çerçevede;</w:t>
      </w:r>
    </w:p>
    <w:p w:rsidR="00CB5826" w:rsidRPr="00E9291A" w:rsidRDefault="00CB5826" w:rsidP="001F0872">
      <w:pPr>
        <w:tabs>
          <w:tab w:val="left" w:pos="284"/>
          <w:tab w:val="left" w:pos="567"/>
          <w:tab w:val="left" w:pos="709"/>
          <w:tab w:val="left" w:pos="851"/>
        </w:tabs>
        <w:spacing w:after="0"/>
        <w:contextualSpacing/>
      </w:pPr>
    </w:p>
    <w:p w:rsidR="00CB5826" w:rsidRDefault="000A1FA3" w:rsidP="000A5A56">
      <w:pPr>
        <w:pStyle w:val="ListeParagraf"/>
        <w:numPr>
          <w:ilvl w:val="0"/>
          <w:numId w:val="9"/>
        </w:numPr>
        <w:tabs>
          <w:tab w:val="left" w:pos="284"/>
          <w:tab w:val="left" w:pos="567"/>
          <w:tab w:val="left" w:pos="709"/>
          <w:tab w:val="left" w:pos="851"/>
        </w:tabs>
        <w:spacing w:after="0"/>
      </w:pPr>
      <w:r w:rsidRPr="009E5618">
        <w:t xml:space="preserve">   </w:t>
      </w:r>
      <w:r w:rsidR="00602267">
        <w:t>11.06.</w:t>
      </w:r>
      <w:r w:rsidR="00CB5826" w:rsidRPr="00433536">
        <w:t>2013 tarih</w:t>
      </w:r>
      <w:r w:rsidR="00CB5826">
        <w:t xml:space="preserve">li ve 28674 sayılı </w:t>
      </w:r>
      <w:r w:rsidR="00DC783D">
        <w:t>Resmî</w:t>
      </w:r>
      <w:r w:rsidR="00CB5826">
        <w:t xml:space="preserve"> </w:t>
      </w:r>
      <w:r w:rsidR="00274939">
        <w:t>Gazetede</w:t>
      </w:r>
      <w:r w:rsidR="00CB5826" w:rsidRPr="00433536">
        <w:t xml:space="preserve"> yayımlanarak yürürlüğe giren </w:t>
      </w:r>
      <w:r w:rsidR="00CB5826" w:rsidRPr="00602267">
        <w:rPr>
          <w:i/>
        </w:rPr>
        <w:t>“Türkiye Cumhuriyeti ve Gürcistan Arasında Ahıska-Borçka Enterkonneksiyon Hattı Yoluyla Sınır Ötesi Elektrik Ticaretine İlişkin Anlaşmanın Onaylanmasının Uygun Bulunduğuna Dair 6490 Sayılı Kanun”</w:t>
      </w:r>
      <w:r w:rsidR="00CB5826" w:rsidRPr="00433536">
        <w:t xml:space="preserve"> ve Türkiye ve Gürcistan Enerji Bakanlıkları arasında imzalanmış olan </w:t>
      </w:r>
      <w:r w:rsidR="00602267" w:rsidRPr="00433536">
        <w:t>20.01.2012</w:t>
      </w:r>
      <w:r w:rsidR="00CB5826" w:rsidRPr="00433536">
        <w:t xml:space="preserve"> tarihli Türkiye-Gürcistan Sınır Ötesi Elektrik Ticareti Anlaşması’nın </w:t>
      </w:r>
      <w:r w:rsidR="00CB5826" w:rsidRPr="00602267">
        <w:rPr>
          <w:i/>
        </w:rPr>
        <w:t>“Kullanıma Açık Kapasite (KAK) ve Kapasitenin Tahsisi”</w:t>
      </w:r>
      <w:r w:rsidR="00FF7F61">
        <w:t xml:space="preserve"> başlıklı 6 </w:t>
      </w:r>
      <w:r w:rsidR="00CB5826" w:rsidRPr="00433536">
        <w:t xml:space="preserve">ncı maddesinin (b) bendinde yer alan </w:t>
      </w:r>
      <w:r w:rsidR="00CB5826" w:rsidRPr="00433536">
        <w:rPr>
          <w:i/>
        </w:rPr>
        <w:t>“Her halükarda, KAK’ın tahsis edileceği şirket, ihracatçı ülke tarafından belirlenecektir.”</w:t>
      </w:r>
      <w:r w:rsidR="00CB5826" w:rsidRPr="00433536">
        <w:t xml:space="preserve"> hükmü gereği</w:t>
      </w:r>
      <w:r w:rsidR="00602267">
        <w:t xml:space="preserve"> ve TEİAŞ Yönetim Kurulu’nun 11.09.</w:t>
      </w:r>
      <w:r w:rsidR="00CB5826" w:rsidRPr="00433536">
        <w:t>2013 tarihli ve 31-429 sayılı Kararı ile yürürlüğe giren, TEİAŞ Genel Müdürlüğü ve Gürcistan Elektrik Şirk</w:t>
      </w:r>
      <w:r w:rsidR="00602267">
        <w:t>eti (GSE) arasında imzalanan 19.09.</w:t>
      </w:r>
      <w:r w:rsidR="00CB5826" w:rsidRPr="00433536">
        <w:t>2013 tarihli Enterkonneksiyon İşletme Anlaşmasını</w:t>
      </w:r>
      <w:r w:rsidR="00FF7F61">
        <w:t xml:space="preserve">n “Kapasite Tahsisi” başlıklı 4 </w:t>
      </w:r>
      <w:r w:rsidR="00CB5826" w:rsidRPr="00433536">
        <w:t xml:space="preserve">üncü maddesinin 4. bendinde yer alan </w:t>
      </w:r>
      <w:r w:rsidR="00CB5826" w:rsidRPr="00433536">
        <w:rPr>
          <w:i/>
        </w:rPr>
        <w:t>“kapasite tahsisini elektrik ihracatı yapan Taraf yapacaktır”</w:t>
      </w:r>
      <w:r w:rsidR="00CB5826" w:rsidRPr="00433536">
        <w:t xml:space="preserve"> hükmü gereği; Türkiye-</w:t>
      </w:r>
      <w:r w:rsidR="00CB5826" w:rsidRPr="00433536">
        <w:lastRenderedPageBreak/>
        <w:t>Gü</w:t>
      </w:r>
      <w:r w:rsidR="00D47307">
        <w:t>rcistan arasında mevcut Borçka-</w:t>
      </w:r>
      <w:r w:rsidR="00CB5826" w:rsidRPr="00433536">
        <w:t>Akhaltsıkhe enerji iletim hattı üzerinden asenkron paralel işletme yöntemi ile elektrik enerjisi ithalatına ilişkin Kurum tarafından yapılacak lisans tadil işlemleri, bu kapsamda tesis edilmektedir.</w:t>
      </w:r>
    </w:p>
    <w:p w:rsidR="008E498A" w:rsidRDefault="008E498A" w:rsidP="008E498A">
      <w:pPr>
        <w:pStyle w:val="ListeParagraf"/>
        <w:tabs>
          <w:tab w:val="left" w:pos="284"/>
          <w:tab w:val="left" w:pos="567"/>
          <w:tab w:val="left" w:pos="709"/>
          <w:tab w:val="left" w:pos="851"/>
        </w:tabs>
        <w:spacing w:after="0"/>
      </w:pPr>
    </w:p>
    <w:p w:rsidR="00881DA9" w:rsidRDefault="00CB5826" w:rsidP="000A5A56">
      <w:pPr>
        <w:pStyle w:val="ListeParagraf"/>
        <w:numPr>
          <w:ilvl w:val="0"/>
          <w:numId w:val="9"/>
        </w:numPr>
      </w:pPr>
      <w:r w:rsidRPr="00433536">
        <w:t>Ayrıca, Türkiye elektrik sisteminin ENTSO-E Avrupa Kıtası Senkron Bölgesi sistemi</w:t>
      </w:r>
      <w:r w:rsidR="00602267">
        <w:t xml:space="preserve"> ile 18.</w:t>
      </w:r>
      <w:r w:rsidRPr="00433536">
        <w:t>09</w:t>
      </w:r>
      <w:r w:rsidR="00602267">
        <w:t>.</w:t>
      </w:r>
      <w:r w:rsidRPr="00433536">
        <w:t xml:space="preserve">2010 tarihinde başlatılan senkron paralel bağlantısı neticesinde, Bulgaristan, Yunanistan ve Türkiye arasında </w:t>
      </w:r>
      <w:r w:rsidR="008525DE">
        <w:t>AB</w:t>
      </w:r>
      <w:r w:rsidRPr="00433536">
        <w:t xml:space="preserve"> kuralları ve ENTSO-E uygulamaları doğrultusunda, Türkiye elektrik sistemi ve ENTSO-E Avrupa Kıtası Senkron Bölgesi arasında ticari elektrik enerjisi alışverişi için sınırlı miktarda kapasite tahsisine izin verilmiştir. Bu çerçevede, ENTSO-E bölgesi ile olan ticarete temel oluşturacak olan kapasite tahsisleri iki şekilde gerçekleştirilmektedir. İlk olarak Türkiye-Yunanistan hattı için </w:t>
      </w:r>
      <w:r w:rsidR="009F28DC">
        <w:t xml:space="preserve">Güneydoğu Avrupa Koordineli İhale Ofisi (SEE </w:t>
      </w:r>
      <w:r w:rsidR="00961767">
        <w:t xml:space="preserve">CAO) </w:t>
      </w:r>
      <w:r w:rsidR="00961767" w:rsidRPr="00433536">
        <w:t>kapsamında</w:t>
      </w:r>
      <w:r w:rsidRPr="00433536">
        <w:t xml:space="preserve"> ihale yapılmakta ve kapasite talebi olan katılımcılar bu ihaleye katılmaktadır. Buna ilişkin Yönetmelik değişikliği </w:t>
      </w:r>
      <w:r w:rsidR="00602267" w:rsidRPr="00433536">
        <w:t>28.12.2014</w:t>
      </w:r>
      <w:r w:rsidRPr="00433536">
        <w:t xml:space="preserve"> tarihinde yapılmış ve </w:t>
      </w:r>
      <w:r w:rsidR="009F28DC">
        <w:t xml:space="preserve">SEE </w:t>
      </w:r>
      <w:r w:rsidRPr="00433536">
        <w:t xml:space="preserve">CAO tarafından uygulanacak olan ihale kuralları da </w:t>
      </w:r>
      <w:r w:rsidR="00602267" w:rsidRPr="00433536">
        <w:t>08.01.2015</w:t>
      </w:r>
      <w:r w:rsidRPr="00433536">
        <w:t xml:space="preserve"> tarihli Kurul Kararı ile kabul edilerek onaylanmıştır. ENTSO-E bölgesi ile olan diğer senkron paralel hat olan Türkiye-Bulgaristan enterkonneksiyon hattı kapasite tahsisi ise Yönetmelik ve onaylanan usul ve esaslar doğrultusunda Türkiye ve Bulgaristan iletim </w:t>
      </w:r>
      <w:r w:rsidR="004B0D6B">
        <w:t>s</w:t>
      </w:r>
      <w:r w:rsidRPr="00433536">
        <w:t xml:space="preserve">istem işletmecileri tarafından yapılmaya devam edilmektedir. Söz konusu </w:t>
      </w:r>
      <w:r w:rsidR="00263DC6">
        <w:t>h</w:t>
      </w:r>
      <w:r w:rsidRPr="00433536">
        <w:t>at kapasite tahsisine ilişkin güncel bilgiler https://tcat.teias.gov.tr/ adresinde yayımlanmaktadır.</w:t>
      </w:r>
      <w:r w:rsidR="00825AE8">
        <w:t xml:space="preserve"> </w:t>
      </w:r>
      <w:r w:rsidR="003F0DE1">
        <w:t>202</w:t>
      </w:r>
      <w:r w:rsidR="00270CA3">
        <w:t>2</w:t>
      </w:r>
      <w:r w:rsidR="003F0DE1">
        <w:t xml:space="preserve"> </w:t>
      </w:r>
      <w:r w:rsidR="00FA631B">
        <w:t>yılı itibar</w:t>
      </w:r>
      <w:r w:rsidR="005030E7">
        <w:t>ı</w:t>
      </w:r>
      <w:r w:rsidR="00FA631B">
        <w:t>yl</w:t>
      </w:r>
      <w:r w:rsidR="005030E7">
        <w:t>a</w:t>
      </w:r>
      <w:r w:rsidR="00FA631B">
        <w:t xml:space="preserve"> izin uygulanması devam etmektedir.</w:t>
      </w:r>
    </w:p>
    <w:p w:rsidR="00881DA9" w:rsidRDefault="00881DA9" w:rsidP="00881DA9">
      <w:pPr>
        <w:pStyle w:val="Balk2"/>
        <w:numPr>
          <w:ilvl w:val="1"/>
          <w:numId w:val="11"/>
        </w:numPr>
        <w:spacing w:before="0" w:after="240"/>
        <w:rPr>
          <w:rFonts w:asciiTheme="minorHAnsi" w:hAnsiTheme="minorHAnsi"/>
          <w:color w:val="auto"/>
          <w:sz w:val="22"/>
          <w:szCs w:val="22"/>
        </w:rPr>
      </w:pPr>
      <w:bookmarkStart w:id="156" w:name="_Toc130290897"/>
      <w:bookmarkStart w:id="157" w:name="_Toc132713786"/>
      <w:r>
        <w:rPr>
          <w:rFonts w:asciiTheme="minorHAnsi" w:hAnsiTheme="minorHAnsi"/>
          <w:color w:val="auto"/>
          <w:sz w:val="22"/>
          <w:szCs w:val="22"/>
        </w:rPr>
        <w:t>Şarj Hizmeti</w:t>
      </w:r>
      <w:r w:rsidRPr="00E9291A">
        <w:rPr>
          <w:rFonts w:asciiTheme="minorHAnsi" w:hAnsiTheme="minorHAnsi"/>
          <w:color w:val="auto"/>
          <w:sz w:val="22"/>
          <w:szCs w:val="22"/>
        </w:rPr>
        <w:t xml:space="preserve"> Piyasası Lisanslama Faaliyetleri</w:t>
      </w:r>
      <w:bookmarkEnd w:id="156"/>
      <w:bookmarkEnd w:id="157"/>
    </w:p>
    <w:p w:rsidR="00881DA9" w:rsidRPr="00E6446B" w:rsidRDefault="00881DA9" w:rsidP="00881DA9">
      <w:pPr>
        <w:spacing w:after="0"/>
        <w:ind w:firstLine="708"/>
      </w:pPr>
      <w:r w:rsidRPr="00E9291A">
        <w:t>6446 sayılı Elektrik Piyasası Kanunu</w:t>
      </w:r>
      <w:r>
        <w:t>’</w:t>
      </w:r>
      <w:r w:rsidRPr="00E9291A">
        <w:t>nun</w:t>
      </w:r>
      <w:r>
        <w:t xml:space="preserve"> “Şarj Hizmeti” başlıklı Ek 5 inci maddesi çerçevesinde şarj hizmeti</w:t>
      </w:r>
      <w:r w:rsidRPr="00E9291A">
        <w:t xml:space="preserve"> piyasasında faaliyette bulunmak isteyen tüzel kişilerin Kurumdan lisans almaları gerekmektedir.</w:t>
      </w:r>
      <w:r>
        <w:t xml:space="preserve"> </w:t>
      </w:r>
      <w:r>
        <w:rPr>
          <w:color w:val="000000"/>
        </w:rPr>
        <w:t xml:space="preserve">Şarj ağı işletmeci lisansı sahibi, lisansında belirlenen bölgede veya ülke genelinde oluşturduğu veya oluşturacağı şarj ağına bağlı şarj istasyonu kurulması veya işletilmesi, düzenlediği sertifikalar kapsamında şarj istasyonu kurdurulması veya işlettirilmesi hak ve yetkisine sahip olur. </w:t>
      </w:r>
      <w:r w:rsidRPr="00E9291A">
        <w:t xml:space="preserve">Kurum tarafından verilecek lisanslara ilişkin usul ve esaslar </w:t>
      </w:r>
      <w:r>
        <w:t>Şarj Hizmeti</w:t>
      </w:r>
      <w:r w:rsidRPr="00E9291A">
        <w:t xml:space="preserve"> Yönetmeliğinde düzenlenmiştir.</w:t>
      </w:r>
      <w:r>
        <w:t xml:space="preserve"> Şarj ağı işletmeci lisansı</w:t>
      </w:r>
      <w:r w:rsidRPr="00E9291A">
        <w:t xml:space="preserve"> </w:t>
      </w:r>
      <w:r w:rsidRPr="00E6446B">
        <w:rPr>
          <w:color w:val="000000"/>
        </w:rPr>
        <w:t>en fazla 49 yıla kadar ver</w:t>
      </w:r>
      <w:r>
        <w:rPr>
          <w:color w:val="000000"/>
        </w:rPr>
        <w:t>ilmektedir</w:t>
      </w:r>
      <w:r w:rsidRPr="00E6446B">
        <w:rPr>
          <w:color w:val="000000"/>
        </w:rPr>
        <w:t>.</w:t>
      </w:r>
    </w:p>
    <w:p w:rsidR="00881DA9" w:rsidRDefault="00881DA9" w:rsidP="00881DA9">
      <w:pPr>
        <w:pStyle w:val="Balk5"/>
        <w:jc w:val="center"/>
        <w:rPr>
          <w:rStyle w:val="Gl"/>
          <w:color w:val="000000" w:themeColor="text1"/>
        </w:rPr>
      </w:pPr>
      <w:bookmarkStart w:id="158" w:name="_Toc130290449"/>
      <w:bookmarkStart w:id="159" w:name="_Toc132713893"/>
      <w:r w:rsidRPr="00E9291A">
        <w:rPr>
          <w:rStyle w:val="Gl"/>
          <w:color w:val="000000" w:themeColor="text1"/>
        </w:rPr>
        <w:t xml:space="preserve">Tablo </w:t>
      </w:r>
      <w:r>
        <w:rPr>
          <w:rStyle w:val="Gl"/>
          <w:color w:val="000000" w:themeColor="text1"/>
        </w:rPr>
        <w:t xml:space="preserve">3.3: Şarj Hizmeti Piyasasında 2022 </w:t>
      </w:r>
      <w:r w:rsidRPr="00E9291A">
        <w:rPr>
          <w:rStyle w:val="Gl"/>
          <w:color w:val="000000" w:themeColor="text1"/>
        </w:rPr>
        <w:t>Yılında Gerçekleştirilen Lisans İşlemleri</w:t>
      </w:r>
      <w:r>
        <w:rPr>
          <w:rStyle w:val="Gl"/>
          <w:color w:val="000000" w:themeColor="text1"/>
        </w:rPr>
        <w:t xml:space="preserve"> </w:t>
      </w:r>
      <w:r w:rsidRPr="00E9291A">
        <w:rPr>
          <w:rStyle w:val="Gl"/>
          <w:color w:val="000000" w:themeColor="text1"/>
        </w:rPr>
        <w:t>(Adet)</w:t>
      </w:r>
      <w:bookmarkEnd w:id="158"/>
      <w:bookmarkEnd w:id="159"/>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382"/>
        <w:gridCol w:w="1350"/>
        <w:gridCol w:w="985"/>
        <w:gridCol w:w="1816"/>
        <w:gridCol w:w="884"/>
        <w:gridCol w:w="811"/>
        <w:gridCol w:w="1029"/>
        <w:gridCol w:w="1655"/>
      </w:tblGrid>
      <w:tr w:rsidR="00881DA9" w:rsidRPr="005030E7" w:rsidTr="00FF24CA">
        <w:trPr>
          <w:trHeight w:val="340"/>
          <w:jc w:val="center"/>
        </w:trPr>
        <w:tc>
          <w:tcPr>
            <w:tcW w:w="697" w:type="pct"/>
            <w:shd w:val="clear" w:color="000000" w:fill="6E9ECA"/>
            <w:vAlign w:val="center"/>
            <w:hideMark/>
          </w:tcPr>
          <w:p w:rsidR="00881DA9" w:rsidRPr="005030E7" w:rsidRDefault="00881DA9" w:rsidP="00FF24CA">
            <w:pPr>
              <w:spacing w:after="0" w:line="240" w:lineRule="auto"/>
              <w:jc w:val="center"/>
              <w:rPr>
                <w:rFonts w:eastAsia="Times New Roman" w:cstheme="minorHAnsi"/>
                <w:b/>
                <w:bCs/>
                <w:color w:val="FFFFFF"/>
                <w:lang w:eastAsia="tr-TR"/>
              </w:rPr>
            </w:pPr>
            <w:r w:rsidRPr="005030E7">
              <w:rPr>
                <w:rFonts w:eastAsia="Times New Roman" w:cstheme="minorHAnsi"/>
                <w:b/>
                <w:bCs/>
                <w:color w:val="FFFFFF"/>
                <w:lang w:eastAsia="tr-TR"/>
              </w:rPr>
              <w:t>Lisans Tipi</w:t>
            </w:r>
          </w:p>
        </w:tc>
        <w:tc>
          <w:tcPr>
            <w:tcW w:w="681" w:type="pct"/>
            <w:shd w:val="clear" w:color="000000" w:fill="6E9ECA"/>
            <w:vAlign w:val="center"/>
            <w:hideMark/>
          </w:tcPr>
          <w:p w:rsidR="00881DA9" w:rsidRPr="005030E7" w:rsidRDefault="00881DA9" w:rsidP="00FF24CA">
            <w:pPr>
              <w:spacing w:after="0" w:line="240" w:lineRule="auto"/>
              <w:jc w:val="center"/>
              <w:rPr>
                <w:rFonts w:eastAsia="Times New Roman" w:cstheme="minorHAnsi"/>
                <w:b/>
                <w:bCs/>
                <w:color w:val="FFFFFF"/>
                <w:lang w:eastAsia="tr-TR"/>
              </w:rPr>
            </w:pPr>
            <w:r w:rsidRPr="005030E7">
              <w:rPr>
                <w:rFonts w:eastAsia="Times New Roman" w:cstheme="minorHAnsi"/>
                <w:b/>
                <w:bCs/>
                <w:color w:val="FFFFFF"/>
                <w:lang w:eastAsia="tr-TR"/>
              </w:rPr>
              <w:t>Lisans Başvurusu Sayısı</w:t>
            </w:r>
          </w:p>
        </w:tc>
        <w:tc>
          <w:tcPr>
            <w:tcW w:w="497" w:type="pct"/>
            <w:shd w:val="clear" w:color="000000" w:fill="6E9ECA"/>
            <w:vAlign w:val="center"/>
            <w:hideMark/>
          </w:tcPr>
          <w:p w:rsidR="00881DA9" w:rsidRPr="005030E7" w:rsidRDefault="00881DA9" w:rsidP="00FF24CA">
            <w:pPr>
              <w:spacing w:after="0" w:line="240" w:lineRule="auto"/>
              <w:jc w:val="center"/>
              <w:rPr>
                <w:rFonts w:eastAsia="Times New Roman" w:cstheme="minorHAnsi"/>
                <w:b/>
                <w:bCs/>
                <w:color w:val="FFFFFF"/>
                <w:lang w:eastAsia="tr-TR"/>
              </w:rPr>
            </w:pPr>
            <w:r w:rsidRPr="005030E7">
              <w:rPr>
                <w:rFonts w:eastAsia="Times New Roman" w:cstheme="minorHAnsi"/>
                <w:b/>
                <w:bCs/>
                <w:color w:val="FFFFFF"/>
                <w:lang w:eastAsia="tr-TR"/>
              </w:rPr>
              <w:t>Verilen Lisans Sayısı</w:t>
            </w:r>
          </w:p>
        </w:tc>
        <w:tc>
          <w:tcPr>
            <w:tcW w:w="916" w:type="pct"/>
            <w:shd w:val="clear" w:color="000000" w:fill="6E9ECA"/>
            <w:vAlign w:val="center"/>
            <w:hideMark/>
          </w:tcPr>
          <w:p w:rsidR="00881DA9" w:rsidRPr="005030E7" w:rsidRDefault="00881DA9" w:rsidP="00FF24CA">
            <w:pPr>
              <w:spacing w:after="0" w:line="240" w:lineRule="auto"/>
              <w:jc w:val="center"/>
              <w:rPr>
                <w:rFonts w:eastAsia="Times New Roman" w:cstheme="minorHAnsi"/>
                <w:b/>
                <w:bCs/>
                <w:color w:val="FFFFFF"/>
                <w:lang w:eastAsia="tr-TR"/>
              </w:rPr>
            </w:pPr>
            <w:r w:rsidRPr="005030E7">
              <w:rPr>
                <w:rFonts w:eastAsia="Times New Roman" w:cstheme="minorHAnsi"/>
                <w:b/>
                <w:bCs/>
                <w:color w:val="FFFFFF"/>
                <w:lang w:eastAsia="tr-TR"/>
              </w:rPr>
              <w:t>Sona Eren/Erdirilen Lisans Sayısı</w:t>
            </w:r>
          </w:p>
        </w:tc>
        <w:tc>
          <w:tcPr>
            <w:tcW w:w="446" w:type="pct"/>
            <w:shd w:val="clear" w:color="000000" w:fill="6E9ECA"/>
            <w:vAlign w:val="center"/>
            <w:hideMark/>
          </w:tcPr>
          <w:p w:rsidR="00881DA9" w:rsidRPr="005030E7" w:rsidRDefault="00881DA9" w:rsidP="00FF24CA">
            <w:pPr>
              <w:spacing w:after="0" w:line="240" w:lineRule="auto"/>
              <w:jc w:val="center"/>
              <w:rPr>
                <w:rFonts w:eastAsia="Times New Roman" w:cstheme="minorHAnsi"/>
                <w:b/>
                <w:bCs/>
                <w:color w:val="FFFFFF"/>
                <w:lang w:eastAsia="tr-TR"/>
              </w:rPr>
            </w:pPr>
            <w:r w:rsidRPr="005030E7">
              <w:rPr>
                <w:rFonts w:eastAsia="Times New Roman" w:cstheme="minorHAnsi"/>
                <w:b/>
                <w:bCs/>
                <w:color w:val="FFFFFF"/>
                <w:lang w:eastAsia="tr-TR"/>
              </w:rPr>
              <w:t>İptal Edilen Lisans Sayısı</w:t>
            </w:r>
          </w:p>
        </w:tc>
        <w:tc>
          <w:tcPr>
            <w:tcW w:w="409" w:type="pct"/>
            <w:shd w:val="clear" w:color="000000" w:fill="6E9ECA"/>
            <w:vAlign w:val="center"/>
            <w:hideMark/>
          </w:tcPr>
          <w:p w:rsidR="00881DA9" w:rsidRPr="005030E7" w:rsidRDefault="00881DA9" w:rsidP="00FF24CA">
            <w:pPr>
              <w:spacing w:after="0" w:line="240" w:lineRule="auto"/>
              <w:jc w:val="center"/>
              <w:rPr>
                <w:rFonts w:eastAsia="Times New Roman" w:cstheme="minorHAnsi"/>
                <w:b/>
                <w:bCs/>
                <w:color w:val="FFFFFF"/>
                <w:lang w:eastAsia="tr-TR"/>
              </w:rPr>
            </w:pPr>
            <w:r w:rsidRPr="005030E7">
              <w:rPr>
                <w:rFonts w:eastAsia="Times New Roman" w:cstheme="minorHAnsi"/>
                <w:b/>
                <w:bCs/>
                <w:color w:val="FFFFFF"/>
                <w:lang w:eastAsia="tr-TR"/>
              </w:rPr>
              <w:t>Tadil Sayısı</w:t>
            </w:r>
          </w:p>
        </w:tc>
        <w:tc>
          <w:tcPr>
            <w:tcW w:w="519" w:type="pct"/>
            <w:shd w:val="clear" w:color="000000" w:fill="6E9ECA"/>
            <w:vAlign w:val="center"/>
            <w:hideMark/>
          </w:tcPr>
          <w:p w:rsidR="00881DA9" w:rsidRPr="005030E7" w:rsidRDefault="00881DA9" w:rsidP="00FF24CA">
            <w:pPr>
              <w:spacing w:after="0" w:line="240" w:lineRule="auto"/>
              <w:jc w:val="center"/>
              <w:rPr>
                <w:rFonts w:eastAsia="Times New Roman" w:cstheme="minorHAnsi"/>
                <w:b/>
                <w:bCs/>
                <w:color w:val="FFFFFF"/>
                <w:lang w:eastAsia="tr-TR"/>
              </w:rPr>
            </w:pPr>
            <w:r w:rsidRPr="005030E7">
              <w:rPr>
                <w:rFonts w:eastAsia="Times New Roman" w:cstheme="minorHAnsi"/>
                <w:b/>
                <w:bCs/>
                <w:color w:val="FFFFFF"/>
                <w:lang w:eastAsia="tr-TR"/>
              </w:rPr>
              <w:t>Genel Toplam</w:t>
            </w:r>
          </w:p>
        </w:tc>
        <w:tc>
          <w:tcPr>
            <w:tcW w:w="835" w:type="pct"/>
            <w:shd w:val="clear" w:color="000000" w:fill="6E9ECA"/>
            <w:vAlign w:val="center"/>
            <w:hideMark/>
          </w:tcPr>
          <w:p w:rsidR="00881DA9" w:rsidRPr="005030E7" w:rsidRDefault="00881DA9" w:rsidP="00FF24CA">
            <w:pPr>
              <w:spacing w:after="0" w:line="240" w:lineRule="auto"/>
              <w:jc w:val="center"/>
              <w:rPr>
                <w:rFonts w:eastAsia="Times New Roman" w:cstheme="minorHAnsi"/>
                <w:b/>
                <w:bCs/>
                <w:color w:val="FFFFFF"/>
                <w:lang w:eastAsia="tr-TR"/>
              </w:rPr>
            </w:pPr>
            <w:r w:rsidRPr="005030E7">
              <w:rPr>
                <w:rFonts w:eastAsia="Times New Roman" w:cstheme="minorHAnsi"/>
                <w:b/>
                <w:bCs/>
                <w:color w:val="FFFFFF"/>
                <w:lang w:eastAsia="tr-TR"/>
              </w:rPr>
              <w:t>Dönem Sonu Yürürlükteki Lisans Sayısı</w:t>
            </w:r>
          </w:p>
        </w:tc>
      </w:tr>
      <w:tr w:rsidR="00686363" w:rsidRPr="005030E7" w:rsidTr="00D34E39">
        <w:trPr>
          <w:trHeight w:val="340"/>
          <w:jc w:val="center"/>
        </w:trPr>
        <w:tc>
          <w:tcPr>
            <w:tcW w:w="697" w:type="pct"/>
            <w:shd w:val="clear" w:color="auto" w:fill="auto"/>
            <w:vAlign w:val="center"/>
          </w:tcPr>
          <w:p w:rsidR="00686363" w:rsidRPr="005030E7" w:rsidRDefault="00686363" w:rsidP="00F962D9">
            <w:pPr>
              <w:spacing w:after="0" w:line="240" w:lineRule="auto"/>
              <w:rPr>
                <w:rFonts w:eastAsia="Times New Roman" w:cstheme="minorHAnsi"/>
                <w:color w:val="000000"/>
                <w:lang w:eastAsia="tr-TR"/>
              </w:rPr>
            </w:pPr>
            <w:r w:rsidRPr="00EE4A5D">
              <w:rPr>
                <w:rFonts w:ascii="Times New Roman" w:eastAsia="Times New Roman" w:hAnsi="Times New Roman" w:cstheme="minorHAnsi"/>
                <w:color w:val="000000"/>
                <w:sz w:val="24"/>
                <w:szCs w:val="24"/>
                <w:lang w:eastAsia="tr-TR"/>
              </w:rPr>
              <w:t>Şarj</w:t>
            </w:r>
            <w:r w:rsidR="00F962D9">
              <w:rPr>
                <w:rFonts w:ascii="Times New Roman" w:eastAsia="Times New Roman" w:hAnsi="Times New Roman" w:cstheme="minorHAnsi"/>
                <w:color w:val="000000"/>
                <w:sz w:val="24"/>
                <w:szCs w:val="24"/>
                <w:lang w:eastAsia="tr-TR"/>
              </w:rPr>
              <w:t xml:space="preserve"> </w:t>
            </w:r>
            <w:r w:rsidRPr="00EE4A5D">
              <w:rPr>
                <w:rFonts w:ascii="Times New Roman" w:eastAsia="Times New Roman" w:hAnsi="Times New Roman" w:cstheme="minorHAnsi"/>
                <w:color w:val="000000"/>
                <w:sz w:val="24"/>
                <w:szCs w:val="24"/>
                <w:lang w:eastAsia="tr-TR"/>
              </w:rPr>
              <w:t>Ağı İşletmeci Lisansı</w:t>
            </w:r>
          </w:p>
        </w:tc>
        <w:tc>
          <w:tcPr>
            <w:tcW w:w="681" w:type="pct"/>
            <w:tcBorders>
              <w:top w:val="single" w:sz="8" w:space="0" w:color="D3D3D3"/>
              <w:left w:val="single" w:sz="8" w:space="0" w:color="D3D3D3"/>
              <w:bottom w:val="single" w:sz="8" w:space="0" w:color="D3D3D3"/>
              <w:right w:val="single" w:sz="8" w:space="0" w:color="D3D3D3"/>
            </w:tcBorders>
            <w:shd w:val="clear" w:color="auto" w:fill="auto"/>
            <w:vAlign w:val="center"/>
          </w:tcPr>
          <w:p w:rsidR="00686363" w:rsidRPr="00C73172" w:rsidRDefault="00686363" w:rsidP="00686363">
            <w:pPr>
              <w:spacing w:after="0" w:line="240" w:lineRule="auto"/>
              <w:jc w:val="right"/>
              <w:rPr>
                <w:rFonts w:eastAsia="Times New Roman" w:cstheme="minorHAnsi"/>
                <w:color w:val="000000"/>
                <w:lang w:eastAsia="tr-TR"/>
              </w:rPr>
            </w:pPr>
            <w:r w:rsidRPr="00EE4A5D">
              <w:rPr>
                <w:rFonts w:eastAsia="Times New Roman" w:cstheme="minorHAnsi"/>
                <w:color w:val="000000"/>
                <w:lang w:eastAsia="tr-TR"/>
              </w:rPr>
              <w:t>98</w:t>
            </w:r>
          </w:p>
        </w:tc>
        <w:tc>
          <w:tcPr>
            <w:tcW w:w="497" w:type="pct"/>
            <w:tcBorders>
              <w:top w:val="single" w:sz="8" w:space="0" w:color="D3D3D3"/>
              <w:left w:val="single" w:sz="8" w:space="0" w:color="D3D3D3"/>
              <w:bottom w:val="single" w:sz="8" w:space="0" w:color="D3D3D3"/>
              <w:right w:val="single" w:sz="8" w:space="0" w:color="D3D3D3"/>
            </w:tcBorders>
            <w:shd w:val="clear" w:color="auto" w:fill="auto"/>
            <w:vAlign w:val="center"/>
          </w:tcPr>
          <w:p w:rsidR="00686363" w:rsidRPr="00C73172" w:rsidRDefault="00686363" w:rsidP="00686363">
            <w:pPr>
              <w:spacing w:after="0" w:line="240" w:lineRule="auto"/>
              <w:jc w:val="right"/>
              <w:rPr>
                <w:rFonts w:eastAsia="Times New Roman" w:cstheme="minorHAnsi"/>
                <w:color w:val="000000"/>
                <w:lang w:eastAsia="tr-TR"/>
              </w:rPr>
            </w:pPr>
            <w:r w:rsidRPr="00EE4A5D">
              <w:rPr>
                <w:rFonts w:eastAsia="Times New Roman" w:cstheme="minorHAnsi"/>
                <w:color w:val="000000"/>
                <w:lang w:eastAsia="tr-TR"/>
              </w:rPr>
              <w:t>77</w:t>
            </w:r>
          </w:p>
        </w:tc>
        <w:tc>
          <w:tcPr>
            <w:tcW w:w="916" w:type="pct"/>
            <w:tcBorders>
              <w:top w:val="single" w:sz="8" w:space="0" w:color="D3D3D3"/>
              <w:left w:val="single" w:sz="8" w:space="0" w:color="D3D3D3"/>
              <w:bottom w:val="single" w:sz="8" w:space="0" w:color="D3D3D3"/>
              <w:right w:val="single" w:sz="8" w:space="0" w:color="D3D3D3"/>
            </w:tcBorders>
            <w:shd w:val="clear" w:color="auto" w:fill="auto"/>
            <w:vAlign w:val="center"/>
          </w:tcPr>
          <w:p w:rsidR="00686363" w:rsidRPr="00C73172" w:rsidRDefault="00686363" w:rsidP="00686363">
            <w:pPr>
              <w:spacing w:after="0" w:line="240" w:lineRule="auto"/>
              <w:jc w:val="right"/>
              <w:rPr>
                <w:rFonts w:eastAsia="Times New Roman" w:cstheme="minorHAnsi"/>
                <w:color w:val="000000"/>
                <w:lang w:eastAsia="tr-TR"/>
              </w:rPr>
            </w:pPr>
            <w:r w:rsidRPr="00EE4A5D">
              <w:rPr>
                <w:rFonts w:eastAsia="Times New Roman" w:cstheme="minorHAnsi"/>
                <w:color w:val="000000"/>
                <w:lang w:eastAsia="tr-TR"/>
              </w:rPr>
              <w:t>0</w:t>
            </w:r>
          </w:p>
        </w:tc>
        <w:tc>
          <w:tcPr>
            <w:tcW w:w="446" w:type="pct"/>
            <w:tcBorders>
              <w:top w:val="single" w:sz="8" w:space="0" w:color="D3D3D3"/>
              <w:left w:val="single" w:sz="8" w:space="0" w:color="D3D3D3"/>
              <w:bottom w:val="single" w:sz="8" w:space="0" w:color="D3D3D3"/>
              <w:right w:val="single" w:sz="8" w:space="0" w:color="D3D3D3"/>
            </w:tcBorders>
            <w:shd w:val="clear" w:color="auto" w:fill="auto"/>
            <w:vAlign w:val="center"/>
          </w:tcPr>
          <w:p w:rsidR="00686363" w:rsidRPr="00C73172" w:rsidRDefault="00686363" w:rsidP="00686363">
            <w:pPr>
              <w:spacing w:after="0" w:line="240" w:lineRule="auto"/>
              <w:jc w:val="right"/>
              <w:rPr>
                <w:rFonts w:eastAsia="Times New Roman" w:cstheme="minorHAnsi"/>
                <w:color w:val="000000"/>
                <w:lang w:eastAsia="tr-TR"/>
              </w:rPr>
            </w:pPr>
            <w:r w:rsidRPr="00EE4A5D">
              <w:rPr>
                <w:rFonts w:eastAsia="Times New Roman" w:cstheme="minorHAnsi"/>
                <w:color w:val="000000"/>
                <w:lang w:eastAsia="tr-TR"/>
              </w:rPr>
              <w:t>0</w:t>
            </w:r>
          </w:p>
        </w:tc>
        <w:tc>
          <w:tcPr>
            <w:tcW w:w="409" w:type="pct"/>
            <w:tcBorders>
              <w:top w:val="single" w:sz="8" w:space="0" w:color="D3D3D3"/>
              <w:left w:val="single" w:sz="8" w:space="0" w:color="D3D3D3"/>
              <w:bottom w:val="single" w:sz="8" w:space="0" w:color="D3D3D3"/>
              <w:right w:val="single" w:sz="8" w:space="0" w:color="D3D3D3"/>
            </w:tcBorders>
            <w:shd w:val="clear" w:color="auto" w:fill="auto"/>
            <w:vAlign w:val="center"/>
          </w:tcPr>
          <w:p w:rsidR="00686363" w:rsidRPr="00C73172" w:rsidRDefault="00686363" w:rsidP="00686363">
            <w:pPr>
              <w:spacing w:after="0" w:line="240" w:lineRule="auto"/>
              <w:jc w:val="right"/>
              <w:rPr>
                <w:rFonts w:eastAsia="Times New Roman" w:cstheme="minorHAnsi"/>
                <w:color w:val="000000"/>
                <w:lang w:eastAsia="tr-TR"/>
              </w:rPr>
            </w:pPr>
            <w:r w:rsidRPr="00EE4A5D">
              <w:rPr>
                <w:rFonts w:eastAsia="Times New Roman" w:cstheme="minorHAnsi"/>
                <w:color w:val="000000"/>
                <w:lang w:eastAsia="tr-TR"/>
              </w:rPr>
              <w:t>3</w:t>
            </w:r>
          </w:p>
        </w:tc>
        <w:tc>
          <w:tcPr>
            <w:tcW w:w="519" w:type="pct"/>
            <w:tcBorders>
              <w:top w:val="single" w:sz="8" w:space="0" w:color="D3D3D3"/>
              <w:left w:val="single" w:sz="8" w:space="0" w:color="D3D3D3"/>
              <w:bottom w:val="single" w:sz="8" w:space="0" w:color="D3D3D3"/>
              <w:right w:val="single" w:sz="8" w:space="0" w:color="D3D3D3"/>
            </w:tcBorders>
            <w:shd w:val="clear" w:color="auto" w:fill="auto"/>
            <w:vAlign w:val="center"/>
          </w:tcPr>
          <w:p w:rsidR="00686363" w:rsidRPr="00C73172" w:rsidRDefault="00686363" w:rsidP="00686363">
            <w:pPr>
              <w:spacing w:after="0" w:line="240" w:lineRule="auto"/>
              <w:jc w:val="right"/>
              <w:rPr>
                <w:rFonts w:eastAsia="Times New Roman" w:cstheme="minorHAnsi"/>
                <w:color w:val="000000"/>
                <w:lang w:eastAsia="tr-TR"/>
              </w:rPr>
            </w:pPr>
            <w:r w:rsidRPr="00EE4A5D">
              <w:rPr>
                <w:rFonts w:eastAsia="Times New Roman" w:cstheme="minorHAnsi"/>
                <w:color w:val="000000"/>
                <w:lang w:eastAsia="tr-TR"/>
              </w:rPr>
              <w:t>178</w:t>
            </w:r>
          </w:p>
        </w:tc>
        <w:tc>
          <w:tcPr>
            <w:tcW w:w="835" w:type="pct"/>
            <w:tcBorders>
              <w:top w:val="single" w:sz="8" w:space="0" w:color="D3D3D3"/>
              <w:left w:val="single" w:sz="8" w:space="0" w:color="D3D3D3"/>
              <w:bottom w:val="single" w:sz="8" w:space="0" w:color="D3D3D3"/>
              <w:right w:val="single" w:sz="8" w:space="0" w:color="D3D3D3"/>
            </w:tcBorders>
            <w:shd w:val="clear" w:color="auto" w:fill="auto"/>
            <w:vAlign w:val="center"/>
          </w:tcPr>
          <w:p w:rsidR="00686363" w:rsidRPr="00EE4A5D" w:rsidRDefault="00686363" w:rsidP="00686363">
            <w:pPr>
              <w:spacing w:after="0" w:line="240" w:lineRule="auto"/>
              <w:jc w:val="right"/>
              <w:rPr>
                <w:rFonts w:eastAsia="Times New Roman" w:cstheme="minorHAnsi"/>
                <w:color w:val="000000"/>
                <w:lang w:eastAsia="tr-TR"/>
              </w:rPr>
            </w:pPr>
            <w:r w:rsidRPr="00EE4A5D">
              <w:rPr>
                <w:rFonts w:eastAsia="Times New Roman" w:cstheme="minorHAnsi"/>
                <w:color w:val="000000"/>
                <w:lang w:eastAsia="tr-TR"/>
              </w:rPr>
              <w:t>77</w:t>
            </w:r>
          </w:p>
        </w:tc>
      </w:tr>
    </w:tbl>
    <w:p w:rsidR="00881DA9" w:rsidRDefault="00881DA9" w:rsidP="00881DA9">
      <w:pPr>
        <w:ind w:firstLine="708"/>
      </w:pPr>
    </w:p>
    <w:p w:rsidR="00CB5826" w:rsidRPr="00175DF4" w:rsidRDefault="00175DF4" w:rsidP="0017665A">
      <w:r>
        <w:br w:type="page"/>
      </w:r>
    </w:p>
    <w:p w:rsidR="00CB5826" w:rsidRPr="00E9291A" w:rsidRDefault="00CB5826" w:rsidP="000A5A56">
      <w:pPr>
        <w:pStyle w:val="Balk2"/>
        <w:numPr>
          <w:ilvl w:val="1"/>
          <w:numId w:val="11"/>
        </w:numPr>
        <w:spacing w:before="0" w:after="240"/>
        <w:rPr>
          <w:rFonts w:asciiTheme="minorHAnsi" w:hAnsiTheme="minorHAnsi"/>
          <w:color w:val="auto"/>
          <w:sz w:val="22"/>
          <w:szCs w:val="22"/>
        </w:rPr>
      </w:pPr>
      <w:bookmarkStart w:id="160" w:name="_Toc442431258"/>
      <w:bookmarkStart w:id="161" w:name="_Toc132713787"/>
      <w:r w:rsidRPr="00E9291A">
        <w:rPr>
          <w:rFonts w:asciiTheme="minorHAnsi" w:hAnsiTheme="minorHAnsi"/>
          <w:color w:val="auto"/>
          <w:sz w:val="22"/>
          <w:szCs w:val="22"/>
        </w:rPr>
        <w:lastRenderedPageBreak/>
        <w:t>Doğal Gaz Piyasası Lisanslama ve Sertifika Faaliyetleri</w:t>
      </w:r>
      <w:bookmarkEnd w:id="160"/>
      <w:bookmarkEnd w:id="161"/>
    </w:p>
    <w:p w:rsidR="00CB5826" w:rsidRPr="00E9291A" w:rsidRDefault="00CB5826" w:rsidP="000A5A56">
      <w:pPr>
        <w:pStyle w:val="Balk3"/>
        <w:numPr>
          <w:ilvl w:val="2"/>
          <w:numId w:val="11"/>
        </w:numPr>
        <w:spacing w:after="240"/>
        <w:rPr>
          <w:rFonts w:asciiTheme="minorHAnsi" w:hAnsiTheme="minorHAnsi"/>
          <w:color w:val="auto"/>
        </w:rPr>
      </w:pPr>
      <w:bookmarkStart w:id="162" w:name="_Toc442431259"/>
      <w:bookmarkStart w:id="163" w:name="_Toc132713788"/>
      <w:r w:rsidRPr="00E9291A">
        <w:rPr>
          <w:rFonts w:asciiTheme="minorHAnsi" w:hAnsiTheme="minorHAnsi"/>
          <w:color w:val="auto"/>
        </w:rPr>
        <w:t>Lisans İşlemleri</w:t>
      </w:r>
      <w:bookmarkEnd w:id="162"/>
      <w:bookmarkEnd w:id="163"/>
    </w:p>
    <w:p w:rsidR="00CB5826" w:rsidRPr="00E9291A" w:rsidRDefault="00CB5826" w:rsidP="00CB5826">
      <w:pPr>
        <w:spacing w:after="0"/>
      </w:pPr>
      <w:r w:rsidRPr="00E9291A">
        <w:t>4646 sayılı Doğal Gaz Piyasası Kanununun</w:t>
      </w:r>
      <w:r>
        <w:t xml:space="preserve"> 4</w:t>
      </w:r>
      <w:r w:rsidR="007D3384">
        <w:t xml:space="preserve"> </w:t>
      </w:r>
      <w:r w:rsidRPr="00E9291A">
        <w:t>üncü maddesinde piyasa faaliyetleri tanımlanmış ve piyasa faaliyetlerinde bulunacak tüzel kişilerin gerekli lisansları almaları şart koşulmuştur. Doğal gazın üretimi piyasa faa</w:t>
      </w:r>
      <w:r>
        <w:t>liyeti olarak öngörülmemiş olup</w:t>
      </w:r>
      <w:r w:rsidRPr="00E9291A">
        <w:t xml:space="preserve"> 6491 sayılı Türk Petrol Kanunu kapsamında alınan ruhsatlar çerçevesinde gerçekleştirilmektedir. Ancak, doğal gaz üretimi yapan şirketlerin ürettikleri doğal gazı satabilmeleri için 4646 sayılı Kanun çerçevesinde toptan satış ve/veya ihracat lisansı almaları gerekmektedir. </w:t>
      </w:r>
    </w:p>
    <w:p w:rsidR="00CB5826" w:rsidRPr="00E9291A" w:rsidRDefault="00CB5826" w:rsidP="00CB5826">
      <w:pPr>
        <w:spacing w:after="0"/>
      </w:pPr>
    </w:p>
    <w:p w:rsidR="00CB5826" w:rsidRPr="00E9291A" w:rsidRDefault="00CB5826" w:rsidP="00CB5826">
      <w:pPr>
        <w:spacing w:after="0"/>
      </w:pPr>
      <w:r w:rsidRPr="00E9291A">
        <w:t xml:space="preserve">Doğal gaz piyasası faaliyetlerine yönelik </w:t>
      </w:r>
      <w:r w:rsidR="004F32D4">
        <w:t xml:space="preserve">verilecek </w:t>
      </w:r>
      <w:r w:rsidRPr="00E9291A">
        <w:t>lisanslara ilişkin usul ve esaslar, Doğal Gaz Piyasası Lisans Yönetmeliğinde düzenlenmiştir. Lisanslar bir defada en az on, en fazla otuz yıllık süre ile verilir.</w:t>
      </w:r>
    </w:p>
    <w:p w:rsidR="00CB5826" w:rsidRPr="00E9291A" w:rsidRDefault="00CB5826" w:rsidP="00CB5826">
      <w:pPr>
        <w:spacing w:after="0"/>
      </w:pPr>
    </w:p>
    <w:p w:rsidR="00CB5826" w:rsidRDefault="00CB5826" w:rsidP="00CB5826">
      <w:pPr>
        <w:spacing w:after="0"/>
      </w:pPr>
      <w:r w:rsidRPr="00E9291A">
        <w:t>Faaliyet konularına göre Kurum tarafından verilen lisanslar; İthalat Lisansı, İhracat Lisansı, Toptan Satış Lisansı, Depolama Lisansı, İletim Lisansı, Sıkıştı</w:t>
      </w:r>
      <w:r w:rsidR="003F0DE1">
        <w:t xml:space="preserve">rılmış Doğal Gaz (CNG) Lisansı ve </w:t>
      </w:r>
      <w:r w:rsidRPr="00E9291A">
        <w:t>Dağıtım Lisansıdır.</w:t>
      </w:r>
    </w:p>
    <w:p w:rsidR="00774D75" w:rsidRDefault="00774D75" w:rsidP="00CB5826">
      <w:pPr>
        <w:spacing w:after="0"/>
      </w:pPr>
    </w:p>
    <w:p w:rsidR="00774D75" w:rsidRPr="00E9291A" w:rsidRDefault="00774D75" w:rsidP="00CB5826">
      <w:pPr>
        <w:spacing w:after="0"/>
      </w:pPr>
      <w:r w:rsidRPr="00774D75">
        <w:t>Kurum tarafından dördü yeraltı</w:t>
      </w:r>
      <w:r w:rsidR="005030E7">
        <w:t>,</w:t>
      </w:r>
      <w:r w:rsidRPr="00774D75">
        <w:t xml:space="preserve"> dördü de LNG terminali olarak verilmiş olan sekiz adet depolama lisansı bulunmaktadır. Verilmiş olan yer altı depolama lisansları kapsamında </w:t>
      </w:r>
      <w:r w:rsidR="001A402F">
        <w:t>2022</w:t>
      </w:r>
      <w:r w:rsidRPr="00774D75">
        <w:t xml:space="preserve"> yılı sonu itibar</w:t>
      </w:r>
      <w:r w:rsidR="005030E7">
        <w:t>ı</w:t>
      </w:r>
      <w:r w:rsidRPr="00774D75">
        <w:t>yl</w:t>
      </w:r>
      <w:r w:rsidR="005030E7">
        <w:t>a</w:t>
      </w:r>
      <w:r w:rsidRPr="00774D75">
        <w:t xml:space="preserve"> fiili yer altı depolama kapasitesi 3,991 milyar m</w:t>
      </w:r>
      <w:r w:rsidRPr="00774D75">
        <w:rPr>
          <w:vertAlign w:val="superscript"/>
        </w:rPr>
        <w:t>3</w:t>
      </w:r>
      <w:r w:rsidRPr="00774D75">
        <w:t>’e ulaşmıştır.</w:t>
      </w:r>
    </w:p>
    <w:p w:rsidR="00CB5826" w:rsidRDefault="00CB5826" w:rsidP="00C466F8">
      <w:pPr>
        <w:pStyle w:val="Balk5"/>
        <w:jc w:val="center"/>
        <w:rPr>
          <w:rStyle w:val="Gl"/>
          <w:color w:val="000000" w:themeColor="text1"/>
        </w:rPr>
      </w:pPr>
      <w:bookmarkStart w:id="164" w:name="_Toc416447580"/>
      <w:bookmarkStart w:id="165" w:name="_Toc442441732"/>
      <w:bookmarkStart w:id="166" w:name="_Toc132713894"/>
      <w:r w:rsidRPr="00E9291A">
        <w:rPr>
          <w:rStyle w:val="Gl"/>
          <w:color w:val="000000" w:themeColor="text1"/>
        </w:rPr>
        <w:t xml:space="preserve">Tablo </w:t>
      </w:r>
      <w:r w:rsidR="000A02ED">
        <w:rPr>
          <w:rStyle w:val="Gl"/>
          <w:color w:val="000000" w:themeColor="text1"/>
        </w:rPr>
        <w:t>3.</w:t>
      </w:r>
      <w:r w:rsidR="0017770B">
        <w:rPr>
          <w:rStyle w:val="Gl"/>
          <w:color w:val="000000" w:themeColor="text1"/>
        </w:rPr>
        <w:t>4</w:t>
      </w:r>
      <w:r w:rsidR="008E498A">
        <w:rPr>
          <w:rStyle w:val="Gl"/>
          <w:color w:val="000000" w:themeColor="text1"/>
        </w:rPr>
        <w:t>: Doğal Gaz Piyasasında 202</w:t>
      </w:r>
      <w:r w:rsidR="008F1742">
        <w:rPr>
          <w:rStyle w:val="Gl"/>
          <w:color w:val="000000" w:themeColor="text1"/>
        </w:rPr>
        <w:t>2</w:t>
      </w:r>
      <w:r>
        <w:rPr>
          <w:rStyle w:val="Gl"/>
          <w:color w:val="000000" w:themeColor="text1"/>
        </w:rPr>
        <w:t xml:space="preserve"> </w:t>
      </w:r>
      <w:r w:rsidRPr="00E9291A">
        <w:rPr>
          <w:rStyle w:val="Gl"/>
          <w:color w:val="000000" w:themeColor="text1"/>
        </w:rPr>
        <w:t>Yılında Gerçekleştirilen Lisans İşlemleri</w:t>
      </w:r>
      <w:r w:rsidR="007D3384">
        <w:rPr>
          <w:rStyle w:val="Gl"/>
          <w:color w:val="000000" w:themeColor="text1"/>
        </w:rPr>
        <w:t xml:space="preserve"> </w:t>
      </w:r>
      <w:r w:rsidRPr="00E9291A">
        <w:rPr>
          <w:rStyle w:val="Gl"/>
          <w:color w:val="000000" w:themeColor="text1"/>
        </w:rPr>
        <w:t>(Adet)</w:t>
      </w:r>
      <w:bookmarkEnd w:id="164"/>
      <w:bookmarkEnd w:id="165"/>
      <w:bookmarkEnd w:id="166"/>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575"/>
        <w:gridCol w:w="1085"/>
        <w:gridCol w:w="1076"/>
        <w:gridCol w:w="1659"/>
        <w:gridCol w:w="1080"/>
        <w:gridCol w:w="1082"/>
        <w:gridCol w:w="1082"/>
        <w:gridCol w:w="1273"/>
      </w:tblGrid>
      <w:tr w:rsidR="00263DC6" w:rsidRPr="005030E7" w:rsidTr="00167BCA">
        <w:trPr>
          <w:trHeight w:val="340"/>
          <w:jc w:val="center"/>
        </w:trPr>
        <w:tc>
          <w:tcPr>
            <w:tcW w:w="794" w:type="pct"/>
            <w:shd w:val="clear" w:color="000000" w:fill="6E9ECA"/>
            <w:vAlign w:val="center"/>
            <w:hideMark/>
          </w:tcPr>
          <w:p w:rsidR="00263DC6" w:rsidRPr="005030E7" w:rsidRDefault="00263DC6" w:rsidP="00263DC6">
            <w:pPr>
              <w:spacing w:after="0" w:line="240" w:lineRule="auto"/>
              <w:jc w:val="center"/>
              <w:rPr>
                <w:rFonts w:ascii="Calibri" w:eastAsia="Times New Roman" w:hAnsi="Calibri" w:cs="Calibri"/>
                <w:b/>
                <w:bCs/>
                <w:color w:val="FFFFFF"/>
                <w:lang w:eastAsia="tr-TR"/>
              </w:rPr>
            </w:pPr>
            <w:r w:rsidRPr="005030E7">
              <w:rPr>
                <w:rFonts w:ascii="Calibri" w:eastAsia="Times New Roman" w:hAnsi="Calibri" w:cs="Calibri"/>
                <w:b/>
                <w:bCs/>
                <w:color w:val="FFFFFF"/>
                <w:lang w:eastAsia="tr-TR"/>
              </w:rPr>
              <w:t>Lisans Tipi</w:t>
            </w:r>
          </w:p>
        </w:tc>
        <w:tc>
          <w:tcPr>
            <w:tcW w:w="547" w:type="pct"/>
            <w:shd w:val="clear" w:color="000000" w:fill="6E9ECA"/>
            <w:vAlign w:val="center"/>
            <w:hideMark/>
          </w:tcPr>
          <w:p w:rsidR="00263DC6" w:rsidRPr="005030E7" w:rsidRDefault="00263DC6" w:rsidP="00263DC6">
            <w:pPr>
              <w:spacing w:after="0" w:line="240" w:lineRule="auto"/>
              <w:jc w:val="center"/>
              <w:rPr>
                <w:rFonts w:ascii="Calibri" w:eastAsia="Times New Roman" w:hAnsi="Calibri" w:cs="Calibri"/>
                <w:b/>
                <w:bCs/>
                <w:color w:val="FFFFFF"/>
                <w:lang w:eastAsia="tr-TR"/>
              </w:rPr>
            </w:pPr>
            <w:r w:rsidRPr="005030E7">
              <w:rPr>
                <w:rFonts w:ascii="Calibri" w:eastAsia="Times New Roman" w:hAnsi="Calibri" w:cs="Calibri"/>
                <w:b/>
                <w:bCs/>
                <w:color w:val="FFFFFF"/>
                <w:lang w:eastAsia="tr-TR"/>
              </w:rPr>
              <w:t>Lisans Başvurusu Sayısı</w:t>
            </w:r>
          </w:p>
        </w:tc>
        <w:tc>
          <w:tcPr>
            <w:tcW w:w="543" w:type="pct"/>
            <w:shd w:val="clear" w:color="000000" w:fill="6E9ECA"/>
            <w:vAlign w:val="center"/>
            <w:hideMark/>
          </w:tcPr>
          <w:p w:rsidR="00263DC6" w:rsidRPr="005030E7" w:rsidRDefault="00263DC6" w:rsidP="00263DC6">
            <w:pPr>
              <w:spacing w:after="0" w:line="240" w:lineRule="auto"/>
              <w:jc w:val="center"/>
              <w:rPr>
                <w:rFonts w:ascii="Calibri" w:eastAsia="Times New Roman" w:hAnsi="Calibri" w:cs="Calibri"/>
                <w:b/>
                <w:bCs/>
                <w:color w:val="FFFFFF"/>
                <w:lang w:eastAsia="tr-TR"/>
              </w:rPr>
            </w:pPr>
            <w:r w:rsidRPr="005030E7">
              <w:rPr>
                <w:rFonts w:ascii="Calibri" w:eastAsia="Times New Roman" w:hAnsi="Calibri" w:cs="Calibri"/>
                <w:b/>
                <w:bCs/>
                <w:color w:val="FFFFFF"/>
                <w:lang w:eastAsia="tr-TR"/>
              </w:rPr>
              <w:t>Verilen Lisans Sayısı</w:t>
            </w:r>
          </w:p>
        </w:tc>
        <w:tc>
          <w:tcPr>
            <w:tcW w:w="837" w:type="pct"/>
            <w:shd w:val="clear" w:color="000000" w:fill="6E9ECA"/>
            <w:vAlign w:val="center"/>
            <w:hideMark/>
          </w:tcPr>
          <w:p w:rsidR="00263DC6" w:rsidRPr="005030E7" w:rsidRDefault="00263DC6" w:rsidP="00263DC6">
            <w:pPr>
              <w:spacing w:after="0" w:line="240" w:lineRule="auto"/>
              <w:jc w:val="center"/>
              <w:rPr>
                <w:rFonts w:ascii="Calibri" w:eastAsia="Times New Roman" w:hAnsi="Calibri" w:cs="Calibri"/>
                <w:b/>
                <w:bCs/>
                <w:color w:val="FFFFFF"/>
                <w:lang w:eastAsia="tr-TR"/>
              </w:rPr>
            </w:pPr>
            <w:r w:rsidRPr="005030E7">
              <w:rPr>
                <w:rFonts w:ascii="Calibri" w:eastAsia="Times New Roman" w:hAnsi="Calibri" w:cs="Calibri"/>
                <w:b/>
                <w:bCs/>
                <w:color w:val="FFFFFF"/>
                <w:lang w:eastAsia="tr-TR"/>
              </w:rPr>
              <w:t>Sona Eren/Erdirilen Lisans Sayısı</w:t>
            </w:r>
          </w:p>
        </w:tc>
        <w:tc>
          <w:tcPr>
            <w:tcW w:w="545" w:type="pct"/>
            <w:shd w:val="clear" w:color="000000" w:fill="6E9ECA"/>
            <w:vAlign w:val="center"/>
            <w:hideMark/>
          </w:tcPr>
          <w:p w:rsidR="00263DC6" w:rsidRPr="005030E7" w:rsidRDefault="00263DC6" w:rsidP="00263DC6">
            <w:pPr>
              <w:spacing w:after="0" w:line="240" w:lineRule="auto"/>
              <w:jc w:val="center"/>
              <w:rPr>
                <w:rFonts w:ascii="Calibri" w:eastAsia="Times New Roman" w:hAnsi="Calibri" w:cs="Calibri"/>
                <w:b/>
                <w:bCs/>
                <w:color w:val="FFFFFF"/>
                <w:lang w:eastAsia="tr-TR"/>
              </w:rPr>
            </w:pPr>
            <w:r w:rsidRPr="005030E7">
              <w:rPr>
                <w:rFonts w:ascii="Calibri" w:eastAsia="Times New Roman" w:hAnsi="Calibri" w:cs="Calibri"/>
                <w:b/>
                <w:bCs/>
                <w:color w:val="FFFFFF"/>
                <w:lang w:eastAsia="tr-TR"/>
              </w:rPr>
              <w:t>İptal Edilen Lisans Sayısı</w:t>
            </w:r>
          </w:p>
        </w:tc>
        <w:tc>
          <w:tcPr>
            <w:tcW w:w="546" w:type="pct"/>
            <w:shd w:val="clear" w:color="000000" w:fill="6E9ECA"/>
            <w:vAlign w:val="center"/>
            <w:hideMark/>
          </w:tcPr>
          <w:p w:rsidR="00263DC6" w:rsidRPr="005030E7" w:rsidRDefault="00263DC6" w:rsidP="00263DC6">
            <w:pPr>
              <w:spacing w:after="0" w:line="240" w:lineRule="auto"/>
              <w:jc w:val="center"/>
              <w:rPr>
                <w:rFonts w:ascii="Calibri" w:eastAsia="Times New Roman" w:hAnsi="Calibri" w:cs="Calibri"/>
                <w:b/>
                <w:bCs/>
                <w:color w:val="FFFFFF"/>
                <w:lang w:eastAsia="tr-TR"/>
              </w:rPr>
            </w:pPr>
            <w:r w:rsidRPr="005030E7">
              <w:rPr>
                <w:rFonts w:ascii="Calibri" w:eastAsia="Times New Roman" w:hAnsi="Calibri" w:cs="Calibri"/>
                <w:b/>
                <w:bCs/>
                <w:color w:val="FFFFFF"/>
                <w:lang w:eastAsia="tr-TR"/>
              </w:rPr>
              <w:t>Tadil Sayısı</w:t>
            </w:r>
          </w:p>
        </w:tc>
        <w:tc>
          <w:tcPr>
            <w:tcW w:w="546" w:type="pct"/>
            <w:shd w:val="clear" w:color="000000" w:fill="6E9ECA"/>
            <w:vAlign w:val="center"/>
            <w:hideMark/>
          </w:tcPr>
          <w:p w:rsidR="00263DC6" w:rsidRPr="005030E7" w:rsidRDefault="00263DC6" w:rsidP="00263DC6">
            <w:pPr>
              <w:spacing w:after="0" w:line="240" w:lineRule="auto"/>
              <w:jc w:val="center"/>
              <w:rPr>
                <w:rFonts w:ascii="Calibri" w:eastAsia="Times New Roman" w:hAnsi="Calibri" w:cs="Calibri"/>
                <w:b/>
                <w:bCs/>
                <w:color w:val="FFFFFF"/>
                <w:lang w:eastAsia="tr-TR"/>
              </w:rPr>
            </w:pPr>
            <w:r w:rsidRPr="005030E7">
              <w:rPr>
                <w:rFonts w:ascii="Calibri" w:eastAsia="Times New Roman" w:hAnsi="Calibri" w:cs="Calibri"/>
                <w:b/>
                <w:bCs/>
                <w:color w:val="FFFFFF"/>
                <w:lang w:eastAsia="tr-TR"/>
              </w:rPr>
              <w:t>Genel Toplam</w:t>
            </w:r>
          </w:p>
        </w:tc>
        <w:tc>
          <w:tcPr>
            <w:tcW w:w="642" w:type="pct"/>
            <w:shd w:val="clear" w:color="000000" w:fill="6E9ECA"/>
            <w:vAlign w:val="center"/>
            <w:hideMark/>
          </w:tcPr>
          <w:p w:rsidR="00263DC6" w:rsidRPr="005030E7" w:rsidRDefault="00263DC6" w:rsidP="00263DC6">
            <w:pPr>
              <w:spacing w:after="0" w:line="240" w:lineRule="auto"/>
              <w:jc w:val="center"/>
              <w:rPr>
                <w:rFonts w:ascii="Calibri" w:eastAsia="Times New Roman" w:hAnsi="Calibri" w:cs="Calibri"/>
                <w:b/>
                <w:bCs/>
                <w:color w:val="FFFFFF"/>
                <w:lang w:eastAsia="tr-TR"/>
              </w:rPr>
            </w:pPr>
            <w:r w:rsidRPr="005030E7">
              <w:rPr>
                <w:rFonts w:ascii="Calibri" w:eastAsia="Times New Roman" w:hAnsi="Calibri" w:cs="Calibri"/>
                <w:b/>
                <w:bCs/>
                <w:color w:val="FFFFFF"/>
                <w:lang w:eastAsia="tr-TR"/>
              </w:rPr>
              <w:t>Dönem Sonu Yürürlükteki Lisans Sayısı</w:t>
            </w:r>
          </w:p>
        </w:tc>
      </w:tr>
      <w:tr w:rsidR="00931DEA" w:rsidRPr="005030E7" w:rsidTr="00D34E39">
        <w:trPr>
          <w:trHeight w:val="340"/>
          <w:jc w:val="center"/>
        </w:trPr>
        <w:tc>
          <w:tcPr>
            <w:tcW w:w="794" w:type="pct"/>
            <w:shd w:val="clear" w:color="auto" w:fill="auto"/>
            <w:hideMark/>
          </w:tcPr>
          <w:p w:rsidR="00931DEA" w:rsidRPr="005030E7" w:rsidRDefault="00931DEA" w:rsidP="00931DEA">
            <w:pPr>
              <w:spacing w:after="0" w:line="240" w:lineRule="auto"/>
              <w:rPr>
                <w:rFonts w:ascii="Calibri" w:eastAsia="Times New Roman" w:hAnsi="Calibri" w:cs="Calibri"/>
                <w:color w:val="000000"/>
                <w:lang w:eastAsia="tr-TR"/>
              </w:rPr>
            </w:pPr>
            <w:r>
              <w:rPr>
                <w:rFonts w:ascii="Arial" w:hAnsi="Arial" w:cs="Arial"/>
                <w:color w:val="000000"/>
                <w:sz w:val="20"/>
                <w:szCs w:val="20"/>
              </w:rPr>
              <w:t>Dağıtım Lisansı</w:t>
            </w:r>
          </w:p>
        </w:tc>
        <w:tc>
          <w:tcPr>
            <w:tcW w:w="547" w:type="pct"/>
            <w:shd w:val="clear" w:color="auto" w:fill="auto"/>
            <w:vAlign w:val="center"/>
          </w:tcPr>
          <w:p w:rsidR="00931DEA" w:rsidRPr="00167BCA" w:rsidRDefault="00931DEA" w:rsidP="00931DEA">
            <w:pPr>
              <w:spacing w:after="0" w:line="240" w:lineRule="auto"/>
              <w:jc w:val="right"/>
              <w:rPr>
                <w:rFonts w:eastAsia="Times New Roman" w:cstheme="minorHAnsi"/>
                <w:color w:val="000000"/>
                <w:lang w:eastAsia="tr-TR"/>
              </w:rPr>
            </w:pPr>
            <w:r w:rsidRPr="00167BCA">
              <w:rPr>
                <w:rFonts w:cstheme="minorHAnsi"/>
                <w:color w:val="000000"/>
              </w:rPr>
              <w:t>0</w:t>
            </w:r>
          </w:p>
        </w:tc>
        <w:tc>
          <w:tcPr>
            <w:tcW w:w="543" w:type="pct"/>
            <w:shd w:val="clear" w:color="auto" w:fill="auto"/>
            <w:vAlign w:val="center"/>
          </w:tcPr>
          <w:p w:rsidR="00931DEA" w:rsidRPr="00167BCA" w:rsidRDefault="00931DEA" w:rsidP="00931DEA">
            <w:pPr>
              <w:spacing w:after="0" w:line="240" w:lineRule="auto"/>
              <w:jc w:val="right"/>
              <w:rPr>
                <w:rFonts w:eastAsia="Times New Roman" w:cstheme="minorHAnsi"/>
                <w:color w:val="000000"/>
                <w:lang w:eastAsia="tr-TR"/>
              </w:rPr>
            </w:pPr>
            <w:r w:rsidRPr="00167BCA">
              <w:rPr>
                <w:rFonts w:cstheme="minorHAnsi"/>
                <w:color w:val="000000"/>
              </w:rPr>
              <w:t>0</w:t>
            </w:r>
          </w:p>
        </w:tc>
        <w:tc>
          <w:tcPr>
            <w:tcW w:w="837" w:type="pct"/>
            <w:shd w:val="clear" w:color="auto" w:fill="auto"/>
            <w:vAlign w:val="center"/>
          </w:tcPr>
          <w:p w:rsidR="00931DEA" w:rsidRPr="00167BCA" w:rsidRDefault="00931DEA" w:rsidP="00931DEA">
            <w:pPr>
              <w:spacing w:after="0" w:line="240" w:lineRule="auto"/>
              <w:jc w:val="right"/>
              <w:rPr>
                <w:rFonts w:eastAsia="Times New Roman" w:cstheme="minorHAnsi"/>
                <w:color w:val="000000"/>
                <w:lang w:eastAsia="tr-TR"/>
              </w:rPr>
            </w:pPr>
            <w:r w:rsidRPr="00167BCA">
              <w:rPr>
                <w:rFonts w:cstheme="minorHAnsi"/>
                <w:color w:val="000000"/>
              </w:rPr>
              <w:t>0</w:t>
            </w:r>
          </w:p>
        </w:tc>
        <w:tc>
          <w:tcPr>
            <w:tcW w:w="545" w:type="pct"/>
            <w:shd w:val="clear" w:color="auto" w:fill="auto"/>
            <w:vAlign w:val="center"/>
          </w:tcPr>
          <w:p w:rsidR="00931DEA" w:rsidRPr="00167BCA" w:rsidRDefault="00931DEA" w:rsidP="00931DEA">
            <w:pPr>
              <w:spacing w:after="0" w:line="240" w:lineRule="auto"/>
              <w:jc w:val="right"/>
              <w:rPr>
                <w:rFonts w:eastAsia="Times New Roman" w:cstheme="minorHAnsi"/>
                <w:color w:val="000000"/>
                <w:lang w:eastAsia="tr-TR"/>
              </w:rPr>
            </w:pPr>
            <w:r w:rsidRPr="00167BCA">
              <w:rPr>
                <w:rFonts w:cstheme="minorHAnsi"/>
                <w:color w:val="000000"/>
              </w:rPr>
              <w:t>0</w:t>
            </w:r>
          </w:p>
        </w:tc>
        <w:tc>
          <w:tcPr>
            <w:tcW w:w="546" w:type="pct"/>
            <w:shd w:val="clear" w:color="auto" w:fill="auto"/>
            <w:vAlign w:val="center"/>
            <w:hideMark/>
          </w:tcPr>
          <w:p w:rsidR="00931DEA" w:rsidRPr="00167BCA" w:rsidRDefault="00931DEA" w:rsidP="00931DEA">
            <w:pPr>
              <w:spacing w:after="0" w:line="240" w:lineRule="auto"/>
              <w:jc w:val="right"/>
              <w:rPr>
                <w:rFonts w:eastAsia="Times New Roman" w:cstheme="minorHAnsi"/>
                <w:color w:val="000000"/>
                <w:lang w:eastAsia="tr-TR"/>
              </w:rPr>
            </w:pPr>
            <w:r>
              <w:rPr>
                <w:rFonts w:cstheme="minorHAnsi"/>
                <w:color w:val="000000"/>
                <w:lang w:eastAsia="tr-TR"/>
              </w:rPr>
              <w:t>73</w:t>
            </w:r>
          </w:p>
        </w:tc>
        <w:tc>
          <w:tcPr>
            <w:tcW w:w="546" w:type="pct"/>
            <w:shd w:val="clear" w:color="auto" w:fill="auto"/>
            <w:vAlign w:val="center"/>
            <w:hideMark/>
          </w:tcPr>
          <w:p w:rsidR="00931DEA" w:rsidRPr="00167BCA" w:rsidRDefault="00931DEA" w:rsidP="00931DEA">
            <w:pPr>
              <w:spacing w:after="0" w:line="240" w:lineRule="auto"/>
              <w:jc w:val="right"/>
              <w:rPr>
                <w:rFonts w:eastAsia="Times New Roman" w:cstheme="minorHAnsi"/>
                <w:color w:val="000000"/>
                <w:lang w:eastAsia="tr-TR"/>
              </w:rPr>
            </w:pPr>
            <w:r>
              <w:rPr>
                <w:rFonts w:cstheme="minorHAnsi"/>
                <w:color w:val="000000"/>
                <w:lang w:eastAsia="tr-TR"/>
              </w:rPr>
              <w:t>73</w:t>
            </w:r>
          </w:p>
        </w:tc>
        <w:tc>
          <w:tcPr>
            <w:tcW w:w="642" w:type="pct"/>
            <w:shd w:val="clear" w:color="auto" w:fill="auto"/>
            <w:vAlign w:val="center"/>
            <w:hideMark/>
          </w:tcPr>
          <w:p w:rsidR="00931DEA" w:rsidRPr="00D34E39" w:rsidRDefault="00931DEA" w:rsidP="00931DEA">
            <w:pPr>
              <w:spacing w:after="0" w:line="240" w:lineRule="auto"/>
              <w:jc w:val="right"/>
              <w:rPr>
                <w:rFonts w:eastAsia="Times New Roman" w:cstheme="minorHAnsi"/>
                <w:b/>
                <w:bCs/>
                <w:color w:val="000000"/>
                <w:lang w:eastAsia="tr-TR"/>
              </w:rPr>
            </w:pPr>
            <w:r w:rsidRPr="00167BCA">
              <w:rPr>
                <w:rFonts w:cstheme="minorHAnsi"/>
                <w:b/>
                <w:color w:val="000000"/>
              </w:rPr>
              <w:t>72</w:t>
            </w:r>
          </w:p>
        </w:tc>
      </w:tr>
      <w:tr w:rsidR="00931DEA" w:rsidRPr="005030E7" w:rsidTr="00D34E39">
        <w:trPr>
          <w:trHeight w:val="340"/>
          <w:jc w:val="center"/>
        </w:trPr>
        <w:tc>
          <w:tcPr>
            <w:tcW w:w="794" w:type="pct"/>
            <w:shd w:val="clear" w:color="auto" w:fill="auto"/>
            <w:hideMark/>
          </w:tcPr>
          <w:p w:rsidR="00931DEA" w:rsidRPr="005030E7" w:rsidRDefault="00931DEA" w:rsidP="00931DEA">
            <w:pPr>
              <w:spacing w:after="0" w:line="240" w:lineRule="auto"/>
              <w:rPr>
                <w:rFonts w:ascii="Calibri" w:eastAsia="Times New Roman" w:hAnsi="Calibri" w:cs="Calibri"/>
                <w:color w:val="000000"/>
                <w:lang w:eastAsia="tr-TR"/>
              </w:rPr>
            </w:pPr>
            <w:r>
              <w:rPr>
                <w:rFonts w:ascii="Arial" w:hAnsi="Arial" w:cs="Arial"/>
                <w:color w:val="000000"/>
                <w:sz w:val="20"/>
                <w:szCs w:val="20"/>
              </w:rPr>
              <w:t>Depolama Lisansı</w:t>
            </w:r>
          </w:p>
        </w:tc>
        <w:tc>
          <w:tcPr>
            <w:tcW w:w="547" w:type="pct"/>
            <w:shd w:val="clear" w:color="auto" w:fill="auto"/>
            <w:vAlign w:val="center"/>
          </w:tcPr>
          <w:p w:rsidR="00931DEA" w:rsidRPr="00167BCA" w:rsidRDefault="00931DEA" w:rsidP="00931DEA">
            <w:pPr>
              <w:spacing w:after="0" w:line="240" w:lineRule="auto"/>
              <w:jc w:val="right"/>
              <w:rPr>
                <w:rFonts w:eastAsia="Times New Roman" w:cstheme="minorHAnsi"/>
                <w:color w:val="000000"/>
                <w:lang w:eastAsia="tr-TR"/>
              </w:rPr>
            </w:pPr>
            <w:r w:rsidRPr="00167BCA">
              <w:rPr>
                <w:rFonts w:cstheme="minorHAnsi"/>
                <w:color w:val="000000"/>
              </w:rPr>
              <w:t>0</w:t>
            </w:r>
          </w:p>
        </w:tc>
        <w:tc>
          <w:tcPr>
            <w:tcW w:w="543" w:type="pct"/>
            <w:shd w:val="clear" w:color="auto" w:fill="auto"/>
            <w:vAlign w:val="center"/>
          </w:tcPr>
          <w:p w:rsidR="00931DEA" w:rsidRPr="00167BCA" w:rsidRDefault="00931DEA" w:rsidP="00931DEA">
            <w:pPr>
              <w:spacing w:after="0" w:line="240" w:lineRule="auto"/>
              <w:jc w:val="right"/>
              <w:rPr>
                <w:rFonts w:eastAsia="Times New Roman" w:cstheme="minorHAnsi"/>
                <w:color w:val="000000"/>
                <w:lang w:eastAsia="tr-TR"/>
              </w:rPr>
            </w:pPr>
            <w:r w:rsidRPr="00167BCA">
              <w:rPr>
                <w:rFonts w:cstheme="minorHAnsi"/>
                <w:color w:val="000000"/>
              </w:rPr>
              <w:t>0</w:t>
            </w:r>
          </w:p>
        </w:tc>
        <w:tc>
          <w:tcPr>
            <w:tcW w:w="837" w:type="pct"/>
            <w:shd w:val="clear" w:color="auto" w:fill="auto"/>
            <w:vAlign w:val="center"/>
          </w:tcPr>
          <w:p w:rsidR="00931DEA" w:rsidRPr="00167BCA" w:rsidRDefault="00931DEA" w:rsidP="00931DEA">
            <w:pPr>
              <w:spacing w:after="0" w:line="240" w:lineRule="auto"/>
              <w:jc w:val="right"/>
              <w:rPr>
                <w:rFonts w:eastAsia="Times New Roman" w:cstheme="minorHAnsi"/>
                <w:color w:val="000000"/>
                <w:lang w:eastAsia="tr-TR"/>
              </w:rPr>
            </w:pPr>
            <w:r w:rsidRPr="00167BCA">
              <w:rPr>
                <w:rFonts w:cstheme="minorHAnsi"/>
                <w:color w:val="000000"/>
              </w:rPr>
              <w:t>0</w:t>
            </w:r>
          </w:p>
        </w:tc>
        <w:tc>
          <w:tcPr>
            <w:tcW w:w="545" w:type="pct"/>
            <w:shd w:val="clear" w:color="auto" w:fill="auto"/>
            <w:vAlign w:val="center"/>
          </w:tcPr>
          <w:p w:rsidR="00931DEA" w:rsidRPr="00167BCA" w:rsidRDefault="00931DEA" w:rsidP="00931DEA">
            <w:pPr>
              <w:spacing w:after="0" w:line="240" w:lineRule="auto"/>
              <w:jc w:val="right"/>
              <w:rPr>
                <w:rFonts w:eastAsia="Times New Roman" w:cstheme="minorHAnsi"/>
                <w:color w:val="000000"/>
                <w:lang w:eastAsia="tr-TR"/>
              </w:rPr>
            </w:pPr>
            <w:r w:rsidRPr="00167BCA">
              <w:rPr>
                <w:rFonts w:cstheme="minorHAnsi"/>
                <w:color w:val="000000"/>
              </w:rPr>
              <w:t>0</w:t>
            </w:r>
          </w:p>
        </w:tc>
        <w:tc>
          <w:tcPr>
            <w:tcW w:w="546" w:type="pct"/>
            <w:shd w:val="clear" w:color="auto" w:fill="auto"/>
            <w:vAlign w:val="center"/>
          </w:tcPr>
          <w:p w:rsidR="00931DEA" w:rsidRPr="00167BCA" w:rsidRDefault="00931DEA" w:rsidP="00931DEA">
            <w:pPr>
              <w:spacing w:after="0" w:line="240" w:lineRule="auto"/>
              <w:jc w:val="right"/>
              <w:rPr>
                <w:rFonts w:eastAsia="Times New Roman" w:cstheme="minorHAnsi"/>
                <w:color w:val="000000"/>
                <w:lang w:eastAsia="tr-TR"/>
              </w:rPr>
            </w:pPr>
            <w:r w:rsidRPr="00167BCA">
              <w:rPr>
                <w:rFonts w:cstheme="minorHAnsi"/>
                <w:color w:val="000000"/>
              </w:rPr>
              <w:t>0 </w:t>
            </w:r>
          </w:p>
        </w:tc>
        <w:tc>
          <w:tcPr>
            <w:tcW w:w="546" w:type="pct"/>
            <w:shd w:val="clear" w:color="auto" w:fill="auto"/>
            <w:vAlign w:val="center"/>
            <w:hideMark/>
          </w:tcPr>
          <w:p w:rsidR="00931DEA" w:rsidRPr="00167BCA" w:rsidRDefault="00931DEA" w:rsidP="00931DEA">
            <w:pPr>
              <w:spacing w:after="0" w:line="240" w:lineRule="auto"/>
              <w:jc w:val="right"/>
              <w:rPr>
                <w:rFonts w:eastAsia="Times New Roman" w:cstheme="minorHAnsi"/>
                <w:color w:val="000000"/>
                <w:lang w:eastAsia="tr-TR"/>
              </w:rPr>
            </w:pPr>
            <w:r w:rsidRPr="00167BCA">
              <w:rPr>
                <w:rFonts w:cstheme="minorHAnsi"/>
                <w:color w:val="000000"/>
              </w:rPr>
              <w:t>0</w:t>
            </w:r>
          </w:p>
        </w:tc>
        <w:tc>
          <w:tcPr>
            <w:tcW w:w="642" w:type="pct"/>
            <w:shd w:val="clear" w:color="auto" w:fill="auto"/>
            <w:vAlign w:val="center"/>
            <w:hideMark/>
          </w:tcPr>
          <w:p w:rsidR="00931DEA" w:rsidRPr="00D34E39" w:rsidRDefault="00931DEA" w:rsidP="00931DEA">
            <w:pPr>
              <w:spacing w:after="0" w:line="240" w:lineRule="auto"/>
              <w:jc w:val="right"/>
              <w:rPr>
                <w:rFonts w:eastAsia="Times New Roman" w:cstheme="minorHAnsi"/>
                <w:b/>
                <w:bCs/>
                <w:color w:val="000000"/>
                <w:lang w:eastAsia="tr-TR"/>
              </w:rPr>
            </w:pPr>
            <w:r w:rsidRPr="00167BCA">
              <w:rPr>
                <w:rFonts w:cstheme="minorHAnsi"/>
                <w:b/>
                <w:color w:val="000000"/>
              </w:rPr>
              <w:t>8</w:t>
            </w:r>
          </w:p>
        </w:tc>
      </w:tr>
      <w:tr w:rsidR="00931DEA" w:rsidRPr="005030E7" w:rsidTr="00D34E39">
        <w:trPr>
          <w:trHeight w:val="340"/>
          <w:jc w:val="center"/>
        </w:trPr>
        <w:tc>
          <w:tcPr>
            <w:tcW w:w="794" w:type="pct"/>
            <w:shd w:val="clear" w:color="auto" w:fill="auto"/>
            <w:hideMark/>
          </w:tcPr>
          <w:p w:rsidR="00931DEA" w:rsidRPr="005030E7" w:rsidRDefault="00931DEA" w:rsidP="00931DEA">
            <w:pPr>
              <w:spacing w:after="0" w:line="240" w:lineRule="auto"/>
              <w:rPr>
                <w:rFonts w:ascii="Calibri" w:eastAsia="Times New Roman" w:hAnsi="Calibri" w:cs="Calibri"/>
                <w:color w:val="000000"/>
                <w:lang w:eastAsia="tr-TR"/>
              </w:rPr>
            </w:pPr>
            <w:r>
              <w:rPr>
                <w:rFonts w:ascii="Arial" w:hAnsi="Arial" w:cs="Arial"/>
                <w:color w:val="000000"/>
                <w:sz w:val="20"/>
                <w:szCs w:val="20"/>
              </w:rPr>
              <w:t>İhracat Lisansı</w:t>
            </w:r>
          </w:p>
        </w:tc>
        <w:tc>
          <w:tcPr>
            <w:tcW w:w="547" w:type="pct"/>
            <w:shd w:val="clear" w:color="auto" w:fill="auto"/>
            <w:vAlign w:val="center"/>
            <w:hideMark/>
          </w:tcPr>
          <w:p w:rsidR="00931DEA" w:rsidRPr="00167BCA" w:rsidRDefault="00931DEA" w:rsidP="00931DEA">
            <w:pPr>
              <w:spacing w:after="0" w:line="240" w:lineRule="auto"/>
              <w:jc w:val="right"/>
              <w:rPr>
                <w:rFonts w:eastAsia="Times New Roman" w:cstheme="minorHAnsi"/>
                <w:color w:val="000000"/>
                <w:lang w:eastAsia="tr-TR"/>
              </w:rPr>
            </w:pPr>
            <w:r w:rsidRPr="00167BCA">
              <w:rPr>
                <w:rFonts w:cstheme="minorHAnsi"/>
                <w:color w:val="000000"/>
                <w:lang w:eastAsia="tr-TR"/>
              </w:rPr>
              <w:t>5</w:t>
            </w:r>
          </w:p>
        </w:tc>
        <w:tc>
          <w:tcPr>
            <w:tcW w:w="543" w:type="pct"/>
            <w:shd w:val="clear" w:color="auto" w:fill="auto"/>
            <w:vAlign w:val="center"/>
            <w:hideMark/>
          </w:tcPr>
          <w:p w:rsidR="00931DEA" w:rsidRPr="00167BCA" w:rsidRDefault="00931DEA" w:rsidP="00931DEA">
            <w:pPr>
              <w:spacing w:after="0" w:line="240" w:lineRule="auto"/>
              <w:jc w:val="right"/>
              <w:rPr>
                <w:rFonts w:eastAsia="Times New Roman" w:cstheme="minorHAnsi"/>
                <w:color w:val="000000"/>
                <w:lang w:eastAsia="tr-TR"/>
              </w:rPr>
            </w:pPr>
            <w:r w:rsidRPr="00167BCA">
              <w:rPr>
                <w:rFonts w:cstheme="minorHAnsi"/>
                <w:color w:val="000000"/>
                <w:lang w:eastAsia="tr-TR"/>
              </w:rPr>
              <w:t>5</w:t>
            </w:r>
          </w:p>
        </w:tc>
        <w:tc>
          <w:tcPr>
            <w:tcW w:w="837" w:type="pct"/>
            <w:shd w:val="clear" w:color="auto" w:fill="auto"/>
            <w:vAlign w:val="center"/>
          </w:tcPr>
          <w:p w:rsidR="00931DEA" w:rsidRPr="00167BCA" w:rsidRDefault="00931DEA" w:rsidP="00931DEA">
            <w:pPr>
              <w:spacing w:after="0" w:line="240" w:lineRule="auto"/>
              <w:jc w:val="right"/>
              <w:rPr>
                <w:rFonts w:eastAsia="Times New Roman" w:cstheme="minorHAnsi"/>
                <w:color w:val="000000"/>
                <w:lang w:eastAsia="tr-TR"/>
              </w:rPr>
            </w:pPr>
            <w:r w:rsidRPr="00167BCA">
              <w:rPr>
                <w:rFonts w:cstheme="minorHAnsi"/>
                <w:color w:val="000000"/>
                <w:lang w:eastAsia="tr-TR"/>
              </w:rPr>
              <w:t>0</w:t>
            </w:r>
          </w:p>
        </w:tc>
        <w:tc>
          <w:tcPr>
            <w:tcW w:w="545" w:type="pct"/>
            <w:shd w:val="clear" w:color="auto" w:fill="auto"/>
            <w:vAlign w:val="center"/>
          </w:tcPr>
          <w:p w:rsidR="00931DEA" w:rsidRPr="00167BCA" w:rsidRDefault="00931DEA" w:rsidP="00931DEA">
            <w:pPr>
              <w:spacing w:after="0" w:line="240" w:lineRule="auto"/>
              <w:jc w:val="right"/>
              <w:rPr>
                <w:rFonts w:eastAsia="Times New Roman" w:cstheme="minorHAnsi"/>
                <w:color w:val="000000"/>
                <w:lang w:eastAsia="tr-TR"/>
              </w:rPr>
            </w:pPr>
            <w:r w:rsidRPr="00167BCA">
              <w:rPr>
                <w:rFonts w:cstheme="minorHAnsi"/>
                <w:color w:val="000000"/>
              </w:rPr>
              <w:t>0</w:t>
            </w:r>
          </w:p>
        </w:tc>
        <w:tc>
          <w:tcPr>
            <w:tcW w:w="546" w:type="pct"/>
            <w:shd w:val="clear" w:color="auto" w:fill="auto"/>
            <w:vAlign w:val="center"/>
          </w:tcPr>
          <w:p w:rsidR="00931DEA" w:rsidRPr="00167BCA" w:rsidRDefault="00931DEA" w:rsidP="00931DEA">
            <w:pPr>
              <w:spacing w:after="0" w:line="240" w:lineRule="auto"/>
              <w:jc w:val="right"/>
              <w:rPr>
                <w:rFonts w:eastAsia="Times New Roman" w:cstheme="minorHAnsi"/>
                <w:color w:val="000000"/>
                <w:lang w:eastAsia="tr-TR"/>
              </w:rPr>
            </w:pPr>
            <w:r w:rsidRPr="00167BCA">
              <w:rPr>
                <w:rFonts w:cstheme="minorHAnsi"/>
                <w:color w:val="000000"/>
              </w:rPr>
              <w:t>0 </w:t>
            </w:r>
          </w:p>
        </w:tc>
        <w:tc>
          <w:tcPr>
            <w:tcW w:w="546" w:type="pct"/>
            <w:shd w:val="clear" w:color="auto" w:fill="auto"/>
            <w:vAlign w:val="center"/>
            <w:hideMark/>
          </w:tcPr>
          <w:p w:rsidR="00931DEA" w:rsidRPr="00167BCA" w:rsidRDefault="00931DEA" w:rsidP="00931DEA">
            <w:pPr>
              <w:spacing w:after="0" w:line="240" w:lineRule="auto"/>
              <w:jc w:val="right"/>
              <w:rPr>
                <w:rFonts w:eastAsia="Times New Roman" w:cstheme="minorHAnsi"/>
                <w:color w:val="000000"/>
                <w:lang w:eastAsia="tr-TR"/>
              </w:rPr>
            </w:pPr>
            <w:r w:rsidRPr="00167BCA">
              <w:rPr>
                <w:rFonts w:cstheme="minorHAnsi"/>
                <w:color w:val="000000"/>
                <w:lang w:eastAsia="tr-TR"/>
              </w:rPr>
              <w:t>10</w:t>
            </w:r>
          </w:p>
        </w:tc>
        <w:tc>
          <w:tcPr>
            <w:tcW w:w="642" w:type="pct"/>
            <w:shd w:val="clear" w:color="auto" w:fill="auto"/>
            <w:vAlign w:val="center"/>
            <w:hideMark/>
          </w:tcPr>
          <w:p w:rsidR="00931DEA" w:rsidRPr="00D34E39" w:rsidRDefault="00931DEA" w:rsidP="00931DEA">
            <w:pPr>
              <w:spacing w:after="0" w:line="240" w:lineRule="auto"/>
              <w:jc w:val="right"/>
              <w:rPr>
                <w:rFonts w:eastAsia="Times New Roman" w:cstheme="minorHAnsi"/>
                <w:b/>
                <w:bCs/>
                <w:color w:val="000000"/>
                <w:lang w:eastAsia="tr-TR"/>
              </w:rPr>
            </w:pPr>
            <w:r w:rsidRPr="00167BCA">
              <w:rPr>
                <w:rFonts w:cstheme="minorHAnsi"/>
                <w:b/>
                <w:color w:val="000000"/>
              </w:rPr>
              <w:t>31</w:t>
            </w:r>
          </w:p>
        </w:tc>
      </w:tr>
      <w:tr w:rsidR="00931DEA" w:rsidRPr="005030E7" w:rsidTr="00D34E39">
        <w:trPr>
          <w:trHeight w:val="340"/>
          <w:jc w:val="center"/>
        </w:trPr>
        <w:tc>
          <w:tcPr>
            <w:tcW w:w="794" w:type="pct"/>
            <w:shd w:val="clear" w:color="auto" w:fill="auto"/>
            <w:hideMark/>
          </w:tcPr>
          <w:p w:rsidR="00931DEA" w:rsidRPr="005030E7" w:rsidRDefault="00931DEA" w:rsidP="00931DEA">
            <w:pPr>
              <w:spacing w:after="0" w:line="240" w:lineRule="auto"/>
              <w:rPr>
                <w:rFonts w:ascii="Calibri" w:eastAsia="Times New Roman" w:hAnsi="Calibri" w:cs="Calibri"/>
                <w:color w:val="000000"/>
                <w:lang w:eastAsia="tr-TR"/>
              </w:rPr>
            </w:pPr>
            <w:r>
              <w:rPr>
                <w:rFonts w:ascii="Arial" w:hAnsi="Arial" w:cs="Arial"/>
                <w:color w:val="000000"/>
                <w:sz w:val="20"/>
                <w:szCs w:val="20"/>
              </w:rPr>
              <w:t>İletim Lisansı</w:t>
            </w:r>
          </w:p>
        </w:tc>
        <w:tc>
          <w:tcPr>
            <w:tcW w:w="547" w:type="pct"/>
            <w:shd w:val="clear" w:color="auto" w:fill="auto"/>
            <w:vAlign w:val="center"/>
          </w:tcPr>
          <w:p w:rsidR="00931DEA" w:rsidRPr="00167BCA" w:rsidRDefault="00931DEA" w:rsidP="00931DEA">
            <w:pPr>
              <w:spacing w:after="0" w:line="240" w:lineRule="auto"/>
              <w:jc w:val="right"/>
              <w:rPr>
                <w:rFonts w:eastAsia="Times New Roman" w:cstheme="minorHAnsi"/>
                <w:color w:val="000000"/>
                <w:lang w:eastAsia="tr-TR"/>
              </w:rPr>
            </w:pPr>
            <w:r w:rsidRPr="00167BCA">
              <w:rPr>
                <w:rFonts w:cstheme="minorHAnsi"/>
                <w:color w:val="000000"/>
              </w:rPr>
              <w:t>0</w:t>
            </w:r>
          </w:p>
        </w:tc>
        <w:tc>
          <w:tcPr>
            <w:tcW w:w="543" w:type="pct"/>
            <w:shd w:val="clear" w:color="auto" w:fill="auto"/>
            <w:vAlign w:val="center"/>
          </w:tcPr>
          <w:p w:rsidR="00931DEA" w:rsidRPr="00167BCA" w:rsidRDefault="00931DEA" w:rsidP="00931DEA">
            <w:pPr>
              <w:spacing w:after="0" w:line="240" w:lineRule="auto"/>
              <w:jc w:val="right"/>
              <w:rPr>
                <w:rFonts w:eastAsia="Times New Roman" w:cstheme="minorHAnsi"/>
                <w:color w:val="000000"/>
                <w:lang w:eastAsia="tr-TR"/>
              </w:rPr>
            </w:pPr>
            <w:r w:rsidRPr="00167BCA">
              <w:rPr>
                <w:rFonts w:cstheme="minorHAnsi"/>
                <w:color w:val="000000"/>
              </w:rPr>
              <w:t>0</w:t>
            </w:r>
          </w:p>
        </w:tc>
        <w:tc>
          <w:tcPr>
            <w:tcW w:w="837" w:type="pct"/>
            <w:shd w:val="clear" w:color="auto" w:fill="auto"/>
            <w:vAlign w:val="center"/>
          </w:tcPr>
          <w:p w:rsidR="00931DEA" w:rsidRPr="00167BCA" w:rsidRDefault="00931DEA" w:rsidP="00931DEA">
            <w:pPr>
              <w:spacing w:after="0" w:line="240" w:lineRule="auto"/>
              <w:jc w:val="right"/>
              <w:rPr>
                <w:rFonts w:eastAsia="Times New Roman" w:cstheme="minorHAnsi"/>
                <w:color w:val="000000"/>
                <w:lang w:eastAsia="tr-TR"/>
              </w:rPr>
            </w:pPr>
            <w:r w:rsidRPr="00167BCA">
              <w:rPr>
                <w:rFonts w:cstheme="minorHAnsi"/>
                <w:color w:val="000000"/>
                <w:lang w:eastAsia="tr-TR"/>
              </w:rPr>
              <w:t>0</w:t>
            </w:r>
          </w:p>
        </w:tc>
        <w:tc>
          <w:tcPr>
            <w:tcW w:w="545" w:type="pct"/>
            <w:shd w:val="clear" w:color="auto" w:fill="auto"/>
            <w:vAlign w:val="center"/>
          </w:tcPr>
          <w:p w:rsidR="00931DEA" w:rsidRPr="00167BCA" w:rsidRDefault="00931DEA" w:rsidP="00931DEA">
            <w:pPr>
              <w:spacing w:after="0" w:line="240" w:lineRule="auto"/>
              <w:jc w:val="right"/>
              <w:rPr>
                <w:rFonts w:eastAsia="Times New Roman" w:cstheme="minorHAnsi"/>
                <w:color w:val="000000"/>
                <w:lang w:eastAsia="tr-TR"/>
              </w:rPr>
            </w:pPr>
            <w:r w:rsidRPr="00167BCA">
              <w:rPr>
                <w:rFonts w:cstheme="minorHAnsi"/>
                <w:color w:val="000000"/>
              </w:rPr>
              <w:t>0</w:t>
            </w:r>
          </w:p>
        </w:tc>
        <w:tc>
          <w:tcPr>
            <w:tcW w:w="546" w:type="pct"/>
            <w:shd w:val="clear" w:color="auto" w:fill="auto"/>
            <w:vAlign w:val="center"/>
          </w:tcPr>
          <w:p w:rsidR="00931DEA" w:rsidRPr="00167BCA" w:rsidRDefault="00931DEA" w:rsidP="00931DEA">
            <w:pPr>
              <w:spacing w:after="0" w:line="240" w:lineRule="auto"/>
              <w:jc w:val="right"/>
              <w:rPr>
                <w:rFonts w:eastAsia="Times New Roman" w:cstheme="minorHAnsi"/>
                <w:color w:val="000000"/>
                <w:lang w:eastAsia="tr-TR"/>
              </w:rPr>
            </w:pPr>
            <w:r w:rsidRPr="00167BCA">
              <w:rPr>
                <w:rFonts w:cstheme="minorHAnsi"/>
                <w:color w:val="000000"/>
                <w:lang w:eastAsia="tr-TR"/>
              </w:rPr>
              <w:t>0</w:t>
            </w:r>
          </w:p>
        </w:tc>
        <w:tc>
          <w:tcPr>
            <w:tcW w:w="546" w:type="pct"/>
            <w:shd w:val="clear" w:color="auto" w:fill="auto"/>
            <w:vAlign w:val="center"/>
            <w:hideMark/>
          </w:tcPr>
          <w:p w:rsidR="00931DEA" w:rsidRPr="00167BCA" w:rsidRDefault="00931DEA" w:rsidP="00931DEA">
            <w:pPr>
              <w:spacing w:after="0" w:line="240" w:lineRule="auto"/>
              <w:jc w:val="right"/>
              <w:rPr>
                <w:rFonts w:eastAsia="Times New Roman" w:cstheme="minorHAnsi"/>
                <w:color w:val="000000"/>
                <w:lang w:eastAsia="tr-TR"/>
              </w:rPr>
            </w:pPr>
            <w:r w:rsidRPr="00167BCA">
              <w:rPr>
                <w:rFonts w:cstheme="minorHAnsi"/>
                <w:color w:val="000000"/>
              </w:rPr>
              <w:t>0</w:t>
            </w:r>
          </w:p>
        </w:tc>
        <w:tc>
          <w:tcPr>
            <w:tcW w:w="642" w:type="pct"/>
            <w:shd w:val="clear" w:color="auto" w:fill="auto"/>
            <w:vAlign w:val="center"/>
            <w:hideMark/>
          </w:tcPr>
          <w:p w:rsidR="00931DEA" w:rsidRPr="00D34E39" w:rsidRDefault="00931DEA" w:rsidP="00931DEA">
            <w:pPr>
              <w:spacing w:after="0" w:line="240" w:lineRule="auto"/>
              <w:jc w:val="right"/>
              <w:rPr>
                <w:rFonts w:eastAsia="Times New Roman" w:cstheme="minorHAnsi"/>
                <w:b/>
                <w:bCs/>
                <w:color w:val="000000"/>
                <w:lang w:eastAsia="tr-TR"/>
              </w:rPr>
            </w:pPr>
            <w:r w:rsidRPr="00167BCA">
              <w:rPr>
                <w:rFonts w:cstheme="minorHAnsi"/>
                <w:b/>
                <w:color w:val="000000"/>
              </w:rPr>
              <w:t>15</w:t>
            </w:r>
          </w:p>
        </w:tc>
      </w:tr>
      <w:tr w:rsidR="00931DEA" w:rsidRPr="005030E7" w:rsidTr="00D34E39">
        <w:trPr>
          <w:trHeight w:val="340"/>
          <w:jc w:val="center"/>
        </w:trPr>
        <w:tc>
          <w:tcPr>
            <w:tcW w:w="794" w:type="pct"/>
            <w:shd w:val="clear" w:color="auto" w:fill="auto"/>
            <w:hideMark/>
          </w:tcPr>
          <w:p w:rsidR="00931DEA" w:rsidRPr="005030E7" w:rsidRDefault="00931DEA" w:rsidP="00931DEA">
            <w:pPr>
              <w:spacing w:after="0" w:line="240" w:lineRule="auto"/>
              <w:rPr>
                <w:rFonts w:ascii="Calibri" w:eastAsia="Times New Roman" w:hAnsi="Calibri" w:cs="Calibri"/>
                <w:color w:val="000000"/>
                <w:lang w:eastAsia="tr-TR"/>
              </w:rPr>
            </w:pPr>
            <w:r>
              <w:rPr>
                <w:rFonts w:ascii="Arial" w:hAnsi="Arial" w:cs="Arial"/>
                <w:color w:val="000000"/>
                <w:sz w:val="20"/>
                <w:szCs w:val="20"/>
              </w:rPr>
              <w:t>İthalat Lisansı</w:t>
            </w:r>
          </w:p>
        </w:tc>
        <w:tc>
          <w:tcPr>
            <w:tcW w:w="547" w:type="pct"/>
            <w:shd w:val="clear" w:color="auto" w:fill="auto"/>
            <w:vAlign w:val="center"/>
            <w:hideMark/>
          </w:tcPr>
          <w:p w:rsidR="00931DEA" w:rsidRPr="00167BCA" w:rsidRDefault="00931DEA" w:rsidP="00931DEA">
            <w:pPr>
              <w:spacing w:after="0" w:line="240" w:lineRule="auto"/>
              <w:jc w:val="right"/>
              <w:rPr>
                <w:rFonts w:eastAsia="Times New Roman" w:cstheme="minorHAnsi"/>
                <w:color w:val="000000"/>
                <w:lang w:eastAsia="tr-TR"/>
              </w:rPr>
            </w:pPr>
            <w:r w:rsidRPr="00167BCA">
              <w:rPr>
                <w:rFonts w:cstheme="minorHAnsi"/>
                <w:color w:val="000000"/>
              </w:rPr>
              <w:t>17</w:t>
            </w:r>
          </w:p>
        </w:tc>
        <w:tc>
          <w:tcPr>
            <w:tcW w:w="543" w:type="pct"/>
            <w:shd w:val="clear" w:color="auto" w:fill="auto"/>
            <w:vAlign w:val="center"/>
            <w:hideMark/>
          </w:tcPr>
          <w:p w:rsidR="00931DEA" w:rsidRPr="00167BCA" w:rsidRDefault="00931DEA" w:rsidP="00931DEA">
            <w:pPr>
              <w:spacing w:after="0" w:line="240" w:lineRule="auto"/>
              <w:jc w:val="right"/>
              <w:rPr>
                <w:rFonts w:eastAsia="Times New Roman" w:cstheme="minorHAnsi"/>
                <w:color w:val="000000"/>
                <w:lang w:eastAsia="tr-TR"/>
              </w:rPr>
            </w:pPr>
            <w:r w:rsidRPr="00167BCA">
              <w:rPr>
                <w:rFonts w:cstheme="minorHAnsi"/>
                <w:color w:val="000000"/>
              </w:rPr>
              <w:t>14</w:t>
            </w:r>
          </w:p>
        </w:tc>
        <w:tc>
          <w:tcPr>
            <w:tcW w:w="837" w:type="pct"/>
            <w:shd w:val="clear" w:color="auto" w:fill="auto"/>
            <w:vAlign w:val="center"/>
            <w:hideMark/>
          </w:tcPr>
          <w:p w:rsidR="00931DEA" w:rsidRPr="00167BCA" w:rsidRDefault="00931DEA" w:rsidP="00931DEA">
            <w:pPr>
              <w:spacing w:after="0" w:line="240" w:lineRule="auto"/>
              <w:jc w:val="right"/>
              <w:rPr>
                <w:rFonts w:eastAsia="Times New Roman" w:cstheme="minorHAnsi"/>
                <w:color w:val="000000"/>
                <w:lang w:eastAsia="tr-TR"/>
              </w:rPr>
            </w:pPr>
            <w:r w:rsidRPr="00167BCA">
              <w:rPr>
                <w:rFonts w:cstheme="minorHAnsi"/>
                <w:color w:val="000000"/>
              </w:rPr>
              <w:t>6</w:t>
            </w:r>
          </w:p>
        </w:tc>
        <w:tc>
          <w:tcPr>
            <w:tcW w:w="545" w:type="pct"/>
            <w:shd w:val="clear" w:color="auto" w:fill="auto"/>
            <w:vAlign w:val="center"/>
            <w:hideMark/>
          </w:tcPr>
          <w:p w:rsidR="00931DEA" w:rsidRPr="00167BCA" w:rsidRDefault="00931DEA" w:rsidP="00931DEA">
            <w:pPr>
              <w:spacing w:after="0" w:line="240" w:lineRule="auto"/>
              <w:jc w:val="right"/>
              <w:rPr>
                <w:rFonts w:eastAsia="Times New Roman" w:cstheme="minorHAnsi"/>
                <w:color w:val="000000"/>
                <w:lang w:eastAsia="tr-TR"/>
              </w:rPr>
            </w:pPr>
            <w:r w:rsidRPr="00167BCA">
              <w:rPr>
                <w:rFonts w:cstheme="minorHAnsi"/>
                <w:color w:val="000000"/>
              </w:rPr>
              <w:t>0</w:t>
            </w:r>
          </w:p>
        </w:tc>
        <w:tc>
          <w:tcPr>
            <w:tcW w:w="546" w:type="pct"/>
            <w:shd w:val="clear" w:color="auto" w:fill="auto"/>
            <w:vAlign w:val="center"/>
            <w:hideMark/>
          </w:tcPr>
          <w:p w:rsidR="00931DEA" w:rsidRPr="00167BCA" w:rsidRDefault="00931DEA" w:rsidP="00931DEA">
            <w:pPr>
              <w:spacing w:after="0" w:line="240" w:lineRule="auto"/>
              <w:jc w:val="right"/>
              <w:rPr>
                <w:rFonts w:eastAsia="Times New Roman" w:cstheme="minorHAnsi"/>
                <w:color w:val="000000"/>
                <w:lang w:eastAsia="tr-TR"/>
              </w:rPr>
            </w:pPr>
            <w:r w:rsidRPr="00167BCA">
              <w:rPr>
                <w:rFonts w:cstheme="minorHAnsi"/>
                <w:color w:val="000000"/>
              </w:rPr>
              <w:t>4</w:t>
            </w:r>
          </w:p>
        </w:tc>
        <w:tc>
          <w:tcPr>
            <w:tcW w:w="546" w:type="pct"/>
            <w:shd w:val="clear" w:color="auto" w:fill="auto"/>
            <w:vAlign w:val="center"/>
            <w:hideMark/>
          </w:tcPr>
          <w:p w:rsidR="00931DEA" w:rsidRPr="00167BCA" w:rsidRDefault="00931DEA" w:rsidP="00931DEA">
            <w:pPr>
              <w:spacing w:after="0" w:line="240" w:lineRule="auto"/>
              <w:jc w:val="right"/>
              <w:rPr>
                <w:rFonts w:eastAsia="Times New Roman" w:cstheme="minorHAnsi"/>
                <w:color w:val="000000"/>
                <w:lang w:eastAsia="tr-TR"/>
              </w:rPr>
            </w:pPr>
            <w:r w:rsidRPr="00167BCA">
              <w:rPr>
                <w:rFonts w:cstheme="minorHAnsi"/>
                <w:color w:val="000000"/>
              </w:rPr>
              <w:t>41</w:t>
            </w:r>
          </w:p>
        </w:tc>
        <w:tc>
          <w:tcPr>
            <w:tcW w:w="642" w:type="pct"/>
            <w:shd w:val="clear" w:color="auto" w:fill="auto"/>
            <w:vAlign w:val="center"/>
            <w:hideMark/>
          </w:tcPr>
          <w:p w:rsidR="00931DEA" w:rsidRPr="00D34E39" w:rsidRDefault="00931DEA" w:rsidP="00931DEA">
            <w:pPr>
              <w:spacing w:after="0" w:line="240" w:lineRule="auto"/>
              <w:jc w:val="right"/>
              <w:rPr>
                <w:rFonts w:eastAsia="Times New Roman" w:cstheme="minorHAnsi"/>
                <w:b/>
                <w:bCs/>
                <w:color w:val="000000"/>
                <w:lang w:eastAsia="tr-TR"/>
              </w:rPr>
            </w:pPr>
            <w:r w:rsidRPr="00167BCA">
              <w:rPr>
                <w:rFonts w:cstheme="minorHAnsi"/>
                <w:b/>
                <w:color w:val="000000"/>
              </w:rPr>
              <w:t>81</w:t>
            </w:r>
          </w:p>
        </w:tc>
      </w:tr>
      <w:tr w:rsidR="00931DEA" w:rsidRPr="005030E7" w:rsidTr="00D34E39">
        <w:trPr>
          <w:trHeight w:val="340"/>
          <w:jc w:val="center"/>
        </w:trPr>
        <w:tc>
          <w:tcPr>
            <w:tcW w:w="794" w:type="pct"/>
            <w:shd w:val="clear" w:color="auto" w:fill="auto"/>
            <w:hideMark/>
          </w:tcPr>
          <w:p w:rsidR="00931DEA" w:rsidRPr="005030E7" w:rsidRDefault="00931DEA" w:rsidP="00931DEA">
            <w:pPr>
              <w:spacing w:after="0" w:line="240" w:lineRule="auto"/>
              <w:jc w:val="left"/>
              <w:rPr>
                <w:rFonts w:ascii="Calibri" w:eastAsia="Times New Roman" w:hAnsi="Calibri" w:cs="Calibri"/>
                <w:color w:val="000000"/>
                <w:lang w:eastAsia="tr-TR"/>
              </w:rPr>
            </w:pPr>
            <w:r>
              <w:rPr>
                <w:rFonts w:ascii="Arial" w:hAnsi="Arial" w:cs="Arial"/>
                <w:color w:val="000000"/>
                <w:sz w:val="20"/>
                <w:szCs w:val="20"/>
              </w:rPr>
              <w:t>Sıkıştırılmış Doğalgaz Lisansı*</w:t>
            </w:r>
          </w:p>
        </w:tc>
        <w:tc>
          <w:tcPr>
            <w:tcW w:w="547" w:type="pct"/>
            <w:shd w:val="clear" w:color="auto" w:fill="auto"/>
            <w:vAlign w:val="center"/>
            <w:hideMark/>
          </w:tcPr>
          <w:p w:rsidR="00931DEA" w:rsidRPr="00167BCA" w:rsidRDefault="00931DEA" w:rsidP="00931DEA">
            <w:pPr>
              <w:spacing w:after="0" w:line="240" w:lineRule="auto"/>
              <w:jc w:val="right"/>
              <w:rPr>
                <w:rFonts w:eastAsia="Times New Roman" w:cstheme="minorHAnsi"/>
                <w:color w:val="000000"/>
                <w:lang w:eastAsia="tr-TR"/>
              </w:rPr>
            </w:pPr>
            <w:r w:rsidRPr="00167BCA">
              <w:rPr>
                <w:rFonts w:cstheme="minorHAnsi"/>
                <w:color w:val="000000"/>
              </w:rPr>
              <w:t>2</w:t>
            </w:r>
          </w:p>
        </w:tc>
        <w:tc>
          <w:tcPr>
            <w:tcW w:w="543" w:type="pct"/>
            <w:shd w:val="clear" w:color="auto" w:fill="auto"/>
            <w:vAlign w:val="center"/>
            <w:hideMark/>
          </w:tcPr>
          <w:p w:rsidR="00931DEA" w:rsidRPr="00167BCA" w:rsidRDefault="00931DEA" w:rsidP="00931DEA">
            <w:pPr>
              <w:spacing w:after="0" w:line="240" w:lineRule="auto"/>
              <w:jc w:val="right"/>
              <w:rPr>
                <w:rFonts w:eastAsia="Times New Roman" w:cstheme="minorHAnsi"/>
                <w:color w:val="000000"/>
                <w:lang w:eastAsia="tr-TR"/>
              </w:rPr>
            </w:pPr>
            <w:r w:rsidRPr="00167BCA">
              <w:rPr>
                <w:rFonts w:cstheme="minorHAnsi"/>
                <w:color w:val="000000"/>
              </w:rPr>
              <w:t>2</w:t>
            </w:r>
          </w:p>
        </w:tc>
        <w:tc>
          <w:tcPr>
            <w:tcW w:w="837" w:type="pct"/>
            <w:shd w:val="clear" w:color="auto" w:fill="auto"/>
            <w:vAlign w:val="center"/>
            <w:hideMark/>
          </w:tcPr>
          <w:p w:rsidR="00931DEA" w:rsidRPr="00167BCA" w:rsidRDefault="00931DEA" w:rsidP="00931DEA">
            <w:pPr>
              <w:spacing w:after="0" w:line="240" w:lineRule="auto"/>
              <w:jc w:val="right"/>
              <w:rPr>
                <w:rFonts w:eastAsia="Times New Roman" w:cstheme="minorHAnsi"/>
                <w:color w:val="000000"/>
                <w:lang w:eastAsia="tr-TR"/>
              </w:rPr>
            </w:pPr>
            <w:r w:rsidRPr="00167BCA">
              <w:rPr>
                <w:rFonts w:cstheme="minorHAnsi"/>
                <w:color w:val="000000"/>
              </w:rPr>
              <w:t>4</w:t>
            </w:r>
          </w:p>
        </w:tc>
        <w:tc>
          <w:tcPr>
            <w:tcW w:w="545" w:type="pct"/>
            <w:shd w:val="clear" w:color="auto" w:fill="auto"/>
            <w:vAlign w:val="center"/>
            <w:hideMark/>
          </w:tcPr>
          <w:p w:rsidR="00931DEA" w:rsidRPr="00167BCA" w:rsidRDefault="00931DEA" w:rsidP="00931DEA">
            <w:pPr>
              <w:spacing w:after="0" w:line="240" w:lineRule="auto"/>
              <w:jc w:val="right"/>
              <w:rPr>
                <w:rFonts w:eastAsia="Times New Roman" w:cstheme="minorHAnsi"/>
                <w:color w:val="000000"/>
                <w:lang w:eastAsia="tr-TR"/>
              </w:rPr>
            </w:pPr>
            <w:r w:rsidRPr="00167BCA">
              <w:rPr>
                <w:rFonts w:cstheme="minorHAnsi"/>
                <w:color w:val="000000"/>
              </w:rPr>
              <w:t>0</w:t>
            </w:r>
          </w:p>
        </w:tc>
        <w:tc>
          <w:tcPr>
            <w:tcW w:w="546" w:type="pct"/>
            <w:shd w:val="clear" w:color="auto" w:fill="auto"/>
            <w:vAlign w:val="center"/>
            <w:hideMark/>
          </w:tcPr>
          <w:p w:rsidR="00931DEA" w:rsidRPr="00167BCA" w:rsidRDefault="00931DEA" w:rsidP="00931DEA">
            <w:pPr>
              <w:spacing w:after="0" w:line="240" w:lineRule="auto"/>
              <w:jc w:val="right"/>
              <w:rPr>
                <w:rFonts w:eastAsia="Times New Roman" w:cstheme="minorHAnsi"/>
                <w:color w:val="000000"/>
                <w:lang w:eastAsia="tr-TR"/>
              </w:rPr>
            </w:pPr>
            <w:r w:rsidRPr="00167BCA">
              <w:rPr>
                <w:rFonts w:cstheme="minorHAnsi"/>
                <w:color w:val="000000"/>
              </w:rPr>
              <w:t>1</w:t>
            </w:r>
          </w:p>
        </w:tc>
        <w:tc>
          <w:tcPr>
            <w:tcW w:w="546" w:type="pct"/>
            <w:shd w:val="clear" w:color="auto" w:fill="auto"/>
            <w:vAlign w:val="center"/>
            <w:hideMark/>
          </w:tcPr>
          <w:p w:rsidR="00931DEA" w:rsidRPr="00167BCA" w:rsidRDefault="00931DEA" w:rsidP="00931DEA">
            <w:pPr>
              <w:spacing w:after="0" w:line="240" w:lineRule="auto"/>
              <w:jc w:val="right"/>
              <w:rPr>
                <w:rFonts w:eastAsia="Times New Roman" w:cstheme="minorHAnsi"/>
                <w:color w:val="000000"/>
                <w:lang w:eastAsia="tr-TR"/>
              </w:rPr>
            </w:pPr>
            <w:r w:rsidRPr="00167BCA">
              <w:rPr>
                <w:rFonts w:cstheme="minorHAnsi"/>
                <w:color w:val="000000"/>
              </w:rPr>
              <w:t>9</w:t>
            </w:r>
          </w:p>
        </w:tc>
        <w:tc>
          <w:tcPr>
            <w:tcW w:w="642" w:type="pct"/>
            <w:shd w:val="clear" w:color="auto" w:fill="auto"/>
            <w:vAlign w:val="center"/>
            <w:hideMark/>
          </w:tcPr>
          <w:p w:rsidR="00931DEA" w:rsidRPr="00D34E39" w:rsidRDefault="00931DEA" w:rsidP="00931DEA">
            <w:pPr>
              <w:spacing w:after="0" w:line="240" w:lineRule="auto"/>
              <w:jc w:val="right"/>
              <w:rPr>
                <w:rFonts w:eastAsia="Times New Roman" w:cstheme="minorHAnsi"/>
                <w:b/>
                <w:bCs/>
                <w:color w:val="000000"/>
                <w:lang w:eastAsia="tr-TR"/>
              </w:rPr>
            </w:pPr>
            <w:r w:rsidRPr="00167BCA">
              <w:rPr>
                <w:rFonts w:cstheme="minorHAnsi"/>
                <w:b/>
                <w:color w:val="000000"/>
              </w:rPr>
              <w:t>93</w:t>
            </w:r>
          </w:p>
        </w:tc>
      </w:tr>
      <w:tr w:rsidR="00931DEA" w:rsidRPr="005030E7" w:rsidTr="00D34E39">
        <w:trPr>
          <w:trHeight w:val="340"/>
          <w:jc w:val="center"/>
        </w:trPr>
        <w:tc>
          <w:tcPr>
            <w:tcW w:w="794" w:type="pct"/>
            <w:shd w:val="clear" w:color="auto" w:fill="auto"/>
            <w:hideMark/>
          </w:tcPr>
          <w:p w:rsidR="00931DEA" w:rsidRPr="005030E7" w:rsidRDefault="00931DEA" w:rsidP="00931DEA">
            <w:pPr>
              <w:spacing w:after="0" w:line="240" w:lineRule="auto"/>
              <w:rPr>
                <w:rFonts w:ascii="Calibri" w:eastAsia="Times New Roman" w:hAnsi="Calibri" w:cs="Calibri"/>
                <w:color w:val="000000"/>
                <w:lang w:eastAsia="tr-TR"/>
              </w:rPr>
            </w:pPr>
            <w:r>
              <w:rPr>
                <w:rFonts w:ascii="Arial" w:hAnsi="Arial" w:cs="Arial"/>
                <w:color w:val="000000"/>
                <w:sz w:val="20"/>
                <w:szCs w:val="20"/>
              </w:rPr>
              <w:t>Toptan Satış Lisansı**</w:t>
            </w:r>
          </w:p>
        </w:tc>
        <w:tc>
          <w:tcPr>
            <w:tcW w:w="547" w:type="pct"/>
            <w:shd w:val="clear" w:color="auto" w:fill="auto"/>
            <w:vAlign w:val="center"/>
            <w:hideMark/>
          </w:tcPr>
          <w:p w:rsidR="00931DEA" w:rsidRPr="00167BCA" w:rsidRDefault="00931DEA" w:rsidP="00931DEA">
            <w:pPr>
              <w:spacing w:after="0" w:line="240" w:lineRule="auto"/>
              <w:jc w:val="right"/>
              <w:rPr>
                <w:rFonts w:eastAsia="Times New Roman" w:cstheme="minorHAnsi"/>
                <w:color w:val="000000"/>
                <w:lang w:eastAsia="tr-TR"/>
              </w:rPr>
            </w:pPr>
            <w:r w:rsidRPr="00167BCA">
              <w:rPr>
                <w:rFonts w:cstheme="minorHAnsi"/>
                <w:color w:val="000000"/>
              </w:rPr>
              <w:t>2</w:t>
            </w:r>
          </w:p>
        </w:tc>
        <w:tc>
          <w:tcPr>
            <w:tcW w:w="543" w:type="pct"/>
            <w:shd w:val="clear" w:color="auto" w:fill="auto"/>
            <w:vAlign w:val="center"/>
            <w:hideMark/>
          </w:tcPr>
          <w:p w:rsidR="00931DEA" w:rsidRPr="00167BCA" w:rsidRDefault="00931DEA" w:rsidP="00931DEA">
            <w:pPr>
              <w:spacing w:after="0" w:line="240" w:lineRule="auto"/>
              <w:jc w:val="right"/>
              <w:rPr>
                <w:rFonts w:eastAsia="Times New Roman" w:cstheme="minorHAnsi"/>
                <w:color w:val="000000"/>
                <w:lang w:eastAsia="tr-TR"/>
              </w:rPr>
            </w:pPr>
            <w:r w:rsidRPr="00167BCA">
              <w:rPr>
                <w:rFonts w:cstheme="minorHAnsi"/>
                <w:color w:val="000000"/>
              </w:rPr>
              <w:t>1</w:t>
            </w:r>
          </w:p>
        </w:tc>
        <w:tc>
          <w:tcPr>
            <w:tcW w:w="837" w:type="pct"/>
            <w:shd w:val="clear" w:color="auto" w:fill="auto"/>
            <w:vAlign w:val="center"/>
            <w:hideMark/>
          </w:tcPr>
          <w:p w:rsidR="00931DEA" w:rsidRPr="00167BCA" w:rsidRDefault="00931DEA" w:rsidP="00931DEA">
            <w:pPr>
              <w:spacing w:after="0" w:line="240" w:lineRule="auto"/>
              <w:jc w:val="right"/>
              <w:rPr>
                <w:rFonts w:eastAsia="Times New Roman" w:cstheme="minorHAnsi"/>
                <w:color w:val="000000"/>
                <w:lang w:eastAsia="tr-TR"/>
              </w:rPr>
            </w:pPr>
            <w:r w:rsidRPr="00167BCA">
              <w:rPr>
                <w:rFonts w:cstheme="minorHAnsi"/>
                <w:color w:val="000000"/>
              </w:rPr>
              <w:t>1</w:t>
            </w:r>
          </w:p>
        </w:tc>
        <w:tc>
          <w:tcPr>
            <w:tcW w:w="545" w:type="pct"/>
            <w:shd w:val="clear" w:color="auto" w:fill="auto"/>
            <w:vAlign w:val="center"/>
            <w:hideMark/>
          </w:tcPr>
          <w:p w:rsidR="00931DEA" w:rsidRPr="00167BCA" w:rsidRDefault="00931DEA" w:rsidP="00931DEA">
            <w:pPr>
              <w:spacing w:after="0" w:line="240" w:lineRule="auto"/>
              <w:jc w:val="right"/>
              <w:rPr>
                <w:rFonts w:eastAsia="Times New Roman" w:cstheme="minorHAnsi"/>
                <w:color w:val="000000"/>
                <w:lang w:eastAsia="tr-TR"/>
              </w:rPr>
            </w:pPr>
            <w:r w:rsidRPr="00167BCA">
              <w:rPr>
                <w:rFonts w:cstheme="minorHAnsi"/>
                <w:color w:val="000000"/>
              </w:rPr>
              <w:t>1</w:t>
            </w:r>
          </w:p>
        </w:tc>
        <w:tc>
          <w:tcPr>
            <w:tcW w:w="546" w:type="pct"/>
            <w:shd w:val="clear" w:color="auto" w:fill="auto"/>
            <w:vAlign w:val="center"/>
            <w:hideMark/>
          </w:tcPr>
          <w:p w:rsidR="00931DEA" w:rsidRPr="00167BCA" w:rsidRDefault="00931DEA" w:rsidP="00931DEA">
            <w:pPr>
              <w:spacing w:after="0" w:line="240" w:lineRule="auto"/>
              <w:jc w:val="right"/>
              <w:rPr>
                <w:rFonts w:eastAsia="Times New Roman" w:cstheme="minorHAnsi"/>
                <w:color w:val="000000"/>
                <w:lang w:eastAsia="tr-TR"/>
              </w:rPr>
            </w:pPr>
            <w:r w:rsidRPr="00167BCA">
              <w:rPr>
                <w:rFonts w:cstheme="minorHAnsi"/>
                <w:color w:val="000000"/>
              </w:rPr>
              <w:t>3</w:t>
            </w:r>
          </w:p>
        </w:tc>
        <w:tc>
          <w:tcPr>
            <w:tcW w:w="546" w:type="pct"/>
            <w:shd w:val="clear" w:color="auto" w:fill="auto"/>
            <w:vAlign w:val="center"/>
            <w:hideMark/>
          </w:tcPr>
          <w:p w:rsidR="00931DEA" w:rsidRPr="00167BCA" w:rsidRDefault="00931DEA" w:rsidP="00931DEA">
            <w:pPr>
              <w:spacing w:after="0" w:line="240" w:lineRule="auto"/>
              <w:jc w:val="right"/>
              <w:rPr>
                <w:rFonts w:eastAsia="Times New Roman" w:cstheme="minorHAnsi"/>
                <w:color w:val="000000"/>
                <w:lang w:eastAsia="tr-TR"/>
              </w:rPr>
            </w:pPr>
            <w:r w:rsidRPr="00167BCA">
              <w:rPr>
                <w:rFonts w:cstheme="minorHAnsi"/>
                <w:color w:val="000000"/>
              </w:rPr>
              <w:t>8</w:t>
            </w:r>
          </w:p>
        </w:tc>
        <w:tc>
          <w:tcPr>
            <w:tcW w:w="642" w:type="pct"/>
            <w:shd w:val="clear" w:color="auto" w:fill="auto"/>
            <w:vAlign w:val="center"/>
            <w:hideMark/>
          </w:tcPr>
          <w:p w:rsidR="00931DEA" w:rsidRPr="00D34E39" w:rsidRDefault="00931DEA" w:rsidP="00931DEA">
            <w:pPr>
              <w:spacing w:after="0" w:line="240" w:lineRule="auto"/>
              <w:jc w:val="right"/>
              <w:rPr>
                <w:rFonts w:eastAsia="Times New Roman" w:cstheme="minorHAnsi"/>
                <w:b/>
                <w:bCs/>
                <w:color w:val="000000"/>
                <w:lang w:eastAsia="tr-TR"/>
              </w:rPr>
            </w:pPr>
            <w:r w:rsidRPr="00167BCA">
              <w:rPr>
                <w:rFonts w:cstheme="minorHAnsi"/>
                <w:b/>
                <w:color w:val="000000"/>
              </w:rPr>
              <w:t>49</w:t>
            </w:r>
          </w:p>
        </w:tc>
      </w:tr>
      <w:tr w:rsidR="00931DEA" w:rsidRPr="005030E7" w:rsidTr="00D34E39">
        <w:trPr>
          <w:trHeight w:val="340"/>
          <w:jc w:val="center"/>
        </w:trPr>
        <w:tc>
          <w:tcPr>
            <w:tcW w:w="794" w:type="pct"/>
            <w:shd w:val="clear" w:color="auto" w:fill="auto"/>
            <w:hideMark/>
          </w:tcPr>
          <w:p w:rsidR="00931DEA" w:rsidRPr="005030E7" w:rsidRDefault="00931DEA" w:rsidP="00931DEA">
            <w:pPr>
              <w:spacing w:after="0" w:line="240" w:lineRule="auto"/>
              <w:rPr>
                <w:rFonts w:ascii="Calibri" w:eastAsia="Times New Roman" w:hAnsi="Calibri" w:cs="Calibri"/>
                <w:b/>
                <w:bCs/>
                <w:color w:val="000000"/>
                <w:lang w:eastAsia="tr-TR"/>
              </w:rPr>
            </w:pPr>
            <w:r>
              <w:rPr>
                <w:rFonts w:ascii="Arial" w:hAnsi="Arial" w:cs="Arial"/>
                <w:b/>
                <w:bCs/>
                <w:color w:val="000000"/>
                <w:sz w:val="20"/>
                <w:szCs w:val="20"/>
              </w:rPr>
              <w:t>Toplam</w:t>
            </w:r>
          </w:p>
        </w:tc>
        <w:tc>
          <w:tcPr>
            <w:tcW w:w="547" w:type="pct"/>
            <w:shd w:val="clear" w:color="auto" w:fill="auto"/>
            <w:vAlign w:val="center"/>
            <w:hideMark/>
          </w:tcPr>
          <w:p w:rsidR="00931DEA" w:rsidRPr="00D34E39" w:rsidRDefault="00931DEA" w:rsidP="00931DEA">
            <w:pPr>
              <w:spacing w:after="0" w:line="240" w:lineRule="auto"/>
              <w:jc w:val="right"/>
              <w:rPr>
                <w:rFonts w:eastAsia="Times New Roman" w:cstheme="minorHAnsi"/>
                <w:b/>
                <w:bCs/>
                <w:color w:val="000000"/>
                <w:lang w:eastAsia="tr-TR"/>
              </w:rPr>
            </w:pPr>
            <w:r w:rsidRPr="00167BCA">
              <w:rPr>
                <w:rFonts w:cstheme="minorHAnsi"/>
                <w:b/>
                <w:bCs/>
                <w:color w:val="000000"/>
                <w:lang w:eastAsia="tr-TR"/>
              </w:rPr>
              <w:t>26</w:t>
            </w:r>
          </w:p>
        </w:tc>
        <w:tc>
          <w:tcPr>
            <w:tcW w:w="543" w:type="pct"/>
            <w:shd w:val="clear" w:color="auto" w:fill="auto"/>
            <w:vAlign w:val="center"/>
            <w:hideMark/>
          </w:tcPr>
          <w:p w:rsidR="00931DEA" w:rsidRPr="00D34E39" w:rsidRDefault="00931DEA" w:rsidP="00931DEA">
            <w:pPr>
              <w:spacing w:after="0" w:line="240" w:lineRule="auto"/>
              <w:jc w:val="right"/>
              <w:rPr>
                <w:rFonts w:eastAsia="Times New Roman" w:cstheme="minorHAnsi"/>
                <w:b/>
                <w:bCs/>
                <w:color w:val="000000"/>
                <w:lang w:eastAsia="tr-TR"/>
              </w:rPr>
            </w:pPr>
            <w:r w:rsidRPr="00167BCA">
              <w:rPr>
                <w:rFonts w:cstheme="minorHAnsi"/>
                <w:b/>
                <w:bCs/>
                <w:color w:val="000000"/>
                <w:lang w:eastAsia="tr-TR"/>
              </w:rPr>
              <w:t>22</w:t>
            </w:r>
          </w:p>
        </w:tc>
        <w:tc>
          <w:tcPr>
            <w:tcW w:w="837" w:type="pct"/>
            <w:shd w:val="clear" w:color="auto" w:fill="auto"/>
            <w:vAlign w:val="center"/>
            <w:hideMark/>
          </w:tcPr>
          <w:p w:rsidR="00931DEA" w:rsidRPr="00D34E39" w:rsidRDefault="00931DEA" w:rsidP="00931DEA">
            <w:pPr>
              <w:spacing w:after="0" w:line="240" w:lineRule="auto"/>
              <w:jc w:val="right"/>
              <w:rPr>
                <w:rFonts w:eastAsia="Times New Roman" w:cstheme="minorHAnsi"/>
                <w:b/>
                <w:bCs/>
                <w:color w:val="000000"/>
                <w:lang w:eastAsia="tr-TR"/>
              </w:rPr>
            </w:pPr>
            <w:r w:rsidRPr="00167BCA">
              <w:rPr>
                <w:rFonts w:cstheme="minorHAnsi"/>
                <w:b/>
                <w:color w:val="000000"/>
              </w:rPr>
              <w:t>11</w:t>
            </w:r>
          </w:p>
        </w:tc>
        <w:tc>
          <w:tcPr>
            <w:tcW w:w="545" w:type="pct"/>
            <w:shd w:val="clear" w:color="auto" w:fill="auto"/>
            <w:vAlign w:val="center"/>
            <w:hideMark/>
          </w:tcPr>
          <w:p w:rsidR="00931DEA" w:rsidRPr="00D34E39" w:rsidRDefault="00931DEA" w:rsidP="00931DEA">
            <w:pPr>
              <w:spacing w:after="0" w:line="240" w:lineRule="auto"/>
              <w:jc w:val="right"/>
              <w:rPr>
                <w:rFonts w:eastAsia="Times New Roman" w:cstheme="minorHAnsi"/>
                <w:b/>
                <w:bCs/>
                <w:color w:val="000000"/>
                <w:lang w:eastAsia="tr-TR"/>
              </w:rPr>
            </w:pPr>
            <w:r w:rsidRPr="00167BCA">
              <w:rPr>
                <w:rFonts w:cstheme="minorHAnsi"/>
                <w:b/>
                <w:bCs/>
                <w:color w:val="000000"/>
                <w:lang w:eastAsia="tr-TR"/>
              </w:rPr>
              <w:t>1</w:t>
            </w:r>
          </w:p>
        </w:tc>
        <w:tc>
          <w:tcPr>
            <w:tcW w:w="546" w:type="pct"/>
            <w:shd w:val="clear" w:color="auto" w:fill="auto"/>
            <w:vAlign w:val="center"/>
            <w:hideMark/>
          </w:tcPr>
          <w:p w:rsidR="00931DEA" w:rsidRPr="00D34E39" w:rsidRDefault="00931DEA" w:rsidP="00931DEA">
            <w:pPr>
              <w:spacing w:after="0" w:line="240" w:lineRule="auto"/>
              <w:jc w:val="right"/>
              <w:rPr>
                <w:rFonts w:eastAsia="Times New Roman" w:cstheme="minorHAnsi"/>
                <w:b/>
                <w:bCs/>
                <w:color w:val="000000"/>
                <w:lang w:eastAsia="tr-TR"/>
              </w:rPr>
            </w:pPr>
            <w:r w:rsidRPr="00167BCA">
              <w:rPr>
                <w:rFonts w:cstheme="minorHAnsi"/>
                <w:b/>
                <w:bCs/>
                <w:color w:val="000000"/>
                <w:lang w:eastAsia="tr-TR"/>
              </w:rPr>
              <w:t>52</w:t>
            </w:r>
          </w:p>
        </w:tc>
        <w:tc>
          <w:tcPr>
            <w:tcW w:w="546" w:type="pct"/>
            <w:shd w:val="clear" w:color="auto" w:fill="auto"/>
            <w:vAlign w:val="center"/>
            <w:hideMark/>
          </w:tcPr>
          <w:p w:rsidR="00931DEA" w:rsidRPr="00D34E39" w:rsidRDefault="00931DEA" w:rsidP="00931DEA">
            <w:pPr>
              <w:spacing w:after="0" w:line="240" w:lineRule="auto"/>
              <w:jc w:val="right"/>
              <w:rPr>
                <w:rFonts w:eastAsia="Times New Roman" w:cstheme="minorHAnsi"/>
                <w:b/>
                <w:bCs/>
                <w:color w:val="000000"/>
                <w:lang w:eastAsia="tr-TR"/>
              </w:rPr>
            </w:pPr>
            <w:r w:rsidRPr="00167BCA">
              <w:rPr>
                <w:rFonts w:cstheme="minorHAnsi"/>
                <w:b/>
                <w:color w:val="000000"/>
              </w:rPr>
              <w:t>112</w:t>
            </w:r>
          </w:p>
        </w:tc>
        <w:tc>
          <w:tcPr>
            <w:tcW w:w="642" w:type="pct"/>
            <w:shd w:val="clear" w:color="auto" w:fill="auto"/>
            <w:vAlign w:val="center"/>
            <w:hideMark/>
          </w:tcPr>
          <w:p w:rsidR="00931DEA" w:rsidRPr="00D34E39" w:rsidRDefault="00931DEA" w:rsidP="00931DEA">
            <w:pPr>
              <w:spacing w:after="0" w:line="240" w:lineRule="auto"/>
              <w:jc w:val="right"/>
              <w:rPr>
                <w:rFonts w:eastAsia="Times New Roman" w:cstheme="minorHAnsi"/>
                <w:b/>
                <w:bCs/>
                <w:color w:val="000000"/>
                <w:lang w:eastAsia="tr-TR"/>
              </w:rPr>
            </w:pPr>
            <w:r w:rsidRPr="00167BCA">
              <w:rPr>
                <w:rFonts w:cstheme="minorHAnsi"/>
                <w:b/>
                <w:color w:val="000000"/>
              </w:rPr>
              <w:t>349</w:t>
            </w:r>
          </w:p>
        </w:tc>
      </w:tr>
    </w:tbl>
    <w:p w:rsidR="004F32D4" w:rsidRPr="002B0DAE" w:rsidRDefault="004F32D4" w:rsidP="004F32D4">
      <w:pPr>
        <w:spacing w:after="0"/>
        <w:rPr>
          <w:rFonts w:eastAsiaTheme="minorHAnsi"/>
          <w:sz w:val="20"/>
          <w:szCs w:val="20"/>
        </w:rPr>
      </w:pPr>
      <w:bookmarkStart w:id="167" w:name="_Toc416447583"/>
      <w:bookmarkStart w:id="168" w:name="_Toc442441734"/>
      <w:r w:rsidRPr="002B0DAE">
        <w:rPr>
          <w:sz w:val="20"/>
          <w:szCs w:val="20"/>
        </w:rPr>
        <w:t xml:space="preserve">* </w:t>
      </w:r>
      <w:r w:rsidRPr="002B0DAE">
        <w:rPr>
          <w:i/>
          <w:sz w:val="20"/>
          <w:szCs w:val="20"/>
        </w:rPr>
        <w:t>CNG lisansının kapsamı altında CNG Satış, CNG İletim-dağıtım ve OtoCNG olmak üzere üç tane CNG alt lisans türü bulunmaktadır. Tablo 3.</w:t>
      </w:r>
      <w:r w:rsidR="00537FF1">
        <w:rPr>
          <w:i/>
          <w:sz w:val="20"/>
          <w:szCs w:val="20"/>
        </w:rPr>
        <w:t>4</w:t>
      </w:r>
      <w:r w:rsidRPr="002B0DAE">
        <w:rPr>
          <w:i/>
          <w:sz w:val="20"/>
          <w:szCs w:val="20"/>
        </w:rPr>
        <w:t>’deki CNG lisans sayıları, piyasadaki yılsonu itibar</w:t>
      </w:r>
      <w:r w:rsidR="00A54CE2" w:rsidRPr="002B0DAE">
        <w:rPr>
          <w:i/>
          <w:sz w:val="20"/>
          <w:szCs w:val="20"/>
        </w:rPr>
        <w:t>ı</w:t>
      </w:r>
      <w:r w:rsidRPr="002B0DAE">
        <w:rPr>
          <w:i/>
          <w:sz w:val="20"/>
          <w:szCs w:val="20"/>
        </w:rPr>
        <w:t>yl</w:t>
      </w:r>
      <w:r w:rsidR="00A54CE2" w:rsidRPr="002B0DAE">
        <w:rPr>
          <w:i/>
          <w:sz w:val="20"/>
          <w:szCs w:val="20"/>
        </w:rPr>
        <w:t>a</w:t>
      </w:r>
      <w:r w:rsidRPr="002B0DAE">
        <w:rPr>
          <w:i/>
          <w:sz w:val="20"/>
          <w:szCs w:val="20"/>
        </w:rPr>
        <w:t xml:space="preserve"> mevcut </w:t>
      </w:r>
      <w:r w:rsidR="00961767" w:rsidRPr="002B0DAE">
        <w:rPr>
          <w:i/>
          <w:sz w:val="20"/>
          <w:szCs w:val="20"/>
        </w:rPr>
        <w:t>üç CNG</w:t>
      </w:r>
      <w:r w:rsidRPr="002B0DAE">
        <w:rPr>
          <w:i/>
          <w:sz w:val="20"/>
          <w:szCs w:val="20"/>
        </w:rPr>
        <w:t xml:space="preserve"> lisansı alt türü sayısının toplamından oluşmaktadır.</w:t>
      </w:r>
    </w:p>
    <w:p w:rsidR="00F34E9C" w:rsidRPr="003C0C6F" w:rsidRDefault="004F32D4" w:rsidP="00F34E9C">
      <w:pPr>
        <w:spacing w:after="0" w:line="240" w:lineRule="auto"/>
        <w:rPr>
          <w:sz w:val="20"/>
          <w:szCs w:val="20"/>
        </w:rPr>
      </w:pPr>
      <w:r w:rsidRPr="003C0C6F">
        <w:rPr>
          <w:sz w:val="20"/>
          <w:szCs w:val="20"/>
        </w:rPr>
        <w:t xml:space="preserve">** </w:t>
      </w:r>
      <w:r w:rsidR="00F34E9C" w:rsidRPr="003C0C6F">
        <w:rPr>
          <w:i/>
          <w:sz w:val="20"/>
          <w:szCs w:val="20"/>
        </w:rPr>
        <w:t>Üretim yapan toptan satış lisansı sahibi şirket sayısı 10 olup 202</w:t>
      </w:r>
      <w:r w:rsidR="006E7CD3" w:rsidRPr="003C0C6F">
        <w:rPr>
          <w:i/>
          <w:sz w:val="20"/>
          <w:szCs w:val="20"/>
        </w:rPr>
        <w:t>2</w:t>
      </w:r>
      <w:r w:rsidR="00F34E9C" w:rsidRPr="003C0C6F">
        <w:rPr>
          <w:i/>
          <w:sz w:val="20"/>
          <w:szCs w:val="20"/>
        </w:rPr>
        <w:t xml:space="preserve"> yılı sonu itibarıyla bir adet Toptan Satış (Oto LNG) Lisansı sahibi bulunmaktadır</w:t>
      </w:r>
      <w:r w:rsidR="00F34E9C" w:rsidRPr="003C0C6F">
        <w:rPr>
          <w:sz w:val="20"/>
          <w:szCs w:val="20"/>
        </w:rPr>
        <w:t>.</w:t>
      </w:r>
    </w:p>
    <w:p w:rsidR="002D1BFD" w:rsidRPr="008E498A" w:rsidRDefault="002D1BFD" w:rsidP="00F34E9C">
      <w:pPr>
        <w:spacing w:after="0" w:line="240" w:lineRule="auto"/>
        <w:rPr>
          <w:rStyle w:val="Gl"/>
          <w:b w:val="0"/>
          <w:bCs w:val="0"/>
          <w:color w:val="FF0000"/>
          <w:sz w:val="20"/>
          <w:szCs w:val="20"/>
        </w:rPr>
      </w:pPr>
      <w:r w:rsidRPr="008E498A">
        <w:rPr>
          <w:rStyle w:val="Gl"/>
          <w:b w:val="0"/>
          <w:bCs w:val="0"/>
          <w:color w:val="FF0000"/>
          <w:sz w:val="20"/>
          <w:szCs w:val="20"/>
        </w:rPr>
        <w:br w:type="page"/>
      </w:r>
    </w:p>
    <w:p w:rsidR="00CB5826" w:rsidRDefault="000A02ED" w:rsidP="00C466F8">
      <w:pPr>
        <w:pStyle w:val="Balk5"/>
        <w:spacing w:before="0"/>
        <w:jc w:val="center"/>
        <w:rPr>
          <w:rStyle w:val="Gl"/>
          <w:color w:val="000000" w:themeColor="text1"/>
        </w:rPr>
      </w:pPr>
      <w:bookmarkStart w:id="169" w:name="_Toc132713895"/>
      <w:r>
        <w:rPr>
          <w:rStyle w:val="Gl"/>
          <w:color w:val="000000" w:themeColor="text1"/>
        </w:rPr>
        <w:lastRenderedPageBreak/>
        <w:t>Tablo 3.</w:t>
      </w:r>
      <w:r w:rsidR="0017770B">
        <w:rPr>
          <w:rStyle w:val="Gl"/>
          <w:color w:val="000000" w:themeColor="text1"/>
        </w:rPr>
        <w:t>5</w:t>
      </w:r>
      <w:r w:rsidR="00CB5826" w:rsidRPr="00E9291A">
        <w:rPr>
          <w:rStyle w:val="Gl"/>
          <w:color w:val="000000" w:themeColor="text1"/>
        </w:rPr>
        <w:t>:</w:t>
      </w:r>
      <w:r w:rsidR="00CB5826">
        <w:rPr>
          <w:rStyle w:val="Gl"/>
          <w:color w:val="000000" w:themeColor="text1"/>
        </w:rPr>
        <w:t xml:space="preserve"> </w:t>
      </w:r>
      <w:r w:rsidR="00CB5826" w:rsidRPr="00E9291A">
        <w:rPr>
          <w:rStyle w:val="Gl"/>
          <w:color w:val="000000" w:themeColor="text1"/>
        </w:rPr>
        <w:t>Lisanslı Doğal Gaz Depolama Tesisi Bilgileri</w:t>
      </w:r>
      <w:bookmarkEnd w:id="167"/>
      <w:bookmarkEnd w:id="168"/>
      <w:bookmarkEnd w:id="169"/>
    </w:p>
    <w:tbl>
      <w:tblPr>
        <w:tblW w:w="5067" w:type="pct"/>
        <w:jc w:val="center"/>
        <w:tblCellMar>
          <w:left w:w="70" w:type="dxa"/>
          <w:right w:w="70" w:type="dxa"/>
        </w:tblCellMar>
        <w:tblLook w:val="04A0" w:firstRow="1" w:lastRow="0" w:firstColumn="1" w:lastColumn="0" w:noHBand="0" w:noVBand="1"/>
      </w:tblPr>
      <w:tblGrid>
        <w:gridCol w:w="5662"/>
        <w:gridCol w:w="1276"/>
        <w:gridCol w:w="1134"/>
        <w:gridCol w:w="1963"/>
      </w:tblGrid>
      <w:tr w:rsidR="00D429A1" w:rsidRPr="005030E7" w:rsidTr="00DC783D">
        <w:trPr>
          <w:trHeight w:val="212"/>
          <w:tblHeader/>
          <w:jc w:val="center"/>
        </w:trPr>
        <w:tc>
          <w:tcPr>
            <w:tcW w:w="2821" w:type="pct"/>
            <w:tcBorders>
              <w:top w:val="single" w:sz="8" w:space="0" w:color="D3D3D3"/>
              <w:left w:val="single" w:sz="8" w:space="0" w:color="D3D3D3"/>
              <w:bottom w:val="nil"/>
              <w:right w:val="single" w:sz="8" w:space="0" w:color="D3D3D3"/>
            </w:tcBorders>
            <w:shd w:val="clear" w:color="000000" w:fill="6E9ECA"/>
            <w:vAlign w:val="center"/>
            <w:hideMark/>
          </w:tcPr>
          <w:p w:rsidR="00D429A1" w:rsidRPr="005030E7" w:rsidRDefault="00D429A1" w:rsidP="00263DC6">
            <w:pPr>
              <w:spacing w:after="0" w:line="240" w:lineRule="auto"/>
              <w:jc w:val="center"/>
              <w:rPr>
                <w:rFonts w:eastAsia="Times New Roman" w:cstheme="minorHAnsi"/>
                <w:b/>
                <w:bCs/>
                <w:color w:val="FFFFFF"/>
                <w:lang w:eastAsia="tr-TR"/>
              </w:rPr>
            </w:pPr>
            <w:r w:rsidRPr="005030E7">
              <w:rPr>
                <w:rFonts w:eastAsia="Times New Roman" w:cstheme="minorHAnsi"/>
                <w:b/>
                <w:bCs/>
                <w:color w:val="FFFFFF"/>
                <w:lang w:eastAsia="tr-TR"/>
              </w:rPr>
              <w:t>Lisans Sahibi</w:t>
            </w:r>
          </w:p>
        </w:tc>
        <w:tc>
          <w:tcPr>
            <w:tcW w:w="636" w:type="pct"/>
            <w:tcBorders>
              <w:top w:val="single" w:sz="8" w:space="0" w:color="D3D3D3"/>
              <w:left w:val="nil"/>
              <w:bottom w:val="nil"/>
              <w:right w:val="single" w:sz="8" w:space="0" w:color="D3D3D3"/>
            </w:tcBorders>
            <w:shd w:val="clear" w:color="000000" w:fill="6E9ECA"/>
            <w:vAlign w:val="center"/>
            <w:hideMark/>
          </w:tcPr>
          <w:p w:rsidR="00D429A1" w:rsidRPr="005030E7" w:rsidRDefault="00D429A1" w:rsidP="00263DC6">
            <w:pPr>
              <w:spacing w:after="0" w:line="240" w:lineRule="auto"/>
              <w:jc w:val="center"/>
              <w:rPr>
                <w:rFonts w:eastAsia="Times New Roman" w:cstheme="minorHAnsi"/>
                <w:b/>
                <w:bCs/>
                <w:color w:val="FFFFFF"/>
                <w:lang w:eastAsia="tr-TR"/>
              </w:rPr>
            </w:pPr>
            <w:r w:rsidRPr="005030E7">
              <w:rPr>
                <w:rFonts w:eastAsia="Times New Roman" w:cstheme="minorHAnsi"/>
                <w:b/>
                <w:bCs/>
                <w:color w:val="FFFFFF"/>
                <w:lang w:eastAsia="tr-TR"/>
              </w:rPr>
              <w:t>Tesis</w:t>
            </w:r>
            <w:r w:rsidR="00263DC6" w:rsidRPr="005030E7">
              <w:rPr>
                <w:rFonts w:eastAsia="Times New Roman" w:cstheme="minorHAnsi"/>
                <w:b/>
                <w:bCs/>
                <w:color w:val="FFFFFF"/>
                <w:lang w:eastAsia="tr-TR"/>
              </w:rPr>
              <w:t>in Bulunduğu</w:t>
            </w:r>
            <w:r w:rsidRPr="005030E7">
              <w:rPr>
                <w:rFonts w:eastAsia="Times New Roman" w:cstheme="minorHAnsi"/>
                <w:b/>
                <w:bCs/>
                <w:color w:val="FFFFFF"/>
                <w:lang w:eastAsia="tr-TR"/>
              </w:rPr>
              <w:t xml:space="preserve"> İl</w:t>
            </w:r>
          </w:p>
        </w:tc>
        <w:tc>
          <w:tcPr>
            <w:tcW w:w="565" w:type="pct"/>
            <w:tcBorders>
              <w:top w:val="single" w:sz="8" w:space="0" w:color="D3D3D3"/>
              <w:left w:val="nil"/>
              <w:bottom w:val="nil"/>
              <w:right w:val="single" w:sz="8" w:space="0" w:color="D3D3D3"/>
            </w:tcBorders>
            <w:shd w:val="clear" w:color="000000" w:fill="6E9ECA"/>
            <w:vAlign w:val="center"/>
            <w:hideMark/>
          </w:tcPr>
          <w:p w:rsidR="00D429A1" w:rsidRPr="005030E7" w:rsidRDefault="00D429A1" w:rsidP="00263DC6">
            <w:pPr>
              <w:spacing w:after="0" w:line="240" w:lineRule="auto"/>
              <w:jc w:val="center"/>
              <w:rPr>
                <w:rFonts w:eastAsia="Times New Roman" w:cstheme="minorHAnsi"/>
                <w:b/>
                <w:bCs/>
                <w:color w:val="FFFFFF"/>
                <w:lang w:eastAsia="tr-TR"/>
              </w:rPr>
            </w:pPr>
            <w:r w:rsidRPr="005030E7">
              <w:rPr>
                <w:rFonts w:eastAsia="Times New Roman" w:cstheme="minorHAnsi"/>
                <w:b/>
                <w:bCs/>
                <w:color w:val="FFFFFF"/>
                <w:lang w:eastAsia="tr-TR"/>
              </w:rPr>
              <w:t>Depolama Tipi</w:t>
            </w:r>
          </w:p>
        </w:tc>
        <w:tc>
          <w:tcPr>
            <w:tcW w:w="979" w:type="pct"/>
            <w:tcBorders>
              <w:top w:val="single" w:sz="8" w:space="0" w:color="D3D3D3"/>
              <w:left w:val="nil"/>
              <w:bottom w:val="nil"/>
              <w:right w:val="single" w:sz="8" w:space="0" w:color="D3D3D3"/>
            </w:tcBorders>
            <w:shd w:val="clear" w:color="000000" w:fill="6E9ECA"/>
            <w:vAlign w:val="center"/>
            <w:hideMark/>
          </w:tcPr>
          <w:p w:rsidR="00D429A1" w:rsidRPr="005030E7" w:rsidRDefault="00D429A1" w:rsidP="00263DC6">
            <w:pPr>
              <w:spacing w:after="0" w:line="240" w:lineRule="auto"/>
              <w:jc w:val="center"/>
              <w:rPr>
                <w:rFonts w:eastAsia="Times New Roman" w:cstheme="minorHAnsi"/>
                <w:b/>
                <w:bCs/>
                <w:color w:val="FFFFFF"/>
                <w:lang w:eastAsia="tr-TR"/>
              </w:rPr>
            </w:pPr>
            <w:r w:rsidRPr="005030E7">
              <w:rPr>
                <w:rFonts w:eastAsia="Times New Roman" w:cstheme="minorHAnsi"/>
                <w:b/>
                <w:bCs/>
                <w:color w:val="FFFFFF"/>
                <w:lang w:eastAsia="tr-TR"/>
              </w:rPr>
              <w:t>Lisanslara Kayıtlı Depolama Toplam Kapasitesi*** (m3)</w:t>
            </w:r>
          </w:p>
        </w:tc>
      </w:tr>
      <w:tr w:rsidR="00D429A1" w:rsidRPr="005030E7" w:rsidTr="00DC783D">
        <w:trPr>
          <w:trHeight w:val="212"/>
          <w:jc w:val="center"/>
        </w:trPr>
        <w:tc>
          <w:tcPr>
            <w:tcW w:w="2821" w:type="pct"/>
            <w:tcBorders>
              <w:top w:val="nil"/>
              <w:left w:val="single" w:sz="8" w:space="0" w:color="D3D3D3"/>
              <w:bottom w:val="single" w:sz="8" w:space="0" w:color="D3D3D3"/>
              <w:right w:val="single" w:sz="8" w:space="0" w:color="D3D3D3"/>
            </w:tcBorders>
            <w:shd w:val="clear" w:color="auto" w:fill="auto"/>
            <w:vAlign w:val="center"/>
            <w:hideMark/>
          </w:tcPr>
          <w:p w:rsidR="00D429A1" w:rsidRPr="005030E7" w:rsidRDefault="00D429A1" w:rsidP="00D429A1">
            <w:pPr>
              <w:spacing w:after="0" w:line="240" w:lineRule="auto"/>
              <w:rPr>
                <w:rFonts w:eastAsia="Times New Roman" w:cstheme="minorHAnsi"/>
                <w:color w:val="000000"/>
                <w:lang w:eastAsia="tr-TR"/>
              </w:rPr>
            </w:pPr>
            <w:r w:rsidRPr="005030E7">
              <w:rPr>
                <w:rFonts w:eastAsia="Times New Roman" w:cstheme="minorHAnsi"/>
                <w:color w:val="000000"/>
                <w:lang w:eastAsia="tr-TR"/>
              </w:rPr>
              <w:t>TOREN DOĞALGAZ DEPOLAMA VE MADENCİLİK ANONİM ŞİRKETİ*</w:t>
            </w:r>
          </w:p>
        </w:tc>
        <w:tc>
          <w:tcPr>
            <w:tcW w:w="636" w:type="pct"/>
            <w:tcBorders>
              <w:top w:val="nil"/>
              <w:left w:val="nil"/>
              <w:bottom w:val="single" w:sz="8" w:space="0" w:color="D3D3D3"/>
              <w:right w:val="single" w:sz="8" w:space="0" w:color="D3D3D3"/>
            </w:tcBorders>
            <w:shd w:val="clear" w:color="auto" w:fill="auto"/>
            <w:vAlign w:val="center"/>
            <w:hideMark/>
          </w:tcPr>
          <w:p w:rsidR="00D429A1" w:rsidRPr="005030E7" w:rsidRDefault="00D429A1" w:rsidP="00D4132F">
            <w:pPr>
              <w:spacing w:after="0" w:line="240" w:lineRule="auto"/>
              <w:jc w:val="center"/>
              <w:rPr>
                <w:rFonts w:eastAsia="Times New Roman" w:cstheme="minorHAnsi"/>
                <w:color w:val="000000"/>
                <w:lang w:eastAsia="tr-TR"/>
              </w:rPr>
            </w:pPr>
            <w:r w:rsidRPr="005030E7">
              <w:rPr>
                <w:rFonts w:eastAsia="Times New Roman" w:cstheme="minorHAnsi"/>
                <w:color w:val="000000"/>
                <w:lang w:eastAsia="tr-TR"/>
              </w:rPr>
              <w:t>MERSİN</w:t>
            </w:r>
          </w:p>
        </w:tc>
        <w:tc>
          <w:tcPr>
            <w:tcW w:w="565" w:type="pct"/>
            <w:tcBorders>
              <w:top w:val="nil"/>
              <w:left w:val="nil"/>
              <w:bottom w:val="single" w:sz="8" w:space="0" w:color="D3D3D3"/>
              <w:right w:val="single" w:sz="8" w:space="0" w:color="D3D3D3"/>
            </w:tcBorders>
            <w:shd w:val="clear" w:color="auto" w:fill="auto"/>
            <w:vAlign w:val="center"/>
            <w:hideMark/>
          </w:tcPr>
          <w:p w:rsidR="00D429A1" w:rsidRPr="005030E7" w:rsidRDefault="00D429A1" w:rsidP="00D4132F">
            <w:pPr>
              <w:spacing w:after="0" w:line="240" w:lineRule="auto"/>
              <w:jc w:val="center"/>
              <w:rPr>
                <w:rFonts w:eastAsia="Times New Roman" w:cstheme="minorHAnsi"/>
                <w:color w:val="000000"/>
                <w:lang w:eastAsia="tr-TR"/>
              </w:rPr>
            </w:pPr>
            <w:r w:rsidRPr="005030E7">
              <w:rPr>
                <w:rFonts w:eastAsia="Times New Roman" w:cstheme="minorHAnsi"/>
                <w:color w:val="000000"/>
                <w:lang w:eastAsia="tr-TR"/>
              </w:rPr>
              <w:t>Yeraltı</w:t>
            </w:r>
          </w:p>
        </w:tc>
        <w:tc>
          <w:tcPr>
            <w:tcW w:w="979" w:type="pct"/>
            <w:tcBorders>
              <w:top w:val="nil"/>
              <w:left w:val="nil"/>
              <w:bottom w:val="single" w:sz="8" w:space="0" w:color="D3D3D3"/>
              <w:right w:val="single" w:sz="8" w:space="0" w:color="D3D3D3"/>
            </w:tcBorders>
            <w:shd w:val="clear" w:color="auto" w:fill="auto"/>
            <w:vAlign w:val="center"/>
            <w:hideMark/>
          </w:tcPr>
          <w:p w:rsidR="00D429A1" w:rsidRPr="005030E7" w:rsidRDefault="00D429A1" w:rsidP="00D429A1">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3.000.000.000</w:t>
            </w:r>
          </w:p>
        </w:tc>
      </w:tr>
      <w:tr w:rsidR="00D429A1" w:rsidRPr="005030E7" w:rsidTr="00DC783D">
        <w:trPr>
          <w:trHeight w:val="212"/>
          <w:jc w:val="center"/>
        </w:trPr>
        <w:tc>
          <w:tcPr>
            <w:tcW w:w="2821" w:type="pct"/>
            <w:tcBorders>
              <w:top w:val="nil"/>
              <w:left w:val="single" w:sz="8" w:space="0" w:color="D3D3D3"/>
              <w:bottom w:val="single" w:sz="8" w:space="0" w:color="D3D3D3"/>
              <w:right w:val="single" w:sz="8" w:space="0" w:color="D3D3D3"/>
            </w:tcBorders>
            <w:shd w:val="clear" w:color="auto" w:fill="auto"/>
            <w:vAlign w:val="center"/>
            <w:hideMark/>
          </w:tcPr>
          <w:p w:rsidR="00D429A1" w:rsidRPr="005030E7" w:rsidRDefault="00D429A1" w:rsidP="00D429A1">
            <w:pPr>
              <w:spacing w:after="0" w:line="240" w:lineRule="auto"/>
              <w:rPr>
                <w:rFonts w:eastAsia="Times New Roman" w:cstheme="minorHAnsi"/>
                <w:color w:val="000000"/>
                <w:lang w:eastAsia="tr-TR"/>
              </w:rPr>
            </w:pPr>
            <w:r w:rsidRPr="005030E7">
              <w:rPr>
                <w:rFonts w:eastAsia="Times New Roman" w:cstheme="minorHAnsi"/>
                <w:color w:val="000000"/>
                <w:lang w:eastAsia="tr-TR"/>
              </w:rPr>
              <w:t>BOTAŞ (BORU HATLARI İLE PETROL TAŞIMA ANONİM ŞİRKETİ)</w:t>
            </w:r>
          </w:p>
        </w:tc>
        <w:tc>
          <w:tcPr>
            <w:tcW w:w="636" w:type="pct"/>
            <w:tcBorders>
              <w:top w:val="nil"/>
              <w:left w:val="nil"/>
              <w:bottom w:val="single" w:sz="8" w:space="0" w:color="D3D3D3"/>
              <w:right w:val="single" w:sz="8" w:space="0" w:color="D3D3D3"/>
            </w:tcBorders>
            <w:shd w:val="clear" w:color="auto" w:fill="auto"/>
            <w:vAlign w:val="center"/>
            <w:hideMark/>
          </w:tcPr>
          <w:p w:rsidR="00D429A1" w:rsidRPr="005030E7" w:rsidRDefault="00D429A1" w:rsidP="00D4132F">
            <w:pPr>
              <w:spacing w:after="0" w:line="240" w:lineRule="auto"/>
              <w:jc w:val="center"/>
              <w:rPr>
                <w:rFonts w:eastAsia="Times New Roman" w:cstheme="minorHAnsi"/>
                <w:color w:val="000000"/>
                <w:lang w:eastAsia="tr-TR"/>
              </w:rPr>
            </w:pPr>
            <w:r w:rsidRPr="005030E7">
              <w:rPr>
                <w:rFonts w:eastAsia="Times New Roman" w:cstheme="minorHAnsi"/>
                <w:color w:val="000000"/>
                <w:lang w:eastAsia="tr-TR"/>
              </w:rPr>
              <w:t>İSTANBUL</w:t>
            </w:r>
          </w:p>
        </w:tc>
        <w:tc>
          <w:tcPr>
            <w:tcW w:w="565" w:type="pct"/>
            <w:tcBorders>
              <w:top w:val="nil"/>
              <w:left w:val="nil"/>
              <w:bottom w:val="single" w:sz="8" w:space="0" w:color="D3D3D3"/>
              <w:right w:val="single" w:sz="8" w:space="0" w:color="D3D3D3"/>
            </w:tcBorders>
            <w:shd w:val="clear" w:color="auto" w:fill="auto"/>
            <w:vAlign w:val="center"/>
            <w:hideMark/>
          </w:tcPr>
          <w:p w:rsidR="00D429A1" w:rsidRPr="005030E7" w:rsidRDefault="00D429A1" w:rsidP="00D4132F">
            <w:pPr>
              <w:spacing w:after="0" w:line="240" w:lineRule="auto"/>
              <w:jc w:val="center"/>
              <w:rPr>
                <w:rFonts w:eastAsia="Times New Roman" w:cstheme="minorHAnsi"/>
                <w:color w:val="000000"/>
                <w:lang w:eastAsia="tr-TR"/>
              </w:rPr>
            </w:pPr>
            <w:r w:rsidRPr="005030E7">
              <w:rPr>
                <w:rFonts w:eastAsia="Times New Roman" w:cstheme="minorHAnsi"/>
                <w:color w:val="000000"/>
                <w:lang w:eastAsia="tr-TR"/>
              </w:rPr>
              <w:t>Yeraltı</w:t>
            </w:r>
          </w:p>
        </w:tc>
        <w:tc>
          <w:tcPr>
            <w:tcW w:w="979" w:type="pct"/>
            <w:tcBorders>
              <w:top w:val="nil"/>
              <w:left w:val="nil"/>
              <w:bottom w:val="single" w:sz="8" w:space="0" w:color="D3D3D3"/>
              <w:right w:val="single" w:sz="8" w:space="0" w:color="D3D3D3"/>
            </w:tcBorders>
            <w:shd w:val="clear" w:color="auto" w:fill="auto"/>
            <w:vAlign w:val="center"/>
            <w:hideMark/>
          </w:tcPr>
          <w:p w:rsidR="00D429A1" w:rsidRPr="005030E7" w:rsidRDefault="00C73172" w:rsidP="00D429A1">
            <w:pPr>
              <w:spacing w:after="0" w:line="240" w:lineRule="auto"/>
              <w:jc w:val="right"/>
              <w:rPr>
                <w:rFonts w:eastAsia="Times New Roman" w:cstheme="minorHAnsi"/>
                <w:color w:val="000000"/>
                <w:lang w:eastAsia="tr-TR"/>
              </w:rPr>
            </w:pPr>
            <w:r w:rsidRPr="00C73172">
              <w:rPr>
                <w:rFonts w:eastAsia="Times New Roman" w:cstheme="minorHAnsi"/>
                <w:color w:val="000000"/>
                <w:lang w:eastAsia="tr-TR"/>
              </w:rPr>
              <w:t>2.841.000.000</w:t>
            </w:r>
          </w:p>
        </w:tc>
      </w:tr>
      <w:tr w:rsidR="00D429A1" w:rsidRPr="005030E7" w:rsidTr="00DC783D">
        <w:trPr>
          <w:trHeight w:val="212"/>
          <w:jc w:val="center"/>
        </w:trPr>
        <w:tc>
          <w:tcPr>
            <w:tcW w:w="2821" w:type="pct"/>
            <w:tcBorders>
              <w:top w:val="nil"/>
              <w:left w:val="single" w:sz="8" w:space="0" w:color="D3D3D3"/>
              <w:bottom w:val="single" w:sz="8" w:space="0" w:color="D3D3D3"/>
              <w:right w:val="single" w:sz="8" w:space="0" w:color="D3D3D3"/>
            </w:tcBorders>
            <w:shd w:val="clear" w:color="auto" w:fill="auto"/>
            <w:vAlign w:val="center"/>
            <w:hideMark/>
          </w:tcPr>
          <w:p w:rsidR="00D429A1" w:rsidRPr="005030E7" w:rsidRDefault="000A3A5E" w:rsidP="00D429A1">
            <w:pPr>
              <w:spacing w:after="0" w:line="240" w:lineRule="auto"/>
              <w:rPr>
                <w:rFonts w:eastAsia="Times New Roman" w:cstheme="minorHAnsi"/>
                <w:color w:val="000000"/>
                <w:lang w:eastAsia="tr-TR"/>
              </w:rPr>
            </w:pPr>
            <w:r w:rsidRPr="005030E7">
              <w:rPr>
                <w:rFonts w:eastAsia="Times New Roman" w:cstheme="minorHAnsi"/>
                <w:color w:val="000000"/>
                <w:lang w:eastAsia="tr-TR"/>
              </w:rPr>
              <w:t>BOTAŞ (</w:t>
            </w:r>
            <w:r w:rsidR="00D429A1" w:rsidRPr="005030E7">
              <w:rPr>
                <w:rFonts w:eastAsia="Times New Roman" w:cstheme="minorHAnsi"/>
                <w:color w:val="000000"/>
                <w:lang w:eastAsia="tr-TR"/>
              </w:rPr>
              <w:t>BORU HATLARI İLE PETROL TAŞIMA ANONİM ŞİRKETİ</w:t>
            </w:r>
            <w:r w:rsidRPr="005030E7">
              <w:rPr>
                <w:rFonts w:eastAsia="Times New Roman" w:cstheme="minorHAnsi"/>
                <w:color w:val="000000"/>
                <w:lang w:eastAsia="tr-TR"/>
              </w:rPr>
              <w:t>)</w:t>
            </w:r>
          </w:p>
        </w:tc>
        <w:tc>
          <w:tcPr>
            <w:tcW w:w="636" w:type="pct"/>
            <w:tcBorders>
              <w:top w:val="nil"/>
              <w:left w:val="nil"/>
              <w:bottom w:val="single" w:sz="8" w:space="0" w:color="D3D3D3"/>
              <w:right w:val="single" w:sz="8" w:space="0" w:color="D3D3D3"/>
            </w:tcBorders>
            <w:shd w:val="clear" w:color="auto" w:fill="auto"/>
            <w:vAlign w:val="center"/>
            <w:hideMark/>
          </w:tcPr>
          <w:p w:rsidR="00D429A1" w:rsidRPr="005030E7" w:rsidRDefault="00D429A1" w:rsidP="00D4132F">
            <w:pPr>
              <w:spacing w:after="0" w:line="240" w:lineRule="auto"/>
              <w:jc w:val="center"/>
              <w:rPr>
                <w:rFonts w:eastAsia="Times New Roman" w:cstheme="minorHAnsi"/>
                <w:color w:val="000000"/>
                <w:lang w:eastAsia="tr-TR"/>
              </w:rPr>
            </w:pPr>
            <w:r w:rsidRPr="005030E7">
              <w:rPr>
                <w:rFonts w:eastAsia="Times New Roman" w:cstheme="minorHAnsi"/>
                <w:color w:val="000000"/>
                <w:lang w:eastAsia="tr-TR"/>
              </w:rPr>
              <w:t>AKSARAY</w:t>
            </w:r>
          </w:p>
        </w:tc>
        <w:tc>
          <w:tcPr>
            <w:tcW w:w="565" w:type="pct"/>
            <w:tcBorders>
              <w:top w:val="nil"/>
              <w:left w:val="nil"/>
              <w:bottom w:val="single" w:sz="8" w:space="0" w:color="D3D3D3"/>
              <w:right w:val="single" w:sz="8" w:space="0" w:color="D3D3D3"/>
            </w:tcBorders>
            <w:shd w:val="clear" w:color="auto" w:fill="auto"/>
            <w:vAlign w:val="center"/>
            <w:hideMark/>
          </w:tcPr>
          <w:p w:rsidR="00D429A1" w:rsidRPr="005030E7" w:rsidRDefault="00D429A1" w:rsidP="00D4132F">
            <w:pPr>
              <w:spacing w:after="0" w:line="240" w:lineRule="auto"/>
              <w:jc w:val="center"/>
              <w:rPr>
                <w:rFonts w:eastAsia="Times New Roman" w:cstheme="minorHAnsi"/>
                <w:color w:val="000000"/>
                <w:lang w:eastAsia="tr-TR"/>
              </w:rPr>
            </w:pPr>
            <w:r w:rsidRPr="005030E7">
              <w:rPr>
                <w:rFonts w:eastAsia="Times New Roman" w:cstheme="minorHAnsi"/>
                <w:color w:val="000000"/>
                <w:lang w:eastAsia="tr-TR"/>
              </w:rPr>
              <w:t>Yeraltı</w:t>
            </w:r>
          </w:p>
        </w:tc>
        <w:tc>
          <w:tcPr>
            <w:tcW w:w="979" w:type="pct"/>
            <w:tcBorders>
              <w:top w:val="nil"/>
              <w:left w:val="nil"/>
              <w:bottom w:val="single" w:sz="8" w:space="0" w:color="D3D3D3"/>
              <w:right w:val="single" w:sz="8" w:space="0" w:color="D3D3D3"/>
            </w:tcBorders>
            <w:shd w:val="clear" w:color="auto" w:fill="auto"/>
            <w:vAlign w:val="center"/>
            <w:hideMark/>
          </w:tcPr>
          <w:p w:rsidR="00D429A1" w:rsidRPr="005030E7" w:rsidRDefault="000A3A5E" w:rsidP="00D429A1">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8</w:t>
            </w:r>
            <w:r w:rsidR="00D429A1" w:rsidRPr="005030E7">
              <w:rPr>
                <w:rFonts w:eastAsia="Times New Roman" w:cstheme="minorHAnsi"/>
                <w:color w:val="000000"/>
                <w:lang w:eastAsia="tr-TR"/>
              </w:rPr>
              <w:t>50.000.000</w:t>
            </w:r>
          </w:p>
        </w:tc>
      </w:tr>
      <w:tr w:rsidR="00D429A1" w:rsidRPr="005030E7" w:rsidTr="00DC783D">
        <w:trPr>
          <w:trHeight w:val="212"/>
          <w:jc w:val="center"/>
        </w:trPr>
        <w:tc>
          <w:tcPr>
            <w:tcW w:w="2821" w:type="pct"/>
            <w:tcBorders>
              <w:top w:val="nil"/>
              <w:left w:val="single" w:sz="8" w:space="0" w:color="D3D3D3"/>
              <w:bottom w:val="single" w:sz="8" w:space="0" w:color="D3D3D3"/>
              <w:right w:val="single" w:sz="8" w:space="0" w:color="D3D3D3"/>
            </w:tcBorders>
            <w:shd w:val="clear" w:color="auto" w:fill="auto"/>
            <w:vAlign w:val="center"/>
            <w:hideMark/>
          </w:tcPr>
          <w:p w:rsidR="00D429A1" w:rsidRPr="005030E7" w:rsidRDefault="00D429A1" w:rsidP="00D429A1">
            <w:pPr>
              <w:spacing w:after="0" w:line="240" w:lineRule="auto"/>
              <w:rPr>
                <w:rFonts w:eastAsia="Times New Roman" w:cstheme="minorHAnsi"/>
                <w:color w:val="000000"/>
                <w:lang w:eastAsia="tr-TR"/>
              </w:rPr>
            </w:pPr>
            <w:r w:rsidRPr="005030E7">
              <w:rPr>
                <w:rFonts w:eastAsia="Times New Roman" w:cstheme="minorHAnsi"/>
                <w:color w:val="000000"/>
                <w:lang w:eastAsia="tr-TR"/>
              </w:rPr>
              <w:t>GAZ DEPO VE MADENCİLİK ANONİM ŞİRKETİ*</w:t>
            </w:r>
          </w:p>
        </w:tc>
        <w:tc>
          <w:tcPr>
            <w:tcW w:w="636" w:type="pct"/>
            <w:tcBorders>
              <w:top w:val="nil"/>
              <w:left w:val="nil"/>
              <w:bottom w:val="single" w:sz="8" w:space="0" w:color="D3D3D3"/>
              <w:right w:val="single" w:sz="8" w:space="0" w:color="D3D3D3"/>
            </w:tcBorders>
            <w:shd w:val="clear" w:color="auto" w:fill="auto"/>
            <w:vAlign w:val="center"/>
            <w:hideMark/>
          </w:tcPr>
          <w:p w:rsidR="00D429A1" w:rsidRPr="005030E7" w:rsidRDefault="00D429A1" w:rsidP="00D4132F">
            <w:pPr>
              <w:spacing w:after="0" w:line="240" w:lineRule="auto"/>
              <w:jc w:val="center"/>
              <w:rPr>
                <w:rFonts w:eastAsia="Times New Roman" w:cstheme="minorHAnsi"/>
                <w:color w:val="000000"/>
                <w:lang w:eastAsia="tr-TR"/>
              </w:rPr>
            </w:pPr>
            <w:r w:rsidRPr="005030E7">
              <w:rPr>
                <w:rFonts w:eastAsia="Times New Roman" w:cstheme="minorHAnsi"/>
                <w:color w:val="000000"/>
                <w:lang w:eastAsia="tr-TR"/>
              </w:rPr>
              <w:t>MERSİN</w:t>
            </w:r>
          </w:p>
        </w:tc>
        <w:tc>
          <w:tcPr>
            <w:tcW w:w="565" w:type="pct"/>
            <w:tcBorders>
              <w:top w:val="nil"/>
              <w:left w:val="nil"/>
              <w:bottom w:val="single" w:sz="8" w:space="0" w:color="D3D3D3"/>
              <w:right w:val="single" w:sz="8" w:space="0" w:color="D3D3D3"/>
            </w:tcBorders>
            <w:shd w:val="clear" w:color="auto" w:fill="auto"/>
            <w:vAlign w:val="center"/>
            <w:hideMark/>
          </w:tcPr>
          <w:p w:rsidR="00D429A1" w:rsidRPr="005030E7" w:rsidRDefault="00D429A1" w:rsidP="00D4132F">
            <w:pPr>
              <w:spacing w:after="0" w:line="240" w:lineRule="auto"/>
              <w:jc w:val="center"/>
              <w:rPr>
                <w:rFonts w:eastAsia="Times New Roman" w:cstheme="minorHAnsi"/>
                <w:color w:val="000000"/>
                <w:lang w:eastAsia="tr-TR"/>
              </w:rPr>
            </w:pPr>
            <w:r w:rsidRPr="005030E7">
              <w:rPr>
                <w:rFonts w:eastAsia="Times New Roman" w:cstheme="minorHAnsi"/>
                <w:color w:val="000000"/>
                <w:lang w:eastAsia="tr-TR"/>
              </w:rPr>
              <w:t>Yeraltı</w:t>
            </w:r>
          </w:p>
        </w:tc>
        <w:tc>
          <w:tcPr>
            <w:tcW w:w="979" w:type="pct"/>
            <w:tcBorders>
              <w:top w:val="nil"/>
              <w:left w:val="nil"/>
              <w:bottom w:val="single" w:sz="8" w:space="0" w:color="D3D3D3"/>
              <w:right w:val="single" w:sz="8" w:space="0" w:color="D3D3D3"/>
            </w:tcBorders>
            <w:shd w:val="clear" w:color="auto" w:fill="auto"/>
            <w:vAlign w:val="center"/>
            <w:hideMark/>
          </w:tcPr>
          <w:p w:rsidR="00D429A1" w:rsidRPr="005030E7" w:rsidRDefault="00D429A1" w:rsidP="00D429A1">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1.000.000.000</w:t>
            </w:r>
          </w:p>
        </w:tc>
      </w:tr>
      <w:tr w:rsidR="00D429A1" w:rsidRPr="005030E7" w:rsidTr="00DC783D">
        <w:trPr>
          <w:trHeight w:val="212"/>
          <w:jc w:val="center"/>
        </w:trPr>
        <w:tc>
          <w:tcPr>
            <w:tcW w:w="2821" w:type="pct"/>
            <w:tcBorders>
              <w:top w:val="nil"/>
              <w:left w:val="single" w:sz="8" w:space="0" w:color="D3D3D3"/>
              <w:bottom w:val="single" w:sz="8" w:space="0" w:color="D3D3D3"/>
              <w:right w:val="single" w:sz="8" w:space="0" w:color="D3D3D3"/>
            </w:tcBorders>
            <w:shd w:val="clear" w:color="auto" w:fill="auto"/>
            <w:vAlign w:val="center"/>
            <w:hideMark/>
          </w:tcPr>
          <w:p w:rsidR="00D429A1" w:rsidRPr="005030E7" w:rsidRDefault="00D429A1" w:rsidP="00D429A1">
            <w:pPr>
              <w:spacing w:after="0" w:line="240" w:lineRule="auto"/>
              <w:rPr>
                <w:rFonts w:eastAsia="Times New Roman" w:cstheme="minorHAnsi"/>
                <w:color w:val="000000"/>
                <w:lang w:eastAsia="tr-TR"/>
              </w:rPr>
            </w:pPr>
            <w:r w:rsidRPr="005030E7">
              <w:rPr>
                <w:rFonts w:eastAsia="Times New Roman" w:cstheme="minorHAnsi"/>
                <w:color w:val="000000"/>
                <w:lang w:eastAsia="tr-TR"/>
              </w:rPr>
              <w:t>ETKİ LİMAN İŞLETMELERİ DOĞALGAZ İTHALAT VE TİCARET ANONİM ŞİRKETİ</w:t>
            </w:r>
            <w:r w:rsidR="00E85199" w:rsidRPr="005030E7">
              <w:rPr>
                <w:rFonts w:eastAsia="Times New Roman" w:cstheme="minorHAnsi"/>
                <w:color w:val="000000"/>
                <w:lang w:eastAsia="tr-TR"/>
              </w:rPr>
              <w:t>**</w:t>
            </w:r>
          </w:p>
        </w:tc>
        <w:tc>
          <w:tcPr>
            <w:tcW w:w="636" w:type="pct"/>
            <w:tcBorders>
              <w:top w:val="nil"/>
              <w:left w:val="nil"/>
              <w:bottom w:val="single" w:sz="8" w:space="0" w:color="D3D3D3"/>
              <w:right w:val="single" w:sz="8" w:space="0" w:color="D3D3D3"/>
            </w:tcBorders>
            <w:shd w:val="clear" w:color="auto" w:fill="auto"/>
            <w:vAlign w:val="center"/>
            <w:hideMark/>
          </w:tcPr>
          <w:p w:rsidR="00D429A1" w:rsidRPr="005030E7" w:rsidRDefault="00D429A1" w:rsidP="00D4132F">
            <w:pPr>
              <w:spacing w:after="0" w:line="240" w:lineRule="auto"/>
              <w:jc w:val="center"/>
              <w:rPr>
                <w:rFonts w:eastAsia="Times New Roman" w:cstheme="minorHAnsi"/>
                <w:color w:val="000000"/>
                <w:lang w:eastAsia="tr-TR"/>
              </w:rPr>
            </w:pPr>
            <w:r w:rsidRPr="005030E7">
              <w:rPr>
                <w:rFonts w:eastAsia="Times New Roman" w:cstheme="minorHAnsi"/>
                <w:color w:val="000000"/>
                <w:lang w:eastAsia="tr-TR"/>
              </w:rPr>
              <w:t>İZMİR</w:t>
            </w:r>
          </w:p>
        </w:tc>
        <w:tc>
          <w:tcPr>
            <w:tcW w:w="565" w:type="pct"/>
            <w:tcBorders>
              <w:top w:val="nil"/>
              <w:left w:val="nil"/>
              <w:bottom w:val="single" w:sz="8" w:space="0" w:color="D3D3D3"/>
              <w:right w:val="single" w:sz="8" w:space="0" w:color="D3D3D3"/>
            </w:tcBorders>
            <w:shd w:val="clear" w:color="auto" w:fill="auto"/>
            <w:vAlign w:val="center"/>
            <w:hideMark/>
          </w:tcPr>
          <w:p w:rsidR="00D429A1" w:rsidRPr="005030E7" w:rsidRDefault="00D429A1" w:rsidP="00D4132F">
            <w:pPr>
              <w:spacing w:after="0" w:line="240" w:lineRule="auto"/>
              <w:jc w:val="center"/>
              <w:rPr>
                <w:rFonts w:eastAsia="Times New Roman" w:cstheme="minorHAnsi"/>
                <w:color w:val="000000"/>
                <w:lang w:eastAsia="tr-TR"/>
              </w:rPr>
            </w:pPr>
            <w:r w:rsidRPr="005030E7">
              <w:rPr>
                <w:rFonts w:eastAsia="Times New Roman" w:cstheme="minorHAnsi"/>
                <w:color w:val="000000"/>
                <w:lang w:eastAsia="tr-TR"/>
              </w:rPr>
              <w:t>LNG</w:t>
            </w:r>
          </w:p>
        </w:tc>
        <w:tc>
          <w:tcPr>
            <w:tcW w:w="979" w:type="pct"/>
            <w:tcBorders>
              <w:top w:val="nil"/>
              <w:left w:val="nil"/>
              <w:bottom w:val="single" w:sz="8" w:space="0" w:color="D3D3D3"/>
              <w:right w:val="single" w:sz="8" w:space="0" w:color="D3D3D3"/>
            </w:tcBorders>
            <w:shd w:val="clear" w:color="auto" w:fill="auto"/>
            <w:vAlign w:val="center"/>
            <w:hideMark/>
          </w:tcPr>
          <w:p w:rsidR="00D429A1" w:rsidRPr="005030E7" w:rsidRDefault="00D429A1" w:rsidP="00D429A1">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166.631</w:t>
            </w:r>
          </w:p>
        </w:tc>
      </w:tr>
      <w:tr w:rsidR="00D429A1" w:rsidRPr="005030E7" w:rsidTr="00DC783D">
        <w:trPr>
          <w:trHeight w:val="212"/>
          <w:jc w:val="center"/>
        </w:trPr>
        <w:tc>
          <w:tcPr>
            <w:tcW w:w="2821" w:type="pct"/>
            <w:tcBorders>
              <w:top w:val="nil"/>
              <w:left w:val="single" w:sz="8" w:space="0" w:color="D3D3D3"/>
              <w:bottom w:val="single" w:sz="8" w:space="0" w:color="D3D3D3"/>
              <w:right w:val="single" w:sz="8" w:space="0" w:color="D3D3D3"/>
            </w:tcBorders>
            <w:shd w:val="clear" w:color="auto" w:fill="auto"/>
            <w:vAlign w:val="center"/>
            <w:hideMark/>
          </w:tcPr>
          <w:p w:rsidR="00D429A1" w:rsidRPr="005030E7" w:rsidRDefault="00D429A1" w:rsidP="00D429A1">
            <w:pPr>
              <w:spacing w:after="0" w:line="240" w:lineRule="auto"/>
              <w:rPr>
                <w:rFonts w:eastAsia="Times New Roman" w:cstheme="minorHAnsi"/>
                <w:color w:val="000000"/>
                <w:lang w:eastAsia="tr-TR"/>
              </w:rPr>
            </w:pPr>
            <w:r w:rsidRPr="005030E7">
              <w:rPr>
                <w:rFonts w:eastAsia="Times New Roman" w:cstheme="minorHAnsi"/>
                <w:color w:val="000000"/>
                <w:lang w:eastAsia="tr-TR"/>
              </w:rPr>
              <w:t>EGE GAZ ANONİM ŞİRKETİ</w:t>
            </w:r>
            <w:r w:rsidR="00E85199" w:rsidRPr="005030E7">
              <w:rPr>
                <w:rFonts w:eastAsia="Times New Roman" w:cstheme="minorHAnsi"/>
                <w:color w:val="000000"/>
                <w:lang w:eastAsia="tr-TR"/>
              </w:rPr>
              <w:t>**</w:t>
            </w:r>
          </w:p>
        </w:tc>
        <w:tc>
          <w:tcPr>
            <w:tcW w:w="636" w:type="pct"/>
            <w:tcBorders>
              <w:top w:val="nil"/>
              <w:left w:val="nil"/>
              <w:bottom w:val="single" w:sz="8" w:space="0" w:color="D3D3D3"/>
              <w:right w:val="single" w:sz="8" w:space="0" w:color="D3D3D3"/>
            </w:tcBorders>
            <w:shd w:val="clear" w:color="auto" w:fill="auto"/>
            <w:vAlign w:val="center"/>
            <w:hideMark/>
          </w:tcPr>
          <w:p w:rsidR="00D429A1" w:rsidRPr="005030E7" w:rsidRDefault="00D429A1" w:rsidP="00D4132F">
            <w:pPr>
              <w:spacing w:after="0" w:line="240" w:lineRule="auto"/>
              <w:jc w:val="center"/>
              <w:rPr>
                <w:rFonts w:eastAsia="Times New Roman" w:cstheme="minorHAnsi"/>
                <w:color w:val="000000"/>
                <w:lang w:eastAsia="tr-TR"/>
              </w:rPr>
            </w:pPr>
            <w:r w:rsidRPr="005030E7">
              <w:rPr>
                <w:rFonts w:eastAsia="Times New Roman" w:cstheme="minorHAnsi"/>
                <w:color w:val="000000"/>
                <w:lang w:eastAsia="tr-TR"/>
              </w:rPr>
              <w:t>İZMİR</w:t>
            </w:r>
          </w:p>
        </w:tc>
        <w:tc>
          <w:tcPr>
            <w:tcW w:w="565" w:type="pct"/>
            <w:tcBorders>
              <w:top w:val="nil"/>
              <w:left w:val="nil"/>
              <w:bottom w:val="single" w:sz="8" w:space="0" w:color="D3D3D3"/>
              <w:right w:val="single" w:sz="8" w:space="0" w:color="D3D3D3"/>
            </w:tcBorders>
            <w:shd w:val="clear" w:color="auto" w:fill="auto"/>
            <w:vAlign w:val="center"/>
            <w:hideMark/>
          </w:tcPr>
          <w:p w:rsidR="00D429A1" w:rsidRPr="005030E7" w:rsidRDefault="00D429A1" w:rsidP="00D4132F">
            <w:pPr>
              <w:spacing w:after="0" w:line="240" w:lineRule="auto"/>
              <w:jc w:val="center"/>
              <w:rPr>
                <w:rFonts w:eastAsia="Times New Roman" w:cstheme="minorHAnsi"/>
                <w:color w:val="000000"/>
                <w:lang w:eastAsia="tr-TR"/>
              </w:rPr>
            </w:pPr>
            <w:r w:rsidRPr="005030E7">
              <w:rPr>
                <w:rFonts w:eastAsia="Times New Roman" w:cstheme="minorHAnsi"/>
                <w:color w:val="000000"/>
                <w:lang w:eastAsia="tr-TR"/>
              </w:rPr>
              <w:t>LNG</w:t>
            </w:r>
          </w:p>
        </w:tc>
        <w:tc>
          <w:tcPr>
            <w:tcW w:w="979" w:type="pct"/>
            <w:tcBorders>
              <w:top w:val="nil"/>
              <w:left w:val="nil"/>
              <w:bottom w:val="single" w:sz="8" w:space="0" w:color="D3D3D3"/>
              <w:right w:val="single" w:sz="8" w:space="0" w:color="D3D3D3"/>
            </w:tcBorders>
            <w:shd w:val="clear" w:color="auto" w:fill="auto"/>
            <w:vAlign w:val="center"/>
            <w:hideMark/>
          </w:tcPr>
          <w:p w:rsidR="00D429A1" w:rsidRPr="005030E7" w:rsidRDefault="00D429A1" w:rsidP="00D429A1">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280.000</w:t>
            </w:r>
          </w:p>
        </w:tc>
      </w:tr>
      <w:tr w:rsidR="00D429A1" w:rsidRPr="005030E7" w:rsidTr="00DC783D">
        <w:trPr>
          <w:trHeight w:val="212"/>
          <w:jc w:val="center"/>
        </w:trPr>
        <w:tc>
          <w:tcPr>
            <w:tcW w:w="2821" w:type="pct"/>
            <w:tcBorders>
              <w:top w:val="nil"/>
              <w:left w:val="single" w:sz="8" w:space="0" w:color="D3D3D3"/>
              <w:bottom w:val="single" w:sz="8" w:space="0" w:color="D3D3D3"/>
              <w:right w:val="single" w:sz="8" w:space="0" w:color="D3D3D3"/>
            </w:tcBorders>
            <w:shd w:val="clear" w:color="auto" w:fill="auto"/>
            <w:vAlign w:val="center"/>
            <w:hideMark/>
          </w:tcPr>
          <w:p w:rsidR="00D429A1" w:rsidRPr="005030E7" w:rsidRDefault="00D429A1" w:rsidP="00D429A1">
            <w:pPr>
              <w:spacing w:after="0" w:line="240" w:lineRule="auto"/>
              <w:rPr>
                <w:rFonts w:eastAsia="Times New Roman" w:cstheme="minorHAnsi"/>
                <w:color w:val="000000"/>
                <w:lang w:eastAsia="tr-TR"/>
              </w:rPr>
            </w:pPr>
            <w:r w:rsidRPr="005030E7">
              <w:rPr>
                <w:rFonts w:eastAsia="Times New Roman" w:cstheme="minorHAnsi"/>
                <w:color w:val="000000"/>
                <w:lang w:eastAsia="tr-TR"/>
              </w:rPr>
              <w:t>BOTAŞ (BORU HATLARI İLE PETROL TAŞIMA ANONİM ŞİRKETİ)</w:t>
            </w:r>
            <w:r w:rsidR="00E85199" w:rsidRPr="005030E7">
              <w:rPr>
                <w:rFonts w:eastAsia="Times New Roman" w:cstheme="minorHAnsi"/>
                <w:color w:val="000000"/>
                <w:lang w:eastAsia="tr-TR"/>
              </w:rPr>
              <w:t>**</w:t>
            </w:r>
          </w:p>
        </w:tc>
        <w:tc>
          <w:tcPr>
            <w:tcW w:w="636" w:type="pct"/>
            <w:tcBorders>
              <w:top w:val="nil"/>
              <w:left w:val="nil"/>
              <w:bottom w:val="single" w:sz="8" w:space="0" w:color="D3D3D3"/>
              <w:right w:val="single" w:sz="8" w:space="0" w:color="D3D3D3"/>
            </w:tcBorders>
            <w:shd w:val="clear" w:color="auto" w:fill="auto"/>
            <w:vAlign w:val="center"/>
            <w:hideMark/>
          </w:tcPr>
          <w:p w:rsidR="00D429A1" w:rsidRPr="005030E7" w:rsidRDefault="00D429A1" w:rsidP="00D4132F">
            <w:pPr>
              <w:spacing w:after="0" w:line="240" w:lineRule="auto"/>
              <w:jc w:val="center"/>
              <w:rPr>
                <w:rFonts w:eastAsia="Times New Roman" w:cstheme="minorHAnsi"/>
                <w:color w:val="000000"/>
                <w:lang w:eastAsia="tr-TR"/>
              </w:rPr>
            </w:pPr>
            <w:r w:rsidRPr="005030E7">
              <w:rPr>
                <w:rFonts w:eastAsia="Times New Roman" w:cstheme="minorHAnsi"/>
                <w:color w:val="000000"/>
                <w:lang w:eastAsia="tr-TR"/>
              </w:rPr>
              <w:t>HATAY</w:t>
            </w:r>
          </w:p>
        </w:tc>
        <w:tc>
          <w:tcPr>
            <w:tcW w:w="565" w:type="pct"/>
            <w:tcBorders>
              <w:top w:val="nil"/>
              <w:left w:val="nil"/>
              <w:bottom w:val="single" w:sz="8" w:space="0" w:color="D3D3D3"/>
              <w:right w:val="single" w:sz="8" w:space="0" w:color="D3D3D3"/>
            </w:tcBorders>
            <w:shd w:val="clear" w:color="auto" w:fill="auto"/>
            <w:vAlign w:val="center"/>
            <w:hideMark/>
          </w:tcPr>
          <w:p w:rsidR="00D429A1" w:rsidRPr="005030E7" w:rsidRDefault="00D429A1" w:rsidP="00D4132F">
            <w:pPr>
              <w:spacing w:after="0" w:line="240" w:lineRule="auto"/>
              <w:jc w:val="center"/>
              <w:rPr>
                <w:rFonts w:eastAsia="Times New Roman" w:cstheme="minorHAnsi"/>
                <w:color w:val="000000"/>
                <w:lang w:eastAsia="tr-TR"/>
              </w:rPr>
            </w:pPr>
            <w:r w:rsidRPr="005030E7">
              <w:rPr>
                <w:rFonts w:eastAsia="Times New Roman" w:cstheme="minorHAnsi"/>
                <w:color w:val="000000"/>
                <w:lang w:eastAsia="tr-TR"/>
              </w:rPr>
              <w:t>LNG</w:t>
            </w:r>
          </w:p>
        </w:tc>
        <w:tc>
          <w:tcPr>
            <w:tcW w:w="979" w:type="pct"/>
            <w:tcBorders>
              <w:top w:val="nil"/>
              <w:left w:val="nil"/>
              <w:bottom w:val="single" w:sz="8" w:space="0" w:color="D3D3D3"/>
              <w:right w:val="single" w:sz="8" w:space="0" w:color="D3D3D3"/>
            </w:tcBorders>
            <w:shd w:val="clear" w:color="auto" w:fill="auto"/>
            <w:vAlign w:val="center"/>
            <w:hideMark/>
          </w:tcPr>
          <w:p w:rsidR="00D429A1" w:rsidRPr="005030E7" w:rsidRDefault="00D429A1" w:rsidP="00D429A1">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263.000</w:t>
            </w:r>
          </w:p>
        </w:tc>
      </w:tr>
      <w:tr w:rsidR="00D429A1" w:rsidRPr="005030E7" w:rsidTr="00DC783D">
        <w:trPr>
          <w:trHeight w:val="232"/>
          <w:jc w:val="center"/>
        </w:trPr>
        <w:tc>
          <w:tcPr>
            <w:tcW w:w="2821" w:type="pct"/>
            <w:tcBorders>
              <w:top w:val="nil"/>
              <w:left w:val="single" w:sz="8" w:space="0" w:color="D3D3D3"/>
              <w:bottom w:val="single" w:sz="8" w:space="0" w:color="D3D3D3"/>
              <w:right w:val="single" w:sz="8" w:space="0" w:color="D3D3D3"/>
            </w:tcBorders>
            <w:shd w:val="clear" w:color="auto" w:fill="auto"/>
            <w:vAlign w:val="center"/>
            <w:hideMark/>
          </w:tcPr>
          <w:p w:rsidR="00D429A1" w:rsidRPr="005030E7" w:rsidRDefault="000A3A5E" w:rsidP="00D429A1">
            <w:pPr>
              <w:spacing w:after="0" w:line="240" w:lineRule="auto"/>
              <w:rPr>
                <w:rFonts w:eastAsia="Times New Roman" w:cstheme="minorHAnsi"/>
                <w:color w:val="000000"/>
                <w:lang w:eastAsia="tr-TR"/>
              </w:rPr>
            </w:pPr>
            <w:r w:rsidRPr="005030E7">
              <w:rPr>
                <w:rFonts w:eastAsia="Times New Roman" w:cstheme="minorHAnsi"/>
                <w:color w:val="000000"/>
                <w:lang w:eastAsia="tr-TR"/>
              </w:rPr>
              <w:t>BOTAŞ (</w:t>
            </w:r>
            <w:r w:rsidR="00D429A1" w:rsidRPr="005030E7">
              <w:rPr>
                <w:rFonts w:eastAsia="Times New Roman" w:cstheme="minorHAnsi"/>
                <w:color w:val="000000"/>
                <w:lang w:eastAsia="tr-TR"/>
              </w:rPr>
              <w:t>BORU HATLARI İLE PETROL TAŞIMA ANONİM ŞİRKETİ</w:t>
            </w:r>
            <w:r w:rsidRPr="005030E7">
              <w:rPr>
                <w:rFonts w:eastAsia="Times New Roman" w:cstheme="minorHAnsi"/>
                <w:color w:val="000000"/>
                <w:lang w:eastAsia="tr-TR"/>
              </w:rPr>
              <w:t>)</w:t>
            </w:r>
            <w:r w:rsidR="00E85199" w:rsidRPr="005030E7">
              <w:rPr>
                <w:rFonts w:eastAsia="Times New Roman" w:cstheme="minorHAnsi"/>
                <w:color w:val="000000"/>
                <w:lang w:eastAsia="tr-TR"/>
              </w:rPr>
              <w:t>**</w:t>
            </w:r>
          </w:p>
        </w:tc>
        <w:tc>
          <w:tcPr>
            <w:tcW w:w="636" w:type="pct"/>
            <w:tcBorders>
              <w:top w:val="nil"/>
              <w:left w:val="nil"/>
              <w:bottom w:val="single" w:sz="8" w:space="0" w:color="D3D3D3"/>
              <w:right w:val="single" w:sz="8" w:space="0" w:color="D3D3D3"/>
            </w:tcBorders>
            <w:shd w:val="clear" w:color="auto" w:fill="auto"/>
            <w:vAlign w:val="center"/>
            <w:hideMark/>
          </w:tcPr>
          <w:p w:rsidR="00D429A1" w:rsidRPr="005030E7" w:rsidRDefault="00D429A1" w:rsidP="00D4132F">
            <w:pPr>
              <w:spacing w:after="0" w:line="240" w:lineRule="auto"/>
              <w:jc w:val="center"/>
              <w:rPr>
                <w:rFonts w:eastAsia="Times New Roman" w:cstheme="minorHAnsi"/>
                <w:color w:val="000000"/>
                <w:lang w:eastAsia="tr-TR"/>
              </w:rPr>
            </w:pPr>
            <w:r w:rsidRPr="005030E7">
              <w:rPr>
                <w:rFonts w:eastAsia="Times New Roman" w:cstheme="minorHAnsi"/>
                <w:color w:val="000000"/>
                <w:lang w:eastAsia="tr-TR"/>
              </w:rPr>
              <w:t>TEKİRDAĞ</w:t>
            </w:r>
          </w:p>
        </w:tc>
        <w:tc>
          <w:tcPr>
            <w:tcW w:w="565" w:type="pct"/>
            <w:tcBorders>
              <w:top w:val="nil"/>
              <w:left w:val="nil"/>
              <w:bottom w:val="single" w:sz="8" w:space="0" w:color="D3D3D3"/>
              <w:right w:val="single" w:sz="8" w:space="0" w:color="D3D3D3"/>
            </w:tcBorders>
            <w:shd w:val="clear" w:color="auto" w:fill="auto"/>
            <w:vAlign w:val="center"/>
            <w:hideMark/>
          </w:tcPr>
          <w:p w:rsidR="00D429A1" w:rsidRPr="005030E7" w:rsidRDefault="00D429A1" w:rsidP="00D4132F">
            <w:pPr>
              <w:spacing w:after="0" w:line="240" w:lineRule="auto"/>
              <w:jc w:val="center"/>
              <w:rPr>
                <w:rFonts w:eastAsia="Times New Roman" w:cstheme="minorHAnsi"/>
                <w:color w:val="000000"/>
                <w:lang w:eastAsia="tr-TR"/>
              </w:rPr>
            </w:pPr>
            <w:r w:rsidRPr="005030E7">
              <w:rPr>
                <w:rFonts w:eastAsia="Times New Roman" w:cstheme="minorHAnsi"/>
                <w:color w:val="000000"/>
                <w:lang w:eastAsia="tr-TR"/>
              </w:rPr>
              <w:t>LNG</w:t>
            </w:r>
          </w:p>
        </w:tc>
        <w:tc>
          <w:tcPr>
            <w:tcW w:w="979" w:type="pct"/>
            <w:tcBorders>
              <w:top w:val="nil"/>
              <w:left w:val="nil"/>
              <w:bottom w:val="single" w:sz="8" w:space="0" w:color="D3D3D3"/>
              <w:right w:val="single" w:sz="8" w:space="0" w:color="D3D3D3"/>
            </w:tcBorders>
            <w:shd w:val="clear" w:color="auto" w:fill="auto"/>
            <w:vAlign w:val="center"/>
            <w:hideMark/>
          </w:tcPr>
          <w:p w:rsidR="00D429A1" w:rsidRPr="005030E7" w:rsidRDefault="00D34E39" w:rsidP="00D429A1">
            <w:pPr>
              <w:spacing w:after="0" w:line="240" w:lineRule="auto"/>
              <w:jc w:val="right"/>
              <w:rPr>
                <w:rFonts w:eastAsia="Times New Roman" w:cstheme="minorHAnsi"/>
                <w:color w:val="000000"/>
                <w:lang w:eastAsia="tr-TR"/>
              </w:rPr>
            </w:pPr>
            <w:r>
              <w:rPr>
                <w:rFonts w:eastAsia="Times New Roman" w:cstheme="minorHAnsi"/>
                <w:color w:val="000000"/>
                <w:lang w:eastAsia="tr-TR"/>
              </w:rPr>
              <w:t>255</w:t>
            </w:r>
            <w:r w:rsidR="00F34E9C" w:rsidRPr="005030E7">
              <w:rPr>
                <w:rFonts w:eastAsia="Times New Roman" w:cstheme="minorHAnsi"/>
                <w:color w:val="000000"/>
                <w:lang w:eastAsia="tr-TR"/>
              </w:rPr>
              <w:t>.000</w:t>
            </w:r>
          </w:p>
        </w:tc>
      </w:tr>
    </w:tbl>
    <w:p w:rsidR="00CB5826" w:rsidRPr="00172E74" w:rsidRDefault="00CB5826" w:rsidP="00172E74">
      <w:pPr>
        <w:spacing w:after="0"/>
        <w:rPr>
          <w:sz w:val="20"/>
          <w:szCs w:val="20"/>
        </w:rPr>
      </w:pPr>
      <w:r w:rsidRPr="00B732E3">
        <w:rPr>
          <w:sz w:val="20"/>
          <w:szCs w:val="20"/>
        </w:rPr>
        <w:t>*</w:t>
      </w:r>
      <w:r w:rsidR="00894FB0">
        <w:rPr>
          <w:sz w:val="20"/>
          <w:szCs w:val="20"/>
        </w:rPr>
        <w:t xml:space="preserve"> </w:t>
      </w:r>
      <w:r w:rsidRPr="00894FB0">
        <w:rPr>
          <w:i/>
          <w:sz w:val="20"/>
          <w:szCs w:val="20"/>
        </w:rPr>
        <w:t>Tesis henüz faaliyete geçmemiştir</w:t>
      </w:r>
      <w:r w:rsidRPr="00B732E3">
        <w:rPr>
          <w:sz w:val="20"/>
          <w:szCs w:val="20"/>
        </w:rPr>
        <w:t>.</w:t>
      </w:r>
    </w:p>
    <w:p w:rsidR="0075500C" w:rsidRPr="00172E74" w:rsidRDefault="0075500C" w:rsidP="00172E74">
      <w:pPr>
        <w:spacing w:after="0"/>
        <w:rPr>
          <w:sz w:val="20"/>
          <w:szCs w:val="20"/>
        </w:rPr>
      </w:pPr>
      <w:r w:rsidRPr="00172E74">
        <w:rPr>
          <w:sz w:val="20"/>
          <w:szCs w:val="20"/>
        </w:rPr>
        <w:t xml:space="preserve">** </w:t>
      </w:r>
      <w:r w:rsidRPr="00894FB0">
        <w:rPr>
          <w:i/>
          <w:sz w:val="20"/>
          <w:szCs w:val="20"/>
        </w:rPr>
        <w:t>Sıvılaştırılmış doğal gaz (LNG)</w:t>
      </w:r>
    </w:p>
    <w:p w:rsidR="00F34E9C" w:rsidRPr="00831057" w:rsidRDefault="00FA7792" w:rsidP="00F34E9C">
      <w:pPr>
        <w:rPr>
          <w:rFonts w:eastAsiaTheme="minorHAnsi"/>
          <w:sz w:val="20"/>
          <w:szCs w:val="20"/>
        </w:rPr>
      </w:pPr>
      <w:r w:rsidRPr="00172E74">
        <w:rPr>
          <w:sz w:val="20"/>
          <w:szCs w:val="20"/>
        </w:rPr>
        <w:t xml:space="preserve">*** </w:t>
      </w:r>
      <w:r w:rsidR="00F34E9C" w:rsidRPr="00894FB0">
        <w:rPr>
          <w:i/>
          <w:sz w:val="20"/>
          <w:szCs w:val="20"/>
        </w:rPr>
        <w:t>Miktarlar, faaliyette olan tesisler için lisanslarında kayıtlı 202</w:t>
      </w:r>
      <w:r w:rsidR="006E7CD3">
        <w:rPr>
          <w:i/>
          <w:sz w:val="20"/>
          <w:szCs w:val="20"/>
        </w:rPr>
        <w:t>2</w:t>
      </w:r>
      <w:r w:rsidR="00F34E9C" w:rsidRPr="00894FB0">
        <w:rPr>
          <w:i/>
          <w:sz w:val="20"/>
          <w:szCs w:val="20"/>
        </w:rPr>
        <w:t xml:space="preserve"> yılına ait kapasite; faaliyette olmayan tesisler için ise faaliyete başlayacakları dönemde sahip olacakları depolama kapasite miktarlarıdır</w:t>
      </w:r>
      <w:r w:rsidR="00F34E9C" w:rsidRPr="004F32D4">
        <w:rPr>
          <w:sz w:val="20"/>
          <w:szCs w:val="20"/>
        </w:rPr>
        <w:t xml:space="preserve">. </w:t>
      </w:r>
    </w:p>
    <w:p w:rsidR="00CB5826" w:rsidRPr="00E9291A" w:rsidRDefault="00CB5826" w:rsidP="000A5A56">
      <w:pPr>
        <w:pStyle w:val="Balk3"/>
        <w:numPr>
          <w:ilvl w:val="2"/>
          <w:numId w:val="11"/>
        </w:numPr>
        <w:spacing w:after="240"/>
        <w:rPr>
          <w:rFonts w:asciiTheme="minorHAnsi" w:hAnsiTheme="minorHAnsi"/>
          <w:color w:val="auto"/>
        </w:rPr>
      </w:pPr>
      <w:bookmarkStart w:id="170" w:name="_Toc442431260"/>
      <w:bookmarkStart w:id="171" w:name="_Toc132713789"/>
      <w:r w:rsidRPr="00E9291A">
        <w:rPr>
          <w:rFonts w:asciiTheme="minorHAnsi" w:hAnsiTheme="minorHAnsi"/>
          <w:color w:val="auto"/>
        </w:rPr>
        <w:t>Sertifika İşlemleri</w:t>
      </w:r>
      <w:bookmarkEnd w:id="170"/>
      <w:bookmarkEnd w:id="171"/>
    </w:p>
    <w:p w:rsidR="004F32D4" w:rsidRPr="00E9291A" w:rsidRDefault="004F32D4" w:rsidP="004F32D4">
      <w:bookmarkStart w:id="172" w:name="_Toc416447584"/>
      <w:bookmarkStart w:id="173" w:name="_Toc442441735"/>
      <w:r w:rsidRPr="00E9291A">
        <w:t>Doğal gaz piyasasında iç tesisat ve servis hatları ile yapım ve hizmet faaliyetlerini yürüten gerçek veya tüzel kişilere verilecek sertifikalara ilişkin usul ve esaslar, Doğal Gaz Piyasası Sertifika Yönetmeliğinde belirlenmiştir.</w:t>
      </w:r>
    </w:p>
    <w:p w:rsidR="004F32D4" w:rsidRPr="00E9291A" w:rsidRDefault="004F32D4" w:rsidP="004F32D4">
      <w:r w:rsidRPr="00E9291A">
        <w:t xml:space="preserve">Doğal gazla ilgili herhangi bir yapım ve hizmet faaliyeti, sertifika sahibi olmayan kişiler tarafından gerçekleştirilemez. Sistemle ilgili; fizibilite, etüt, proje, müşavirlik, kontrol ve denetleme, yapım, servis, bakım ve onarım gibi hizmetleri yapacak olanlar da yapacakları faaliyetler için Kurumdan sertifika almak zorundadır. </w:t>
      </w:r>
    </w:p>
    <w:p w:rsidR="00440F27" w:rsidRPr="00E9291A" w:rsidRDefault="00440F27" w:rsidP="00440F27">
      <w:r w:rsidRPr="009F36ED">
        <w:t xml:space="preserve">Sertifikalar bir defada en az on, en fazla otuz yıllık süre için verilmektedir. Sertifikalar ayrıca vize işlemine tabidir. Sertifika sahibi, </w:t>
      </w:r>
      <w:r>
        <w:t>vizesi olmadan</w:t>
      </w:r>
      <w:r w:rsidRPr="009F36ED">
        <w:t xml:space="preserve"> faaliyetine devam edemez. Vize süresi, sertifika yürürlük ve yapılan her yeni vize başlangıç tarihinden itibaren yapım ve hizmet sertifikası için iki yıl, iç tesisat ve servis hatları sertifikası için bir yıldır.</w:t>
      </w:r>
    </w:p>
    <w:p w:rsidR="00872D69" w:rsidRPr="004F32D4" w:rsidRDefault="004F32D4" w:rsidP="004F32D4">
      <w:pPr>
        <w:rPr>
          <w:rStyle w:val="Gl"/>
          <w:b w:val="0"/>
          <w:bCs w:val="0"/>
        </w:rPr>
      </w:pPr>
      <w:r w:rsidRPr="00E9291A">
        <w:t>Sertifika verilmesini müteakip her sertifika sahibi için ayrı bir sicil dosyası açılmakta ve ilgili mevzuat hükümlerine göre sicil kayıtları tutulmaktadır. Yapım ve hizmet sertifikası alan gerçek ve tüzel kişiler Kurumun internet sayfasında, iç tesisat ve servis hatları sertifikası alan gerçek ve tüzel kişiler, sertifika aldığı dağıtım şirketinin interne</w:t>
      </w:r>
      <w:r>
        <w:t>t sayfasında ilan edilmektedir.</w:t>
      </w:r>
    </w:p>
    <w:p w:rsidR="00CB5826" w:rsidRPr="00E9291A" w:rsidRDefault="00CB5826" w:rsidP="00C466F8">
      <w:pPr>
        <w:pStyle w:val="Balk5"/>
        <w:jc w:val="center"/>
        <w:rPr>
          <w:rStyle w:val="Gl"/>
          <w:color w:val="000000" w:themeColor="text1"/>
        </w:rPr>
      </w:pPr>
      <w:bookmarkStart w:id="174" w:name="_Toc132713896"/>
      <w:r w:rsidRPr="00E9291A">
        <w:rPr>
          <w:rStyle w:val="Gl"/>
          <w:color w:val="000000" w:themeColor="text1"/>
        </w:rPr>
        <w:t>Tabl</w:t>
      </w:r>
      <w:r>
        <w:rPr>
          <w:rStyle w:val="Gl"/>
          <w:color w:val="000000" w:themeColor="text1"/>
        </w:rPr>
        <w:t>o</w:t>
      </w:r>
      <w:r w:rsidR="00711603">
        <w:rPr>
          <w:rStyle w:val="Gl"/>
          <w:color w:val="000000" w:themeColor="text1"/>
        </w:rPr>
        <w:t xml:space="preserve"> </w:t>
      </w:r>
      <w:r>
        <w:rPr>
          <w:rStyle w:val="Gl"/>
          <w:color w:val="000000" w:themeColor="text1"/>
        </w:rPr>
        <w:t>3</w:t>
      </w:r>
      <w:r w:rsidR="000A02ED">
        <w:rPr>
          <w:rStyle w:val="Gl"/>
          <w:color w:val="000000" w:themeColor="text1"/>
        </w:rPr>
        <w:t>.</w:t>
      </w:r>
      <w:r w:rsidR="0017770B">
        <w:rPr>
          <w:rStyle w:val="Gl"/>
          <w:color w:val="000000" w:themeColor="text1"/>
        </w:rPr>
        <w:t>6</w:t>
      </w:r>
      <w:r w:rsidR="000A3A5E">
        <w:rPr>
          <w:rStyle w:val="Gl"/>
          <w:color w:val="000000" w:themeColor="text1"/>
        </w:rPr>
        <w:t>: Doğal Gaz Piyasasında 202</w:t>
      </w:r>
      <w:r w:rsidR="008F1742">
        <w:rPr>
          <w:rStyle w:val="Gl"/>
          <w:color w:val="000000" w:themeColor="text1"/>
        </w:rPr>
        <w:t>2</w:t>
      </w:r>
      <w:r w:rsidRPr="00E9291A">
        <w:rPr>
          <w:rStyle w:val="Gl"/>
          <w:color w:val="000000" w:themeColor="text1"/>
        </w:rPr>
        <w:t xml:space="preserve"> Yılında Gerçekleştirilen Sertifika İşlemleri</w:t>
      </w:r>
      <w:r w:rsidR="00097575">
        <w:rPr>
          <w:rStyle w:val="Gl"/>
          <w:color w:val="000000" w:themeColor="text1"/>
        </w:rPr>
        <w:t xml:space="preserve"> </w:t>
      </w:r>
      <w:r w:rsidRPr="00E9291A">
        <w:rPr>
          <w:rStyle w:val="Gl"/>
          <w:color w:val="000000" w:themeColor="text1"/>
        </w:rPr>
        <w:t>(Adet)</w:t>
      </w:r>
      <w:bookmarkEnd w:id="172"/>
      <w:bookmarkEnd w:id="173"/>
      <w:bookmarkEnd w:id="174"/>
    </w:p>
    <w:tbl>
      <w:tblPr>
        <w:tblW w:w="4819" w:type="pct"/>
        <w:tblCellMar>
          <w:left w:w="70" w:type="dxa"/>
          <w:right w:w="70" w:type="dxa"/>
        </w:tblCellMar>
        <w:tblLook w:val="04A0" w:firstRow="1" w:lastRow="0" w:firstColumn="1" w:lastColumn="0" w:noHBand="0" w:noVBand="1"/>
      </w:tblPr>
      <w:tblGrid>
        <w:gridCol w:w="1011"/>
        <w:gridCol w:w="1115"/>
        <w:gridCol w:w="2093"/>
        <w:gridCol w:w="1422"/>
        <w:gridCol w:w="902"/>
        <w:gridCol w:w="902"/>
        <w:gridCol w:w="827"/>
        <w:gridCol w:w="1272"/>
      </w:tblGrid>
      <w:tr w:rsidR="00547BB3" w:rsidRPr="005030E7" w:rsidTr="00151CF9">
        <w:trPr>
          <w:trHeight w:val="20"/>
        </w:trPr>
        <w:tc>
          <w:tcPr>
            <w:tcW w:w="508" w:type="pct"/>
            <w:vMerge w:val="restart"/>
            <w:tcBorders>
              <w:top w:val="single" w:sz="8" w:space="0" w:color="BFBFBF"/>
              <w:left w:val="single" w:sz="8" w:space="0" w:color="BFBFBF"/>
              <w:bottom w:val="single" w:sz="8" w:space="0" w:color="BFBFBF"/>
              <w:right w:val="single" w:sz="8" w:space="0" w:color="BFBFBF"/>
            </w:tcBorders>
            <w:shd w:val="clear" w:color="000000" w:fill="6E9ECA"/>
            <w:vAlign w:val="center"/>
            <w:hideMark/>
          </w:tcPr>
          <w:p w:rsidR="00547BB3" w:rsidRPr="005030E7" w:rsidRDefault="00547BB3" w:rsidP="00547BB3">
            <w:pPr>
              <w:spacing w:after="0" w:line="240" w:lineRule="auto"/>
              <w:jc w:val="center"/>
              <w:rPr>
                <w:rFonts w:eastAsia="Times New Roman" w:cstheme="minorHAnsi"/>
                <w:b/>
                <w:bCs/>
                <w:color w:val="FFFFFF"/>
                <w:lang w:eastAsia="tr-TR"/>
              </w:rPr>
            </w:pPr>
            <w:bookmarkStart w:id="175" w:name="_Toc442431261"/>
            <w:r w:rsidRPr="005030E7">
              <w:rPr>
                <w:rFonts w:eastAsia="Times New Roman" w:cstheme="minorHAnsi"/>
                <w:b/>
                <w:bCs/>
                <w:color w:val="FFFFFF"/>
                <w:lang w:eastAsia="tr-TR"/>
              </w:rPr>
              <w:t>Sertifika Tipi</w:t>
            </w:r>
          </w:p>
        </w:tc>
        <w:tc>
          <w:tcPr>
            <w:tcW w:w="3432" w:type="pct"/>
            <w:gridSpan w:val="5"/>
            <w:tcBorders>
              <w:top w:val="single" w:sz="8" w:space="0" w:color="BFBFBF"/>
              <w:left w:val="nil"/>
              <w:bottom w:val="single" w:sz="8" w:space="0" w:color="BFBFBF"/>
              <w:right w:val="single" w:sz="8" w:space="0" w:color="BFBFBF"/>
            </w:tcBorders>
            <w:shd w:val="clear" w:color="000000" w:fill="6E9ECA"/>
            <w:vAlign w:val="center"/>
            <w:hideMark/>
          </w:tcPr>
          <w:p w:rsidR="00547BB3" w:rsidRPr="005030E7" w:rsidRDefault="00547BB3" w:rsidP="00547BB3">
            <w:pPr>
              <w:spacing w:after="0" w:line="240" w:lineRule="auto"/>
              <w:jc w:val="center"/>
              <w:rPr>
                <w:rFonts w:eastAsia="Times New Roman" w:cstheme="minorHAnsi"/>
                <w:b/>
                <w:bCs/>
                <w:color w:val="FFFFFF"/>
                <w:lang w:eastAsia="tr-TR"/>
              </w:rPr>
            </w:pPr>
            <w:r w:rsidRPr="005030E7">
              <w:rPr>
                <w:rFonts w:eastAsia="Times New Roman" w:cstheme="minorHAnsi"/>
                <w:b/>
                <w:bCs/>
                <w:color w:val="FFFFFF"/>
                <w:lang w:eastAsia="tr-TR"/>
              </w:rPr>
              <w:t>Sertifika İşlem Türü</w:t>
            </w:r>
          </w:p>
        </w:tc>
        <w:tc>
          <w:tcPr>
            <w:tcW w:w="418" w:type="pct"/>
            <w:vMerge w:val="restart"/>
            <w:tcBorders>
              <w:top w:val="single" w:sz="8" w:space="0" w:color="BFBFBF"/>
              <w:left w:val="single" w:sz="8" w:space="0" w:color="BFBFBF"/>
              <w:bottom w:val="single" w:sz="8" w:space="0" w:color="BFBFBF"/>
              <w:right w:val="single" w:sz="8" w:space="0" w:color="BFBFBF"/>
            </w:tcBorders>
            <w:shd w:val="clear" w:color="000000" w:fill="6E9ECA"/>
            <w:vAlign w:val="center"/>
            <w:hideMark/>
          </w:tcPr>
          <w:p w:rsidR="00547BB3" w:rsidRPr="005030E7" w:rsidRDefault="00547BB3" w:rsidP="00547BB3">
            <w:pPr>
              <w:spacing w:after="0" w:line="240" w:lineRule="auto"/>
              <w:jc w:val="center"/>
              <w:rPr>
                <w:rFonts w:eastAsia="Times New Roman" w:cstheme="minorHAnsi"/>
                <w:b/>
                <w:bCs/>
                <w:color w:val="FFFFFF"/>
                <w:lang w:eastAsia="tr-TR"/>
              </w:rPr>
            </w:pPr>
            <w:r w:rsidRPr="005030E7">
              <w:rPr>
                <w:rFonts w:eastAsia="Times New Roman" w:cstheme="minorHAnsi"/>
                <w:b/>
                <w:bCs/>
                <w:color w:val="FFFFFF"/>
                <w:lang w:eastAsia="tr-TR"/>
              </w:rPr>
              <w:t>Genel Toplam</w:t>
            </w:r>
          </w:p>
        </w:tc>
        <w:tc>
          <w:tcPr>
            <w:tcW w:w="642" w:type="pct"/>
            <w:vMerge w:val="restart"/>
            <w:tcBorders>
              <w:top w:val="single" w:sz="8" w:space="0" w:color="BFBFBF"/>
              <w:left w:val="single" w:sz="8" w:space="0" w:color="BFBFBF"/>
              <w:bottom w:val="single" w:sz="8" w:space="0" w:color="BFBFBF"/>
              <w:right w:val="single" w:sz="8" w:space="0" w:color="BFBFBF"/>
            </w:tcBorders>
            <w:shd w:val="clear" w:color="000000" w:fill="6E9ECA"/>
            <w:vAlign w:val="center"/>
            <w:hideMark/>
          </w:tcPr>
          <w:p w:rsidR="00547BB3" w:rsidRPr="005030E7" w:rsidRDefault="00547BB3" w:rsidP="00547BB3">
            <w:pPr>
              <w:spacing w:after="0" w:line="240" w:lineRule="auto"/>
              <w:jc w:val="center"/>
              <w:rPr>
                <w:rFonts w:eastAsia="Times New Roman" w:cstheme="minorHAnsi"/>
                <w:b/>
                <w:bCs/>
                <w:color w:val="FFFFFF"/>
                <w:lang w:eastAsia="tr-TR"/>
              </w:rPr>
            </w:pPr>
            <w:r w:rsidRPr="005030E7">
              <w:rPr>
                <w:rFonts w:eastAsia="Times New Roman" w:cstheme="minorHAnsi"/>
                <w:b/>
                <w:bCs/>
                <w:color w:val="FFFFFF"/>
                <w:lang w:eastAsia="tr-TR"/>
              </w:rPr>
              <w:t>Dönem Sonu Yürürlükteki Sertifika Sayısı</w:t>
            </w:r>
          </w:p>
        </w:tc>
      </w:tr>
      <w:tr w:rsidR="002A7E33" w:rsidRPr="005030E7" w:rsidTr="00151CF9">
        <w:trPr>
          <w:trHeight w:val="20"/>
        </w:trPr>
        <w:tc>
          <w:tcPr>
            <w:tcW w:w="508" w:type="pct"/>
            <w:vMerge/>
            <w:tcBorders>
              <w:top w:val="single" w:sz="8" w:space="0" w:color="BFBFBF"/>
              <w:left w:val="single" w:sz="8" w:space="0" w:color="BFBFBF"/>
              <w:bottom w:val="single" w:sz="8" w:space="0" w:color="BFBFBF"/>
              <w:right w:val="single" w:sz="8" w:space="0" w:color="BFBFBF"/>
            </w:tcBorders>
            <w:vAlign w:val="center"/>
            <w:hideMark/>
          </w:tcPr>
          <w:p w:rsidR="002A7E33" w:rsidRPr="005030E7" w:rsidRDefault="002A7E33" w:rsidP="002A7E33">
            <w:pPr>
              <w:spacing w:after="0" w:line="240" w:lineRule="auto"/>
              <w:rPr>
                <w:rFonts w:eastAsia="Times New Roman" w:cstheme="minorHAnsi"/>
                <w:b/>
                <w:bCs/>
                <w:color w:val="FFFFFF"/>
                <w:lang w:eastAsia="tr-TR"/>
              </w:rPr>
            </w:pPr>
          </w:p>
        </w:tc>
        <w:tc>
          <w:tcPr>
            <w:tcW w:w="624" w:type="pct"/>
            <w:tcBorders>
              <w:top w:val="nil"/>
              <w:left w:val="nil"/>
              <w:bottom w:val="single" w:sz="8" w:space="0" w:color="BFBFBF"/>
              <w:right w:val="single" w:sz="8" w:space="0" w:color="BFBFBF"/>
            </w:tcBorders>
            <w:shd w:val="clear" w:color="000000" w:fill="6E9ECA"/>
            <w:vAlign w:val="center"/>
            <w:hideMark/>
          </w:tcPr>
          <w:p w:rsidR="002A7E33" w:rsidRPr="005030E7" w:rsidRDefault="002A7E33" w:rsidP="002A7E33">
            <w:pPr>
              <w:spacing w:after="0" w:line="240" w:lineRule="auto"/>
              <w:jc w:val="center"/>
              <w:rPr>
                <w:rFonts w:eastAsia="Times New Roman" w:cstheme="minorHAnsi"/>
                <w:b/>
                <w:bCs/>
                <w:color w:val="FFFFFF"/>
                <w:lang w:eastAsia="tr-TR"/>
              </w:rPr>
            </w:pPr>
            <w:r w:rsidRPr="005030E7">
              <w:rPr>
                <w:rFonts w:eastAsia="Times New Roman" w:cstheme="minorHAnsi"/>
                <w:b/>
                <w:bCs/>
                <w:color w:val="FFFFFF"/>
                <w:lang w:eastAsia="tr-TR"/>
              </w:rPr>
              <w:t>Sertifika Başvurusu</w:t>
            </w:r>
          </w:p>
          <w:p w:rsidR="002A7E33" w:rsidRPr="005030E7" w:rsidRDefault="002A7E33" w:rsidP="002A7E33">
            <w:pPr>
              <w:spacing w:after="0" w:line="240" w:lineRule="auto"/>
              <w:jc w:val="center"/>
              <w:rPr>
                <w:rFonts w:eastAsia="Times New Roman" w:cstheme="minorHAnsi"/>
                <w:b/>
                <w:bCs/>
                <w:color w:val="FFFFFF"/>
                <w:lang w:eastAsia="tr-TR"/>
              </w:rPr>
            </w:pPr>
            <w:r w:rsidRPr="005030E7">
              <w:rPr>
                <w:rFonts w:eastAsia="Times New Roman" w:cstheme="minorHAnsi"/>
                <w:b/>
                <w:bCs/>
                <w:color w:val="FFFFFF"/>
                <w:lang w:eastAsia="tr-TR"/>
              </w:rPr>
              <w:t>Sayısı</w:t>
            </w:r>
          </w:p>
        </w:tc>
        <w:tc>
          <w:tcPr>
            <w:tcW w:w="1136" w:type="pct"/>
            <w:tcBorders>
              <w:top w:val="nil"/>
              <w:left w:val="nil"/>
              <w:bottom w:val="single" w:sz="8" w:space="0" w:color="BFBFBF"/>
              <w:right w:val="single" w:sz="8" w:space="0" w:color="BFBFBF"/>
            </w:tcBorders>
            <w:shd w:val="clear" w:color="000000" w:fill="6E9ECA"/>
            <w:vAlign w:val="center"/>
            <w:hideMark/>
          </w:tcPr>
          <w:p w:rsidR="002A7E33" w:rsidRPr="005030E7" w:rsidRDefault="002A7E33" w:rsidP="002A7E33">
            <w:pPr>
              <w:spacing w:after="0" w:line="240" w:lineRule="auto"/>
              <w:jc w:val="center"/>
              <w:rPr>
                <w:rFonts w:eastAsia="Times New Roman" w:cstheme="minorHAnsi"/>
                <w:b/>
                <w:bCs/>
                <w:color w:val="FFFFFF"/>
                <w:lang w:eastAsia="tr-TR"/>
              </w:rPr>
            </w:pPr>
            <w:r w:rsidRPr="005030E7">
              <w:rPr>
                <w:rFonts w:eastAsia="Times New Roman" w:cstheme="minorHAnsi"/>
                <w:b/>
                <w:bCs/>
                <w:color w:val="FFFFFF"/>
                <w:lang w:eastAsia="tr-TR"/>
              </w:rPr>
              <w:t>Verilen Sertifika Sayısı</w:t>
            </w:r>
          </w:p>
        </w:tc>
        <w:tc>
          <w:tcPr>
            <w:tcW w:w="756" w:type="pct"/>
            <w:tcBorders>
              <w:top w:val="nil"/>
              <w:left w:val="nil"/>
              <w:bottom w:val="single" w:sz="8" w:space="0" w:color="BFBFBF"/>
              <w:right w:val="single" w:sz="8" w:space="0" w:color="BFBFBF"/>
            </w:tcBorders>
            <w:shd w:val="clear" w:color="000000" w:fill="6E9ECA"/>
            <w:vAlign w:val="center"/>
            <w:hideMark/>
          </w:tcPr>
          <w:p w:rsidR="002A7E33" w:rsidRPr="005030E7" w:rsidRDefault="002A7E33" w:rsidP="002A7E33">
            <w:pPr>
              <w:spacing w:after="0" w:line="240" w:lineRule="auto"/>
              <w:jc w:val="center"/>
              <w:rPr>
                <w:rFonts w:eastAsia="Times New Roman" w:cstheme="minorHAnsi"/>
                <w:b/>
                <w:bCs/>
                <w:color w:val="FFFFFF"/>
                <w:lang w:eastAsia="tr-TR"/>
              </w:rPr>
            </w:pPr>
            <w:r w:rsidRPr="005030E7">
              <w:rPr>
                <w:rFonts w:eastAsia="Times New Roman" w:cstheme="minorHAnsi"/>
                <w:b/>
                <w:bCs/>
                <w:color w:val="FFFFFF"/>
                <w:lang w:eastAsia="tr-TR"/>
              </w:rPr>
              <w:t>Sona Eren/Erdirilen Sertifika Sayısı</w:t>
            </w:r>
          </w:p>
        </w:tc>
        <w:tc>
          <w:tcPr>
            <w:tcW w:w="456" w:type="pct"/>
            <w:tcBorders>
              <w:top w:val="nil"/>
              <w:left w:val="nil"/>
              <w:bottom w:val="single" w:sz="8" w:space="0" w:color="BFBFBF"/>
              <w:right w:val="single" w:sz="8" w:space="0" w:color="BFBFBF"/>
            </w:tcBorders>
            <w:shd w:val="clear" w:color="000000" w:fill="6E9ECA"/>
            <w:vAlign w:val="center"/>
            <w:hideMark/>
          </w:tcPr>
          <w:p w:rsidR="002A7E33" w:rsidRPr="005030E7" w:rsidRDefault="002A7E33" w:rsidP="002A7E33">
            <w:pPr>
              <w:spacing w:after="0" w:line="240" w:lineRule="auto"/>
              <w:jc w:val="center"/>
              <w:rPr>
                <w:rFonts w:eastAsia="Times New Roman" w:cstheme="minorHAnsi"/>
                <w:b/>
                <w:bCs/>
                <w:color w:val="FFFFFF"/>
                <w:lang w:eastAsia="tr-TR"/>
              </w:rPr>
            </w:pPr>
            <w:r w:rsidRPr="005030E7">
              <w:rPr>
                <w:rFonts w:eastAsia="Times New Roman" w:cstheme="minorHAnsi"/>
                <w:b/>
                <w:bCs/>
                <w:color w:val="FFFFFF"/>
                <w:lang w:eastAsia="tr-TR"/>
              </w:rPr>
              <w:t>Verilen Sertifika Vize Sayısı</w:t>
            </w:r>
          </w:p>
        </w:tc>
        <w:tc>
          <w:tcPr>
            <w:tcW w:w="459" w:type="pct"/>
            <w:tcBorders>
              <w:top w:val="nil"/>
              <w:left w:val="nil"/>
              <w:bottom w:val="single" w:sz="8" w:space="0" w:color="BFBFBF"/>
              <w:right w:val="single" w:sz="8" w:space="0" w:color="BFBFBF"/>
            </w:tcBorders>
            <w:shd w:val="clear" w:color="000000" w:fill="6E9ECA"/>
            <w:vAlign w:val="center"/>
            <w:hideMark/>
          </w:tcPr>
          <w:p w:rsidR="002A7E33" w:rsidRPr="005030E7" w:rsidRDefault="002A7E33" w:rsidP="002A7E33">
            <w:pPr>
              <w:spacing w:after="0" w:line="240" w:lineRule="auto"/>
              <w:jc w:val="center"/>
              <w:rPr>
                <w:rFonts w:eastAsia="Times New Roman" w:cstheme="minorHAnsi"/>
                <w:b/>
                <w:bCs/>
                <w:color w:val="FFFFFF"/>
                <w:lang w:eastAsia="tr-TR"/>
              </w:rPr>
            </w:pPr>
            <w:r w:rsidRPr="005030E7">
              <w:rPr>
                <w:rFonts w:eastAsia="Times New Roman" w:cstheme="minorHAnsi"/>
                <w:b/>
                <w:bCs/>
                <w:color w:val="FFFFFF"/>
                <w:lang w:eastAsia="tr-TR"/>
              </w:rPr>
              <w:t>Tadil Edilen Sertifika Sayısı</w:t>
            </w:r>
          </w:p>
        </w:tc>
        <w:tc>
          <w:tcPr>
            <w:tcW w:w="418" w:type="pct"/>
            <w:vMerge/>
            <w:tcBorders>
              <w:top w:val="single" w:sz="8" w:space="0" w:color="BFBFBF"/>
              <w:left w:val="single" w:sz="8" w:space="0" w:color="BFBFBF"/>
              <w:bottom w:val="single" w:sz="8" w:space="0" w:color="BFBFBF"/>
              <w:right w:val="single" w:sz="8" w:space="0" w:color="BFBFBF"/>
            </w:tcBorders>
            <w:vAlign w:val="center"/>
            <w:hideMark/>
          </w:tcPr>
          <w:p w:rsidR="002A7E33" w:rsidRPr="005030E7" w:rsidRDefault="002A7E33" w:rsidP="002A7E33">
            <w:pPr>
              <w:spacing w:after="0" w:line="240" w:lineRule="auto"/>
              <w:rPr>
                <w:rFonts w:eastAsia="Times New Roman" w:cstheme="minorHAnsi"/>
                <w:b/>
                <w:bCs/>
                <w:color w:val="FFFFFF"/>
                <w:lang w:eastAsia="tr-TR"/>
              </w:rPr>
            </w:pPr>
          </w:p>
        </w:tc>
        <w:tc>
          <w:tcPr>
            <w:tcW w:w="642" w:type="pct"/>
            <w:vMerge/>
            <w:tcBorders>
              <w:top w:val="single" w:sz="8" w:space="0" w:color="BFBFBF"/>
              <w:left w:val="single" w:sz="8" w:space="0" w:color="BFBFBF"/>
              <w:bottom w:val="single" w:sz="8" w:space="0" w:color="BFBFBF"/>
              <w:right w:val="single" w:sz="8" w:space="0" w:color="BFBFBF"/>
            </w:tcBorders>
            <w:vAlign w:val="center"/>
            <w:hideMark/>
          </w:tcPr>
          <w:p w:rsidR="002A7E33" w:rsidRPr="005030E7" w:rsidRDefault="002A7E33" w:rsidP="002A7E33">
            <w:pPr>
              <w:spacing w:after="0" w:line="240" w:lineRule="auto"/>
              <w:rPr>
                <w:rFonts w:eastAsia="Times New Roman" w:cstheme="minorHAnsi"/>
                <w:b/>
                <w:bCs/>
                <w:color w:val="FFFFFF"/>
                <w:lang w:eastAsia="tr-TR"/>
              </w:rPr>
            </w:pPr>
          </w:p>
        </w:tc>
      </w:tr>
      <w:tr w:rsidR="00931DEA" w:rsidRPr="005030E7" w:rsidTr="00151CF9">
        <w:trPr>
          <w:trHeight w:val="20"/>
        </w:trPr>
        <w:tc>
          <w:tcPr>
            <w:tcW w:w="508" w:type="pct"/>
            <w:tcBorders>
              <w:top w:val="nil"/>
              <w:left w:val="single" w:sz="8" w:space="0" w:color="BFBFBF"/>
              <w:bottom w:val="single" w:sz="8" w:space="0" w:color="BFBFBF"/>
              <w:right w:val="single" w:sz="8" w:space="0" w:color="BFBFBF"/>
            </w:tcBorders>
            <w:shd w:val="clear" w:color="auto" w:fill="auto"/>
            <w:vAlign w:val="center"/>
            <w:hideMark/>
          </w:tcPr>
          <w:p w:rsidR="00931DEA" w:rsidRPr="005030E7" w:rsidRDefault="00931DEA" w:rsidP="00931DEA">
            <w:pPr>
              <w:spacing w:after="0" w:line="240" w:lineRule="auto"/>
              <w:jc w:val="center"/>
              <w:rPr>
                <w:rFonts w:eastAsia="Times New Roman" w:cstheme="minorHAnsi"/>
                <w:color w:val="000000"/>
                <w:lang w:eastAsia="tr-TR"/>
              </w:rPr>
            </w:pPr>
            <w:r w:rsidRPr="005030E7">
              <w:rPr>
                <w:rFonts w:eastAsia="Times New Roman" w:cstheme="minorHAnsi"/>
                <w:color w:val="000000"/>
                <w:lang w:eastAsia="tr-TR"/>
              </w:rPr>
              <w:t>Yapım ve Hizmet Sertifikası</w:t>
            </w:r>
          </w:p>
        </w:tc>
        <w:tc>
          <w:tcPr>
            <w:tcW w:w="624" w:type="pct"/>
            <w:tcBorders>
              <w:top w:val="nil"/>
              <w:left w:val="nil"/>
              <w:bottom w:val="single" w:sz="8" w:space="0" w:color="BFBFBF"/>
              <w:right w:val="single" w:sz="8" w:space="0" w:color="BFBFBF"/>
            </w:tcBorders>
            <w:shd w:val="clear" w:color="auto" w:fill="auto"/>
            <w:vAlign w:val="center"/>
            <w:hideMark/>
          </w:tcPr>
          <w:p w:rsidR="00931DEA" w:rsidRPr="005030E7" w:rsidRDefault="00931DEA" w:rsidP="00931DEA">
            <w:pPr>
              <w:spacing w:after="0" w:line="240" w:lineRule="auto"/>
              <w:jc w:val="center"/>
              <w:rPr>
                <w:rFonts w:eastAsia="Times New Roman" w:cstheme="minorHAnsi"/>
                <w:color w:val="000000"/>
                <w:lang w:eastAsia="tr-TR"/>
              </w:rPr>
            </w:pPr>
            <w:r>
              <w:rPr>
                <w:rFonts w:ascii="Arial" w:hAnsi="Arial" w:cs="Arial"/>
                <w:color w:val="000000"/>
                <w:sz w:val="20"/>
                <w:szCs w:val="20"/>
              </w:rPr>
              <w:t>64</w:t>
            </w:r>
          </w:p>
        </w:tc>
        <w:tc>
          <w:tcPr>
            <w:tcW w:w="1136" w:type="pct"/>
            <w:tcBorders>
              <w:top w:val="nil"/>
              <w:left w:val="nil"/>
              <w:bottom w:val="single" w:sz="8" w:space="0" w:color="BFBFBF"/>
              <w:right w:val="single" w:sz="8" w:space="0" w:color="BFBFBF"/>
            </w:tcBorders>
            <w:shd w:val="clear" w:color="auto" w:fill="auto"/>
            <w:vAlign w:val="center"/>
            <w:hideMark/>
          </w:tcPr>
          <w:p w:rsidR="00931DEA" w:rsidRPr="005030E7" w:rsidRDefault="00931DEA" w:rsidP="00931DEA">
            <w:pPr>
              <w:spacing w:after="0" w:line="240" w:lineRule="auto"/>
              <w:jc w:val="center"/>
              <w:rPr>
                <w:rFonts w:eastAsia="Times New Roman" w:cstheme="minorHAnsi"/>
                <w:color w:val="000000"/>
                <w:lang w:eastAsia="tr-TR"/>
              </w:rPr>
            </w:pPr>
            <w:r>
              <w:rPr>
                <w:rFonts w:ascii="Arial" w:hAnsi="Arial" w:cs="Arial"/>
                <w:color w:val="000000"/>
                <w:sz w:val="20"/>
                <w:szCs w:val="20"/>
              </w:rPr>
              <w:t>64</w:t>
            </w:r>
          </w:p>
        </w:tc>
        <w:tc>
          <w:tcPr>
            <w:tcW w:w="756" w:type="pct"/>
            <w:tcBorders>
              <w:top w:val="nil"/>
              <w:left w:val="nil"/>
              <w:bottom w:val="single" w:sz="8" w:space="0" w:color="BFBFBF"/>
              <w:right w:val="single" w:sz="8" w:space="0" w:color="BFBFBF"/>
            </w:tcBorders>
            <w:shd w:val="clear" w:color="auto" w:fill="auto"/>
            <w:vAlign w:val="center"/>
            <w:hideMark/>
          </w:tcPr>
          <w:p w:rsidR="00931DEA" w:rsidRPr="005030E7" w:rsidRDefault="00931DEA" w:rsidP="00931DEA">
            <w:pPr>
              <w:spacing w:after="0" w:line="240" w:lineRule="auto"/>
              <w:jc w:val="center"/>
              <w:rPr>
                <w:rFonts w:eastAsia="Times New Roman" w:cstheme="minorHAnsi"/>
                <w:color w:val="000000"/>
                <w:lang w:eastAsia="tr-TR"/>
              </w:rPr>
            </w:pPr>
            <w:r>
              <w:rPr>
                <w:rFonts w:ascii="Arial" w:hAnsi="Arial" w:cs="Arial"/>
                <w:color w:val="000000"/>
                <w:sz w:val="20"/>
                <w:szCs w:val="20"/>
              </w:rPr>
              <w:t>63</w:t>
            </w:r>
          </w:p>
        </w:tc>
        <w:tc>
          <w:tcPr>
            <w:tcW w:w="456" w:type="pct"/>
            <w:tcBorders>
              <w:top w:val="nil"/>
              <w:left w:val="nil"/>
              <w:bottom w:val="single" w:sz="8" w:space="0" w:color="BFBFBF"/>
              <w:right w:val="single" w:sz="8" w:space="0" w:color="BFBFBF"/>
            </w:tcBorders>
            <w:shd w:val="clear" w:color="auto" w:fill="auto"/>
            <w:vAlign w:val="center"/>
            <w:hideMark/>
          </w:tcPr>
          <w:p w:rsidR="00931DEA" w:rsidRPr="005030E7" w:rsidRDefault="00931DEA" w:rsidP="00931DEA">
            <w:pPr>
              <w:spacing w:after="0" w:line="240" w:lineRule="auto"/>
              <w:jc w:val="center"/>
              <w:rPr>
                <w:rFonts w:eastAsia="Times New Roman" w:cstheme="minorHAnsi"/>
                <w:color w:val="000000"/>
                <w:lang w:eastAsia="tr-TR"/>
              </w:rPr>
            </w:pPr>
            <w:r>
              <w:rPr>
                <w:rFonts w:ascii="Arial" w:hAnsi="Arial" w:cs="Arial"/>
                <w:color w:val="000000"/>
                <w:sz w:val="20"/>
                <w:szCs w:val="20"/>
              </w:rPr>
              <w:t>216</w:t>
            </w:r>
          </w:p>
        </w:tc>
        <w:tc>
          <w:tcPr>
            <w:tcW w:w="459" w:type="pct"/>
            <w:tcBorders>
              <w:top w:val="nil"/>
              <w:left w:val="nil"/>
              <w:bottom w:val="single" w:sz="8" w:space="0" w:color="BFBFBF"/>
              <w:right w:val="single" w:sz="8" w:space="0" w:color="BFBFBF"/>
            </w:tcBorders>
            <w:shd w:val="clear" w:color="auto" w:fill="auto"/>
            <w:vAlign w:val="center"/>
            <w:hideMark/>
          </w:tcPr>
          <w:p w:rsidR="00931DEA" w:rsidRPr="005030E7" w:rsidRDefault="00931DEA" w:rsidP="00931DEA">
            <w:pPr>
              <w:spacing w:after="0" w:line="240" w:lineRule="auto"/>
              <w:jc w:val="center"/>
              <w:rPr>
                <w:rFonts w:eastAsia="Times New Roman" w:cstheme="minorHAnsi"/>
                <w:color w:val="000000"/>
                <w:lang w:eastAsia="tr-TR"/>
              </w:rPr>
            </w:pPr>
            <w:r>
              <w:rPr>
                <w:rFonts w:ascii="Arial" w:hAnsi="Arial" w:cs="Arial"/>
                <w:color w:val="000000"/>
                <w:sz w:val="20"/>
                <w:szCs w:val="20"/>
              </w:rPr>
              <w:t>32</w:t>
            </w:r>
          </w:p>
        </w:tc>
        <w:tc>
          <w:tcPr>
            <w:tcW w:w="418" w:type="pct"/>
            <w:tcBorders>
              <w:top w:val="nil"/>
              <w:left w:val="nil"/>
              <w:bottom w:val="single" w:sz="8" w:space="0" w:color="BFBFBF"/>
              <w:right w:val="single" w:sz="8" w:space="0" w:color="BFBFBF"/>
            </w:tcBorders>
            <w:shd w:val="clear" w:color="auto" w:fill="auto"/>
            <w:vAlign w:val="center"/>
            <w:hideMark/>
          </w:tcPr>
          <w:p w:rsidR="00931DEA" w:rsidRPr="005030E7" w:rsidRDefault="00931DEA" w:rsidP="00931DEA">
            <w:pPr>
              <w:spacing w:after="0" w:line="240" w:lineRule="auto"/>
              <w:jc w:val="center"/>
              <w:rPr>
                <w:rFonts w:eastAsia="Times New Roman" w:cstheme="minorHAnsi"/>
                <w:color w:val="000000"/>
                <w:lang w:eastAsia="tr-TR"/>
              </w:rPr>
            </w:pPr>
            <w:r>
              <w:rPr>
                <w:rFonts w:ascii="Arial" w:hAnsi="Arial" w:cs="Arial"/>
                <w:color w:val="000000"/>
                <w:sz w:val="20"/>
                <w:szCs w:val="20"/>
              </w:rPr>
              <w:t>439</w:t>
            </w:r>
          </w:p>
        </w:tc>
        <w:tc>
          <w:tcPr>
            <w:tcW w:w="642" w:type="pct"/>
            <w:tcBorders>
              <w:top w:val="nil"/>
              <w:left w:val="nil"/>
              <w:bottom w:val="single" w:sz="8" w:space="0" w:color="BFBFBF"/>
              <w:right w:val="single" w:sz="8" w:space="0" w:color="BFBFBF"/>
            </w:tcBorders>
            <w:shd w:val="clear" w:color="auto" w:fill="auto"/>
            <w:vAlign w:val="center"/>
            <w:hideMark/>
          </w:tcPr>
          <w:p w:rsidR="00931DEA" w:rsidRPr="00CB3CA6" w:rsidRDefault="00931DEA" w:rsidP="00931DEA">
            <w:pPr>
              <w:spacing w:after="0" w:line="240" w:lineRule="auto"/>
              <w:jc w:val="center"/>
              <w:rPr>
                <w:rFonts w:eastAsia="Times New Roman" w:cstheme="minorHAnsi"/>
                <w:b/>
                <w:bCs/>
                <w:color w:val="000000"/>
                <w:lang w:eastAsia="tr-TR"/>
              </w:rPr>
            </w:pPr>
            <w:r w:rsidRPr="00CB3CA6">
              <w:rPr>
                <w:rFonts w:ascii="Arial" w:hAnsi="Arial" w:cs="Arial"/>
                <w:b/>
                <w:color w:val="000000"/>
                <w:sz w:val="20"/>
                <w:szCs w:val="20"/>
              </w:rPr>
              <w:t>1032</w:t>
            </w:r>
          </w:p>
        </w:tc>
      </w:tr>
    </w:tbl>
    <w:p w:rsidR="00CB5826" w:rsidRPr="00E9291A" w:rsidRDefault="008C40F5" w:rsidP="000A5A56">
      <w:pPr>
        <w:pStyle w:val="Balk2"/>
        <w:numPr>
          <w:ilvl w:val="1"/>
          <w:numId w:val="11"/>
        </w:numPr>
        <w:spacing w:before="0" w:after="240"/>
        <w:rPr>
          <w:rFonts w:asciiTheme="minorHAnsi" w:hAnsiTheme="minorHAnsi"/>
          <w:color w:val="auto"/>
          <w:sz w:val="22"/>
          <w:szCs w:val="22"/>
        </w:rPr>
      </w:pPr>
      <w:r>
        <w:rPr>
          <w:rFonts w:asciiTheme="minorHAnsi" w:hAnsiTheme="minorHAnsi"/>
          <w:color w:val="auto"/>
          <w:sz w:val="22"/>
          <w:szCs w:val="22"/>
        </w:rPr>
        <w:lastRenderedPageBreak/>
        <w:t xml:space="preserve"> </w:t>
      </w:r>
      <w:bookmarkStart w:id="176" w:name="_Toc132713790"/>
      <w:r w:rsidR="00CB5826" w:rsidRPr="00E9291A">
        <w:rPr>
          <w:rFonts w:asciiTheme="minorHAnsi" w:hAnsiTheme="minorHAnsi"/>
          <w:color w:val="auto"/>
          <w:sz w:val="22"/>
          <w:szCs w:val="22"/>
        </w:rPr>
        <w:t>Petrol Piyasası Lisanslama Faaliyetleri</w:t>
      </w:r>
      <w:bookmarkEnd w:id="175"/>
      <w:bookmarkEnd w:id="176"/>
    </w:p>
    <w:p w:rsidR="00CB5826" w:rsidRDefault="00CB5826" w:rsidP="00CB5826">
      <w:pPr>
        <w:spacing w:after="0"/>
      </w:pPr>
      <w:r w:rsidRPr="00E9291A">
        <w:t>Petrol ile ilgili; rafinaj, işleme, madeni yağ üretimi, depolama, iletim, serbest kullanıcı ve ihrakiye faaliyetlerinin yapılması ve bu amaçla tesis kurulması ve/veya işletilmesi; akaryakıt dağıtımı, taşınması ve bayilik faaliyetlerinin yapılması için lisans alınması zorunludur. Bu husustaki lisanslara ilişkin usul ve esaslar, Petrol Piyasası Lisans Yönetmeliğinde düzenlenmiştir. Faaliyet konularına göre Kurum tarafından verilen lisanslar; Rafinerici Lisansı, İşletme Lisansı, Madeni Yağ Lisansı, Depolama Lisansı, İletim Lisansı, Serbest Kullanıcı Lisansı, İhrakiye Teslimi Lisansı, Dağıtıcı Lisansı, Taşıma Lisansı, Bayilik Lisa</w:t>
      </w:r>
      <w:bookmarkStart w:id="177" w:name="_Toc416447585"/>
      <w:bookmarkStart w:id="178" w:name="_Toc442441736"/>
      <w:r>
        <w:t>nsı</w:t>
      </w:r>
      <w:r w:rsidR="001A2F40">
        <w:t>dır</w:t>
      </w:r>
      <w:r>
        <w:t>.</w:t>
      </w:r>
    </w:p>
    <w:p w:rsidR="00686363" w:rsidRPr="00DC783D" w:rsidRDefault="00873EA8" w:rsidP="00DC783D">
      <w:pPr>
        <w:pStyle w:val="Balk5"/>
        <w:jc w:val="center"/>
        <w:rPr>
          <w:rFonts w:asciiTheme="minorHAnsi" w:hAnsiTheme="minorHAnsi"/>
          <w:b/>
          <w:bCs/>
          <w:color w:val="000000" w:themeColor="text1"/>
        </w:rPr>
      </w:pPr>
      <w:bookmarkStart w:id="179" w:name="_Toc132713897"/>
      <w:r w:rsidRPr="00E9291A">
        <w:rPr>
          <w:rStyle w:val="Gl"/>
          <w:color w:val="000000" w:themeColor="text1"/>
        </w:rPr>
        <w:t>Ta</w:t>
      </w:r>
      <w:r>
        <w:rPr>
          <w:rStyle w:val="Gl"/>
          <w:color w:val="000000" w:themeColor="text1"/>
        </w:rPr>
        <w:t>blo 3.</w:t>
      </w:r>
      <w:r w:rsidR="0017770B">
        <w:rPr>
          <w:rStyle w:val="Gl"/>
          <w:color w:val="000000" w:themeColor="text1"/>
        </w:rPr>
        <w:t>7</w:t>
      </w:r>
      <w:r>
        <w:rPr>
          <w:rStyle w:val="Gl"/>
          <w:color w:val="000000" w:themeColor="text1"/>
        </w:rPr>
        <w:t>: Petrol Piyasasında 2022</w:t>
      </w:r>
      <w:r w:rsidRPr="00E9291A">
        <w:rPr>
          <w:rStyle w:val="Gl"/>
          <w:color w:val="000000" w:themeColor="text1"/>
        </w:rPr>
        <w:t xml:space="preserve"> Yılında Gerçekleştirilen Lisans İşlemleri</w:t>
      </w:r>
      <w:r>
        <w:rPr>
          <w:rStyle w:val="Gl"/>
          <w:color w:val="000000" w:themeColor="text1"/>
        </w:rPr>
        <w:t xml:space="preserve"> </w:t>
      </w:r>
      <w:r w:rsidRPr="00E9291A">
        <w:rPr>
          <w:rStyle w:val="Gl"/>
          <w:color w:val="000000" w:themeColor="text1"/>
        </w:rPr>
        <w:t>(Adet)</w:t>
      </w:r>
      <w:bookmarkEnd w:id="179"/>
    </w:p>
    <w:tbl>
      <w:tblPr>
        <w:tblW w:w="9912" w:type="dxa"/>
        <w:tblCellMar>
          <w:left w:w="70" w:type="dxa"/>
          <w:right w:w="70" w:type="dxa"/>
        </w:tblCellMar>
        <w:tblLook w:val="04A0" w:firstRow="1" w:lastRow="0" w:firstColumn="1" w:lastColumn="0" w:noHBand="0" w:noVBand="1"/>
      </w:tblPr>
      <w:tblGrid>
        <w:gridCol w:w="1717"/>
        <w:gridCol w:w="1112"/>
        <w:gridCol w:w="1006"/>
        <w:gridCol w:w="1459"/>
        <w:gridCol w:w="1211"/>
        <w:gridCol w:w="944"/>
        <w:gridCol w:w="1047"/>
        <w:gridCol w:w="1416"/>
      </w:tblGrid>
      <w:tr w:rsidR="00686363" w:rsidTr="00686363">
        <w:trPr>
          <w:trHeight w:val="990"/>
        </w:trPr>
        <w:tc>
          <w:tcPr>
            <w:tcW w:w="16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686363" w:rsidRDefault="00686363" w:rsidP="00686363">
            <w:pPr>
              <w:spacing w:after="0" w:line="240" w:lineRule="auto"/>
              <w:jc w:val="center"/>
              <w:rPr>
                <w:rFonts w:ascii="Calibri" w:eastAsia="Times New Roman" w:hAnsi="Calibri" w:cs="Calibri"/>
                <w:b/>
                <w:bCs/>
                <w:color w:val="FFFFFF"/>
                <w:lang w:eastAsia="tr-TR"/>
              </w:rPr>
            </w:pPr>
            <w:r>
              <w:rPr>
                <w:rFonts w:ascii="Calibri" w:eastAsia="Times New Roman" w:hAnsi="Calibri" w:cs="Calibri"/>
                <w:b/>
                <w:bCs/>
                <w:color w:val="FFFFFF"/>
                <w:lang w:eastAsia="tr-TR"/>
              </w:rPr>
              <w:t>Lisans Tipi</w:t>
            </w:r>
          </w:p>
        </w:tc>
        <w:tc>
          <w:tcPr>
            <w:tcW w:w="10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686363" w:rsidRDefault="00686363" w:rsidP="00686363">
            <w:pPr>
              <w:spacing w:after="0" w:line="240" w:lineRule="auto"/>
              <w:jc w:val="center"/>
              <w:rPr>
                <w:rFonts w:ascii="Calibri" w:eastAsia="Times New Roman" w:hAnsi="Calibri" w:cs="Calibri"/>
                <w:b/>
                <w:bCs/>
                <w:color w:val="FFFFFF"/>
                <w:lang w:eastAsia="tr-TR"/>
              </w:rPr>
            </w:pPr>
            <w:r>
              <w:rPr>
                <w:rFonts w:ascii="Calibri" w:eastAsia="Times New Roman" w:hAnsi="Calibri" w:cs="Calibri"/>
                <w:b/>
                <w:bCs/>
                <w:color w:val="FFFFFF"/>
                <w:lang w:eastAsia="tr-TR"/>
              </w:rPr>
              <w:t>Lisans Başvurusu Sayısı</w:t>
            </w:r>
          </w:p>
        </w:tc>
        <w:tc>
          <w:tcPr>
            <w:tcW w:w="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686363" w:rsidRDefault="00686363" w:rsidP="00686363">
            <w:pPr>
              <w:spacing w:after="0" w:line="240" w:lineRule="auto"/>
              <w:jc w:val="center"/>
              <w:rPr>
                <w:rFonts w:ascii="Calibri" w:eastAsia="Times New Roman" w:hAnsi="Calibri" w:cs="Calibri"/>
                <w:b/>
                <w:bCs/>
                <w:color w:val="FFFFFF"/>
                <w:lang w:eastAsia="tr-TR"/>
              </w:rPr>
            </w:pPr>
            <w:r>
              <w:rPr>
                <w:rFonts w:ascii="Calibri" w:eastAsia="Times New Roman" w:hAnsi="Calibri" w:cs="Calibri"/>
                <w:b/>
                <w:bCs/>
                <w:color w:val="FFFFFF"/>
                <w:lang w:eastAsia="tr-TR"/>
              </w:rPr>
              <w:t>Verilen Lisans Sayısı</w:t>
            </w:r>
          </w:p>
        </w:tc>
        <w:tc>
          <w:tcPr>
            <w:tcW w:w="14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686363" w:rsidRDefault="00686363" w:rsidP="00686363">
            <w:pPr>
              <w:spacing w:after="0" w:line="240" w:lineRule="auto"/>
              <w:jc w:val="center"/>
              <w:rPr>
                <w:rFonts w:ascii="Calibri" w:eastAsia="Times New Roman" w:hAnsi="Calibri" w:cs="Calibri"/>
                <w:b/>
                <w:bCs/>
                <w:color w:val="FFFFFF"/>
                <w:lang w:eastAsia="tr-TR"/>
              </w:rPr>
            </w:pPr>
            <w:r>
              <w:rPr>
                <w:rFonts w:ascii="Calibri" w:eastAsia="Times New Roman" w:hAnsi="Calibri" w:cs="Calibri"/>
                <w:b/>
                <w:bCs/>
                <w:color w:val="FFFFFF"/>
                <w:lang w:eastAsia="tr-TR"/>
              </w:rPr>
              <w:t>Sona Eren/Erdirilen Lisans Sayısı</w:t>
            </w:r>
          </w:p>
        </w:tc>
        <w:tc>
          <w:tcPr>
            <w:tcW w:w="11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686363" w:rsidRDefault="00686363" w:rsidP="00686363">
            <w:pPr>
              <w:spacing w:after="0" w:line="240" w:lineRule="auto"/>
              <w:jc w:val="center"/>
              <w:rPr>
                <w:rFonts w:ascii="Calibri" w:eastAsia="Times New Roman" w:hAnsi="Calibri" w:cs="Calibri"/>
                <w:b/>
                <w:bCs/>
                <w:color w:val="FFFFFF"/>
                <w:lang w:eastAsia="tr-TR"/>
              </w:rPr>
            </w:pPr>
            <w:r>
              <w:rPr>
                <w:rFonts w:ascii="Calibri" w:eastAsia="Times New Roman" w:hAnsi="Calibri" w:cs="Calibri"/>
                <w:b/>
                <w:bCs/>
                <w:color w:val="FFFFFF"/>
                <w:lang w:eastAsia="tr-TR"/>
              </w:rPr>
              <w:t>İptal Edilen Lisans Sayısı</w:t>
            </w:r>
          </w:p>
        </w:tc>
        <w:tc>
          <w:tcPr>
            <w:tcW w:w="9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686363" w:rsidRDefault="00686363" w:rsidP="00686363">
            <w:pPr>
              <w:spacing w:after="0" w:line="240" w:lineRule="auto"/>
              <w:jc w:val="center"/>
              <w:rPr>
                <w:rFonts w:ascii="Calibri" w:eastAsia="Times New Roman" w:hAnsi="Calibri" w:cs="Calibri"/>
                <w:b/>
                <w:bCs/>
                <w:color w:val="FFFFFF"/>
                <w:lang w:eastAsia="tr-TR"/>
              </w:rPr>
            </w:pPr>
            <w:r>
              <w:rPr>
                <w:rFonts w:ascii="Calibri" w:eastAsia="Times New Roman" w:hAnsi="Calibri" w:cs="Calibri"/>
                <w:b/>
                <w:bCs/>
                <w:color w:val="FFFFFF"/>
                <w:lang w:eastAsia="tr-TR"/>
              </w:rPr>
              <w:t>Tadil Sayısı</w:t>
            </w:r>
          </w:p>
        </w:tc>
        <w:tc>
          <w:tcPr>
            <w:tcW w:w="10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686363" w:rsidRDefault="00686363" w:rsidP="00686363">
            <w:pPr>
              <w:spacing w:after="0" w:line="240" w:lineRule="auto"/>
              <w:jc w:val="center"/>
              <w:rPr>
                <w:rFonts w:ascii="Calibri" w:eastAsia="Times New Roman" w:hAnsi="Calibri" w:cs="Calibri"/>
                <w:b/>
                <w:bCs/>
                <w:color w:val="FFFFFF"/>
                <w:lang w:eastAsia="tr-TR"/>
              </w:rPr>
            </w:pPr>
            <w:r>
              <w:rPr>
                <w:rFonts w:ascii="Calibri" w:eastAsia="Times New Roman" w:hAnsi="Calibri" w:cs="Calibri"/>
                <w:b/>
                <w:bCs/>
                <w:color w:val="FFFFFF"/>
                <w:lang w:eastAsia="tr-TR"/>
              </w:rPr>
              <w:t>Genel Toplam</w:t>
            </w:r>
          </w:p>
        </w:tc>
        <w:tc>
          <w:tcPr>
            <w:tcW w:w="13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686363" w:rsidRDefault="00686363" w:rsidP="00686363">
            <w:pPr>
              <w:spacing w:after="0" w:line="240" w:lineRule="auto"/>
              <w:jc w:val="center"/>
              <w:rPr>
                <w:rFonts w:ascii="Calibri" w:eastAsia="Times New Roman" w:hAnsi="Calibri" w:cs="Calibri"/>
                <w:b/>
                <w:bCs/>
                <w:color w:val="FFFFFF"/>
                <w:lang w:eastAsia="tr-TR"/>
              </w:rPr>
            </w:pPr>
            <w:r>
              <w:rPr>
                <w:rFonts w:ascii="Calibri" w:eastAsia="Times New Roman" w:hAnsi="Calibri" w:cs="Calibri"/>
                <w:b/>
                <w:bCs/>
                <w:color w:val="FFFFFF"/>
                <w:lang w:eastAsia="tr-TR"/>
              </w:rPr>
              <w:t>Dönem Sonu Yürürlükteki Lisans Sayısı</w:t>
            </w:r>
          </w:p>
        </w:tc>
      </w:tr>
      <w:tr w:rsidR="00686363" w:rsidTr="00686363">
        <w:trPr>
          <w:trHeight w:val="290"/>
        </w:trPr>
        <w:tc>
          <w:tcPr>
            <w:tcW w:w="16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6363" w:rsidRDefault="00686363" w:rsidP="00686363">
            <w:pPr>
              <w:spacing w:after="0" w:line="240" w:lineRule="auto"/>
              <w:jc w:val="left"/>
              <w:rPr>
                <w:rFonts w:ascii="Calibri" w:eastAsia="Times New Roman" w:hAnsi="Calibri" w:cs="Calibri"/>
                <w:color w:val="000000"/>
                <w:lang w:eastAsia="tr-TR"/>
              </w:rPr>
            </w:pPr>
            <w:r>
              <w:rPr>
                <w:rFonts w:ascii="Calibri" w:eastAsia="Times New Roman" w:hAnsi="Calibri" w:cs="Calibri"/>
                <w:color w:val="000000"/>
                <w:lang w:eastAsia="tr-TR"/>
              </w:rPr>
              <w:t>Bayilik Lisansı</w:t>
            </w:r>
          </w:p>
        </w:tc>
        <w:tc>
          <w:tcPr>
            <w:tcW w:w="10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6363" w:rsidRDefault="00686363" w:rsidP="00686363">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845</w:t>
            </w:r>
          </w:p>
        </w:tc>
        <w:tc>
          <w:tcPr>
            <w:tcW w:w="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6363" w:rsidRDefault="00686363" w:rsidP="00686363">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802</w:t>
            </w:r>
          </w:p>
        </w:tc>
        <w:tc>
          <w:tcPr>
            <w:tcW w:w="14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6363" w:rsidRDefault="00686363" w:rsidP="00686363">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967</w:t>
            </w:r>
          </w:p>
        </w:tc>
        <w:tc>
          <w:tcPr>
            <w:tcW w:w="11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6363" w:rsidRDefault="00686363" w:rsidP="00686363">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1</w:t>
            </w:r>
          </w:p>
        </w:tc>
        <w:tc>
          <w:tcPr>
            <w:tcW w:w="9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6363" w:rsidRDefault="00686363" w:rsidP="00686363">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1.629</w:t>
            </w:r>
          </w:p>
        </w:tc>
        <w:tc>
          <w:tcPr>
            <w:tcW w:w="10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6363" w:rsidRDefault="00686363" w:rsidP="00686363">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4.244</w:t>
            </w:r>
          </w:p>
        </w:tc>
        <w:tc>
          <w:tcPr>
            <w:tcW w:w="13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6363" w:rsidRDefault="00686363" w:rsidP="00686363">
            <w:pPr>
              <w:spacing w:after="0" w:line="240" w:lineRule="auto"/>
              <w:jc w:val="center"/>
              <w:rPr>
                <w:rFonts w:ascii="Calibri" w:eastAsia="Times New Roman" w:hAnsi="Calibri" w:cs="Calibri"/>
                <w:b/>
                <w:bCs/>
                <w:color w:val="000000"/>
                <w:lang w:eastAsia="tr-TR"/>
              </w:rPr>
            </w:pPr>
            <w:r>
              <w:rPr>
                <w:rFonts w:ascii="Calibri" w:eastAsia="Times New Roman" w:hAnsi="Calibri" w:cs="Calibri"/>
                <w:b/>
                <w:bCs/>
                <w:color w:val="000000"/>
                <w:lang w:eastAsia="tr-TR"/>
              </w:rPr>
              <w:t>12.471</w:t>
            </w:r>
          </w:p>
        </w:tc>
      </w:tr>
      <w:tr w:rsidR="00686363" w:rsidTr="00686363">
        <w:trPr>
          <w:trHeight w:val="290"/>
        </w:trPr>
        <w:tc>
          <w:tcPr>
            <w:tcW w:w="16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6363" w:rsidRDefault="00686363" w:rsidP="00686363">
            <w:pPr>
              <w:spacing w:after="0" w:line="240" w:lineRule="auto"/>
              <w:jc w:val="left"/>
              <w:rPr>
                <w:rFonts w:ascii="Calibri" w:eastAsia="Times New Roman" w:hAnsi="Calibri" w:cs="Calibri"/>
                <w:color w:val="000000"/>
                <w:lang w:eastAsia="tr-TR"/>
              </w:rPr>
            </w:pPr>
            <w:r>
              <w:rPr>
                <w:rFonts w:ascii="Calibri" w:eastAsia="Times New Roman" w:hAnsi="Calibri" w:cs="Calibri"/>
                <w:color w:val="000000"/>
                <w:lang w:eastAsia="tr-TR"/>
              </w:rPr>
              <w:t>Dağıtıcı Lisansı</w:t>
            </w:r>
          </w:p>
        </w:tc>
        <w:tc>
          <w:tcPr>
            <w:tcW w:w="10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6363" w:rsidRDefault="00686363" w:rsidP="00686363">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3</w:t>
            </w:r>
          </w:p>
        </w:tc>
        <w:tc>
          <w:tcPr>
            <w:tcW w:w="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6363" w:rsidRDefault="00686363" w:rsidP="00686363">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1</w:t>
            </w:r>
          </w:p>
        </w:tc>
        <w:tc>
          <w:tcPr>
            <w:tcW w:w="14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6363" w:rsidRDefault="00686363" w:rsidP="00686363">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3</w:t>
            </w:r>
          </w:p>
        </w:tc>
        <w:tc>
          <w:tcPr>
            <w:tcW w:w="11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6363" w:rsidRDefault="00686363" w:rsidP="00686363">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6</w:t>
            </w:r>
          </w:p>
        </w:tc>
        <w:tc>
          <w:tcPr>
            <w:tcW w:w="9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6363" w:rsidRDefault="00686363" w:rsidP="00686363">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10</w:t>
            </w:r>
          </w:p>
        </w:tc>
        <w:tc>
          <w:tcPr>
            <w:tcW w:w="10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6363" w:rsidRDefault="00686363" w:rsidP="00686363">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23</w:t>
            </w:r>
          </w:p>
        </w:tc>
        <w:tc>
          <w:tcPr>
            <w:tcW w:w="13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6363" w:rsidRDefault="00686363" w:rsidP="00686363">
            <w:pPr>
              <w:spacing w:after="0" w:line="240" w:lineRule="auto"/>
              <w:jc w:val="center"/>
              <w:rPr>
                <w:rFonts w:ascii="Calibri" w:eastAsia="Times New Roman" w:hAnsi="Calibri" w:cs="Calibri"/>
                <w:b/>
                <w:bCs/>
                <w:color w:val="000000"/>
                <w:lang w:eastAsia="tr-TR"/>
              </w:rPr>
            </w:pPr>
            <w:r>
              <w:rPr>
                <w:rFonts w:ascii="Calibri" w:eastAsia="Times New Roman" w:hAnsi="Calibri" w:cs="Calibri"/>
                <w:b/>
                <w:bCs/>
                <w:color w:val="000000"/>
                <w:lang w:eastAsia="tr-TR"/>
              </w:rPr>
              <w:t>35</w:t>
            </w:r>
          </w:p>
        </w:tc>
      </w:tr>
      <w:tr w:rsidR="00686363" w:rsidTr="00686363">
        <w:trPr>
          <w:trHeight w:val="290"/>
        </w:trPr>
        <w:tc>
          <w:tcPr>
            <w:tcW w:w="16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6363" w:rsidRDefault="00686363" w:rsidP="00686363">
            <w:pPr>
              <w:spacing w:after="0" w:line="240" w:lineRule="auto"/>
              <w:jc w:val="left"/>
              <w:rPr>
                <w:rFonts w:ascii="Calibri" w:eastAsia="Times New Roman" w:hAnsi="Calibri" w:cs="Calibri"/>
                <w:color w:val="000000"/>
                <w:lang w:eastAsia="tr-TR"/>
              </w:rPr>
            </w:pPr>
            <w:r>
              <w:rPr>
                <w:rFonts w:ascii="Calibri" w:eastAsia="Times New Roman" w:hAnsi="Calibri" w:cs="Calibri"/>
                <w:color w:val="000000"/>
                <w:lang w:eastAsia="tr-TR"/>
              </w:rPr>
              <w:t>Depolama Lisansı</w:t>
            </w:r>
          </w:p>
        </w:tc>
        <w:tc>
          <w:tcPr>
            <w:tcW w:w="10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6363" w:rsidRDefault="00686363" w:rsidP="00686363">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6363" w:rsidRDefault="00686363" w:rsidP="00686363">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1</w:t>
            </w:r>
          </w:p>
        </w:tc>
        <w:tc>
          <w:tcPr>
            <w:tcW w:w="14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6363" w:rsidRDefault="00686363" w:rsidP="00686363">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3</w:t>
            </w:r>
          </w:p>
        </w:tc>
        <w:tc>
          <w:tcPr>
            <w:tcW w:w="11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6363" w:rsidRDefault="00686363" w:rsidP="00686363">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9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6363" w:rsidRDefault="00686363" w:rsidP="00686363">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43</w:t>
            </w:r>
          </w:p>
        </w:tc>
        <w:tc>
          <w:tcPr>
            <w:tcW w:w="10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6363" w:rsidRDefault="00686363" w:rsidP="00686363">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47</w:t>
            </w:r>
          </w:p>
        </w:tc>
        <w:tc>
          <w:tcPr>
            <w:tcW w:w="13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6363" w:rsidRDefault="00686363" w:rsidP="00686363">
            <w:pPr>
              <w:spacing w:after="0" w:line="240" w:lineRule="auto"/>
              <w:jc w:val="center"/>
              <w:rPr>
                <w:rFonts w:ascii="Calibri" w:eastAsia="Times New Roman" w:hAnsi="Calibri" w:cs="Calibri"/>
                <w:b/>
                <w:bCs/>
                <w:color w:val="000000"/>
                <w:lang w:eastAsia="tr-TR"/>
              </w:rPr>
            </w:pPr>
            <w:r>
              <w:rPr>
                <w:rFonts w:ascii="Calibri" w:eastAsia="Times New Roman" w:hAnsi="Calibri" w:cs="Calibri"/>
                <w:b/>
                <w:bCs/>
                <w:color w:val="000000"/>
                <w:lang w:eastAsia="tr-TR"/>
              </w:rPr>
              <w:t>94</w:t>
            </w:r>
          </w:p>
        </w:tc>
      </w:tr>
      <w:tr w:rsidR="00686363" w:rsidTr="00686363">
        <w:trPr>
          <w:trHeight w:val="580"/>
        </w:trPr>
        <w:tc>
          <w:tcPr>
            <w:tcW w:w="16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6363" w:rsidRDefault="00686363" w:rsidP="00686363">
            <w:pPr>
              <w:spacing w:after="0" w:line="240" w:lineRule="auto"/>
              <w:jc w:val="left"/>
              <w:rPr>
                <w:rFonts w:ascii="Calibri" w:eastAsia="Times New Roman" w:hAnsi="Calibri" w:cs="Calibri"/>
                <w:color w:val="000000"/>
                <w:lang w:eastAsia="tr-TR"/>
              </w:rPr>
            </w:pPr>
            <w:r>
              <w:rPr>
                <w:rFonts w:ascii="Calibri" w:eastAsia="Times New Roman" w:hAnsi="Calibri" w:cs="Calibri"/>
                <w:color w:val="000000"/>
                <w:lang w:eastAsia="tr-TR"/>
              </w:rPr>
              <w:t>İhrakiye Teslimi Lisansı</w:t>
            </w:r>
          </w:p>
        </w:tc>
        <w:tc>
          <w:tcPr>
            <w:tcW w:w="10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6363" w:rsidRDefault="00686363" w:rsidP="00686363">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5</w:t>
            </w:r>
          </w:p>
        </w:tc>
        <w:tc>
          <w:tcPr>
            <w:tcW w:w="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6363" w:rsidRDefault="00686363" w:rsidP="00686363">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2</w:t>
            </w:r>
          </w:p>
        </w:tc>
        <w:tc>
          <w:tcPr>
            <w:tcW w:w="14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6363" w:rsidRDefault="00686363" w:rsidP="00686363">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8</w:t>
            </w:r>
          </w:p>
        </w:tc>
        <w:tc>
          <w:tcPr>
            <w:tcW w:w="11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6363" w:rsidRDefault="00686363" w:rsidP="00686363">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9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6363" w:rsidRDefault="00686363" w:rsidP="00686363">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10</w:t>
            </w:r>
          </w:p>
        </w:tc>
        <w:tc>
          <w:tcPr>
            <w:tcW w:w="10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6363" w:rsidRDefault="00686363" w:rsidP="00686363">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25</w:t>
            </w:r>
          </w:p>
        </w:tc>
        <w:tc>
          <w:tcPr>
            <w:tcW w:w="13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6363" w:rsidRDefault="00686363" w:rsidP="00686363">
            <w:pPr>
              <w:spacing w:after="0" w:line="240" w:lineRule="auto"/>
              <w:jc w:val="center"/>
              <w:rPr>
                <w:rFonts w:ascii="Calibri" w:eastAsia="Times New Roman" w:hAnsi="Calibri" w:cs="Calibri"/>
                <w:b/>
                <w:bCs/>
                <w:color w:val="000000"/>
                <w:lang w:eastAsia="tr-TR"/>
              </w:rPr>
            </w:pPr>
            <w:r>
              <w:rPr>
                <w:rFonts w:ascii="Calibri" w:eastAsia="Times New Roman" w:hAnsi="Calibri" w:cs="Calibri"/>
                <w:b/>
                <w:bCs/>
                <w:color w:val="000000"/>
                <w:lang w:eastAsia="tr-TR"/>
              </w:rPr>
              <w:t>64</w:t>
            </w:r>
          </w:p>
        </w:tc>
      </w:tr>
      <w:tr w:rsidR="00686363" w:rsidTr="00686363">
        <w:trPr>
          <w:trHeight w:val="290"/>
        </w:trPr>
        <w:tc>
          <w:tcPr>
            <w:tcW w:w="16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6363" w:rsidRDefault="00686363" w:rsidP="00686363">
            <w:pPr>
              <w:spacing w:after="0" w:line="240" w:lineRule="auto"/>
              <w:jc w:val="left"/>
              <w:rPr>
                <w:rFonts w:ascii="Calibri" w:eastAsia="Times New Roman" w:hAnsi="Calibri" w:cs="Calibri"/>
                <w:color w:val="000000"/>
                <w:lang w:eastAsia="tr-TR"/>
              </w:rPr>
            </w:pPr>
            <w:r>
              <w:rPr>
                <w:rFonts w:ascii="Calibri" w:eastAsia="Times New Roman" w:hAnsi="Calibri" w:cs="Calibri"/>
                <w:color w:val="000000"/>
                <w:lang w:eastAsia="tr-TR"/>
              </w:rPr>
              <w:t>İletim Lisansı</w:t>
            </w:r>
          </w:p>
        </w:tc>
        <w:tc>
          <w:tcPr>
            <w:tcW w:w="10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6363" w:rsidRDefault="00686363" w:rsidP="00686363">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6363" w:rsidRDefault="00686363" w:rsidP="00686363">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14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6363" w:rsidRDefault="00686363" w:rsidP="00686363">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11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6363" w:rsidRDefault="00686363" w:rsidP="00686363">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9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6363" w:rsidRDefault="00686363" w:rsidP="00686363">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5</w:t>
            </w:r>
          </w:p>
        </w:tc>
        <w:tc>
          <w:tcPr>
            <w:tcW w:w="10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6363" w:rsidRDefault="00686363" w:rsidP="00686363">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5</w:t>
            </w:r>
          </w:p>
        </w:tc>
        <w:tc>
          <w:tcPr>
            <w:tcW w:w="13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6363" w:rsidRDefault="00686363" w:rsidP="00686363">
            <w:pPr>
              <w:spacing w:after="0" w:line="240" w:lineRule="auto"/>
              <w:jc w:val="center"/>
              <w:rPr>
                <w:rFonts w:ascii="Calibri" w:eastAsia="Times New Roman" w:hAnsi="Calibri" w:cs="Calibri"/>
                <w:b/>
                <w:bCs/>
                <w:color w:val="000000"/>
                <w:lang w:eastAsia="tr-TR"/>
              </w:rPr>
            </w:pPr>
            <w:r>
              <w:rPr>
                <w:rFonts w:ascii="Calibri" w:eastAsia="Times New Roman" w:hAnsi="Calibri" w:cs="Calibri"/>
                <w:b/>
                <w:bCs/>
                <w:color w:val="000000"/>
                <w:lang w:eastAsia="tr-TR"/>
              </w:rPr>
              <w:t>33</w:t>
            </w:r>
          </w:p>
        </w:tc>
      </w:tr>
      <w:tr w:rsidR="00686363" w:rsidTr="00686363">
        <w:trPr>
          <w:trHeight w:val="290"/>
        </w:trPr>
        <w:tc>
          <w:tcPr>
            <w:tcW w:w="16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6363" w:rsidRDefault="00686363" w:rsidP="00686363">
            <w:pPr>
              <w:spacing w:after="0" w:line="240" w:lineRule="auto"/>
              <w:jc w:val="left"/>
              <w:rPr>
                <w:rFonts w:ascii="Calibri" w:eastAsia="Times New Roman" w:hAnsi="Calibri" w:cs="Calibri"/>
                <w:color w:val="000000"/>
                <w:lang w:eastAsia="tr-TR"/>
              </w:rPr>
            </w:pPr>
            <w:r>
              <w:rPr>
                <w:rFonts w:ascii="Calibri" w:eastAsia="Times New Roman" w:hAnsi="Calibri" w:cs="Calibri"/>
                <w:color w:val="000000"/>
                <w:lang w:eastAsia="tr-TR"/>
              </w:rPr>
              <w:t>İşleme Lisansı</w:t>
            </w:r>
          </w:p>
        </w:tc>
        <w:tc>
          <w:tcPr>
            <w:tcW w:w="10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6363" w:rsidRDefault="00686363" w:rsidP="00686363">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2</w:t>
            </w:r>
          </w:p>
        </w:tc>
        <w:tc>
          <w:tcPr>
            <w:tcW w:w="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6363" w:rsidRDefault="00686363" w:rsidP="00686363">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2</w:t>
            </w:r>
          </w:p>
        </w:tc>
        <w:tc>
          <w:tcPr>
            <w:tcW w:w="14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6363" w:rsidRDefault="00686363" w:rsidP="00686363">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2</w:t>
            </w:r>
          </w:p>
        </w:tc>
        <w:tc>
          <w:tcPr>
            <w:tcW w:w="11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6363" w:rsidRDefault="00686363" w:rsidP="00686363">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9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6363" w:rsidRDefault="00686363" w:rsidP="00686363">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8</w:t>
            </w:r>
          </w:p>
        </w:tc>
        <w:tc>
          <w:tcPr>
            <w:tcW w:w="10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6363" w:rsidRDefault="00686363" w:rsidP="00686363">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14</w:t>
            </w:r>
          </w:p>
        </w:tc>
        <w:tc>
          <w:tcPr>
            <w:tcW w:w="13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6363" w:rsidRDefault="00686363" w:rsidP="00686363">
            <w:pPr>
              <w:spacing w:after="0" w:line="240" w:lineRule="auto"/>
              <w:jc w:val="center"/>
              <w:rPr>
                <w:rFonts w:ascii="Calibri" w:eastAsia="Times New Roman" w:hAnsi="Calibri" w:cs="Calibri"/>
                <w:b/>
                <w:bCs/>
                <w:color w:val="000000"/>
                <w:lang w:eastAsia="tr-TR"/>
              </w:rPr>
            </w:pPr>
            <w:r>
              <w:rPr>
                <w:rFonts w:ascii="Calibri" w:eastAsia="Times New Roman" w:hAnsi="Calibri" w:cs="Calibri"/>
                <w:b/>
                <w:bCs/>
                <w:color w:val="000000"/>
                <w:lang w:eastAsia="tr-TR"/>
              </w:rPr>
              <w:t>13</w:t>
            </w:r>
          </w:p>
        </w:tc>
      </w:tr>
      <w:tr w:rsidR="00686363" w:rsidTr="00686363">
        <w:trPr>
          <w:trHeight w:val="580"/>
        </w:trPr>
        <w:tc>
          <w:tcPr>
            <w:tcW w:w="16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6363" w:rsidRDefault="00686363" w:rsidP="00686363">
            <w:pPr>
              <w:spacing w:after="0" w:line="240" w:lineRule="auto"/>
              <w:jc w:val="left"/>
              <w:rPr>
                <w:rFonts w:ascii="Calibri" w:eastAsia="Times New Roman" w:hAnsi="Calibri" w:cs="Calibri"/>
                <w:color w:val="000000"/>
                <w:lang w:eastAsia="tr-TR"/>
              </w:rPr>
            </w:pPr>
            <w:r>
              <w:rPr>
                <w:rFonts w:ascii="Calibri" w:eastAsia="Times New Roman" w:hAnsi="Calibri" w:cs="Calibri"/>
                <w:color w:val="000000"/>
                <w:lang w:eastAsia="tr-TR"/>
              </w:rPr>
              <w:t>Madeni Yağ Lisansı</w:t>
            </w:r>
          </w:p>
        </w:tc>
        <w:tc>
          <w:tcPr>
            <w:tcW w:w="10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6363" w:rsidRDefault="00686363" w:rsidP="00686363">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8</w:t>
            </w:r>
          </w:p>
        </w:tc>
        <w:tc>
          <w:tcPr>
            <w:tcW w:w="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6363" w:rsidRDefault="00686363" w:rsidP="00686363">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8</w:t>
            </w:r>
          </w:p>
        </w:tc>
        <w:tc>
          <w:tcPr>
            <w:tcW w:w="14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6363" w:rsidRDefault="00686363" w:rsidP="00686363">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10</w:t>
            </w:r>
          </w:p>
        </w:tc>
        <w:tc>
          <w:tcPr>
            <w:tcW w:w="11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6363" w:rsidRDefault="00686363" w:rsidP="00686363">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1</w:t>
            </w:r>
          </w:p>
        </w:tc>
        <w:tc>
          <w:tcPr>
            <w:tcW w:w="9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6363" w:rsidRDefault="00686363" w:rsidP="00686363">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88</w:t>
            </w:r>
          </w:p>
        </w:tc>
        <w:tc>
          <w:tcPr>
            <w:tcW w:w="10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6363" w:rsidRDefault="00686363" w:rsidP="00686363">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115</w:t>
            </w:r>
          </w:p>
        </w:tc>
        <w:tc>
          <w:tcPr>
            <w:tcW w:w="13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6363" w:rsidRDefault="00686363" w:rsidP="00686363">
            <w:pPr>
              <w:spacing w:after="0" w:line="240" w:lineRule="auto"/>
              <w:jc w:val="center"/>
              <w:rPr>
                <w:rFonts w:ascii="Calibri" w:eastAsia="Times New Roman" w:hAnsi="Calibri" w:cs="Calibri"/>
                <w:b/>
                <w:bCs/>
                <w:color w:val="000000"/>
                <w:lang w:eastAsia="tr-TR"/>
              </w:rPr>
            </w:pPr>
            <w:r>
              <w:rPr>
                <w:rFonts w:ascii="Calibri" w:eastAsia="Times New Roman" w:hAnsi="Calibri" w:cs="Calibri"/>
                <w:b/>
                <w:bCs/>
                <w:color w:val="000000"/>
                <w:lang w:eastAsia="tr-TR"/>
              </w:rPr>
              <w:t>127</w:t>
            </w:r>
          </w:p>
        </w:tc>
      </w:tr>
      <w:tr w:rsidR="00686363" w:rsidTr="00686363">
        <w:trPr>
          <w:trHeight w:val="290"/>
        </w:trPr>
        <w:tc>
          <w:tcPr>
            <w:tcW w:w="16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6363" w:rsidRDefault="00686363" w:rsidP="00686363">
            <w:pPr>
              <w:spacing w:after="0" w:line="240" w:lineRule="auto"/>
              <w:jc w:val="left"/>
              <w:rPr>
                <w:rFonts w:ascii="Calibri" w:eastAsia="Times New Roman" w:hAnsi="Calibri" w:cs="Calibri"/>
                <w:color w:val="000000"/>
                <w:lang w:eastAsia="tr-TR"/>
              </w:rPr>
            </w:pPr>
            <w:r>
              <w:rPr>
                <w:rFonts w:ascii="Calibri" w:eastAsia="Times New Roman" w:hAnsi="Calibri" w:cs="Calibri"/>
                <w:color w:val="000000"/>
                <w:lang w:eastAsia="tr-TR"/>
              </w:rPr>
              <w:t>Rafinerici Lisansı</w:t>
            </w:r>
          </w:p>
        </w:tc>
        <w:tc>
          <w:tcPr>
            <w:tcW w:w="10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6363" w:rsidRDefault="00686363" w:rsidP="00686363">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6363" w:rsidRDefault="00686363" w:rsidP="00686363">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14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6363" w:rsidRDefault="00686363" w:rsidP="00686363">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11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6363" w:rsidRDefault="00686363" w:rsidP="00686363">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9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6363" w:rsidRDefault="00686363" w:rsidP="00686363">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6</w:t>
            </w:r>
          </w:p>
        </w:tc>
        <w:tc>
          <w:tcPr>
            <w:tcW w:w="10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6363" w:rsidRDefault="00686363" w:rsidP="00686363">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6</w:t>
            </w:r>
          </w:p>
        </w:tc>
        <w:tc>
          <w:tcPr>
            <w:tcW w:w="13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6363" w:rsidRDefault="00686363" w:rsidP="00686363">
            <w:pPr>
              <w:spacing w:after="0" w:line="240" w:lineRule="auto"/>
              <w:jc w:val="center"/>
              <w:rPr>
                <w:rFonts w:ascii="Calibri" w:eastAsia="Times New Roman" w:hAnsi="Calibri" w:cs="Calibri"/>
                <w:b/>
                <w:bCs/>
                <w:color w:val="000000"/>
                <w:lang w:eastAsia="tr-TR"/>
              </w:rPr>
            </w:pPr>
            <w:r>
              <w:rPr>
                <w:rFonts w:ascii="Calibri" w:eastAsia="Times New Roman" w:hAnsi="Calibri" w:cs="Calibri"/>
                <w:b/>
                <w:bCs/>
                <w:color w:val="000000"/>
                <w:lang w:eastAsia="tr-TR"/>
              </w:rPr>
              <w:t>6</w:t>
            </w:r>
          </w:p>
        </w:tc>
      </w:tr>
      <w:tr w:rsidR="00686363" w:rsidTr="00686363">
        <w:trPr>
          <w:trHeight w:val="580"/>
        </w:trPr>
        <w:tc>
          <w:tcPr>
            <w:tcW w:w="16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6363" w:rsidRDefault="00686363" w:rsidP="00686363">
            <w:pPr>
              <w:spacing w:after="0" w:line="240" w:lineRule="auto"/>
              <w:jc w:val="left"/>
              <w:rPr>
                <w:rFonts w:ascii="Calibri" w:eastAsia="Times New Roman" w:hAnsi="Calibri" w:cs="Calibri"/>
                <w:color w:val="000000"/>
                <w:lang w:eastAsia="tr-TR"/>
              </w:rPr>
            </w:pPr>
            <w:r>
              <w:rPr>
                <w:rFonts w:ascii="Calibri" w:eastAsia="Times New Roman" w:hAnsi="Calibri" w:cs="Calibri"/>
                <w:color w:val="000000"/>
                <w:lang w:eastAsia="tr-TR"/>
              </w:rPr>
              <w:t>Serbest Kullanıcı Lisansı</w:t>
            </w:r>
          </w:p>
        </w:tc>
        <w:tc>
          <w:tcPr>
            <w:tcW w:w="10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6363" w:rsidRDefault="00686363" w:rsidP="00686363">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4</w:t>
            </w:r>
          </w:p>
        </w:tc>
        <w:tc>
          <w:tcPr>
            <w:tcW w:w="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6363" w:rsidRDefault="00686363" w:rsidP="00686363">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4</w:t>
            </w:r>
          </w:p>
        </w:tc>
        <w:tc>
          <w:tcPr>
            <w:tcW w:w="14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6363" w:rsidRDefault="00686363" w:rsidP="00686363">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2</w:t>
            </w:r>
          </w:p>
        </w:tc>
        <w:tc>
          <w:tcPr>
            <w:tcW w:w="11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6363" w:rsidRDefault="00686363" w:rsidP="00686363">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9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6363" w:rsidRDefault="00686363" w:rsidP="00686363">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2</w:t>
            </w:r>
          </w:p>
        </w:tc>
        <w:tc>
          <w:tcPr>
            <w:tcW w:w="10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6363" w:rsidRDefault="00686363" w:rsidP="00686363">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12</w:t>
            </w:r>
          </w:p>
        </w:tc>
        <w:tc>
          <w:tcPr>
            <w:tcW w:w="13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6363" w:rsidRDefault="00686363" w:rsidP="00686363">
            <w:pPr>
              <w:spacing w:after="0" w:line="240" w:lineRule="auto"/>
              <w:jc w:val="center"/>
              <w:rPr>
                <w:rFonts w:ascii="Calibri" w:eastAsia="Times New Roman" w:hAnsi="Calibri" w:cs="Calibri"/>
                <w:b/>
                <w:bCs/>
                <w:color w:val="000000"/>
                <w:lang w:eastAsia="tr-TR"/>
              </w:rPr>
            </w:pPr>
            <w:r>
              <w:rPr>
                <w:rFonts w:ascii="Calibri" w:eastAsia="Times New Roman" w:hAnsi="Calibri" w:cs="Calibri"/>
                <w:b/>
                <w:bCs/>
                <w:color w:val="000000"/>
                <w:lang w:eastAsia="tr-TR"/>
              </w:rPr>
              <w:t>31</w:t>
            </w:r>
          </w:p>
        </w:tc>
      </w:tr>
      <w:tr w:rsidR="00686363" w:rsidTr="00686363">
        <w:trPr>
          <w:trHeight w:val="290"/>
        </w:trPr>
        <w:tc>
          <w:tcPr>
            <w:tcW w:w="16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6363" w:rsidRDefault="00686363" w:rsidP="00686363">
            <w:pPr>
              <w:spacing w:after="0" w:line="240" w:lineRule="auto"/>
              <w:jc w:val="left"/>
              <w:rPr>
                <w:rFonts w:ascii="Calibri" w:eastAsia="Times New Roman" w:hAnsi="Calibri" w:cs="Calibri"/>
                <w:color w:val="000000"/>
                <w:lang w:eastAsia="tr-TR"/>
              </w:rPr>
            </w:pPr>
            <w:r>
              <w:rPr>
                <w:rFonts w:ascii="Calibri" w:eastAsia="Times New Roman" w:hAnsi="Calibri" w:cs="Calibri"/>
                <w:color w:val="000000"/>
                <w:lang w:eastAsia="tr-TR"/>
              </w:rPr>
              <w:t>Taşıma Lisansı</w:t>
            </w:r>
          </w:p>
        </w:tc>
        <w:tc>
          <w:tcPr>
            <w:tcW w:w="10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6363" w:rsidRDefault="00686363" w:rsidP="00686363">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16</w:t>
            </w:r>
          </w:p>
        </w:tc>
        <w:tc>
          <w:tcPr>
            <w:tcW w:w="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6363" w:rsidRDefault="00686363" w:rsidP="00686363">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13</w:t>
            </w:r>
          </w:p>
        </w:tc>
        <w:tc>
          <w:tcPr>
            <w:tcW w:w="14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6363" w:rsidRDefault="00686363" w:rsidP="00686363">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16</w:t>
            </w:r>
          </w:p>
        </w:tc>
        <w:tc>
          <w:tcPr>
            <w:tcW w:w="11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6363" w:rsidRDefault="00686363" w:rsidP="00686363">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9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6363" w:rsidRDefault="00686363" w:rsidP="00686363">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19</w:t>
            </w:r>
          </w:p>
        </w:tc>
        <w:tc>
          <w:tcPr>
            <w:tcW w:w="10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6363" w:rsidRDefault="00686363" w:rsidP="00686363">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64</w:t>
            </w:r>
          </w:p>
        </w:tc>
        <w:tc>
          <w:tcPr>
            <w:tcW w:w="13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6363" w:rsidRDefault="00686363" w:rsidP="00686363">
            <w:pPr>
              <w:spacing w:after="0" w:line="240" w:lineRule="auto"/>
              <w:jc w:val="center"/>
              <w:rPr>
                <w:rFonts w:ascii="Calibri" w:eastAsia="Times New Roman" w:hAnsi="Calibri" w:cs="Calibri"/>
                <w:b/>
                <w:bCs/>
                <w:color w:val="000000"/>
                <w:lang w:eastAsia="tr-TR"/>
              </w:rPr>
            </w:pPr>
            <w:r>
              <w:rPr>
                <w:rFonts w:ascii="Calibri" w:eastAsia="Times New Roman" w:hAnsi="Calibri" w:cs="Calibri"/>
                <w:b/>
                <w:bCs/>
                <w:color w:val="000000"/>
                <w:lang w:eastAsia="tr-TR"/>
              </w:rPr>
              <w:t>76</w:t>
            </w:r>
          </w:p>
        </w:tc>
      </w:tr>
      <w:tr w:rsidR="00686363" w:rsidTr="00686363">
        <w:trPr>
          <w:trHeight w:val="290"/>
        </w:trPr>
        <w:tc>
          <w:tcPr>
            <w:tcW w:w="16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86363" w:rsidRDefault="00686363" w:rsidP="00686363">
            <w:pPr>
              <w:spacing w:after="0" w:line="240" w:lineRule="auto"/>
              <w:jc w:val="left"/>
              <w:rPr>
                <w:rFonts w:ascii="Calibri" w:eastAsia="Times New Roman" w:hAnsi="Calibri" w:cs="Calibri"/>
                <w:b/>
                <w:bCs/>
                <w:color w:val="000000"/>
                <w:lang w:eastAsia="tr-TR"/>
              </w:rPr>
            </w:pPr>
            <w:r>
              <w:rPr>
                <w:rFonts w:ascii="Calibri" w:eastAsia="Times New Roman" w:hAnsi="Calibri" w:cs="Calibri"/>
                <w:b/>
                <w:bCs/>
                <w:color w:val="000000"/>
                <w:lang w:eastAsia="tr-TR"/>
              </w:rPr>
              <w:t>TOPLAM</w:t>
            </w:r>
          </w:p>
        </w:tc>
        <w:tc>
          <w:tcPr>
            <w:tcW w:w="10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686363" w:rsidRDefault="00686363" w:rsidP="00686363">
            <w:pPr>
              <w:spacing w:after="0" w:line="240" w:lineRule="auto"/>
              <w:jc w:val="center"/>
              <w:rPr>
                <w:rFonts w:ascii="Calibri" w:eastAsia="Times New Roman" w:hAnsi="Calibri" w:cs="Calibri"/>
                <w:b/>
                <w:bCs/>
                <w:lang w:eastAsia="tr-TR"/>
              </w:rPr>
            </w:pPr>
            <w:r>
              <w:rPr>
                <w:rFonts w:ascii="Calibri" w:eastAsia="Times New Roman" w:hAnsi="Calibri" w:cs="Calibri"/>
                <w:b/>
                <w:bCs/>
                <w:lang w:eastAsia="tr-TR"/>
              </w:rPr>
              <w:t>883</w:t>
            </w:r>
          </w:p>
        </w:tc>
        <w:tc>
          <w:tcPr>
            <w:tcW w:w="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686363" w:rsidRDefault="00686363" w:rsidP="00686363">
            <w:pPr>
              <w:spacing w:after="0" w:line="240" w:lineRule="auto"/>
              <w:jc w:val="center"/>
              <w:rPr>
                <w:rFonts w:ascii="Calibri" w:eastAsia="Times New Roman" w:hAnsi="Calibri" w:cs="Calibri"/>
                <w:b/>
                <w:bCs/>
                <w:lang w:eastAsia="tr-TR"/>
              </w:rPr>
            </w:pPr>
            <w:r>
              <w:rPr>
                <w:rFonts w:ascii="Calibri" w:eastAsia="Times New Roman" w:hAnsi="Calibri" w:cs="Calibri"/>
                <w:b/>
                <w:bCs/>
                <w:lang w:eastAsia="tr-TR"/>
              </w:rPr>
              <w:t>833</w:t>
            </w:r>
          </w:p>
        </w:tc>
        <w:tc>
          <w:tcPr>
            <w:tcW w:w="14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686363" w:rsidRDefault="00686363" w:rsidP="00686363">
            <w:pPr>
              <w:spacing w:after="0" w:line="240" w:lineRule="auto"/>
              <w:jc w:val="center"/>
              <w:rPr>
                <w:rFonts w:ascii="Calibri" w:eastAsia="Times New Roman" w:hAnsi="Calibri" w:cs="Calibri"/>
                <w:b/>
                <w:bCs/>
                <w:lang w:eastAsia="tr-TR"/>
              </w:rPr>
            </w:pPr>
            <w:r>
              <w:rPr>
                <w:rFonts w:ascii="Calibri" w:eastAsia="Times New Roman" w:hAnsi="Calibri" w:cs="Calibri"/>
                <w:b/>
                <w:bCs/>
                <w:lang w:eastAsia="tr-TR"/>
              </w:rPr>
              <w:t>1.011</w:t>
            </w:r>
          </w:p>
        </w:tc>
        <w:tc>
          <w:tcPr>
            <w:tcW w:w="11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686363" w:rsidRDefault="00686363" w:rsidP="00686363">
            <w:pPr>
              <w:spacing w:after="0" w:line="240" w:lineRule="auto"/>
              <w:jc w:val="center"/>
              <w:rPr>
                <w:rFonts w:ascii="Calibri" w:eastAsia="Times New Roman" w:hAnsi="Calibri" w:cs="Calibri"/>
                <w:b/>
                <w:bCs/>
                <w:lang w:eastAsia="tr-TR"/>
              </w:rPr>
            </w:pPr>
            <w:r>
              <w:rPr>
                <w:rFonts w:ascii="Calibri" w:eastAsia="Times New Roman" w:hAnsi="Calibri" w:cs="Calibri"/>
                <w:b/>
                <w:bCs/>
                <w:lang w:eastAsia="tr-TR"/>
              </w:rPr>
              <w:t>8</w:t>
            </w:r>
          </w:p>
        </w:tc>
        <w:tc>
          <w:tcPr>
            <w:tcW w:w="9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686363" w:rsidRDefault="00686363" w:rsidP="00686363">
            <w:pPr>
              <w:spacing w:after="0" w:line="240" w:lineRule="auto"/>
              <w:jc w:val="center"/>
              <w:rPr>
                <w:rFonts w:ascii="Calibri" w:eastAsia="Times New Roman" w:hAnsi="Calibri" w:cs="Calibri"/>
                <w:b/>
                <w:bCs/>
                <w:lang w:eastAsia="tr-TR"/>
              </w:rPr>
            </w:pPr>
            <w:r>
              <w:rPr>
                <w:rFonts w:ascii="Calibri" w:eastAsia="Times New Roman" w:hAnsi="Calibri" w:cs="Calibri"/>
                <w:b/>
                <w:bCs/>
                <w:lang w:eastAsia="tr-TR"/>
              </w:rPr>
              <w:t>1.820</w:t>
            </w:r>
          </w:p>
        </w:tc>
        <w:tc>
          <w:tcPr>
            <w:tcW w:w="10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686363" w:rsidRDefault="00686363" w:rsidP="00686363">
            <w:pPr>
              <w:spacing w:after="0" w:line="240" w:lineRule="auto"/>
              <w:jc w:val="center"/>
              <w:rPr>
                <w:rFonts w:ascii="Calibri" w:eastAsia="Times New Roman" w:hAnsi="Calibri" w:cs="Calibri"/>
                <w:b/>
                <w:bCs/>
                <w:lang w:eastAsia="tr-TR"/>
              </w:rPr>
            </w:pPr>
            <w:r>
              <w:rPr>
                <w:rFonts w:ascii="Calibri" w:eastAsia="Times New Roman" w:hAnsi="Calibri" w:cs="Calibri"/>
                <w:b/>
                <w:bCs/>
                <w:lang w:eastAsia="tr-TR"/>
              </w:rPr>
              <w:t>4.555</w:t>
            </w:r>
          </w:p>
        </w:tc>
        <w:tc>
          <w:tcPr>
            <w:tcW w:w="13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686363" w:rsidRDefault="00686363" w:rsidP="00686363">
            <w:pPr>
              <w:spacing w:after="0" w:line="240" w:lineRule="auto"/>
              <w:jc w:val="center"/>
              <w:rPr>
                <w:rFonts w:ascii="Calibri" w:eastAsia="Times New Roman" w:hAnsi="Calibri" w:cs="Calibri"/>
                <w:b/>
                <w:bCs/>
                <w:lang w:eastAsia="tr-TR"/>
              </w:rPr>
            </w:pPr>
            <w:r>
              <w:rPr>
                <w:rFonts w:ascii="Calibri" w:eastAsia="Times New Roman" w:hAnsi="Calibri" w:cs="Calibri"/>
                <w:b/>
                <w:bCs/>
                <w:lang w:eastAsia="tr-TR"/>
              </w:rPr>
              <w:t>12.950</w:t>
            </w:r>
          </w:p>
        </w:tc>
      </w:tr>
    </w:tbl>
    <w:p w:rsidR="00DC783D" w:rsidRDefault="00DC783D" w:rsidP="00C466F8">
      <w:pPr>
        <w:pStyle w:val="Balk5"/>
        <w:jc w:val="center"/>
        <w:rPr>
          <w:rStyle w:val="Gl"/>
          <w:color w:val="000000" w:themeColor="text1"/>
        </w:rPr>
      </w:pPr>
      <w:bookmarkStart w:id="180" w:name="_Toc416447588"/>
      <w:bookmarkStart w:id="181" w:name="_Toc442441738"/>
      <w:bookmarkEnd w:id="177"/>
      <w:bookmarkEnd w:id="178"/>
    </w:p>
    <w:p w:rsidR="00CB5826" w:rsidRPr="00E9291A" w:rsidRDefault="000A02ED" w:rsidP="00C466F8">
      <w:pPr>
        <w:pStyle w:val="Balk5"/>
        <w:jc w:val="center"/>
        <w:rPr>
          <w:rStyle w:val="Gl"/>
          <w:color w:val="000000" w:themeColor="text1"/>
        </w:rPr>
      </w:pPr>
      <w:bookmarkStart w:id="182" w:name="_Toc132713898"/>
      <w:r>
        <w:rPr>
          <w:rStyle w:val="Gl"/>
          <w:color w:val="000000" w:themeColor="text1"/>
        </w:rPr>
        <w:t>Tablo 3.</w:t>
      </w:r>
      <w:r w:rsidR="0017770B">
        <w:rPr>
          <w:rStyle w:val="Gl"/>
          <w:color w:val="000000" w:themeColor="text1"/>
        </w:rPr>
        <w:t>8</w:t>
      </w:r>
      <w:r w:rsidR="00D74BC9">
        <w:rPr>
          <w:rStyle w:val="Gl"/>
          <w:color w:val="000000" w:themeColor="text1"/>
        </w:rPr>
        <w:t>: 202</w:t>
      </w:r>
      <w:r w:rsidR="008F1742">
        <w:rPr>
          <w:rStyle w:val="Gl"/>
          <w:color w:val="000000" w:themeColor="text1"/>
        </w:rPr>
        <w:t>2</w:t>
      </w:r>
      <w:r w:rsidR="00CB5826" w:rsidRPr="00E9291A">
        <w:rPr>
          <w:rStyle w:val="Gl"/>
          <w:color w:val="000000" w:themeColor="text1"/>
        </w:rPr>
        <w:t xml:space="preserve"> Yılı Sonu İtibar</w:t>
      </w:r>
      <w:r w:rsidR="005030E7">
        <w:rPr>
          <w:rStyle w:val="Gl"/>
          <w:color w:val="000000" w:themeColor="text1"/>
        </w:rPr>
        <w:t>ı</w:t>
      </w:r>
      <w:r w:rsidR="00CB5826" w:rsidRPr="00E9291A">
        <w:rPr>
          <w:rStyle w:val="Gl"/>
          <w:color w:val="000000" w:themeColor="text1"/>
        </w:rPr>
        <w:t>yl</w:t>
      </w:r>
      <w:r w:rsidR="005030E7">
        <w:rPr>
          <w:rStyle w:val="Gl"/>
          <w:color w:val="000000" w:themeColor="text1"/>
        </w:rPr>
        <w:t>a</w:t>
      </w:r>
      <w:r w:rsidR="00CB5826" w:rsidRPr="00E9291A">
        <w:rPr>
          <w:rStyle w:val="Gl"/>
          <w:color w:val="000000" w:themeColor="text1"/>
        </w:rPr>
        <w:t xml:space="preserve"> Lisanslı Rafineri Tesisi Bilgileri</w:t>
      </w:r>
      <w:bookmarkEnd w:id="180"/>
      <w:bookmarkEnd w:id="181"/>
      <w:bookmarkEnd w:id="182"/>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4307"/>
        <w:gridCol w:w="1887"/>
        <w:gridCol w:w="1973"/>
        <w:gridCol w:w="1745"/>
      </w:tblGrid>
      <w:tr w:rsidR="00547BB3" w:rsidRPr="005030E7" w:rsidTr="00061190">
        <w:trPr>
          <w:trHeight w:val="567"/>
        </w:trPr>
        <w:tc>
          <w:tcPr>
            <w:tcW w:w="2203" w:type="pct"/>
            <w:shd w:val="clear" w:color="000000" w:fill="6E9ECA"/>
            <w:vAlign w:val="center"/>
            <w:hideMark/>
          </w:tcPr>
          <w:p w:rsidR="00547BB3" w:rsidRPr="005030E7" w:rsidRDefault="00547BB3" w:rsidP="00547BB3">
            <w:pPr>
              <w:spacing w:after="0" w:line="240" w:lineRule="auto"/>
              <w:jc w:val="center"/>
              <w:rPr>
                <w:rFonts w:eastAsia="Times New Roman" w:cstheme="minorHAnsi"/>
                <w:b/>
                <w:bCs/>
                <w:color w:val="FFFFFF"/>
                <w:lang w:eastAsia="tr-TR"/>
              </w:rPr>
            </w:pPr>
            <w:r w:rsidRPr="005030E7">
              <w:rPr>
                <w:rFonts w:eastAsia="Times New Roman" w:cstheme="minorHAnsi"/>
                <w:b/>
                <w:bCs/>
                <w:color w:val="FFFFFF"/>
                <w:lang w:eastAsia="tr-TR"/>
              </w:rPr>
              <w:t>Lisans Sahibi</w:t>
            </w:r>
          </w:p>
        </w:tc>
        <w:tc>
          <w:tcPr>
            <w:tcW w:w="862" w:type="pct"/>
            <w:shd w:val="clear" w:color="000000" w:fill="6E9ECA"/>
            <w:vAlign w:val="center"/>
            <w:hideMark/>
          </w:tcPr>
          <w:p w:rsidR="00547BB3" w:rsidRPr="005030E7" w:rsidRDefault="002A7E33" w:rsidP="00547BB3">
            <w:pPr>
              <w:spacing w:after="0" w:line="240" w:lineRule="auto"/>
              <w:jc w:val="center"/>
              <w:rPr>
                <w:rFonts w:eastAsia="Times New Roman" w:cstheme="minorHAnsi"/>
                <w:b/>
                <w:bCs/>
                <w:color w:val="FFFFFF"/>
                <w:lang w:eastAsia="tr-TR"/>
              </w:rPr>
            </w:pPr>
            <w:r w:rsidRPr="005030E7">
              <w:rPr>
                <w:rFonts w:eastAsia="Times New Roman" w:cstheme="minorHAnsi"/>
                <w:b/>
                <w:bCs/>
                <w:color w:val="FFFFFF"/>
                <w:lang w:eastAsia="tr-TR"/>
              </w:rPr>
              <w:t>Tesisin Bulunduğu İl</w:t>
            </w:r>
          </w:p>
        </w:tc>
        <w:tc>
          <w:tcPr>
            <w:tcW w:w="1025" w:type="pct"/>
            <w:shd w:val="clear" w:color="000000" w:fill="6E9ECA"/>
            <w:vAlign w:val="center"/>
            <w:hideMark/>
          </w:tcPr>
          <w:p w:rsidR="00547BB3" w:rsidRPr="005030E7" w:rsidRDefault="002A7E33" w:rsidP="00547BB3">
            <w:pPr>
              <w:spacing w:after="0" w:line="240" w:lineRule="auto"/>
              <w:jc w:val="center"/>
              <w:rPr>
                <w:rFonts w:eastAsia="Times New Roman" w:cstheme="minorHAnsi"/>
                <w:b/>
                <w:bCs/>
                <w:color w:val="FFFFFF"/>
                <w:lang w:eastAsia="tr-TR"/>
              </w:rPr>
            </w:pPr>
            <w:r w:rsidRPr="005030E7">
              <w:rPr>
                <w:rFonts w:eastAsia="Times New Roman" w:cstheme="minorHAnsi"/>
                <w:b/>
                <w:bCs/>
                <w:color w:val="FFFFFF"/>
                <w:lang w:eastAsia="tr-TR"/>
              </w:rPr>
              <w:t>Ham Petrol İşleme Kapasitesi (</w:t>
            </w:r>
            <w:r w:rsidR="00600EA8" w:rsidRPr="005030E7">
              <w:rPr>
                <w:rFonts w:eastAsia="Times New Roman" w:cstheme="minorHAnsi"/>
                <w:b/>
                <w:bCs/>
                <w:color w:val="FFFFFF"/>
                <w:lang w:eastAsia="tr-TR"/>
              </w:rPr>
              <w:t>Ton</w:t>
            </w:r>
            <w:r w:rsidRPr="005030E7">
              <w:rPr>
                <w:rFonts w:eastAsia="Times New Roman" w:cstheme="minorHAnsi"/>
                <w:b/>
                <w:bCs/>
                <w:color w:val="FFFFFF"/>
                <w:lang w:eastAsia="tr-TR"/>
              </w:rPr>
              <w:t>/Yıl)</w:t>
            </w:r>
          </w:p>
        </w:tc>
        <w:tc>
          <w:tcPr>
            <w:tcW w:w="910" w:type="pct"/>
            <w:shd w:val="clear" w:color="000000" w:fill="6E9ECA"/>
            <w:vAlign w:val="center"/>
            <w:hideMark/>
          </w:tcPr>
          <w:p w:rsidR="00547BB3" w:rsidRPr="005030E7" w:rsidRDefault="002A7E33" w:rsidP="00547BB3">
            <w:pPr>
              <w:spacing w:after="0" w:line="240" w:lineRule="auto"/>
              <w:jc w:val="center"/>
              <w:rPr>
                <w:rFonts w:eastAsia="Times New Roman" w:cstheme="minorHAnsi"/>
                <w:b/>
                <w:bCs/>
                <w:color w:val="FFFFFF"/>
                <w:lang w:eastAsia="tr-TR"/>
              </w:rPr>
            </w:pPr>
            <w:r w:rsidRPr="005030E7">
              <w:rPr>
                <w:rFonts w:eastAsia="Times New Roman" w:cstheme="minorHAnsi"/>
                <w:b/>
                <w:bCs/>
                <w:color w:val="FFFFFF"/>
                <w:lang w:eastAsia="tr-TR"/>
              </w:rPr>
              <w:t>Depolama Kapasitesi</w:t>
            </w:r>
            <w:r w:rsidR="00E415EF" w:rsidRPr="005030E7">
              <w:rPr>
                <w:rFonts w:eastAsia="Times New Roman" w:cstheme="minorHAnsi"/>
                <w:b/>
                <w:bCs/>
                <w:color w:val="FFFFFF"/>
                <w:lang w:eastAsia="tr-TR"/>
              </w:rPr>
              <w:t xml:space="preserve"> </w:t>
            </w:r>
            <w:r w:rsidRPr="005030E7">
              <w:rPr>
                <w:rFonts w:eastAsia="Times New Roman" w:cstheme="minorHAnsi"/>
                <w:b/>
                <w:bCs/>
                <w:color w:val="FFFFFF"/>
                <w:lang w:eastAsia="tr-TR"/>
              </w:rPr>
              <w:t>(m</w:t>
            </w:r>
            <w:r w:rsidRPr="005030E7">
              <w:rPr>
                <w:rFonts w:eastAsia="Times New Roman" w:cstheme="minorHAnsi"/>
                <w:b/>
                <w:bCs/>
                <w:color w:val="FFFFFF"/>
                <w:vertAlign w:val="superscript"/>
                <w:lang w:eastAsia="tr-TR"/>
              </w:rPr>
              <w:t>3</w:t>
            </w:r>
            <w:r w:rsidRPr="005030E7">
              <w:rPr>
                <w:rFonts w:eastAsia="Times New Roman" w:cstheme="minorHAnsi"/>
                <w:b/>
                <w:bCs/>
                <w:color w:val="FFFFFF"/>
                <w:lang w:eastAsia="tr-TR"/>
              </w:rPr>
              <w:t>)</w:t>
            </w:r>
          </w:p>
        </w:tc>
      </w:tr>
      <w:tr w:rsidR="00061190" w:rsidRPr="005030E7" w:rsidTr="00061190">
        <w:trPr>
          <w:trHeight w:val="567"/>
        </w:trPr>
        <w:tc>
          <w:tcPr>
            <w:tcW w:w="2203" w:type="pct"/>
            <w:shd w:val="clear" w:color="auto" w:fill="auto"/>
            <w:vAlign w:val="center"/>
            <w:hideMark/>
          </w:tcPr>
          <w:p w:rsidR="00061190" w:rsidRPr="005030E7" w:rsidRDefault="00061190" w:rsidP="00547BB3">
            <w:pPr>
              <w:spacing w:after="0" w:line="240" w:lineRule="auto"/>
              <w:rPr>
                <w:rFonts w:eastAsia="Times New Roman" w:cstheme="minorHAnsi"/>
                <w:color w:val="000000"/>
                <w:lang w:eastAsia="tr-TR"/>
              </w:rPr>
            </w:pPr>
            <w:r w:rsidRPr="005030E7">
              <w:rPr>
                <w:rFonts w:eastAsia="Times New Roman" w:cstheme="minorHAnsi"/>
                <w:color w:val="000000"/>
                <w:lang w:eastAsia="tr-TR"/>
              </w:rPr>
              <w:t>ERSAN PETROL SANAYİ ANONİM ŞİRKETİ</w:t>
            </w:r>
            <w:r w:rsidR="00D71C1C" w:rsidRPr="005030E7">
              <w:rPr>
                <w:rFonts w:eastAsia="Times New Roman" w:cstheme="minorHAnsi"/>
                <w:color w:val="000000"/>
                <w:lang w:eastAsia="tr-TR"/>
              </w:rPr>
              <w:t>*</w:t>
            </w:r>
          </w:p>
        </w:tc>
        <w:tc>
          <w:tcPr>
            <w:tcW w:w="862" w:type="pct"/>
            <w:shd w:val="clear" w:color="auto" w:fill="auto"/>
            <w:vAlign w:val="center"/>
            <w:hideMark/>
          </w:tcPr>
          <w:p w:rsidR="00061190" w:rsidRPr="005030E7" w:rsidRDefault="00061190" w:rsidP="00547BB3">
            <w:pPr>
              <w:spacing w:after="0" w:line="240" w:lineRule="auto"/>
              <w:jc w:val="center"/>
              <w:rPr>
                <w:rFonts w:eastAsia="Times New Roman" w:cstheme="minorHAnsi"/>
                <w:color w:val="000000"/>
                <w:lang w:eastAsia="tr-TR"/>
              </w:rPr>
            </w:pPr>
            <w:r w:rsidRPr="005030E7">
              <w:rPr>
                <w:rFonts w:eastAsia="Times New Roman" w:cstheme="minorHAnsi"/>
                <w:color w:val="000000"/>
                <w:lang w:eastAsia="tr-TR"/>
              </w:rPr>
              <w:t>KAHRAMANMARAŞ</w:t>
            </w:r>
          </w:p>
        </w:tc>
        <w:tc>
          <w:tcPr>
            <w:tcW w:w="1025" w:type="pct"/>
            <w:shd w:val="clear" w:color="auto" w:fill="auto"/>
            <w:vAlign w:val="center"/>
            <w:hideMark/>
          </w:tcPr>
          <w:p w:rsidR="00061190" w:rsidRPr="005030E7" w:rsidRDefault="00061190" w:rsidP="00547BB3">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1.400.000</w:t>
            </w:r>
          </w:p>
        </w:tc>
        <w:tc>
          <w:tcPr>
            <w:tcW w:w="910" w:type="pct"/>
            <w:shd w:val="clear" w:color="auto" w:fill="auto"/>
            <w:vAlign w:val="center"/>
            <w:hideMark/>
          </w:tcPr>
          <w:p w:rsidR="00061190" w:rsidRPr="005030E7" w:rsidRDefault="00061190" w:rsidP="00547BB3">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w:t>
            </w:r>
          </w:p>
        </w:tc>
      </w:tr>
      <w:tr w:rsidR="00061190" w:rsidRPr="005030E7" w:rsidTr="00061190">
        <w:trPr>
          <w:trHeight w:val="567"/>
        </w:trPr>
        <w:tc>
          <w:tcPr>
            <w:tcW w:w="2203" w:type="pct"/>
            <w:shd w:val="clear" w:color="auto" w:fill="auto"/>
            <w:vAlign w:val="center"/>
            <w:hideMark/>
          </w:tcPr>
          <w:p w:rsidR="00061190" w:rsidRPr="005030E7" w:rsidRDefault="00061190" w:rsidP="00547BB3">
            <w:pPr>
              <w:spacing w:after="0" w:line="240" w:lineRule="auto"/>
              <w:rPr>
                <w:rFonts w:eastAsia="Times New Roman" w:cstheme="minorHAnsi"/>
                <w:color w:val="000000"/>
                <w:lang w:eastAsia="tr-TR"/>
              </w:rPr>
            </w:pPr>
            <w:r w:rsidRPr="005030E7">
              <w:rPr>
                <w:rFonts w:eastAsia="Times New Roman" w:cstheme="minorHAnsi"/>
                <w:color w:val="000000"/>
                <w:lang w:eastAsia="tr-TR"/>
              </w:rPr>
              <w:t>STAR RAFİNERİ ANONİM ŞİRKETİ</w:t>
            </w:r>
          </w:p>
        </w:tc>
        <w:tc>
          <w:tcPr>
            <w:tcW w:w="862" w:type="pct"/>
            <w:shd w:val="clear" w:color="auto" w:fill="auto"/>
            <w:vAlign w:val="center"/>
            <w:hideMark/>
          </w:tcPr>
          <w:p w:rsidR="00061190" w:rsidRPr="005030E7" w:rsidRDefault="00061190" w:rsidP="00547BB3">
            <w:pPr>
              <w:spacing w:after="0" w:line="240" w:lineRule="auto"/>
              <w:jc w:val="center"/>
              <w:rPr>
                <w:rFonts w:eastAsia="Times New Roman" w:cstheme="minorHAnsi"/>
                <w:color w:val="000000"/>
                <w:lang w:eastAsia="tr-TR"/>
              </w:rPr>
            </w:pPr>
            <w:r w:rsidRPr="005030E7">
              <w:rPr>
                <w:rFonts w:eastAsia="Times New Roman" w:cstheme="minorHAnsi"/>
                <w:color w:val="000000"/>
                <w:lang w:eastAsia="tr-TR"/>
              </w:rPr>
              <w:t>İZMİR</w:t>
            </w:r>
          </w:p>
        </w:tc>
        <w:tc>
          <w:tcPr>
            <w:tcW w:w="1025" w:type="pct"/>
            <w:shd w:val="clear" w:color="auto" w:fill="auto"/>
            <w:vAlign w:val="center"/>
            <w:hideMark/>
          </w:tcPr>
          <w:p w:rsidR="00061190" w:rsidRPr="005030E7" w:rsidRDefault="00061190" w:rsidP="00547BB3">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1</w:t>
            </w:r>
            <w:r w:rsidR="00CB3CA6">
              <w:rPr>
                <w:rFonts w:eastAsia="Times New Roman" w:cstheme="minorHAnsi"/>
                <w:color w:val="000000"/>
                <w:lang w:eastAsia="tr-TR"/>
              </w:rPr>
              <w:t>3</w:t>
            </w:r>
            <w:r w:rsidRPr="005030E7">
              <w:rPr>
                <w:rFonts w:eastAsia="Times New Roman" w:cstheme="minorHAnsi"/>
                <w:color w:val="000000"/>
                <w:lang w:eastAsia="tr-TR"/>
              </w:rPr>
              <w:t>.000.000</w:t>
            </w:r>
          </w:p>
        </w:tc>
        <w:tc>
          <w:tcPr>
            <w:tcW w:w="910" w:type="pct"/>
            <w:shd w:val="clear" w:color="auto" w:fill="auto"/>
            <w:vAlign w:val="center"/>
            <w:hideMark/>
          </w:tcPr>
          <w:p w:rsidR="00061190" w:rsidRPr="005030E7" w:rsidRDefault="00CB3CA6" w:rsidP="00547BB3">
            <w:pPr>
              <w:spacing w:after="0" w:line="240" w:lineRule="auto"/>
              <w:jc w:val="right"/>
              <w:rPr>
                <w:rFonts w:eastAsia="Times New Roman" w:cstheme="minorHAnsi"/>
                <w:color w:val="000000"/>
                <w:lang w:eastAsia="tr-TR"/>
              </w:rPr>
            </w:pPr>
            <w:r w:rsidRPr="00CB3CA6">
              <w:rPr>
                <w:rFonts w:eastAsia="Times New Roman" w:cstheme="minorHAnsi"/>
                <w:color w:val="000000"/>
                <w:lang w:eastAsia="tr-TR"/>
              </w:rPr>
              <w:t>2.336.975</w:t>
            </w:r>
          </w:p>
        </w:tc>
      </w:tr>
      <w:tr w:rsidR="00061190" w:rsidRPr="005030E7" w:rsidTr="00061190">
        <w:trPr>
          <w:trHeight w:val="567"/>
        </w:trPr>
        <w:tc>
          <w:tcPr>
            <w:tcW w:w="2203" w:type="pct"/>
            <w:shd w:val="clear" w:color="auto" w:fill="auto"/>
            <w:vAlign w:val="center"/>
            <w:hideMark/>
          </w:tcPr>
          <w:p w:rsidR="00061190" w:rsidRPr="005030E7" w:rsidRDefault="00061190" w:rsidP="00547BB3">
            <w:pPr>
              <w:spacing w:after="0" w:line="240" w:lineRule="auto"/>
              <w:rPr>
                <w:rFonts w:eastAsia="Times New Roman" w:cstheme="minorHAnsi"/>
                <w:color w:val="000000"/>
                <w:lang w:eastAsia="tr-TR"/>
              </w:rPr>
            </w:pPr>
            <w:r w:rsidRPr="005030E7">
              <w:rPr>
                <w:rFonts w:eastAsia="Times New Roman" w:cstheme="minorHAnsi"/>
                <w:color w:val="000000"/>
                <w:lang w:eastAsia="tr-TR"/>
              </w:rPr>
              <w:t>TÜPRAŞ, TÜRKİYE PETROL RAFİNERİLERİ ANONİM ŞİRKETİ</w:t>
            </w:r>
          </w:p>
        </w:tc>
        <w:tc>
          <w:tcPr>
            <w:tcW w:w="862" w:type="pct"/>
            <w:shd w:val="clear" w:color="auto" w:fill="auto"/>
            <w:vAlign w:val="center"/>
            <w:hideMark/>
          </w:tcPr>
          <w:p w:rsidR="00061190" w:rsidRPr="005030E7" w:rsidRDefault="00061190" w:rsidP="00547BB3">
            <w:pPr>
              <w:spacing w:after="0" w:line="240" w:lineRule="auto"/>
              <w:jc w:val="center"/>
              <w:rPr>
                <w:rFonts w:eastAsia="Times New Roman" w:cstheme="minorHAnsi"/>
                <w:color w:val="000000"/>
                <w:lang w:eastAsia="tr-TR"/>
              </w:rPr>
            </w:pPr>
            <w:r w:rsidRPr="005030E7">
              <w:rPr>
                <w:rFonts w:eastAsia="Times New Roman" w:cstheme="minorHAnsi"/>
                <w:color w:val="000000"/>
                <w:lang w:eastAsia="tr-TR"/>
              </w:rPr>
              <w:t>İZMİR</w:t>
            </w:r>
          </w:p>
        </w:tc>
        <w:tc>
          <w:tcPr>
            <w:tcW w:w="1025" w:type="pct"/>
            <w:shd w:val="clear" w:color="auto" w:fill="auto"/>
            <w:vAlign w:val="center"/>
            <w:hideMark/>
          </w:tcPr>
          <w:p w:rsidR="00061190" w:rsidRPr="005030E7" w:rsidRDefault="00D74BC9" w:rsidP="00547BB3">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11.</w:t>
            </w:r>
            <w:r w:rsidR="00061190" w:rsidRPr="005030E7">
              <w:rPr>
                <w:rFonts w:eastAsia="Times New Roman" w:cstheme="minorHAnsi"/>
                <w:color w:val="000000"/>
                <w:lang w:eastAsia="tr-TR"/>
              </w:rPr>
              <w:t>9</w:t>
            </w:r>
            <w:r w:rsidRPr="005030E7">
              <w:rPr>
                <w:rFonts w:eastAsia="Times New Roman" w:cstheme="minorHAnsi"/>
                <w:color w:val="000000"/>
                <w:lang w:eastAsia="tr-TR"/>
              </w:rPr>
              <w:t>0</w:t>
            </w:r>
            <w:r w:rsidR="00061190" w:rsidRPr="005030E7">
              <w:rPr>
                <w:rFonts w:eastAsia="Times New Roman" w:cstheme="minorHAnsi"/>
                <w:color w:val="000000"/>
                <w:lang w:eastAsia="tr-TR"/>
              </w:rPr>
              <w:t>0.000</w:t>
            </w:r>
          </w:p>
        </w:tc>
        <w:tc>
          <w:tcPr>
            <w:tcW w:w="910" w:type="pct"/>
            <w:shd w:val="clear" w:color="auto" w:fill="auto"/>
            <w:vAlign w:val="center"/>
            <w:hideMark/>
          </w:tcPr>
          <w:p w:rsidR="00061190" w:rsidRPr="005030E7" w:rsidRDefault="00061190" w:rsidP="00547BB3">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2.508.219</w:t>
            </w:r>
          </w:p>
        </w:tc>
      </w:tr>
      <w:tr w:rsidR="00061190" w:rsidRPr="005030E7" w:rsidTr="00061190">
        <w:trPr>
          <w:trHeight w:val="567"/>
        </w:trPr>
        <w:tc>
          <w:tcPr>
            <w:tcW w:w="2203" w:type="pct"/>
            <w:shd w:val="clear" w:color="auto" w:fill="auto"/>
            <w:vAlign w:val="center"/>
            <w:hideMark/>
          </w:tcPr>
          <w:p w:rsidR="00061190" w:rsidRPr="005030E7" w:rsidRDefault="00061190" w:rsidP="00547BB3">
            <w:pPr>
              <w:spacing w:after="0" w:line="240" w:lineRule="auto"/>
              <w:rPr>
                <w:rFonts w:eastAsia="Times New Roman" w:cstheme="minorHAnsi"/>
                <w:color w:val="000000"/>
                <w:lang w:eastAsia="tr-TR"/>
              </w:rPr>
            </w:pPr>
            <w:r w:rsidRPr="005030E7">
              <w:rPr>
                <w:rFonts w:eastAsia="Times New Roman" w:cstheme="minorHAnsi"/>
                <w:color w:val="000000"/>
                <w:lang w:eastAsia="tr-TR"/>
              </w:rPr>
              <w:t>TÜPRAŞ, TÜRKİYE PETROL RAFİNERİLERİ ANONİM ŞİRKETİ</w:t>
            </w:r>
          </w:p>
        </w:tc>
        <w:tc>
          <w:tcPr>
            <w:tcW w:w="862" w:type="pct"/>
            <w:shd w:val="clear" w:color="auto" w:fill="auto"/>
            <w:vAlign w:val="center"/>
            <w:hideMark/>
          </w:tcPr>
          <w:p w:rsidR="00061190" w:rsidRPr="005030E7" w:rsidRDefault="00061190" w:rsidP="00547BB3">
            <w:pPr>
              <w:spacing w:after="0" w:line="240" w:lineRule="auto"/>
              <w:jc w:val="center"/>
              <w:rPr>
                <w:rFonts w:eastAsia="Times New Roman" w:cstheme="minorHAnsi"/>
                <w:color w:val="000000"/>
                <w:lang w:eastAsia="tr-TR"/>
              </w:rPr>
            </w:pPr>
            <w:r w:rsidRPr="005030E7">
              <w:rPr>
                <w:rFonts w:eastAsia="Times New Roman" w:cstheme="minorHAnsi"/>
                <w:color w:val="000000"/>
                <w:lang w:eastAsia="tr-TR"/>
              </w:rPr>
              <w:t>KOCAELİ</w:t>
            </w:r>
          </w:p>
        </w:tc>
        <w:tc>
          <w:tcPr>
            <w:tcW w:w="1025" w:type="pct"/>
            <w:shd w:val="clear" w:color="auto" w:fill="auto"/>
            <w:vAlign w:val="center"/>
            <w:hideMark/>
          </w:tcPr>
          <w:p w:rsidR="00061190" w:rsidRPr="005030E7" w:rsidRDefault="00061190" w:rsidP="00547BB3">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11.300.000</w:t>
            </w:r>
          </w:p>
        </w:tc>
        <w:tc>
          <w:tcPr>
            <w:tcW w:w="910" w:type="pct"/>
            <w:shd w:val="clear" w:color="auto" w:fill="auto"/>
            <w:vAlign w:val="center"/>
            <w:hideMark/>
          </w:tcPr>
          <w:p w:rsidR="00061190" w:rsidRPr="005030E7" w:rsidRDefault="00061190" w:rsidP="00D74BC9">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2.99</w:t>
            </w:r>
            <w:r w:rsidR="00D74BC9" w:rsidRPr="005030E7">
              <w:rPr>
                <w:rFonts w:eastAsia="Times New Roman" w:cstheme="minorHAnsi"/>
                <w:color w:val="000000"/>
                <w:lang w:eastAsia="tr-TR"/>
              </w:rPr>
              <w:t>8.552</w:t>
            </w:r>
          </w:p>
        </w:tc>
      </w:tr>
      <w:tr w:rsidR="00061190" w:rsidRPr="005030E7" w:rsidTr="00061190">
        <w:trPr>
          <w:trHeight w:val="567"/>
        </w:trPr>
        <w:tc>
          <w:tcPr>
            <w:tcW w:w="2203" w:type="pct"/>
            <w:shd w:val="clear" w:color="auto" w:fill="auto"/>
            <w:vAlign w:val="center"/>
            <w:hideMark/>
          </w:tcPr>
          <w:p w:rsidR="00061190" w:rsidRPr="005030E7" w:rsidRDefault="00061190" w:rsidP="00547BB3">
            <w:pPr>
              <w:spacing w:after="0" w:line="240" w:lineRule="auto"/>
              <w:rPr>
                <w:rFonts w:eastAsia="Times New Roman" w:cstheme="minorHAnsi"/>
                <w:color w:val="000000"/>
                <w:lang w:eastAsia="tr-TR"/>
              </w:rPr>
            </w:pPr>
            <w:r w:rsidRPr="005030E7">
              <w:rPr>
                <w:rFonts w:eastAsia="Times New Roman" w:cstheme="minorHAnsi"/>
                <w:color w:val="000000"/>
                <w:lang w:eastAsia="tr-TR"/>
              </w:rPr>
              <w:t>TÜPRAŞ, TÜRKİYE PETROL RAFİNERİLERİ ANONİM ŞİRKETİ</w:t>
            </w:r>
          </w:p>
        </w:tc>
        <w:tc>
          <w:tcPr>
            <w:tcW w:w="862" w:type="pct"/>
            <w:shd w:val="clear" w:color="auto" w:fill="auto"/>
            <w:vAlign w:val="center"/>
            <w:hideMark/>
          </w:tcPr>
          <w:p w:rsidR="00061190" w:rsidRPr="005030E7" w:rsidRDefault="00061190" w:rsidP="00547BB3">
            <w:pPr>
              <w:spacing w:after="0" w:line="240" w:lineRule="auto"/>
              <w:jc w:val="center"/>
              <w:rPr>
                <w:rFonts w:eastAsia="Times New Roman" w:cstheme="minorHAnsi"/>
                <w:color w:val="000000"/>
                <w:lang w:eastAsia="tr-TR"/>
              </w:rPr>
            </w:pPr>
            <w:r w:rsidRPr="005030E7">
              <w:rPr>
                <w:rFonts w:eastAsia="Times New Roman" w:cstheme="minorHAnsi"/>
                <w:color w:val="000000"/>
                <w:lang w:eastAsia="tr-TR"/>
              </w:rPr>
              <w:t>KIRIKKALE</w:t>
            </w:r>
          </w:p>
        </w:tc>
        <w:tc>
          <w:tcPr>
            <w:tcW w:w="1025" w:type="pct"/>
            <w:shd w:val="clear" w:color="auto" w:fill="auto"/>
            <w:vAlign w:val="center"/>
            <w:hideMark/>
          </w:tcPr>
          <w:p w:rsidR="00061190" w:rsidRPr="005030E7" w:rsidRDefault="00061190" w:rsidP="00547BB3">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5.400.000</w:t>
            </w:r>
          </w:p>
        </w:tc>
        <w:tc>
          <w:tcPr>
            <w:tcW w:w="910" w:type="pct"/>
            <w:shd w:val="clear" w:color="auto" w:fill="auto"/>
            <w:vAlign w:val="center"/>
            <w:hideMark/>
          </w:tcPr>
          <w:p w:rsidR="00061190" w:rsidRPr="005030E7" w:rsidRDefault="00061190" w:rsidP="00D74BC9">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1.265.</w:t>
            </w:r>
            <w:r w:rsidR="00D74BC9" w:rsidRPr="005030E7">
              <w:rPr>
                <w:rFonts w:eastAsia="Times New Roman" w:cstheme="minorHAnsi"/>
                <w:color w:val="000000"/>
                <w:lang w:eastAsia="tr-TR"/>
              </w:rPr>
              <w:t>5</w:t>
            </w:r>
            <w:r w:rsidR="00CB3CA6">
              <w:rPr>
                <w:rFonts w:eastAsia="Times New Roman" w:cstheme="minorHAnsi"/>
                <w:color w:val="000000"/>
                <w:lang w:eastAsia="tr-TR"/>
              </w:rPr>
              <w:t>87</w:t>
            </w:r>
          </w:p>
        </w:tc>
      </w:tr>
      <w:tr w:rsidR="00061190" w:rsidRPr="005030E7" w:rsidTr="00061190">
        <w:trPr>
          <w:trHeight w:val="567"/>
        </w:trPr>
        <w:tc>
          <w:tcPr>
            <w:tcW w:w="2203" w:type="pct"/>
            <w:shd w:val="clear" w:color="auto" w:fill="auto"/>
            <w:vAlign w:val="center"/>
            <w:hideMark/>
          </w:tcPr>
          <w:p w:rsidR="00061190" w:rsidRPr="005030E7" w:rsidRDefault="00061190" w:rsidP="00547BB3">
            <w:pPr>
              <w:spacing w:after="0" w:line="240" w:lineRule="auto"/>
              <w:rPr>
                <w:rFonts w:eastAsia="Times New Roman" w:cstheme="minorHAnsi"/>
                <w:color w:val="000000"/>
                <w:lang w:eastAsia="tr-TR"/>
              </w:rPr>
            </w:pPr>
            <w:r w:rsidRPr="005030E7">
              <w:rPr>
                <w:rFonts w:eastAsia="Times New Roman" w:cstheme="minorHAnsi"/>
                <w:color w:val="000000"/>
                <w:lang w:eastAsia="tr-TR"/>
              </w:rPr>
              <w:t>TÜPRAŞ, TÜRKİYE PETROL RAFİNERİLERİ ANONİM ŞİRKETİ</w:t>
            </w:r>
          </w:p>
        </w:tc>
        <w:tc>
          <w:tcPr>
            <w:tcW w:w="862" w:type="pct"/>
            <w:shd w:val="clear" w:color="auto" w:fill="auto"/>
            <w:vAlign w:val="center"/>
            <w:hideMark/>
          </w:tcPr>
          <w:p w:rsidR="00061190" w:rsidRPr="005030E7" w:rsidRDefault="00061190" w:rsidP="00547BB3">
            <w:pPr>
              <w:spacing w:after="0" w:line="240" w:lineRule="auto"/>
              <w:jc w:val="center"/>
              <w:rPr>
                <w:rFonts w:eastAsia="Times New Roman" w:cstheme="minorHAnsi"/>
                <w:color w:val="000000"/>
                <w:lang w:eastAsia="tr-TR"/>
              </w:rPr>
            </w:pPr>
            <w:r w:rsidRPr="005030E7">
              <w:rPr>
                <w:rFonts w:eastAsia="Times New Roman" w:cstheme="minorHAnsi"/>
                <w:color w:val="000000"/>
                <w:lang w:eastAsia="tr-TR"/>
              </w:rPr>
              <w:t>BATMAN</w:t>
            </w:r>
          </w:p>
        </w:tc>
        <w:tc>
          <w:tcPr>
            <w:tcW w:w="1025" w:type="pct"/>
            <w:shd w:val="clear" w:color="auto" w:fill="auto"/>
            <w:vAlign w:val="center"/>
            <w:hideMark/>
          </w:tcPr>
          <w:p w:rsidR="00061190" w:rsidRPr="005030E7" w:rsidRDefault="00061190" w:rsidP="00547BB3">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1.400.000</w:t>
            </w:r>
          </w:p>
        </w:tc>
        <w:tc>
          <w:tcPr>
            <w:tcW w:w="910" w:type="pct"/>
            <w:shd w:val="clear" w:color="auto" w:fill="auto"/>
            <w:vAlign w:val="center"/>
            <w:hideMark/>
          </w:tcPr>
          <w:p w:rsidR="00061190" w:rsidRPr="005030E7" w:rsidRDefault="00061190" w:rsidP="00547BB3">
            <w:pPr>
              <w:spacing w:after="0" w:line="240" w:lineRule="auto"/>
              <w:jc w:val="right"/>
              <w:rPr>
                <w:rFonts w:eastAsia="Times New Roman" w:cstheme="minorHAnsi"/>
                <w:color w:val="000000"/>
                <w:lang w:eastAsia="tr-TR"/>
              </w:rPr>
            </w:pPr>
            <w:r w:rsidRPr="005030E7">
              <w:rPr>
                <w:rFonts w:eastAsia="Times New Roman" w:cstheme="minorHAnsi"/>
                <w:color w:val="000000"/>
                <w:lang w:eastAsia="tr-TR"/>
              </w:rPr>
              <w:t>2</w:t>
            </w:r>
            <w:r w:rsidR="00CB3CA6">
              <w:rPr>
                <w:rFonts w:eastAsia="Times New Roman" w:cstheme="minorHAnsi"/>
                <w:color w:val="000000"/>
                <w:lang w:eastAsia="tr-TR"/>
              </w:rPr>
              <w:t>99</w:t>
            </w:r>
            <w:r w:rsidRPr="005030E7">
              <w:rPr>
                <w:rFonts w:eastAsia="Times New Roman" w:cstheme="minorHAnsi"/>
                <w:color w:val="000000"/>
                <w:lang w:eastAsia="tr-TR"/>
              </w:rPr>
              <w:t>.</w:t>
            </w:r>
            <w:r w:rsidR="00CB3CA6">
              <w:rPr>
                <w:rFonts w:eastAsia="Times New Roman" w:cstheme="minorHAnsi"/>
                <w:color w:val="000000"/>
                <w:lang w:eastAsia="tr-TR"/>
              </w:rPr>
              <w:t>613</w:t>
            </w:r>
          </w:p>
        </w:tc>
      </w:tr>
    </w:tbl>
    <w:p w:rsidR="002D1BFD" w:rsidRDefault="00D71C1C" w:rsidP="005E39D4">
      <w:pPr>
        <w:spacing w:after="0"/>
        <w:rPr>
          <w:color w:val="000000" w:themeColor="text1"/>
          <w:sz w:val="20"/>
          <w:szCs w:val="20"/>
        </w:rPr>
      </w:pPr>
      <w:r w:rsidRPr="00D71C1C">
        <w:rPr>
          <w:color w:val="000000" w:themeColor="text1"/>
          <w:sz w:val="20"/>
          <w:szCs w:val="20"/>
        </w:rPr>
        <w:t>*</w:t>
      </w:r>
      <w:r w:rsidR="00894FB0">
        <w:rPr>
          <w:color w:val="000000" w:themeColor="text1"/>
          <w:sz w:val="20"/>
          <w:szCs w:val="20"/>
        </w:rPr>
        <w:t xml:space="preserve"> </w:t>
      </w:r>
      <w:r w:rsidRPr="00894FB0">
        <w:rPr>
          <w:i/>
          <w:color w:val="000000" w:themeColor="text1"/>
          <w:sz w:val="20"/>
          <w:szCs w:val="20"/>
        </w:rPr>
        <w:t>Tesis henüz faaliyete geçmemiştir</w:t>
      </w:r>
      <w:r w:rsidRPr="00D71C1C">
        <w:rPr>
          <w:color w:val="000000" w:themeColor="text1"/>
          <w:sz w:val="20"/>
          <w:szCs w:val="20"/>
        </w:rPr>
        <w:t>.</w:t>
      </w:r>
    </w:p>
    <w:p w:rsidR="00D74BC9" w:rsidRDefault="002D1BFD">
      <w:pPr>
        <w:jc w:val="left"/>
        <w:rPr>
          <w:color w:val="000000" w:themeColor="text1"/>
          <w:sz w:val="20"/>
          <w:szCs w:val="20"/>
        </w:rPr>
      </w:pPr>
      <w:r>
        <w:rPr>
          <w:color w:val="000000" w:themeColor="text1"/>
          <w:sz w:val="20"/>
          <w:szCs w:val="20"/>
        </w:rPr>
        <w:br w:type="page"/>
      </w:r>
    </w:p>
    <w:p w:rsidR="00873EA8" w:rsidRDefault="00873EA8" w:rsidP="00873EA8">
      <w:pPr>
        <w:pStyle w:val="Balk5"/>
        <w:jc w:val="center"/>
        <w:rPr>
          <w:rStyle w:val="Gl"/>
          <w:color w:val="000000" w:themeColor="text1"/>
        </w:rPr>
      </w:pPr>
      <w:bookmarkStart w:id="183" w:name="_Toc132713899"/>
      <w:bookmarkStart w:id="184" w:name="_Toc416447589"/>
      <w:bookmarkStart w:id="185" w:name="_Toc442441739"/>
      <w:r w:rsidRPr="00E11ED2">
        <w:rPr>
          <w:rStyle w:val="Gl"/>
          <w:color w:val="000000" w:themeColor="text1"/>
        </w:rPr>
        <w:lastRenderedPageBreak/>
        <w:t>Tablo 3.</w:t>
      </w:r>
      <w:r w:rsidR="0017770B">
        <w:rPr>
          <w:rStyle w:val="Gl"/>
          <w:color w:val="000000" w:themeColor="text1"/>
        </w:rPr>
        <w:t>9</w:t>
      </w:r>
      <w:r w:rsidRPr="00E11ED2">
        <w:rPr>
          <w:rStyle w:val="Gl"/>
          <w:color w:val="000000" w:themeColor="text1"/>
        </w:rPr>
        <w:t>: 202</w:t>
      </w:r>
      <w:r>
        <w:rPr>
          <w:rStyle w:val="Gl"/>
          <w:color w:val="000000" w:themeColor="text1"/>
        </w:rPr>
        <w:t>2</w:t>
      </w:r>
      <w:r w:rsidRPr="00E11ED2">
        <w:rPr>
          <w:rStyle w:val="Gl"/>
          <w:color w:val="000000" w:themeColor="text1"/>
        </w:rPr>
        <w:t xml:space="preserve"> Yılı Sonu İtibar</w:t>
      </w:r>
      <w:r>
        <w:rPr>
          <w:rStyle w:val="Gl"/>
          <w:color w:val="000000" w:themeColor="text1"/>
        </w:rPr>
        <w:t>ı</w:t>
      </w:r>
      <w:r w:rsidRPr="00E11ED2">
        <w:rPr>
          <w:rStyle w:val="Gl"/>
          <w:color w:val="000000" w:themeColor="text1"/>
        </w:rPr>
        <w:t>yl</w:t>
      </w:r>
      <w:r>
        <w:rPr>
          <w:rStyle w:val="Gl"/>
          <w:color w:val="000000" w:themeColor="text1"/>
        </w:rPr>
        <w:t>a</w:t>
      </w:r>
      <w:r w:rsidRPr="00E11ED2">
        <w:rPr>
          <w:rStyle w:val="Gl"/>
          <w:color w:val="000000" w:themeColor="text1"/>
        </w:rPr>
        <w:t xml:space="preserve"> Petrol Piyasası Depolama Lisansı Bilgileri</w:t>
      </w:r>
      <w:bookmarkEnd w:id="183"/>
    </w:p>
    <w:tbl>
      <w:tblPr>
        <w:tblW w:w="8300" w:type="dxa"/>
        <w:jc w:val="center"/>
        <w:tblCellMar>
          <w:left w:w="70" w:type="dxa"/>
          <w:right w:w="70" w:type="dxa"/>
        </w:tblCellMar>
        <w:tblLook w:val="04A0" w:firstRow="1" w:lastRow="0" w:firstColumn="1" w:lastColumn="0" w:noHBand="0" w:noVBand="1"/>
      </w:tblPr>
      <w:tblGrid>
        <w:gridCol w:w="2140"/>
        <w:gridCol w:w="2440"/>
        <w:gridCol w:w="3720"/>
      </w:tblGrid>
      <w:tr w:rsidR="00873EA8" w:rsidTr="002D4D82">
        <w:trPr>
          <w:trHeight w:val="580"/>
          <w:jc w:val="center"/>
        </w:trPr>
        <w:tc>
          <w:tcPr>
            <w:tcW w:w="2140" w:type="dxa"/>
            <w:tcBorders>
              <w:top w:val="nil"/>
              <w:left w:val="single" w:sz="4" w:space="0" w:color="4F81BD"/>
              <w:bottom w:val="single" w:sz="4" w:space="0" w:color="BFBFBF" w:themeColor="background1" w:themeShade="BF"/>
              <w:right w:val="single" w:sz="4" w:space="0" w:color="D3D3D3"/>
            </w:tcBorders>
            <w:shd w:val="clear" w:color="auto" w:fill="6E9ECA"/>
            <w:vAlign w:val="center"/>
            <w:hideMark/>
          </w:tcPr>
          <w:p w:rsidR="00873EA8" w:rsidRDefault="00873EA8" w:rsidP="002D4D82">
            <w:pPr>
              <w:spacing w:after="0" w:line="240" w:lineRule="auto"/>
              <w:jc w:val="center"/>
              <w:rPr>
                <w:rFonts w:ascii="Calibri" w:eastAsia="Times New Roman" w:hAnsi="Calibri" w:cs="Calibri"/>
                <w:b/>
                <w:bCs/>
                <w:color w:val="FFFFFF"/>
                <w:lang w:eastAsia="tr-TR"/>
              </w:rPr>
            </w:pPr>
            <w:r>
              <w:rPr>
                <w:rFonts w:ascii="Calibri" w:eastAsia="Times New Roman" w:hAnsi="Calibri" w:cs="Calibri"/>
                <w:b/>
                <w:bCs/>
                <w:color w:val="FFFFFF"/>
                <w:lang w:eastAsia="tr-TR"/>
              </w:rPr>
              <w:t>Tesis İli</w:t>
            </w:r>
          </w:p>
        </w:tc>
        <w:tc>
          <w:tcPr>
            <w:tcW w:w="2440" w:type="dxa"/>
            <w:tcBorders>
              <w:top w:val="nil"/>
              <w:left w:val="nil"/>
              <w:bottom w:val="single" w:sz="4" w:space="0" w:color="BFBFBF" w:themeColor="background1" w:themeShade="BF"/>
              <w:right w:val="single" w:sz="4" w:space="0" w:color="D3D3D3"/>
            </w:tcBorders>
            <w:shd w:val="clear" w:color="auto" w:fill="6E9ECA"/>
            <w:vAlign w:val="center"/>
            <w:hideMark/>
          </w:tcPr>
          <w:p w:rsidR="00873EA8" w:rsidRDefault="00873EA8" w:rsidP="002D4D82">
            <w:pPr>
              <w:spacing w:after="0" w:line="240" w:lineRule="auto"/>
              <w:jc w:val="center"/>
              <w:rPr>
                <w:rFonts w:ascii="Calibri" w:eastAsia="Times New Roman" w:hAnsi="Calibri" w:cs="Calibri"/>
                <w:b/>
                <w:bCs/>
                <w:color w:val="FFFFFF"/>
                <w:lang w:eastAsia="tr-TR"/>
              </w:rPr>
            </w:pPr>
            <w:r>
              <w:rPr>
                <w:rFonts w:ascii="Calibri" w:eastAsia="Times New Roman" w:hAnsi="Calibri" w:cs="Calibri"/>
                <w:b/>
                <w:bCs/>
                <w:color w:val="FFFFFF"/>
                <w:lang w:eastAsia="tr-TR"/>
              </w:rPr>
              <w:t>Toplam Kapasite (m</w:t>
            </w:r>
            <w:r>
              <w:rPr>
                <w:rFonts w:ascii="Calibri" w:eastAsia="Times New Roman" w:hAnsi="Calibri" w:cs="Calibri"/>
                <w:b/>
                <w:bCs/>
                <w:color w:val="FFFFFF"/>
                <w:vertAlign w:val="superscript"/>
                <w:lang w:eastAsia="tr-TR"/>
              </w:rPr>
              <w:t>3</w:t>
            </w:r>
            <w:r>
              <w:rPr>
                <w:rFonts w:ascii="Calibri" w:eastAsia="Times New Roman" w:hAnsi="Calibri" w:cs="Calibri"/>
                <w:b/>
                <w:bCs/>
                <w:color w:val="FFFFFF"/>
                <w:lang w:eastAsia="tr-TR"/>
              </w:rPr>
              <w:t>)</w:t>
            </w:r>
          </w:p>
        </w:tc>
        <w:tc>
          <w:tcPr>
            <w:tcW w:w="3720" w:type="dxa"/>
            <w:tcBorders>
              <w:top w:val="nil"/>
              <w:left w:val="nil"/>
              <w:bottom w:val="single" w:sz="4" w:space="0" w:color="BFBFBF" w:themeColor="background1" w:themeShade="BF"/>
              <w:right w:val="single" w:sz="4" w:space="0" w:color="4F81BD"/>
            </w:tcBorders>
            <w:shd w:val="clear" w:color="auto" w:fill="6E9ECA"/>
            <w:vAlign w:val="center"/>
            <w:hideMark/>
          </w:tcPr>
          <w:p w:rsidR="00873EA8" w:rsidRDefault="00873EA8" w:rsidP="002D4D82">
            <w:pPr>
              <w:spacing w:after="0" w:line="240" w:lineRule="auto"/>
              <w:jc w:val="center"/>
              <w:rPr>
                <w:rFonts w:ascii="Calibri" w:eastAsia="Times New Roman" w:hAnsi="Calibri" w:cs="Calibri"/>
                <w:b/>
                <w:bCs/>
                <w:color w:val="FFFFFF"/>
                <w:lang w:eastAsia="tr-TR"/>
              </w:rPr>
            </w:pPr>
            <w:r>
              <w:rPr>
                <w:rFonts w:ascii="Calibri" w:eastAsia="Times New Roman" w:hAnsi="Calibri" w:cs="Calibri"/>
                <w:b/>
                <w:bCs/>
                <w:color w:val="FFFFFF"/>
                <w:lang w:eastAsia="tr-TR"/>
              </w:rPr>
              <w:t>Toplam Depolama Kapasitesindeki Payı (%)</w:t>
            </w:r>
          </w:p>
        </w:tc>
      </w:tr>
      <w:tr w:rsidR="00873EA8"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873EA8" w:rsidRDefault="00873EA8" w:rsidP="002D4D82">
            <w:pPr>
              <w:spacing w:after="0" w:line="240" w:lineRule="auto"/>
              <w:jc w:val="left"/>
              <w:rPr>
                <w:rFonts w:ascii="Calibri" w:eastAsia="Times New Roman" w:hAnsi="Calibri" w:cs="Calibri"/>
                <w:lang w:eastAsia="tr-TR"/>
              </w:rPr>
            </w:pPr>
            <w:r>
              <w:rPr>
                <w:rFonts w:ascii="Calibri" w:eastAsia="Times New Roman" w:hAnsi="Calibri" w:cs="Calibri"/>
                <w:lang w:eastAsia="tr-TR"/>
              </w:rPr>
              <w:t>ADANA</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2.918,00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0,0</w:t>
            </w:r>
            <w:r w:rsidR="00CB73EB">
              <w:rPr>
                <w:rFonts w:ascii="Calibri" w:eastAsia="Times New Roman" w:hAnsi="Calibri" w:cs="Calibri"/>
                <w:lang w:eastAsia="tr-TR"/>
              </w:rPr>
              <w:t>6</w:t>
            </w:r>
          </w:p>
        </w:tc>
      </w:tr>
      <w:tr w:rsidR="00873EA8"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873EA8" w:rsidRDefault="00873EA8" w:rsidP="002D4D82">
            <w:pPr>
              <w:spacing w:after="0" w:line="240" w:lineRule="auto"/>
              <w:jc w:val="left"/>
              <w:rPr>
                <w:rFonts w:ascii="Calibri" w:eastAsia="Times New Roman" w:hAnsi="Calibri" w:cs="Calibri"/>
                <w:lang w:eastAsia="tr-TR"/>
              </w:rPr>
            </w:pPr>
            <w:r>
              <w:rPr>
                <w:rFonts w:ascii="Calibri" w:eastAsia="Times New Roman" w:hAnsi="Calibri" w:cs="Calibri"/>
                <w:lang w:eastAsia="tr-TR"/>
              </w:rPr>
              <w:t>ADIYAMAN</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49,00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0,00</w:t>
            </w:r>
          </w:p>
        </w:tc>
      </w:tr>
      <w:tr w:rsidR="00873EA8"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873EA8" w:rsidRDefault="00873EA8" w:rsidP="002D4D82">
            <w:pPr>
              <w:spacing w:after="0" w:line="240" w:lineRule="auto"/>
              <w:jc w:val="left"/>
              <w:rPr>
                <w:rFonts w:ascii="Calibri" w:eastAsia="Times New Roman" w:hAnsi="Calibri" w:cs="Calibri"/>
                <w:lang w:eastAsia="tr-TR"/>
              </w:rPr>
            </w:pPr>
            <w:r>
              <w:rPr>
                <w:rFonts w:ascii="Calibri" w:eastAsia="Times New Roman" w:hAnsi="Calibri" w:cs="Calibri"/>
                <w:lang w:eastAsia="tr-TR"/>
              </w:rPr>
              <w:t>AĞRI</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97,00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0,00</w:t>
            </w:r>
          </w:p>
        </w:tc>
      </w:tr>
      <w:tr w:rsidR="00873EA8"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873EA8" w:rsidRDefault="00873EA8" w:rsidP="002D4D82">
            <w:pPr>
              <w:spacing w:after="0" w:line="240" w:lineRule="auto"/>
              <w:jc w:val="left"/>
              <w:rPr>
                <w:rFonts w:ascii="Calibri" w:eastAsia="Times New Roman" w:hAnsi="Calibri" w:cs="Calibri"/>
                <w:lang w:eastAsia="tr-TR"/>
              </w:rPr>
            </w:pPr>
            <w:r>
              <w:rPr>
                <w:rFonts w:ascii="Calibri" w:eastAsia="Times New Roman" w:hAnsi="Calibri" w:cs="Calibri"/>
                <w:lang w:eastAsia="tr-TR"/>
              </w:rPr>
              <w:t>AMASYA</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50,00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0,00</w:t>
            </w:r>
          </w:p>
        </w:tc>
      </w:tr>
      <w:tr w:rsidR="00873EA8"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873EA8" w:rsidRDefault="00873EA8" w:rsidP="002D4D82">
            <w:pPr>
              <w:spacing w:after="0" w:line="240" w:lineRule="auto"/>
              <w:jc w:val="left"/>
              <w:rPr>
                <w:rFonts w:ascii="Calibri" w:eastAsia="Times New Roman" w:hAnsi="Calibri" w:cs="Calibri"/>
                <w:lang w:eastAsia="tr-TR"/>
              </w:rPr>
            </w:pPr>
            <w:r>
              <w:rPr>
                <w:rFonts w:ascii="Calibri" w:eastAsia="Times New Roman" w:hAnsi="Calibri" w:cs="Calibri"/>
                <w:lang w:eastAsia="tr-TR"/>
              </w:rPr>
              <w:t>ANKARA</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43.719,00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0,78</w:t>
            </w:r>
          </w:p>
        </w:tc>
      </w:tr>
      <w:tr w:rsidR="00873EA8"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873EA8" w:rsidRDefault="00873EA8" w:rsidP="002D4D82">
            <w:pPr>
              <w:spacing w:after="0" w:line="240" w:lineRule="auto"/>
              <w:jc w:val="left"/>
              <w:rPr>
                <w:rFonts w:ascii="Calibri" w:eastAsia="Times New Roman" w:hAnsi="Calibri" w:cs="Calibri"/>
                <w:lang w:eastAsia="tr-TR"/>
              </w:rPr>
            </w:pPr>
            <w:r>
              <w:rPr>
                <w:rFonts w:ascii="Calibri" w:eastAsia="Times New Roman" w:hAnsi="Calibri" w:cs="Calibri"/>
                <w:lang w:eastAsia="tr-TR"/>
              </w:rPr>
              <w:t>ANTALYA</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388.945,40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6,92</w:t>
            </w:r>
          </w:p>
        </w:tc>
      </w:tr>
      <w:tr w:rsidR="00873EA8"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873EA8" w:rsidRDefault="00873EA8" w:rsidP="002D4D82">
            <w:pPr>
              <w:spacing w:after="0" w:line="240" w:lineRule="auto"/>
              <w:jc w:val="left"/>
              <w:rPr>
                <w:rFonts w:ascii="Calibri" w:eastAsia="Times New Roman" w:hAnsi="Calibri" w:cs="Calibri"/>
                <w:lang w:eastAsia="tr-TR"/>
              </w:rPr>
            </w:pPr>
            <w:r>
              <w:rPr>
                <w:rFonts w:ascii="Calibri" w:eastAsia="Times New Roman" w:hAnsi="Calibri" w:cs="Calibri"/>
                <w:lang w:eastAsia="tr-TR"/>
              </w:rPr>
              <w:t>ARTVİN</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1.000,00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0,02</w:t>
            </w:r>
          </w:p>
        </w:tc>
      </w:tr>
      <w:tr w:rsidR="00873EA8"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873EA8" w:rsidRDefault="00873EA8" w:rsidP="002D4D82">
            <w:pPr>
              <w:spacing w:after="0" w:line="240" w:lineRule="auto"/>
              <w:jc w:val="left"/>
              <w:rPr>
                <w:rFonts w:ascii="Calibri" w:eastAsia="Times New Roman" w:hAnsi="Calibri" w:cs="Calibri"/>
                <w:lang w:eastAsia="tr-TR"/>
              </w:rPr>
            </w:pPr>
            <w:r>
              <w:rPr>
                <w:rFonts w:ascii="Calibri" w:eastAsia="Times New Roman" w:hAnsi="Calibri" w:cs="Calibri"/>
                <w:lang w:eastAsia="tr-TR"/>
              </w:rPr>
              <w:t>AYDIN</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47,00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0,00</w:t>
            </w:r>
          </w:p>
        </w:tc>
      </w:tr>
      <w:tr w:rsidR="00873EA8"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873EA8" w:rsidRDefault="00873EA8" w:rsidP="002D4D82">
            <w:pPr>
              <w:spacing w:after="0" w:line="240" w:lineRule="auto"/>
              <w:jc w:val="left"/>
              <w:rPr>
                <w:rFonts w:ascii="Calibri" w:eastAsia="Times New Roman" w:hAnsi="Calibri" w:cs="Calibri"/>
                <w:lang w:eastAsia="tr-TR"/>
              </w:rPr>
            </w:pPr>
            <w:r>
              <w:rPr>
                <w:rFonts w:ascii="Calibri" w:eastAsia="Times New Roman" w:hAnsi="Calibri" w:cs="Calibri"/>
                <w:lang w:eastAsia="tr-TR"/>
              </w:rPr>
              <w:t>BALIKESİR</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48,00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0,00</w:t>
            </w:r>
          </w:p>
        </w:tc>
      </w:tr>
      <w:tr w:rsidR="00873EA8"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873EA8" w:rsidRDefault="00873EA8" w:rsidP="002D4D82">
            <w:pPr>
              <w:spacing w:after="0" w:line="240" w:lineRule="auto"/>
              <w:jc w:val="left"/>
              <w:rPr>
                <w:rFonts w:ascii="Calibri" w:eastAsia="Times New Roman" w:hAnsi="Calibri" w:cs="Calibri"/>
                <w:lang w:eastAsia="tr-TR"/>
              </w:rPr>
            </w:pPr>
            <w:r>
              <w:rPr>
                <w:rFonts w:ascii="Calibri" w:eastAsia="Times New Roman" w:hAnsi="Calibri" w:cs="Calibri"/>
                <w:lang w:eastAsia="tr-TR"/>
              </w:rPr>
              <w:t>BATMAN</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49,00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0,00</w:t>
            </w:r>
          </w:p>
        </w:tc>
      </w:tr>
      <w:tr w:rsidR="00873EA8"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873EA8" w:rsidRDefault="00873EA8" w:rsidP="002D4D82">
            <w:pPr>
              <w:spacing w:after="0" w:line="240" w:lineRule="auto"/>
              <w:jc w:val="left"/>
              <w:rPr>
                <w:rFonts w:ascii="Calibri" w:eastAsia="Times New Roman" w:hAnsi="Calibri" w:cs="Calibri"/>
                <w:lang w:eastAsia="tr-TR"/>
              </w:rPr>
            </w:pPr>
            <w:r>
              <w:rPr>
                <w:rFonts w:ascii="Calibri" w:eastAsia="Times New Roman" w:hAnsi="Calibri" w:cs="Calibri"/>
                <w:lang w:eastAsia="tr-TR"/>
              </w:rPr>
              <w:t>BİNGÖL</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49,00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0,00</w:t>
            </w:r>
          </w:p>
        </w:tc>
      </w:tr>
      <w:tr w:rsidR="00873EA8"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873EA8" w:rsidRDefault="00873EA8" w:rsidP="002D4D82">
            <w:pPr>
              <w:spacing w:after="0" w:line="240" w:lineRule="auto"/>
              <w:jc w:val="left"/>
              <w:rPr>
                <w:rFonts w:ascii="Calibri" w:eastAsia="Times New Roman" w:hAnsi="Calibri" w:cs="Calibri"/>
                <w:lang w:eastAsia="tr-TR"/>
              </w:rPr>
            </w:pPr>
            <w:r>
              <w:rPr>
                <w:rFonts w:ascii="Calibri" w:eastAsia="Times New Roman" w:hAnsi="Calibri" w:cs="Calibri"/>
                <w:lang w:eastAsia="tr-TR"/>
              </w:rPr>
              <w:t>BURSA</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47,00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0,00</w:t>
            </w:r>
          </w:p>
        </w:tc>
      </w:tr>
      <w:tr w:rsidR="00873EA8"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873EA8" w:rsidRDefault="00873EA8" w:rsidP="002D4D82">
            <w:pPr>
              <w:spacing w:after="0" w:line="240" w:lineRule="auto"/>
              <w:jc w:val="left"/>
              <w:rPr>
                <w:rFonts w:ascii="Calibri" w:eastAsia="Times New Roman" w:hAnsi="Calibri" w:cs="Calibri"/>
                <w:lang w:eastAsia="tr-TR"/>
              </w:rPr>
            </w:pPr>
            <w:r>
              <w:rPr>
                <w:rFonts w:ascii="Calibri" w:eastAsia="Times New Roman" w:hAnsi="Calibri" w:cs="Calibri"/>
                <w:lang w:eastAsia="tr-TR"/>
              </w:rPr>
              <w:t>ÇANAKKALE</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13.669,27</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0,24</w:t>
            </w:r>
          </w:p>
        </w:tc>
      </w:tr>
      <w:tr w:rsidR="00873EA8"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873EA8" w:rsidRDefault="00873EA8" w:rsidP="002D4D82">
            <w:pPr>
              <w:spacing w:after="0" w:line="240" w:lineRule="auto"/>
              <w:jc w:val="left"/>
              <w:rPr>
                <w:rFonts w:ascii="Calibri" w:eastAsia="Times New Roman" w:hAnsi="Calibri" w:cs="Calibri"/>
                <w:lang w:eastAsia="tr-TR"/>
              </w:rPr>
            </w:pPr>
            <w:r>
              <w:rPr>
                <w:rFonts w:ascii="Calibri" w:eastAsia="Times New Roman" w:hAnsi="Calibri" w:cs="Calibri"/>
                <w:lang w:eastAsia="tr-TR"/>
              </w:rPr>
              <w:t>DENİZLİ</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107,00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0,00</w:t>
            </w:r>
          </w:p>
        </w:tc>
      </w:tr>
      <w:tr w:rsidR="00873EA8"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873EA8" w:rsidRDefault="00873EA8" w:rsidP="002D4D82">
            <w:pPr>
              <w:spacing w:after="0" w:line="240" w:lineRule="auto"/>
              <w:jc w:val="left"/>
              <w:rPr>
                <w:rFonts w:ascii="Calibri" w:eastAsia="Times New Roman" w:hAnsi="Calibri" w:cs="Calibri"/>
                <w:lang w:eastAsia="tr-TR"/>
              </w:rPr>
            </w:pPr>
            <w:r>
              <w:rPr>
                <w:rFonts w:ascii="Calibri" w:eastAsia="Times New Roman" w:hAnsi="Calibri" w:cs="Calibri"/>
                <w:lang w:eastAsia="tr-TR"/>
              </w:rPr>
              <w:t>DİYARBAKIR</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9.256,00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0,16</w:t>
            </w:r>
          </w:p>
        </w:tc>
      </w:tr>
      <w:tr w:rsidR="00873EA8"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873EA8" w:rsidRDefault="00873EA8" w:rsidP="002D4D82">
            <w:pPr>
              <w:spacing w:after="0" w:line="240" w:lineRule="auto"/>
              <w:jc w:val="left"/>
              <w:rPr>
                <w:rFonts w:ascii="Calibri" w:eastAsia="Times New Roman" w:hAnsi="Calibri" w:cs="Calibri"/>
                <w:lang w:eastAsia="tr-TR"/>
              </w:rPr>
            </w:pPr>
            <w:r>
              <w:rPr>
                <w:rFonts w:ascii="Calibri" w:eastAsia="Times New Roman" w:hAnsi="Calibri" w:cs="Calibri"/>
                <w:lang w:eastAsia="tr-TR"/>
              </w:rPr>
              <w:t>ELAZIĞ</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160,00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0,00</w:t>
            </w:r>
          </w:p>
        </w:tc>
      </w:tr>
      <w:tr w:rsidR="00873EA8"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873EA8" w:rsidRDefault="00873EA8" w:rsidP="002D4D82">
            <w:pPr>
              <w:spacing w:after="0" w:line="240" w:lineRule="auto"/>
              <w:jc w:val="left"/>
              <w:rPr>
                <w:rFonts w:ascii="Calibri" w:eastAsia="Times New Roman" w:hAnsi="Calibri" w:cs="Calibri"/>
                <w:lang w:eastAsia="tr-TR"/>
              </w:rPr>
            </w:pPr>
            <w:r>
              <w:rPr>
                <w:rFonts w:ascii="Calibri" w:eastAsia="Times New Roman" w:hAnsi="Calibri" w:cs="Calibri"/>
                <w:lang w:eastAsia="tr-TR"/>
              </w:rPr>
              <w:t>ERZİNCAN</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47,00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0,00</w:t>
            </w:r>
          </w:p>
        </w:tc>
      </w:tr>
      <w:tr w:rsidR="00873EA8"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873EA8" w:rsidRDefault="00873EA8" w:rsidP="002D4D82">
            <w:pPr>
              <w:spacing w:after="0" w:line="240" w:lineRule="auto"/>
              <w:jc w:val="left"/>
              <w:rPr>
                <w:rFonts w:ascii="Calibri" w:eastAsia="Times New Roman" w:hAnsi="Calibri" w:cs="Calibri"/>
                <w:lang w:eastAsia="tr-TR"/>
              </w:rPr>
            </w:pPr>
            <w:r>
              <w:rPr>
                <w:rFonts w:ascii="Calibri" w:eastAsia="Times New Roman" w:hAnsi="Calibri" w:cs="Calibri"/>
                <w:lang w:eastAsia="tr-TR"/>
              </w:rPr>
              <w:t>ERZURUM</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4.753,00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0,08</w:t>
            </w:r>
          </w:p>
        </w:tc>
      </w:tr>
      <w:tr w:rsidR="00873EA8"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873EA8" w:rsidRDefault="00873EA8" w:rsidP="002D4D82">
            <w:pPr>
              <w:spacing w:after="0" w:line="240" w:lineRule="auto"/>
              <w:jc w:val="left"/>
              <w:rPr>
                <w:rFonts w:ascii="Calibri" w:eastAsia="Times New Roman" w:hAnsi="Calibri" w:cs="Calibri"/>
                <w:lang w:eastAsia="tr-TR"/>
              </w:rPr>
            </w:pPr>
            <w:r>
              <w:rPr>
                <w:rFonts w:ascii="Calibri" w:eastAsia="Times New Roman" w:hAnsi="Calibri" w:cs="Calibri"/>
                <w:lang w:eastAsia="tr-TR"/>
              </w:rPr>
              <w:t>GAZİANTEP</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1.277,00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0,02</w:t>
            </w:r>
          </w:p>
        </w:tc>
      </w:tr>
      <w:tr w:rsidR="00873EA8"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873EA8" w:rsidRDefault="00873EA8" w:rsidP="002D4D82">
            <w:pPr>
              <w:spacing w:after="0" w:line="240" w:lineRule="auto"/>
              <w:jc w:val="left"/>
              <w:rPr>
                <w:rFonts w:ascii="Calibri" w:eastAsia="Times New Roman" w:hAnsi="Calibri" w:cs="Calibri"/>
                <w:lang w:eastAsia="tr-TR"/>
              </w:rPr>
            </w:pPr>
            <w:r>
              <w:rPr>
                <w:rFonts w:ascii="Calibri" w:eastAsia="Times New Roman" w:hAnsi="Calibri" w:cs="Calibri"/>
                <w:lang w:eastAsia="tr-TR"/>
              </w:rPr>
              <w:t>GİRESUN</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43.130,00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0,77</w:t>
            </w:r>
          </w:p>
        </w:tc>
      </w:tr>
      <w:tr w:rsidR="00873EA8"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873EA8" w:rsidRDefault="00873EA8" w:rsidP="002D4D82">
            <w:pPr>
              <w:spacing w:after="0" w:line="240" w:lineRule="auto"/>
              <w:jc w:val="left"/>
              <w:rPr>
                <w:rFonts w:ascii="Calibri" w:eastAsia="Times New Roman" w:hAnsi="Calibri" w:cs="Calibri"/>
                <w:lang w:eastAsia="tr-TR"/>
              </w:rPr>
            </w:pPr>
            <w:r>
              <w:rPr>
                <w:rFonts w:ascii="Calibri" w:eastAsia="Times New Roman" w:hAnsi="Calibri" w:cs="Calibri"/>
                <w:lang w:eastAsia="tr-TR"/>
              </w:rPr>
              <w:t>HAKKARİ</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94,00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0,00</w:t>
            </w:r>
          </w:p>
        </w:tc>
      </w:tr>
      <w:tr w:rsidR="00873EA8"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873EA8" w:rsidRDefault="00873EA8" w:rsidP="002D4D82">
            <w:pPr>
              <w:spacing w:after="0" w:line="240" w:lineRule="auto"/>
              <w:jc w:val="left"/>
              <w:rPr>
                <w:rFonts w:ascii="Calibri" w:eastAsia="Times New Roman" w:hAnsi="Calibri" w:cs="Calibri"/>
                <w:lang w:eastAsia="tr-TR"/>
              </w:rPr>
            </w:pPr>
            <w:r>
              <w:rPr>
                <w:rFonts w:ascii="Calibri" w:eastAsia="Times New Roman" w:hAnsi="Calibri" w:cs="Calibri"/>
                <w:lang w:eastAsia="tr-TR"/>
              </w:rPr>
              <w:t>HATAY</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249.405,00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4,44</w:t>
            </w:r>
          </w:p>
        </w:tc>
      </w:tr>
      <w:tr w:rsidR="00873EA8"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873EA8" w:rsidRDefault="00873EA8" w:rsidP="002D4D82">
            <w:pPr>
              <w:spacing w:after="0" w:line="240" w:lineRule="auto"/>
              <w:jc w:val="left"/>
              <w:rPr>
                <w:rFonts w:ascii="Calibri" w:eastAsia="Times New Roman" w:hAnsi="Calibri" w:cs="Calibri"/>
                <w:lang w:eastAsia="tr-TR"/>
              </w:rPr>
            </w:pPr>
            <w:r>
              <w:rPr>
                <w:rFonts w:ascii="Calibri" w:eastAsia="Times New Roman" w:hAnsi="Calibri" w:cs="Calibri"/>
                <w:lang w:eastAsia="tr-TR"/>
              </w:rPr>
              <w:t>IĞDIR</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49,00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0,00</w:t>
            </w:r>
          </w:p>
        </w:tc>
      </w:tr>
      <w:tr w:rsidR="00873EA8"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873EA8" w:rsidRDefault="00873EA8" w:rsidP="002D4D82">
            <w:pPr>
              <w:spacing w:after="0" w:line="240" w:lineRule="auto"/>
              <w:jc w:val="left"/>
              <w:rPr>
                <w:rFonts w:ascii="Calibri" w:eastAsia="Times New Roman" w:hAnsi="Calibri" w:cs="Calibri"/>
                <w:lang w:eastAsia="tr-TR"/>
              </w:rPr>
            </w:pPr>
            <w:r>
              <w:rPr>
                <w:rFonts w:ascii="Calibri" w:eastAsia="Times New Roman" w:hAnsi="Calibri" w:cs="Calibri"/>
                <w:lang w:eastAsia="tr-TR"/>
              </w:rPr>
              <w:t>ISPARTA</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433,00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0,01</w:t>
            </w:r>
          </w:p>
        </w:tc>
      </w:tr>
      <w:tr w:rsidR="00873EA8"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873EA8" w:rsidRDefault="00873EA8" w:rsidP="002D4D82">
            <w:pPr>
              <w:spacing w:after="0" w:line="240" w:lineRule="auto"/>
              <w:jc w:val="left"/>
              <w:rPr>
                <w:rFonts w:ascii="Calibri" w:eastAsia="Times New Roman" w:hAnsi="Calibri" w:cs="Calibri"/>
                <w:lang w:eastAsia="tr-TR"/>
              </w:rPr>
            </w:pPr>
            <w:r>
              <w:rPr>
                <w:rFonts w:ascii="Calibri" w:eastAsia="Times New Roman" w:hAnsi="Calibri" w:cs="Calibri"/>
                <w:lang w:eastAsia="tr-TR"/>
              </w:rPr>
              <w:t>İSTANBUL</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441.044,03</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7,85</w:t>
            </w:r>
          </w:p>
        </w:tc>
      </w:tr>
      <w:tr w:rsidR="00873EA8"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873EA8" w:rsidRDefault="00873EA8" w:rsidP="002D4D82">
            <w:pPr>
              <w:spacing w:after="0" w:line="240" w:lineRule="auto"/>
              <w:jc w:val="left"/>
              <w:rPr>
                <w:rFonts w:ascii="Calibri" w:eastAsia="Times New Roman" w:hAnsi="Calibri" w:cs="Calibri"/>
                <w:lang w:eastAsia="tr-TR"/>
              </w:rPr>
            </w:pPr>
            <w:r>
              <w:rPr>
                <w:rFonts w:ascii="Calibri" w:eastAsia="Times New Roman" w:hAnsi="Calibri" w:cs="Calibri"/>
                <w:lang w:eastAsia="tr-TR"/>
              </w:rPr>
              <w:t>İZMİR</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461.359,16</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8,2</w:t>
            </w:r>
            <w:r w:rsidR="00CB73EB">
              <w:rPr>
                <w:rFonts w:ascii="Calibri" w:eastAsia="Times New Roman" w:hAnsi="Calibri" w:cs="Calibri"/>
                <w:lang w:eastAsia="tr-TR"/>
              </w:rPr>
              <w:t>2</w:t>
            </w:r>
          </w:p>
        </w:tc>
      </w:tr>
      <w:tr w:rsidR="00873EA8"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873EA8" w:rsidRDefault="00873EA8" w:rsidP="002D4D82">
            <w:pPr>
              <w:spacing w:after="0" w:line="240" w:lineRule="auto"/>
              <w:jc w:val="left"/>
              <w:rPr>
                <w:rFonts w:ascii="Calibri" w:eastAsia="Times New Roman" w:hAnsi="Calibri" w:cs="Calibri"/>
                <w:lang w:eastAsia="tr-TR"/>
              </w:rPr>
            </w:pPr>
            <w:r>
              <w:rPr>
                <w:rFonts w:ascii="Calibri" w:eastAsia="Times New Roman" w:hAnsi="Calibri" w:cs="Calibri"/>
                <w:lang w:eastAsia="tr-TR"/>
              </w:rPr>
              <w:t>KAHRAMANMARAŞ</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48,00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0,00</w:t>
            </w:r>
          </w:p>
        </w:tc>
      </w:tr>
      <w:tr w:rsidR="00873EA8"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873EA8" w:rsidRDefault="00873EA8" w:rsidP="002D4D82">
            <w:pPr>
              <w:spacing w:after="0" w:line="240" w:lineRule="auto"/>
              <w:jc w:val="left"/>
              <w:rPr>
                <w:rFonts w:ascii="Calibri" w:eastAsia="Times New Roman" w:hAnsi="Calibri" w:cs="Calibri"/>
                <w:lang w:eastAsia="tr-TR"/>
              </w:rPr>
            </w:pPr>
            <w:r>
              <w:rPr>
                <w:rFonts w:ascii="Calibri" w:eastAsia="Times New Roman" w:hAnsi="Calibri" w:cs="Calibri"/>
                <w:lang w:eastAsia="tr-TR"/>
              </w:rPr>
              <w:t>KARS</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47,00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0,00</w:t>
            </w:r>
          </w:p>
        </w:tc>
      </w:tr>
      <w:tr w:rsidR="00873EA8"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873EA8" w:rsidRDefault="00873EA8" w:rsidP="002D4D82">
            <w:pPr>
              <w:spacing w:after="0" w:line="240" w:lineRule="auto"/>
              <w:jc w:val="left"/>
              <w:rPr>
                <w:rFonts w:ascii="Calibri" w:eastAsia="Times New Roman" w:hAnsi="Calibri" w:cs="Calibri"/>
                <w:lang w:eastAsia="tr-TR"/>
              </w:rPr>
            </w:pPr>
            <w:r>
              <w:rPr>
                <w:rFonts w:ascii="Calibri" w:eastAsia="Times New Roman" w:hAnsi="Calibri" w:cs="Calibri"/>
                <w:lang w:eastAsia="tr-TR"/>
              </w:rPr>
              <w:t>KASTAMONU</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49,00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0,00</w:t>
            </w:r>
          </w:p>
        </w:tc>
      </w:tr>
      <w:tr w:rsidR="00873EA8"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873EA8" w:rsidRDefault="00873EA8" w:rsidP="002D4D82">
            <w:pPr>
              <w:spacing w:after="0" w:line="240" w:lineRule="auto"/>
              <w:jc w:val="left"/>
              <w:rPr>
                <w:rFonts w:ascii="Calibri" w:eastAsia="Times New Roman" w:hAnsi="Calibri" w:cs="Calibri"/>
                <w:lang w:eastAsia="tr-TR"/>
              </w:rPr>
            </w:pPr>
            <w:r>
              <w:rPr>
                <w:rFonts w:ascii="Calibri" w:eastAsia="Times New Roman" w:hAnsi="Calibri" w:cs="Calibri"/>
                <w:lang w:eastAsia="tr-TR"/>
              </w:rPr>
              <w:t>KAYSERİ</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1.013,00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0,02</w:t>
            </w:r>
          </w:p>
        </w:tc>
      </w:tr>
      <w:tr w:rsidR="00873EA8"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873EA8" w:rsidRDefault="00873EA8" w:rsidP="002D4D82">
            <w:pPr>
              <w:spacing w:after="0" w:line="240" w:lineRule="auto"/>
              <w:jc w:val="left"/>
              <w:rPr>
                <w:rFonts w:ascii="Calibri" w:eastAsia="Times New Roman" w:hAnsi="Calibri" w:cs="Calibri"/>
                <w:lang w:eastAsia="tr-TR"/>
              </w:rPr>
            </w:pPr>
            <w:r>
              <w:rPr>
                <w:rFonts w:ascii="Calibri" w:eastAsia="Times New Roman" w:hAnsi="Calibri" w:cs="Calibri"/>
                <w:lang w:eastAsia="tr-TR"/>
              </w:rPr>
              <w:t>KIRIKKALE</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142.925,68</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2,5</w:t>
            </w:r>
            <w:r w:rsidR="00CB73EB">
              <w:rPr>
                <w:rFonts w:ascii="Calibri" w:eastAsia="Times New Roman" w:hAnsi="Calibri" w:cs="Calibri"/>
                <w:lang w:eastAsia="tr-TR"/>
              </w:rPr>
              <w:t>5</w:t>
            </w:r>
          </w:p>
        </w:tc>
      </w:tr>
      <w:tr w:rsidR="00873EA8"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873EA8" w:rsidRDefault="00873EA8" w:rsidP="002D4D82">
            <w:pPr>
              <w:spacing w:after="0" w:line="240" w:lineRule="auto"/>
              <w:jc w:val="left"/>
              <w:rPr>
                <w:rFonts w:ascii="Calibri" w:eastAsia="Times New Roman" w:hAnsi="Calibri" w:cs="Calibri"/>
                <w:lang w:eastAsia="tr-TR"/>
              </w:rPr>
            </w:pPr>
            <w:r>
              <w:rPr>
                <w:rFonts w:ascii="Calibri" w:eastAsia="Times New Roman" w:hAnsi="Calibri" w:cs="Calibri"/>
                <w:lang w:eastAsia="tr-TR"/>
              </w:rPr>
              <w:t>KOCAELİ</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760.487,14</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13,53</w:t>
            </w:r>
          </w:p>
        </w:tc>
      </w:tr>
      <w:tr w:rsidR="00873EA8"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873EA8" w:rsidRDefault="00873EA8" w:rsidP="002D4D82">
            <w:pPr>
              <w:spacing w:after="0" w:line="240" w:lineRule="auto"/>
              <w:jc w:val="left"/>
              <w:rPr>
                <w:rFonts w:ascii="Calibri" w:eastAsia="Times New Roman" w:hAnsi="Calibri" w:cs="Calibri"/>
                <w:lang w:eastAsia="tr-TR"/>
              </w:rPr>
            </w:pPr>
            <w:r>
              <w:rPr>
                <w:rFonts w:ascii="Calibri" w:eastAsia="Times New Roman" w:hAnsi="Calibri" w:cs="Calibri"/>
                <w:lang w:eastAsia="tr-TR"/>
              </w:rPr>
              <w:t>KONYA</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254,00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0,00</w:t>
            </w:r>
          </w:p>
        </w:tc>
      </w:tr>
      <w:tr w:rsidR="00873EA8"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873EA8" w:rsidRDefault="00873EA8" w:rsidP="002D4D82">
            <w:pPr>
              <w:spacing w:after="0" w:line="240" w:lineRule="auto"/>
              <w:jc w:val="left"/>
              <w:rPr>
                <w:rFonts w:ascii="Calibri" w:eastAsia="Times New Roman" w:hAnsi="Calibri" w:cs="Calibri"/>
                <w:lang w:eastAsia="tr-TR"/>
              </w:rPr>
            </w:pPr>
            <w:r>
              <w:rPr>
                <w:rFonts w:ascii="Calibri" w:eastAsia="Times New Roman" w:hAnsi="Calibri" w:cs="Calibri"/>
                <w:lang w:eastAsia="tr-TR"/>
              </w:rPr>
              <w:t>KÜTAHYA</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49,00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0,00</w:t>
            </w:r>
          </w:p>
        </w:tc>
      </w:tr>
      <w:tr w:rsidR="00873EA8"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873EA8" w:rsidRDefault="00873EA8" w:rsidP="002D4D82">
            <w:pPr>
              <w:spacing w:after="0" w:line="240" w:lineRule="auto"/>
              <w:jc w:val="left"/>
              <w:rPr>
                <w:rFonts w:ascii="Calibri" w:eastAsia="Times New Roman" w:hAnsi="Calibri" w:cs="Calibri"/>
                <w:lang w:eastAsia="tr-TR"/>
              </w:rPr>
            </w:pPr>
            <w:r>
              <w:rPr>
                <w:rFonts w:ascii="Calibri" w:eastAsia="Times New Roman" w:hAnsi="Calibri" w:cs="Calibri"/>
                <w:lang w:eastAsia="tr-TR"/>
              </w:rPr>
              <w:t>MALATYA</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5.030,00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0,09</w:t>
            </w:r>
          </w:p>
        </w:tc>
      </w:tr>
      <w:tr w:rsidR="00873EA8"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873EA8" w:rsidRDefault="00873EA8" w:rsidP="002D4D82">
            <w:pPr>
              <w:spacing w:after="0" w:line="240" w:lineRule="auto"/>
              <w:jc w:val="left"/>
              <w:rPr>
                <w:rFonts w:ascii="Calibri" w:eastAsia="Times New Roman" w:hAnsi="Calibri" w:cs="Calibri"/>
                <w:lang w:eastAsia="tr-TR"/>
              </w:rPr>
            </w:pPr>
            <w:r>
              <w:rPr>
                <w:rFonts w:ascii="Calibri" w:eastAsia="Times New Roman" w:hAnsi="Calibri" w:cs="Calibri"/>
                <w:lang w:eastAsia="tr-TR"/>
              </w:rPr>
              <w:t>MARDİN</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94,00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0,00</w:t>
            </w:r>
          </w:p>
        </w:tc>
      </w:tr>
      <w:tr w:rsidR="00873EA8"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873EA8" w:rsidRDefault="00873EA8" w:rsidP="002D4D82">
            <w:pPr>
              <w:spacing w:after="0" w:line="240" w:lineRule="auto"/>
              <w:jc w:val="left"/>
              <w:rPr>
                <w:rFonts w:ascii="Calibri" w:eastAsia="Times New Roman" w:hAnsi="Calibri" w:cs="Calibri"/>
                <w:lang w:eastAsia="tr-TR"/>
              </w:rPr>
            </w:pPr>
            <w:r>
              <w:rPr>
                <w:rFonts w:ascii="Calibri" w:eastAsia="Times New Roman" w:hAnsi="Calibri" w:cs="Calibri"/>
                <w:lang w:eastAsia="tr-TR"/>
              </w:rPr>
              <w:t>MERSİN</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1.830.666,22</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32,57</w:t>
            </w:r>
          </w:p>
        </w:tc>
      </w:tr>
      <w:tr w:rsidR="00873EA8"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873EA8" w:rsidRDefault="00873EA8" w:rsidP="002D4D82">
            <w:pPr>
              <w:spacing w:after="0" w:line="240" w:lineRule="auto"/>
              <w:jc w:val="left"/>
              <w:rPr>
                <w:rFonts w:ascii="Calibri" w:eastAsia="Times New Roman" w:hAnsi="Calibri" w:cs="Calibri"/>
                <w:lang w:eastAsia="tr-TR"/>
              </w:rPr>
            </w:pPr>
            <w:r>
              <w:rPr>
                <w:rFonts w:ascii="Calibri" w:eastAsia="Times New Roman" w:hAnsi="Calibri" w:cs="Calibri"/>
                <w:lang w:eastAsia="tr-TR"/>
              </w:rPr>
              <w:t>MUĞLA</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22.721,13</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0,40</w:t>
            </w:r>
          </w:p>
        </w:tc>
      </w:tr>
      <w:tr w:rsidR="00873EA8"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873EA8" w:rsidRDefault="00873EA8" w:rsidP="002D4D82">
            <w:pPr>
              <w:spacing w:after="0" w:line="240" w:lineRule="auto"/>
              <w:jc w:val="left"/>
              <w:rPr>
                <w:rFonts w:ascii="Calibri" w:eastAsia="Times New Roman" w:hAnsi="Calibri" w:cs="Calibri"/>
                <w:lang w:eastAsia="tr-TR"/>
              </w:rPr>
            </w:pPr>
            <w:r>
              <w:rPr>
                <w:rFonts w:ascii="Calibri" w:eastAsia="Times New Roman" w:hAnsi="Calibri" w:cs="Calibri"/>
                <w:lang w:eastAsia="tr-TR"/>
              </w:rPr>
              <w:t>MUŞ</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48,00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0,00</w:t>
            </w:r>
          </w:p>
        </w:tc>
      </w:tr>
      <w:tr w:rsidR="00873EA8"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873EA8" w:rsidRDefault="00873EA8" w:rsidP="002D4D82">
            <w:pPr>
              <w:spacing w:after="0" w:line="240" w:lineRule="auto"/>
              <w:jc w:val="left"/>
              <w:rPr>
                <w:rFonts w:ascii="Calibri" w:eastAsia="Times New Roman" w:hAnsi="Calibri" w:cs="Calibri"/>
                <w:lang w:eastAsia="tr-TR"/>
              </w:rPr>
            </w:pPr>
            <w:r>
              <w:rPr>
                <w:rFonts w:ascii="Calibri" w:eastAsia="Times New Roman" w:hAnsi="Calibri" w:cs="Calibri"/>
                <w:lang w:eastAsia="tr-TR"/>
              </w:rPr>
              <w:t>NEVŞEHİR</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1.091,00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0,02</w:t>
            </w:r>
          </w:p>
        </w:tc>
      </w:tr>
      <w:tr w:rsidR="00873EA8"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873EA8" w:rsidRDefault="00873EA8" w:rsidP="002D4D82">
            <w:pPr>
              <w:spacing w:after="0" w:line="240" w:lineRule="auto"/>
              <w:jc w:val="left"/>
              <w:rPr>
                <w:rFonts w:ascii="Calibri" w:eastAsia="Times New Roman" w:hAnsi="Calibri" w:cs="Calibri"/>
                <w:lang w:eastAsia="tr-TR"/>
              </w:rPr>
            </w:pPr>
            <w:r>
              <w:rPr>
                <w:rFonts w:ascii="Calibri" w:eastAsia="Times New Roman" w:hAnsi="Calibri" w:cs="Calibri"/>
                <w:lang w:eastAsia="tr-TR"/>
              </w:rPr>
              <w:t>ORDU</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94,00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0,00</w:t>
            </w:r>
          </w:p>
        </w:tc>
      </w:tr>
      <w:tr w:rsidR="00873EA8"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873EA8" w:rsidRDefault="00873EA8" w:rsidP="002D4D82">
            <w:pPr>
              <w:spacing w:after="0" w:line="240" w:lineRule="auto"/>
              <w:jc w:val="left"/>
              <w:rPr>
                <w:rFonts w:ascii="Calibri" w:eastAsia="Times New Roman" w:hAnsi="Calibri" w:cs="Calibri"/>
                <w:lang w:eastAsia="tr-TR"/>
              </w:rPr>
            </w:pPr>
            <w:r>
              <w:rPr>
                <w:rFonts w:ascii="Calibri" w:eastAsia="Times New Roman" w:hAnsi="Calibri" w:cs="Calibri"/>
                <w:lang w:eastAsia="tr-TR"/>
              </w:rPr>
              <w:t>SAMSUN</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193.630,33</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3,4</w:t>
            </w:r>
            <w:r w:rsidR="00CB73EB">
              <w:rPr>
                <w:rFonts w:ascii="Calibri" w:eastAsia="Times New Roman" w:hAnsi="Calibri" w:cs="Calibri"/>
                <w:lang w:eastAsia="tr-TR"/>
              </w:rPr>
              <w:t>5</w:t>
            </w:r>
          </w:p>
        </w:tc>
      </w:tr>
      <w:tr w:rsidR="00873EA8"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873EA8" w:rsidRDefault="00873EA8" w:rsidP="002D4D82">
            <w:pPr>
              <w:spacing w:after="0" w:line="240" w:lineRule="auto"/>
              <w:jc w:val="left"/>
              <w:rPr>
                <w:rFonts w:ascii="Calibri" w:eastAsia="Times New Roman" w:hAnsi="Calibri" w:cs="Calibri"/>
                <w:lang w:eastAsia="tr-TR"/>
              </w:rPr>
            </w:pPr>
            <w:r>
              <w:rPr>
                <w:rFonts w:ascii="Calibri" w:eastAsia="Times New Roman" w:hAnsi="Calibri" w:cs="Calibri"/>
                <w:lang w:eastAsia="tr-TR"/>
              </w:rPr>
              <w:t>SİİRT</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47,00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0,00</w:t>
            </w:r>
          </w:p>
        </w:tc>
      </w:tr>
      <w:tr w:rsidR="00873EA8"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873EA8" w:rsidRDefault="00873EA8" w:rsidP="002D4D82">
            <w:pPr>
              <w:spacing w:after="0" w:line="240" w:lineRule="auto"/>
              <w:jc w:val="left"/>
              <w:rPr>
                <w:rFonts w:ascii="Calibri" w:eastAsia="Times New Roman" w:hAnsi="Calibri" w:cs="Calibri"/>
                <w:lang w:eastAsia="tr-TR"/>
              </w:rPr>
            </w:pPr>
            <w:r>
              <w:rPr>
                <w:rFonts w:ascii="Calibri" w:eastAsia="Times New Roman" w:hAnsi="Calibri" w:cs="Calibri"/>
                <w:lang w:eastAsia="tr-TR"/>
              </w:rPr>
              <w:lastRenderedPageBreak/>
              <w:t>SİNOP</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49,00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0,00</w:t>
            </w:r>
          </w:p>
        </w:tc>
      </w:tr>
      <w:tr w:rsidR="00873EA8"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873EA8" w:rsidRDefault="00873EA8" w:rsidP="002D4D82">
            <w:pPr>
              <w:spacing w:after="0" w:line="240" w:lineRule="auto"/>
              <w:jc w:val="left"/>
              <w:rPr>
                <w:rFonts w:ascii="Calibri" w:eastAsia="Times New Roman" w:hAnsi="Calibri" w:cs="Calibri"/>
                <w:lang w:eastAsia="tr-TR"/>
              </w:rPr>
            </w:pPr>
            <w:r>
              <w:rPr>
                <w:rFonts w:ascii="Calibri" w:eastAsia="Times New Roman" w:hAnsi="Calibri" w:cs="Calibri"/>
                <w:lang w:eastAsia="tr-TR"/>
              </w:rPr>
              <w:t>SİVAS</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49,00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0,00</w:t>
            </w:r>
          </w:p>
        </w:tc>
      </w:tr>
      <w:tr w:rsidR="00873EA8"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873EA8" w:rsidRDefault="00873EA8" w:rsidP="002D4D82">
            <w:pPr>
              <w:spacing w:after="0" w:line="240" w:lineRule="auto"/>
              <w:jc w:val="left"/>
              <w:rPr>
                <w:rFonts w:ascii="Calibri" w:eastAsia="Times New Roman" w:hAnsi="Calibri" w:cs="Calibri"/>
                <w:lang w:eastAsia="tr-TR"/>
              </w:rPr>
            </w:pPr>
            <w:r>
              <w:rPr>
                <w:rFonts w:ascii="Calibri" w:eastAsia="Times New Roman" w:hAnsi="Calibri" w:cs="Calibri"/>
                <w:lang w:eastAsia="tr-TR"/>
              </w:rPr>
              <w:t>ŞANLIURFA</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98,00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0,00</w:t>
            </w:r>
          </w:p>
        </w:tc>
      </w:tr>
      <w:tr w:rsidR="00873EA8"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873EA8" w:rsidRDefault="00873EA8" w:rsidP="002D4D82">
            <w:pPr>
              <w:spacing w:after="0" w:line="240" w:lineRule="auto"/>
              <w:jc w:val="left"/>
              <w:rPr>
                <w:rFonts w:ascii="Calibri" w:eastAsia="Times New Roman" w:hAnsi="Calibri" w:cs="Calibri"/>
                <w:lang w:eastAsia="tr-TR"/>
              </w:rPr>
            </w:pPr>
            <w:r>
              <w:rPr>
                <w:rFonts w:ascii="Calibri" w:eastAsia="Times New Roman" w:hAnsi="Calibri" w:cs="Calibri"/>
                <w:lang w:eastAsia="tr-TR"/>
              </w:rPr>
              <w:t>ŞIRNAK</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49,00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0,00</w:t>
            </w:r>
          </w:p>
        </w:tc>
      </w:tr>
      <w:tr w:rsidR="00873EA8"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873EA8" w:rsidRDefault="00873EA8" w:rsidP="002D4D82">
            <w:pPr>
              <w:spacing w:after="0" w:line="240" w:lineRule="auto"/>
              <w:jc w:val="left"/>
              <w:rPr>
                <w:rFonts w:ascii="Calibri" w:eastAsia="Times New Roman" w:hAnsi="Calibri" w:cs="Calibri"/>
                <w:lang w:eastAsia="tr-TR"/>
              </w:rPr>
            </w:pPr>
            <w:r>
              <w:rPr>
                <w:rFonts w:ascii="Calibri" w:eastAsia="Times New Roman" w:hAnsi="Calibri" w:cs="Calibri"/>
                <w:lang w:eastAsia="tr-TR"/>
              </w:rPr>
              <w:t>TEKİRDAĞ</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854.361,70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15,20</w:t>
            </w:r>
          </w:p>
        </w:tc>
      </w:tr>
      <w:tr w:rsidR="00873EA8"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873EA8" w:rsidRDefault="00873EA8" w:rsidP="002D4D82">
            <w:pPr>
              <w:spacing w:after="0" w:line="240" w:lineRule="auto"/>
              <w:jc w:val="left"/>
              <w:rPr>
                <w:rFonts w:ascii="Calibri" w:eastAsia="Times New Roman" w:hAnsi="Calibri" w:cs="Calibri"/>
                <w:lang w:eastAsia="tr-TR"/>
              </w:rPr>
            </w:pPr>
            <w:r>
              <w:rPr>
                <w:rFonts w:ascii="Calibri" w:eastAsia="Times New Roman" w:hAnsi="Calibri" w:cs="Calibri"/>
                <w:lang w:eastAsia="tr-TR"/>
              </w:rPr>
              <w:t>TOKAT</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48,00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0,00</w:t>
            </w:r>
          </w:p>
        </w:tc>
      </w:tr>
      <w:tr w:rsidR="00873EA8"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873EA8" w:rsidRDefault="00873EA8" w:rsidP="002D4D82">
            <w:pPr>
              <w:spacing w:after="0" w:line="240" w:lineRule="auto"/>
              <w:jc w:val="left"/>
              <w:rPr>
                <w:rFonts w:ascii="Calibri" w:eastAsia="Times New Roman" w:hAnsi="Calibri" w:cs="Calibri"/>
                <w:lang w:eastAsia="tr-TR"/>
              </w:rPr>
            </w:pPr>
            <w:r>
              <w:rPr>
                <w:rFonts w:ascii="Calibri" w:eastAsia="Times New Roman" w:hAnsi="Calibri" w:cs="Calibri"/>
                <w:lang w:eastAsia="tr-TR"/>
              </w:rPr>
              <w:t>TRABZON</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145.606,49</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2,59</w:t>
            </w:r>
          </w:p>
        </w:tc>
      </w:tr>
      <w:tr w:rsidR="00873EA8"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873EA8" w:rsidRDefault="00873EA8" w:rsidP="002D4D82">
            <w:pPr>
              <w:spacing w:after="0" w:line="240" w:lineRule="auto"/>
              <w:jc w:val="left"/>
              <w:rPr>
                <w:rFonts w:ascii="Calibri" w:eastAsia="Times New Roman" w:hAnsi="Calibri" w:cs="Calibri"/>
                <w:lang w:eastAsia="tr-TR"/>
              </w:rPr>
            </w:pPr>
            <w:r>
              <w:rPr>
                <w:rFonts w:ascii="Calibri" w:eastAsia="Times New Roman" w:hAnsi="Calibri" w:cs="Calibri"/>
                <w:lang w:eastAsia="tr-TR"/>
              </w:rPr>
              <w:t>UŞAK</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47,00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0,00</w:t>
            </w:r>
          </w:p>
        </w:tc>
      </w:tr>
      <w:tr w:rsidR="00873EA8"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873EA8" w:rsidRDefault="00873EA8" w:rsidP="002D4D82">
            <w:pPr>
              <w:spacing w:after="0" w:line="240" w:lineRule="auto"/>
              <w:jc w:val="left"/>
              <w:rPr>
                <w:rFonts w:ascii="Calibri" w:eastAsia="Times New Roman" w:hAnsi="Calibri" w:cs="Calibri"/>
                <w:lang w:eastAsia="tr-TR"/>
              </w:rPr>
            </w:pPr>
            <w:r>
              <w:rPr>
                <w:rFonts w:ascii="Calibri" w:eastAsia="Times New Roman" w:hAnsi="Calibri" w:cs="Calibri"/>
                <w:lang w:eastAsia="tr-TR"/>
              </w:rPr>
              <w:t>VAN</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600,00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0,01</w:t>
            </w:r>
          </w:p>
        </w:tc>
      </w:tr>
      <w:tr w:rsidR="00873EA8"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873EA8" w:rsidRDefault="00873EA8" w:rsidP="002D4D82">
            <w:pPr>
              <w:spacing w:after="0" w:line="240" w:lineRule="auto"/>
              <w:jc w:val="left"/>
              <w:rPr>
                <w:rFonts w:ascii="Calibri" w:eastAsia="Times New Roman" w:hAnsi="Calibri" w:cs="Calibri"/>
                <w:lang w:eastAsia="tr-TR"/>
              </w:rPr>
            </w:pPr>
            <w:r>
              <w:rPr>
                <w:rFonts w:ascii="Calibri" w:eastAsia="Times New Roman" w:hAnsi="Calibri" w:cs="Calibri"/>
                <w:lang w:eastAsia="tr-TR"/>
              </w:rPr>
              <w:t>ZONGULDAK</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45,00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73EA8" w:rsidRDefault="00873EA8" w:rsidP="002D4D82">
            <w:pPr>
              <w:spacing w:after="0" w:line="240" w:lineRule="auto"/>
              <w:jc w:val="center"/>
              <w:rPr>
                <w:rFonts w:ascii="Calibri" w:eastAsia="Times New Roman" w:hAnsi="Calibri" w:cs="Calibri"/>
                <w:lang w:eastAsia="tr-TR"/>
              </w:rPr>
            </w:pPr>
            <w:r>
              <w:rPr>
                <w:rFonts w:ascii="Calibri" w:eastAsia="Times New Roman" w:hAnsi="Calibri" w:cs="Calibri"/>
                <w:lang w:eastAsia="tr-TR"/>
              </w:rPr>
              <w:t>0,00</w:t>
            </w:r>
          </w:p>
        </w:tc>
      </w:tr>
      <w:tr w:rsidR="00873EA8"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873EA8" w:rsidRDefault="00873EA8" w:rsidP="002D4D82">
            <w:pPr>
              <w:spacing w:after="0" w:line="240" w:lineRule="auto"/>
              <w:jc w:val="left"/>
              <w:rPr>
                <w:rFonts w:ascii="Calibri" w:eastAsia="Times New Roman" w:hAnsi="Calibri" w:cs="Calibri"/>
                <w:b/>
                <w:bCs/>
                <w:lang w:eastAsia="tr-TR"/>
              </w:rPr>
            </w:pPr>
            <w:r>
              <w:rPr>
                <w:rFonts w:ascii="Calibri" w:eastAsia="Times New Roman" w:hAnsi="Calibri" w:cs="Calibri"/>
                <w:b/>
                <w:bCs/>
                <w:lang w:eastAsia="tr-TR"/>
              </w:rPr>
              <w:t>TOPLAM</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873EA8" w:rsidRDefault="00873EA8" w:rsidP="002D4D82">
            <w:pPr>
              <w:spacing w:after="0" w:line="240" w:lineRule="auto"/>
              <w:jc w:val="center"/>
              <w:rPr>
                <w:rFonts w:ascii="Calibri" w:eastAsia="Times New Roman" w:hAnsi="Calibri" w:cs="Calibri"/>
                <w:b/>
                <w:bCs/>
                <w:lang w:eastAsia="tr-TR"/>
              </w:rPr>
            </w:pPr>
            <w:r>
              <w:rPr>
                <w:rFonts w:ascii="Calibri" w:eastAsia="Times New Roman" w:hAnsi="Calibri" w:cs="Calibri"/>
                <w:b/>
                <w:bCs/>
                <w:lang w:eastAsia="tr-TR"/>
              </w:rPr>
              <w:t>5.621.049,5</w:t>
            </w:r>
            <w:r w:rsidR="0077386E">
              <w:rPr>
                <w:rFonts w:ascii="Calibri" w:eastAsia="Times New Roman" w:hAnsi="Calibri" w:cs="Calibri"/>
                <w:b/>
                <w:bCs/>
                <w:lang w:eastAsia="tr-TR"/>
              </w:rPr>
              <w:t>5</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873EA8" w:rsidRDefault="00873EA8" w:rsidP="002D4D82">
            <w:pPr>
              <w:spacing w:after="0" w:line="240" w:lineRule="auto"/>
              <w:jc w:val="center"/>
              <w:rPr>
                <w:rFonts w:ascii="Calibri" w:eastAsia="Times New Roman" w:hAnsi="Calibri" w:cs="Calibri"/>
                <w:b/>
                <w:bCs/>
                <w:lang w:eastAsia="tr-TR"/>
              </w:rPr>
            </w:pPr>
            <w:r>
              <w:rPr>
                <w:rFonts w:ascii="Calibri" w:eastAsia="Times New Roman" w:hAnsi="Calibri" w:cs="Calibri"/>
                <w:b/>
                <w:bCs/>
                <w:lang w:eastAsia="tr-TR"/>
              </w:rPr>
              <w:t>100,00</w:t>
            </w:r>
          </w:p>
        </w:tc>
      </w:tr>
    </w:tbl>
    <w:bookmarkEnd w:id="184"/>
    <w:bookmarkEnd w:id="185"/>
    <w:p w:rsidR="00CB5826" w:rsidRPr="00CA36A4" w:rsidRDefault="00E41FA5" w:rsidP="00CB5826">
      <w:pPr>
        <w:spacing w:after="0"/>
        <w:rPr>
          <w:sz w:val="20"/>
          <w:szCs w:val="20"/>
        </w:rPr>
      </w:pPr>
      <w:r>
        <w:t xml:space="preserve">                         </w:t>
      </w:r>
      <w:r w:rsidR="00C466F8">
        <w:t>*</w:t>
      </w:r>
      <w:r w:rsidR="00CB5826" w:rsidRPr="00CA36A4">
        <w:rPr>
          <w:sz w:val="20"/>
          <w:szCs w:val="20"/>
        </w:rPr>
        <w:t xml:space="preserve">Dağıtıcı ve ihrakiye teslim lisansı alt başlığındaki depo kapasiteleri de </w:t>
      </w:r>
      <w:r w:rsidR="00D47307" w:rsidRPr="00CA36A4">
        <w:rPr>
          <w:sz w:val="20"/>
          <w:szCs w:val="20"/>
        </w:rPr>
        <w:t>dâhil</w:t>
      </w:r>
      <w:r w:rsidR="00CB5826" w:rsidRPr="00CA36A4">
        <w:rPr>
          <w:sz w:val="20"/>
          <w:szCs w:val="20"/>
        </w:rPr>
        <w:t xml:space="preserve"> edilmiştir.</w:t>
      </w:r>
    </w:p>
    <w:p w:rsidR="000A1FA3" w:rsidRPr="00CA36A4" w:rsidRDefault="000A1FA3" w:rsidP="00CB5826">
      <w:pPr>
        <w:spacing w:after="0"/>
        <w:rPr>
          <w:color w:val="000000" w:themeColor="text1"/>
          <w:sz w:val="20"/>
          <w:szCs w:val="20"/>
        </w:rPr>
      </w:pPr>
    </w:p>
    <w:p w:rsidR="00CB5826" w:rsidRPr="00012426" w:rsidRDefault="00CB5826" w:rsidP="000A5A56">
      <w:pPr>
        <w:pStyle w:val="Balk3"/>
        <w:numPr>
          <w:ilvl w:val="2"/>
          <w:numId w:val="11"/>
        </w:numPr>
        <w:spacing w:before="0" w:after="240"/>
        <w:rPr>
          <w:rFonts w:asciiTheme="minorHAnsi" w:hAnsiTheme="minorHAnsi"/>
          <w:color w:val="auto"/>
        </w:rPr>
      </w:pPr>
      <w:bookmarkStart w:id="186" w:name="_Toc442431262"/>
      <w:bookmarkStart w:id="187" w:name="_Toc132713791"/>
      <w:r w:rsidRPr="00012426">
        <w:rPr>
          <w:rFonts w:asciiTheme="minorHAnsi" w:hAnsiTheme="minorHAnsi"/>
          <w:color w:val="auto"/>
        </w:rPr>
        <w:t>Akaryakıt Harici Ürün İzinlerine Dair İşlemler</w:t>
      </w:r>
      <w:bookmarkEnd w:id="186"/>
      <w:bookmarkEnd w:id="187"/>
    </w:p>
    <w:p w:rsidR="00CB5826" w:rsidRDefault="00CB5826" w:rsidP="00CB5826">
      <w:pPr>
        <w:spacing w:after="240"/>
      </w:pPr>
      <w:r w:rsidRPr="00E9291A">
        <w:t xml:space="preserve">Akaryakıt haricinde kalan petrol ürünlerinin yurt içi ve yurt dışı kaynaklardan temininde uygunluk yazısı düzenlenmesine ilişkin usul ve esasların düzenlendiği </w:t>
      </w:r>
      <w:r w:rsidRPr="00372350">
        <w:rPr>
          <w:i/>
        </w:rPr>
        <w:t>“Akaryakıt Haricinde Kalan Petrol Ürünlerinin Yurt İçi ve Yurt Dışı Kaynaklardan Teminine İlişkin Usul ve Esaslar Hakkında Tebliğ”</w:t>
      </w:r>
      <w:r w:rsidR="00372350">
        <w:rPr>
          <w:i/>
        </w:rPr>
        <w:t xml:space="preserve"> </w:t>
      </w:r>
      <w:r w:rsidR="00372350">
        <w:t>24.04.</w:t>
      </w:r>
      <w:r w:rsidRPr="00E9291A">
        <w:t xml:space="preserve">2013 tarihli ve 28627 sayılı </w:t>
      </w:r>
      <w:r w:rsidR="002A7E33" w:rsidRPr="00E9291A">
        <w:t>Resmî</w:t>
      </w:r>
      <w:r w:rsidRPr="00E9291A">
        <w:t xml:space="preserve"> </w:t>
      </w:r>
      <w:r w:rsidR="00274939">
        <w:t>Gazetede</w:t>
      </w:r>
      <w:r w:rsidRPr="00E9291A">
        <w:t xml:space="preserve"> yayımlanarak yürürlüğe girmiştir. Bu kapsamda; Kurum</w:t>
      </w:r>
      <w:r w:rsidR="002A7E33">
        <w:t>dan</w:t>
      </w:r>
      <w:r w:rsidRPr="00E9291A">
        <w:t xml:space="preserve"> uygunluk yazısı alınması şartıyla akaryakıt haricinde kalan petrol ürünlerinin yurt içinden temini sanayiciler, yurt dışından ithali doğrudan sanayiciler ya da sanayiciler adına ithalatçılar tarafından yapılabil</w:t>
      </w:r>
      <w:r w:rsidR="00007D6C">
        <w:t xml:space="preserve">mektedir. </w:t>
      </w:r>
      <w:r w:rsidR="00007D6C" w:rsidRPr="00E11ED2">
        <w:t>Tebliğ kapsamında</w:t>
      </w:r>
      <w:r w:rsidRPr="00E11ED2">
        <w:t xml:space="preserve"> </w:t>
      </w:r>
      <w:r w:rsidR="006E7CD3" w:rsidRPr="006E7CD3">
        <w:t>2022 227</w:t>
      </w:r>
      <w:r w:rsidR="00A108C9" w:rsidRPr="006E7CD3">
        <w:t xml:space="preserve"> </w:t>
      </w:r>
      <w:r w:rsidR="00007D6C" w:rsidRPr="00E11ED2">
        <w:t xml:space="preserve">adet </w:t>
      </w:r>
      <w:r w:rsidRPr="00E11ED2">
        <w:t>Uygunluk Belgesi düzenlenmiştir.</w:t>
      </w:r>
    </w:p>
    <w:p w:rsidR="004E03B6" w:rsidRPr="007F5946" w:rsidRDefault="004E03B6" w:rsidP="001A5189">
      <w:pPr>
        <w:pStyle w:val="Balk3"/>
        <w:numPr>
          <w:ilvl w:val="2"/>
          <w:numId w:val="11"/>
        </w:numPr>
        <w:spacing w:before="0" w:after="240"/>
        <w:rPr>
          <w:rFonts w:asciiTheme="minorHAnsi" w:hAnsiTheme="minorHAnsi"/>
          <w:color w:val="auto"/>
        </w:rPr>
      </w:pPr>
      <w:bookmarkStart w:id="188" w:name="_Toc132713792"/>
      <w:r w:rsidRPr="004E03B6">
        <w:rPr>
          <w:rFonts w:asciiTheme="minorHAnsi" w:hAnsiTheme="minorHAnsi"/>
          <w:color w:val="auto"/>
        </w:rPr>
        <w:t>Lisans Sahiplerine Yönelik Otomasyon Çalışmaları</w:t>
      </w:r>
      <w:bookmarkEnd w:id="188"/>
    </w:p>
    <w:p w:rsidR="004E03B6" w:rsidRDefault="004E03B6" w:rsidP="001A5189">
      <w:pPr>
        <w:pStyle w:val="Balk4"/>
        <w:numPr>
          <w:ilvl w:val="3"/>
          <w:numId w:val="11"/>
        </w:numPr>
        <w:spacing w:after="240"/>
        <w:rPr>
          <w:rFonts w:asciiTheme="minorHAnsi" w:hAnsiTheme="minorHAnsi"/>
          <w:i w:val="0"/>
          <w:iCs w:val="0"/>
          <w:color w:val="auto"/>
        </w:rPr>
      </w:pPr>
      <w:bookmarkStart w:id="189" w:name="_Toc132713793"/>
      <w:r>
        <w:rPr>
          <w:rFonts w:asciiTheme="minorHAnsi" w:hAnsiTheme="minorHAnsi"/>
          <w:i w:val="0"/>
          <w:iCs w:val="0"/>
          <w:color w:val="auto"/>
        </w:rPr>
        <w:t>Ulusal Marker</w:t>
      </w:r>
      <w:bookmarkEnd w:id="189"/>
    </w:p>
    <w:p w:rsidR="004E03B6" w:rsidRPr="00BC70DF" w:rsidRDefault="004E03B6" w:rsidP="004E03B6">
      <w:pPr>
        <w:spacing w:after="0"/>
        <w:rPr>
          <w:color w:val="000000" w:themeColor="text1"/>
        </w:rPr>
      </w:pPr>
      <w:r w:rsidRPr="00BC70DF">
        <w:rPr>
          <w:color w:val="000000" w:themeColor="text1"/>
        </w:rPr>
        <w:t>Ülkemiz petrol piyasasında dolaşımda olan akaryakıtın, piyasaya yasal yollardan girip girmediğinin tespit edilerek, kaçak ve standart dışı ürün satışının önlenmesi amacıyla 5015 sayılı Petrol Piyasası Kanununun 18</w:t>
      </w:r>
      <w:r>
        <w:rPr>
          <w:color w:val="000000" w:themeColor="text1"/>
        </w:rPr>
        <w:t xml:space="preserve"> </w:t>
      </w:r>
      <w:r w:rsidRPr="00BC70DF">
        <w:rPr>
          <w:color w:val="000000" w:themeColor="text1"/>
        </w:rPr>
        <w:t xml:space="preserve">inci maddesi ile Petrol Piyasasında Ulusal Marker Uygulamasına İlişkin Yönetmelik uyarınca, </w:t>
      </w:r>
      <w:r w:rsidR="002A7E33">
        <w:rPr>
          <w:color w:val="000000" w:themeColor="text1"/>
        </w:rPr>
        <w:t>Ulusal Marker (</w:t>
      </w:r>
      <w:r w:rsidR="00FA6184">
        <w:rPr>
          <w:color w:val="000000" w:themeColor="text1"/>
        </w:rPr>
        <w:t>UM</w:t>
      </w:r>
      <w:r w:rsidR="002A7E33">
        <w:rPr>
          <w:color w:val="000000" w:themeColor="text1"/>
        </w:rPr>
        <w:t>)</w:t>
      </w:r>
      <w:r w:rsidR="00FA6184">
        <w:rPr>
          <w:color w:val="000000" w:themeColor="text1"/>
        </w:rPr>
        <w:t xml:space="preserve"> </w:t>
      </w:r>
      <w:r w:rsidRPr="00BC70DF">
        <w:rPr>
          <w:color w:val="000000" w:themeColor="text1"/>
        </w:rPr>
        <w:t xml:space="preserve">uygulaması </w:t>
      </w:r>
      <w:r w:rsidR="00372350" w:rsidRPr="00BC70DF">
        <w:rPr>
          <w:color w:val="000000" w:themeColor="text1"/>
        </w:rPr>
        <w:t>01.01.2007</w:t>
      </w:r>
      <w:r w:rsidRPr="00BC70DF">
        <w:rPr>
          <w:color w:val="000000" w:themeColor="text1"/>
        </w:rPr>
        <w:t xml:space="preserve"> tarihinde başlamıştır.</w:t>
      </w:r>
    </w:p>
    <w:p w:rsidR="004E03B6" w:rsidRPr="00BC70DF" w:rsidRDefault="004E03B6" w:rsidP="004E03B6">
      <w:pPr>
        <w:spacing w:after="0"/>
        <w:rPr>
          <w:color w:val="000000" w:themeColor="text1"/>
        </w:rPr>
      </w:pPr>
    </w:p>
    <w:p w:rsidR="004E03B6" w:rsidRPr="00BC70DF" w:rsidRDefault="004E03B6" w:rsidP="004E03B6">
      <w:pPr>
        <w:spacing w:after="0"/>
        <w:rPr>
          <w:color w:val="000000" w:themeColor="text1"/>
        </w:rPr>
      </w:pPr>
      <w:r w:rsidRPr="00BC70DF">
        <w:rPr>
          <w:color w:val="000000" w:themeColor="text1"/>
        </w:rPr>
        <w:t>U</w:t>
      </w:r>
      <w:r w:rsidR="00061190">
        <w:rPr>
          <w:color w:val="000000" w:themeColor="text1"/>
        </w:rPr>
        <w:t>ygulama kapsamında 2</w:t>
      </w:r>
      <w:r w:rsidR="00A108C9">
        <w:rPr>
          <w:color w:val="000000" w:themeColor="text1"/>
        </w:rPr>
        <w:t>02</w:t>
      </w:r>
      <w:r w:rsidR="006E7CD3">
        <w:rPr>
          <w:color w:val="000000" w:themeColor="text1"/>
        </w:rPr>
        <w:t>2</w:t>
      </w:r>
      <w:r>
        <w:rPr>
          <w:color w:val="000000" w:themeColor="text1"/>
        </w:rPr>
        <w:t xml:space="preserve"> yılında ilgili lisans sahiplerin</w:t>
      </w:r>
      <w:r w:rsidRPr="00BC70DF">
        <w:rPr>
          <w:color w:val="000000" w:themeColor="text1"/>
        </w:rPr>
        <w:t xml:space="preserve">e </w:t>
      </w:r>
      <w:r>
        <w:rPr>
          <w:color w:val="000000" w:themeColor="text1"/>
        </w:rPr>
        <w:t xml:space="preserve">teslim edilen ve </w:t>
      </w:r>
      <w:r w:rsidRPr="00BC70DF">
        <w:rPr>
          <w:color w:val="000000" w:themeColor="text1"/>
        </w:rPr>
        <w:t xml:space="preserve">kullanılan </w:t>
      </w:r>
      <w:r w:rsidR="00FA6184">
        <w:rPr>
          <w:color w:val="000000" w:themeColor="text1"/>
        </w:rPr>
        <w:t>UM</w:t>
      </w:r>
      <w:r w:rsidRPr="00BC70DF">
        <w:rPr>
          <w:color w:val="000000" w:themeColor="text1"/>
        </w:rPr>
        <w:t xml:space="preserve"> </w:t>
      </w:r>
      <w:r>
        <w:rPr>
          <w:color w:val="000000" w:themeColor="text1"/>
        </w:rPr>
        <w:t>ile</w:t>
      </w:r>
      <w:r w:rsidRPr="00BC70DF">
        <w:rPr>
          <w:color w:val="000000" w:themeColor="text1"/>
        </w:rPr>
        <w:t xml:space="preserve"> işaretlenen akaryakıt miktarları yıllar bazında aşağıdaki tabloda verilmektedir.</w:t>
      </w:r>
    </w:p>
    <w:p w:rsidR="004E03B6" w:rsidRPr="00E9291A" w:rsidRDefault="004E03B6" w:rsidP="004E03B6">
      <w:pPr>
        <w:pStyle w:val="Balk5"/>
        <w:jc w:val="center"/>
        <w:rPr>
          <w:rStyle w:val="Gl"/>
          <w:color w:val="000000" w:themeColor="text1"/>
        </w:rPr>
      </w:pPr>
      <w:bookmarkStart w:id="190" w:name="_Toc132713900"/>
      <w:r w:rsidRPr="00E11ED2">
        <w:rPr>
          <w:rStyle w:val="Gl"/>
          <w:color w:val="000000" w:themeColor="text1"/>
        </w:rPr>
        <w:t>Tablo 3.</w:t>
      </w:r>
      <w:r w:rsidR="0017770B">
        <w:rPr>
          <w:rStyle w:val="Gl"/>
          <w:color w:val="000000" w:themeColor="text1"/>
        </w:rPr>
        <w:t>10</w:t>
      </w:r>
      <w:r w:rsidRPr="00E11ED2">
        <w:rPr>
          <w:rStyle w:val="Gl"/>
          <w:color w:val="000000" w:themeColor="text1"/>
        </w:rPr>
        <w:t>: Yıllar İtibar</w:t>
      </w:r>
      <w:r w:rsidR="005030E7">
        <w:rPr>
          <w:rStyle w:val="Gl"/>
          <w:color w:val="000000" w:themeColor="text1"/>
        </w:rPr>
        <w:t>ı</w:t>
      </w:r>
      <w:r w:rsidRPr="00E11ED2">
        <w:rPr>
          <w:rStyle w:val="Gl"/>
          <w:color w:val="000000" w:themeColor="text1"/>
        </w:rPr>
        <w:t>yl</w:t>
      </w:r>
      <w:r w:rsidR="005030E7">
        <w:rPr>
          <w:rStyle w:val="Gl"/>
          <w:color w:val="000000" w:themeColor="text1"/>
        </w:rPr>
        <w:t>a</w:t>
      </w:r>
      <w:r w:rsidRPr="00E11ED2">
        <w:rPr>
          <w:rStyle w:val="Gl"/>
          <w:color w:val="000000" w:themeColor="text1"/>
        </w:rPr>
        <w:t xml:space="preserve"> Kullanılan Ulusal Marker ve İşaretlenen Akaryakıt Miktarları</w:t>
      </w:r>
      <w:bookmarkEnd w:id="190"/>
    </w:p>
    <w:tbl>
      <w:tblPr>
        <w:tblW w:w="5000" w:type="pct"/>
        <w:tblCellMar>
          <w:left w:w="70" w:type="dxa"/>
          <w:right w:w="70" w:type="dxa"/>
        </w:tblCellMar>
        <w:tblLook w:val="04A0" w:firstRow="1" w:lastRow="0" w:firstColumn="1" w:lastColumn="0" w:noHBand="0" w:noVBand="1"/>
      </w:tblPr>
      <w:tblGrid>
        <w:gridCol w:w="1641"/>
        <w:gridCol w:w="954"/>
        <w:gridCol w:w="1078"/>
        <w:gridCol w:w="1078"/>
        <w:gridCol w:w="1172"/>
        <w:gridCol w:w="1256"/>
        <w:gridCol w:w="1236"/>
        <w:gridCol w:w="1487"/>
      </w:tblGrid>
      <w:tr w:rsidR="005D0429" w:rsidRPr="005D0429" w:rsidTr="006836C6">
        <w:trPr>
          <w:trHeight w:val="20"/>
          <w:tblHeader/>
        </w:trPr>
        <w:tc>
          <w:tcPr>
            <w:tcW w:w="829" w:type="pct"/>
            <w:tcBorders>
              <w:top w:val="single" w:sz="8" w:space="0" w:color="D9D9D9"/>
              <w:left w:val="single" w:sz="8" w:space="0" w:color="D9D9D9"/>
              <w:bottom w:val="single" w:sz="8" w:space="0" w:color="D9D9D9"/>
              <w:right w:val="single" w:sz="8" w:space="0" w:color="D9D9D9"/>
            </w:tcBorders>
            <w:shd w:val="clear" w:color="000000" w:fill="6E9ECA"/>
            <w:vAlign w:val="center"/>
            <w:hideMark/>
          </w:tcPr>
          <w:p w:rsidR="005D0429" w:rsidRPr="005030E7" w:rsidRDefault="005D0429" w:rsidP="005D0429">
            <w:pPr>
              <w:spacing w:after="0" w:line="240" w:lineRule="auto"/>
              <w:jc w:val="center"/>
              <w:rPr>
                <w:rFonts w:ascii="Calibri" w:eastAsia="Times New Roman" w:hAnsi="Calibri"/>
                <w:b/>
                <w:bCs/>
                <w:color w:val="FFFFFF"/>
                <w:szCs w:val="20"/>
                <w:lang w:eastAsia="tr-TR"/>
              </w:rPr>
            </w:pPr>
            <w:r w:rsidRPr="005030E7">
              <w:rPr>
                <w:rFonts w:ascii="Calibri" w:eastAsia="Times New Roman" w:hAnsi="Calibri"/>
                <w:b/>
                <w:bCs/>
                <w:color w:val="FFFFFF"/>
                <w:szCs w:val="20"/>
                <w:lang w:eastAsia="tr-TR"/>
              </w:rPr>
              <w:t>Yıllar</w:t>
            </w:r>
          </w:p>
        </w:tc>
        <w:tc>
          <w:tcPr>
            <w:tcW w:w="482" w:type="pct"/>
            <w:tcBorders>
              <w:top w:val="single" w:sz="8" w:space="0" w:color="D9D9D9"/>
              <w:left w:val="nil"/>
              <w:bottom w:val="single" w:sz="8" w:space="0" w:color="D9D9D9"/>
              <w:right w:val="single" w:sz="8" w:space="0" w:color="D9D9D9"/>
            </w:tcBorders>
            <w:shd w:val="clear" w:color="000000" w:fill="6E9ECA"/>
            <w:vAlign w:val="center"/>
            <w:hideMark/>
          </w:tcPr>
          <w:p w:rsidR="005D0429" w:rsidRPr="005030E7" w:rsidRDefault="005D0429" w:rsidP="005D0429">
            <w:pPr>
              <w:spacing w:after="0" w:line="240" w:lineRule="auto"/>
              <w:jc w:val="center"/>
              <w:rPr>
                <w:rFonts w:ascii="Calibri" w:eastAsia="Times New Roman" w:hAnsi="Calibri"/>
                <w:b/>
                <w:bCs/>
                <w:color w:val="FFFFFF"/>
                <w:szCs w:val="20"/>
                <w:lang w:eastAsia="tr-TR"/>
              </w:rPr>
            </w:pPr>
            <w:r w:rsidRPr="005030E7">
              <w:rPr>
                <w:rFonts w:ascii="Calibri" w:eastAsia="Times New Roman" w:hAnsi="Calibri"/>
                <w:b/>
                <w:bCs/>
                <w:color w:val="FFFFFF"/>
                <w:szCs w:val="20"/>
                <w:lang w:eastAsia="tr-TR"/>
              </w:rPr>
              <w:t>Lisans Türü</w:t>
            </w:r>
          </w:p>
        </w:tc>
        <w:tc>
          <w:tcPr>
            <w:tcW w:w="544" w:type="pct"/>
            <w:tcBorders>
              <w:top w:val="single" w:sz="8" w:space="0" w:color="D9D9D9"/>
              <w:left w:val="nil"/>
              <w:bottom w:val="single" w:sz="8" w:space="0" w:color="D9D9D9"/>
              <w:right w:val="single" w:sz="8" w:space="0" w:color="D9D9D9"/>
            </w:tcBorders>
            <w:shd w:val="clear" w:color="000000" w:fill="6E9ECA"/>
            <w:vAlign w:val="center"/>
            <w:hideMark/>
          </w:tcPr>
          <w:p w:rsidR="005D0429" w:rsidRPr="005030E7" w:rsidRDefault="005D0429" w:rsidP="005030E7">
            <w:pPr>
              <w:spacing w:after="0" w:line="240" w:lineRule="auto"/>
              <w:jc w:val="center"/>
              <w:rPr>
                <w:rFonts w:ascii="Calibri" w:eastAsia="Times New Roman" w:hAnsi="Calibri"/>
                <w:b/>
                <w:bCs/>
                <w:color w:val="FFFFFF"/>
                <w:szCs w:val="20"/>
                <w:lang w:eastAsia="tr-TR"/>
              </w:rPr>
            </w:pPr>
            <w:r w:rsidRPr="005030E7">
              <w:rPr>
                <w:rFonts w:ascii="Calibri" w:eastAsia="Times New Roman" w:hAnsi="Calibri"/>
                <w:b/>
                <w:bCs/>
                <w:color w:val="FFFFFF"/>
                <w:szCs w:val="20"/>
                <w:lang w:eastAsia="tr-TR"/>
              </w:rPr>
              <w:t>Teslim Edilen UM Miktarı (lt)</w:t>
            </w:r>
          </w:p>
        </w:tc>
        <w:tc>
          <w:tcPr>
            <w:tcW w:w="544" w:type="pct"/>
            <w:tcBorders>
              <w:top w:val="single" w:sz="8" w:space="0" w:color="D9D9D9"/>
              <w:left w:val="nil"/>
              <w:bottom w:val="single" w:sz="8" w:space="0" w:color="D9D9D9"/>
              <w:right w:val="single" w:sz="8" w:space="0" w:color="D9D9D9"/>
            </w:tcBorders>
            <w:shd w:val="clear" w:color="000000" w:fill="6E9ECA"/>
            <w:vAlign w:val="center"/>
            <w:hideMark/>
          </w:tcPr>
          <w:p w:rsidR="005D0429" w:rsidRPr="005030E7" w:rsidRDefault="005D0429" w:rsidP="005030E7">
            <w:pPr>
              <w:spacing w:after="0" w:line="240" w:lineRule="auto"/>
              <w:jc w:val="center"/>
              <w:rPr>
                <w:rFonts w:ascii="Calibri" w:eastAsia="Times New Roman" w:hAnsi="Calibri"/>
                <w:b/>
                <w:bCs/>
                <w:color w:val="FFFFFF"/>
                <w:szCs w:val="20"/>
                <w:lang w:eastAsia="tr-TR"/>
              </w:rPr>
            </w:pPr>
            <w:r w:rsidRPr="005030E7">
              <w:rPr>
                <w:rFonts w:ascii="Calibri" w:eastAsia="Times New Roman" w:hAnsi="Calibri"/>
                <w:b/>
                <w:bCs/>
                <w:color w:val="FFFFFF"/>
                <w:szCs w:val="20"/>
                <w:lang w:eastAsia="tr-TR"/>
              </w:rPr>
              <w:t>Kullanılan UM Miktarı (lt)</w:t>
            </w:r>
          </w:p>
        </w:tc>
        <w:tc>
          <w:tcPr>
            <w:tcW w:w="592" w:type="pct"/>
            <w:tcBorders>
              <w:top w:val="single" w:sz="8" w:space="0" w:color="D9D9D9"/>
              <w:left w:val="nil"/>
              <w:bottom w:val="single" w:sz="8" w:space="0" w:color="D9D9D9"/>
              <w:right w:val="single" w:sz="8" w:space="0" w:color="D9D9D9"/>
            </w:tcBorders>
            <w:shd w:val="clear" w:color="000000" w:fill="6E9ECA"/>
            <w:vAlign w:val="center"/>
            <w:hideMark/>
          </w:tcPr>
          <w:p w:rsidR="005D0429" w:rsidRPr="005030E7" w:rsidRDefault="005D0429" w:rsidP="005D0429">
            <w:pPr>
              <w:spacing w:after="0" w:line="240" w:lineRule="auto"/>
              <w:jc w:val="center"/>
              <w:rPr>
                <w:rFonts w:ascii="Calibri" w:eastAsia="Times New Roman" w:hAnsi="Calibri"/>
                <w:b/>
                <w:bCs/>
                <w:color w:val="FFFFFF"/>
                <w:szCs w:val="20"/>
                <w:lang w:eastAsia="tr-TR"/>
              </w:rPr>
            </w:pPr>
            <w:r w:rsidRPr="005030E7">
              <w:rPr>
                <w:rFonts w:ascii="Calibri" w:eastAsia="Times New Roman" w:hAnsi="Calibri"/>
                <w:b/>
                <w:bCs/>
                <w:color w:val="FFFFFF"/>
                <w:szCs w:val="20"/>
                <w:lang w:eastAsia="tr-TR"/>
              </w:rPr>
              <w:t>İşaretlenen Benzin Miktarı (m³)</w:t>
            </w:r>
          </w:p>
        </w:tc>
        <w:tc>
          <w:tcPr>
            <w:tcW w:w="634" w:type="pct"/>
            <w:tcBorders>
              <w:top w:val="single" w:sz="8" w:space="0" w:color="D9D9D9"/>
              <w:left w:val="nil"/>
              <w:bottom w:val="single" w:sz="8" w:space="0" w:color="D9D9D9"/>
              <w:right w:val="single" w:sz="8" w:space="0" w:color="D9D9D9"/>
            </w:tcBorders>
            <w:shd w:val="clear" w:color="000000" w:fill="6E9ECA"/>
            <w:vAlign w:val="center"/>
            <w:hideMark/>
          </w:tcPr>
          <w:p w:rsidR="005D0429" w:rsidRPr="005030E7" w:rsidRDefault="005D0429" w:rsidP="005D0429">
            <w:pPr>
              <w:spacing w:after="0" w:line="240" w:lineRule="auto"/>
              <w:jc w:val="center"/>
              <w:rPr>
                <w:rFonts w:ascii="Calibri" w:eastAsia="Times New Roman" w:hAnsi="Calibri"/>
                <w:b/>
                <w:bCs/>
                <w:color w:val="FFFFFF"/>
                <w:szCs w:val="20"/>
                <w:lang w:eastAsia="tr-TR"/>
              </w:rPr>
            </w:pPr>
            <w:r w:rsidRPr="005030E7">
              <w:rPr>
                <w:rFonts w:ascii="Calibri" w:eastAsia="Times New Roman" w:hAnsi="Calibri"/>
                <w:b/>
                <w:bCs/>
                <w:color w:val="FFFFFF"/>
                <w:szCs w:val="20"/>
                <w:lang w:eastAsia="tr-TR"/>
              </w:rPr>
              <w:t>İşaretlenen Motorin Miktarı (m³)</w:t>
            </w:r>
          </w:p>
        </w:tc>
        <w:tc>
          <w:tcPr>
            <w:tcW w:w="624" w:type="pct"/>
            <w:tcBorders>
              <w:top w:val="single" w:sz="8" w:space="0" w:color="D9D9D9"/>
              <w:left w:val="nil"/>
              <w:bottom w:val="single" w:sz="8" w:space="0" w:color="D9D9D9"/>
              <w:right w:val="single" w:sz="8" w:space="0" w:color="D9D9D9"/>
            </w:tcBorders>
            <w:shd w:val="clear" w:color="000000" w:fill="6E9ECA"/>
            <w:vAlign w:val="center"/>
            <w:hideMark/>
          </w:tcPr>
          <w:p w:rsidR="005D0429" w:rsidRPr="005030E7" w:rsidRDefault="005D0429" w:rsidP="005D0429">
            <w:pPr>
              <w:spacing w:after="0" w:line="240" w:lineRule="auto"/>
              <w:jc w:val="center"/>
              <w:rPr>
                <w:rFonts w:ascii="Calibri" w:eastAsia="Times New Roman" w:hAnsi="Calibri"/>
                <w:b/>
                <w:bCs/>
                <w:color w:val="FFFFFF"/>
                <w:szCs w:val="20"/>
                <w:lang w:eastAsia="tr-TR"/>
              </w:rPr>
            </w:pPr>
            <w:r w:rsidRPr="005030E7">
              <w:rPr>
                <w:rFonts w:ascii="Calibri" w:eastAsia="Times New Roman" w:hAnsi="Calibri"/>
                <w:b/>
                <w:bCs/>
                <w:color w:val="FFFFFF"/>
                <w:szCs w:val="20"/>
                <w:lang w:eastAsia="tr-TR"/>
              </w:rPr>
              <w:t>İşaretlenen Biyodizel/ Etanol-Gazyağı Miktarı (m³)</w:t>
            </w:r>
          </w:p>
        </w:tc>
        <w:tc>
          <w:tcPr>
            <w:tcW w:w="751" w:type="pct"/>
            <w:tcBorders>
              <w:top w:val="single" w:sz="8" w:space="0" w:color="D9D9D9"/>
              <w:left w:val="nil"/>
              <w:bottom w:val="single" w:sz="8" w:space="0" w:color="D9D9D9"/>
              <w:right w:val="single" w:sz="8" w:space="0" w:color="D9D9D9"/>
            </w:tcBorders>
            <w:shd w:val="clear" w:color="000000" w:fill="6E9ECA"/>
            <w:vAlign w:val="center"/>
            <w:hideMark/>
          </w:tcPr>
          <w:p w:rsidR="005D0429" w:rsidRPr="005030E7" w:rsidRDefault="005D0429" w:rsidP="005D0429">
            <w:pPr>
              <w:spacing w:after="0" w:line="240" w:lineRule="auto"/>
              <w:jc w:val="center"/>
              <w:rPr>
                <w:rFonts w:ascii="Calibri" w:eastAsia="Times New Roman" w:hAnsi="Calibri"/>
                <w:b/>
                <w:bCs/>
                <w:color w:val="FFFFFF"/>
                <w:szCs w:val="20"/>
                <w:lang w:eastAsia="tr-TR"/>
              </w:rPr>
            </w:pPr>
            <w:r w:rsidRPr="005030E7">
              <w:rPr>
                <w:rFonts w:ascii="Calibri" w:eastAsia="Times New Roman" w:hAnsi="Calibri"/>
                <w:b/>
                <w:bCs/>
                <w:color w:val="FFFFFF"/>
                <w:szCs w:val="20"/>
                <w:lang w:eastAsia="tr-TR"/>
              </w:rPr>
              <w:t>Toplam İşaretlenen Akaryakıt Miktarı (m³)</w:t>
            </w:r>
          </w:p>
        </w:tc>
      </w:tr>
      <w:tr w:rsidR="005D0429" w:rsidRPr="005D0429" w:rsidTr="006836C6">
        <w:trPr>
          <w:trHeight w:val="20"/>
        </w:trPr>
        <w:tc>
          <w:tcPr>
            <w:tcW w:w="829" w:type="pct"/>
            <w:vMerge w:val="restart"/>
            <w:tcBorders>
              <w:top w:val="nil"/>
              <w:left w:val="single" w:sz="8" w:space="0" w:color="D9D9D9"/>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center"/>
              <w:rPr>
                <w:rFonts w:ascii="Calibri" w:eastAsia="Times New Roman" w:hAnsi="Calibri"/>
                <w:color w:val="000000"/>
                <w:lang w:eastAsia="tr-TR"/>
              </w:rPr>
            </w:pPr>
            <w:r w:rsidRPr="005D0429">
              <w:rPr>
                <w:rFonts w:ascii="Calibri" w:eastAsia="Times New Roman" w:hAnsi="Calibri"/>
                <w:color w:val="000000"/>
                <w:lang w:eastAsia="tr-TR"/>
              </w:rPr>
              <w:t>2007</w:t>
            </w:r>
          </w:p>
        </w:tc>
        <w:tc>
          <w:tcPr>
            <w:tcW w:w="482"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rPr>
                <w:rFonts w:ascii="Calibri" w:eastAsia="Times New Roman" w:hAnsi="Calibri"/>
                <w:color w:val="000000"/>
                <w:sz w:val="20"/>
                <w:szCs w:val="20"/>
                <w:lang w:eastAsia="tr-TR"/>
              </w:rPr>
            </w:pPr>
            <w:r w:rsidRPr="005D0429">
              <w:rPr>
                <w:rFonts w:ascii="Calibri" w:eastAsia="Times New Roman" w:hAnsi="Calibri"/>
                <w:color w:val="000000"/>
                <w:sz w:val="20"/>
                <w:szCs w:val="20"/>
                <w:lang w:eastAsia="tr-TR"/>
              </w:rPr>
              <w:t>Rafineri</w:t>
            </w:r>
          </w:p>
        </w:tc>
        <w:tc>
          <w:tcPr>
            <w:tcW w:w="54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105.502,64</w:t>
            </w:r>
          </w:p>
        </w:tc>
        <w:tc>
          <w:tcPr>
            <w:tcW w:w="54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100.936,65</w:t>
            </w:r>
          </w:p>
        </w:tc>
        <w:tc>
          <w:tcPr>
            <w:tcW w:w="592"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2.550.960,00</w:t>
            </w:r>
          </w:p>
        </w:tc>
        <w:tc>
          <w:tcPr>
            <w:tcW w:w="63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9.813.110,00</w:t>
            </w:r>
          </w:p>
        </w:tc>
        <w:tc>
          <w:tcPr>
            <w:tcW w:w="62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0,00</w:t>
            </w:r>
          </w:p>
        </w:tc>
        <w:tc>
          <w:tcPr>
            <w:tcW w:w="751"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12.364.070,00</w:t>
            </w:r>
          </w:p>
        </w:tc>
      </w:tr>
      <w:tr w:rsidR="005D0429" w:rsidRPr="005D0429" w:rsidTr="006836C6">
        <w:trPr>
          <w:trHeight w:val="20"/>
        </w:trPr>
        <w:tc>
          <w:tcPr>
            <w:tcW w:w="829" w:type="pct"/>
            <w:vMerge/>
            <w:tcBorders>
              <w:top w:val="nil"/>
              <w:left w:val="single" w:sz="8" w:space="0" w:color="D9D9D9"/>
              <w:bottom w:val="single" w:sz="8" w:space="0" w:color="D9D9D9"/>
              <w:right w:val="single" w:sz="8" w:space="0" w:color="D9D9D9"/>
            </w:tcBorders>
            <w:vAlign w:val="center"/>
            <w:hideMark/>
          </w:tcPr>
          <w:p w:rsidR="005D0429" w:rsidRPr="005D0429" w:rsidRDefault="005D0429" w:rsidP="005D0429">
            <w:pPr>
              <w:spacing w:after="0" w:line="240" w:lineRule="auto"/>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rPr>
                <w:rFonts w:ascii="Calibri" w:eastAsia="Times New Roman" w:hAnsi="Calibri"/>
                <w:color w:val="000000"/>
                <w:sz w:val="20"/>
                <w:szCs w:val="20"/>
                <w:lang w:eastAsia="tr-TR"/>
              </w:rPr>
            </w:pPr>
            <w:r w:rsidRPr="005D0429">
              <w:rPr>
                <w:rFonts w:ascii="Calibri" w:eastAsia="Times New Roman" w:hAnsi="Calibri"/>
                <w:color w:val="000000"/>
                <w:sz w:val="20"/>
                <w:szCs w:val="20"/>
                <w:lang w:eastAsia="tr-TR"/>
              </w:rPr>
              <w:t xml:space="preserve">Dağıtıcılar </w:t>
            </w:r>
          </w:p>
        </w:tc>
        <w:tc>
          <w:tcPr>
            <w:tcW w:w="54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63.270,89</w:t>
            </w:r>
          </w:p>
        </w:tc>
        <w:tc>
          <w:tcPr>
            <w:tcW w:w="54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56.522,89</w:t>
            </w:r>
          </w:p>
        </w:tc>
        <w:tc>
          <w:tcPr>
            <w:tcW w:w="592"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751.636,00</w:t>
            </w:r>
          </w:p>
        </w:tc>
        <w:tc>
          <w:tcPr>
            <w:tcW w:w="63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6.247.129,00</w:t>
            </w:r>
          </w:p>
        </w:tc>
        <w:tc>
          <w:tcPr>
            <w:tcW w:w="62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26.719,00</w:t>
            </w:r>
          </w:p>
        </w:tc>
        <w:tc>
          <w:tcPr>
            <w:tcW w:w="751"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7.025.484,00</w:t>
            </w:r>
          </w:p>
        </w:tc>
      </w:tr>
      <w:tr w:rsidR="005D0429" w:rsidRPr="005D0429" w:rsidTr="006836C6">
        <w:trPr>
          <w:trHeight w:val="20"/>
        </w:trPr>
        <w:tc>
          <w:tcPr>
            <w:tcW w:w="829" w:type="pct"/>
            <w:vMerge/>
            <w:tcBorders>
              <w:top w:val="nil"/>
              <w:left w:val="single" w:sz="8" w:space="0" w:color="D9D9D9"/>
              <w:bottom w:val="single" w:sz="8" w:space="0" w:color="D9D9D9"/>
              <w:right w:val="single" w:sz="8" w:space="0" w:color="D9D9D9"/>
            </w:tcBorders>
            <w:vAlign w:val="center"/>
            <w:hideMark/>
          </w:tcPr>
          <w:p w:rsidR="005D0429" w:rsidRPr="005D0429" w:rsidRDefault="005D0429" w:rsidP="005D0429">
            <w:pPr>
              <w:spacing w:after="0" w:line="240" w:lineRule="auto"/>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rPr>
                <w:rFonts w:ascii="Calibri" w:eastAsia="Times New Roman" w:hAnsi="Calibri"/>
                <w:b/>
                <w:color w:val="000000"/>
                <w:sz w:val="20"/>
                <w:szCs w:val="20"/>
                <w:lang w:eastAsia="tr-TR"/>
              </w:rPr>
            </w:pPr>
            <w:r w:rsidRPr="005D0429">
              <w:rPr>
                <w:rFonts w:ascii="Calibri" w:eastAsia="Times New Roman" w:hAnsi="Calibri"/>
                <w:b/>
                <w:color w:val="000000"/>
                <w:sz w:val="20"/>
                <w:szCs w:val="20"/>
                <w:lang w:eastAsia="tr-TR"/>
              </w:rPr>
              <w:t>Toplam</w:t>
            </w:r>
          </w:p>
        </w:tc>
        <w:tc>
          <w:tcPr>
            <w:tcW w:w="54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168.773,53</w:t>
            </w:r>
          </w:p>
        </w:tc>
        <w:tc>
          <w:tcPr>
            <w:tcW w:w="54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157.459,54</w:t>
            </w:r>
          </w:p>
        </w:tc>
        <w:tc>
          <w:tcPr>
            <w:tcW w:w="592"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3.302.596,00</w:t>
            </w:r>
          </w:p>
        </w:tc>
        <w:tc>
          <w:tcPr>
            <w:tcW w:w="63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16.060.239,00</w:t>
            </w:r>
          </w:p>
        </w:tc>
        <w:tc>
          <w:tcPr>
            <w:tcW w:w="62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26.719,00</w:t>
            </w:r>
          </w:p>
        </w:tc>
        <w:tc>
          <w:tcPr>
            <w:tcW w:w="751"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19.389.554,00</w:t>
            </w:r>
          </w:p>
        </w:tc>
      </w:tr>
      <w:tr w:rsidR="005D0429" w:rsidRPr="005D0429" w:rsidTr="006836C6">
        <w:trPr>
          <w:trHeight w:val="20"/>
        </w:trPr>
        <w:tc>
          <w:tcPr>
            <w:tcW w:w="829" w:type="pct"/>
            <w:vMerge w:val="restart"/>
            <w:tcBorders>
              <w:top w:val="nil"/>
              <w:left w:val="single" w:sz="8" w:space="0" w:color="D9D9D9"/>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center"/>
              <w:rPr>
                <w:rFonts w:ascii="Calibri" w:eastAsia="Times New Roman" w:hAnsi="Calibri"/>
                <w:color w:val="000000"/>
                <w:lang w:eastAsia="tr-TR"/>
              </w:rPr>
            </w:pPr>
            <w:r w:rsidRPr="005D0429">
              <w:rPr>
                <w:rFonts w:ascii="Calibri" w:eastAsia="Times New Roman" w:hAnsi="Calibri"/>
                <w:color w:val="000000"/>
                <w:lang w:eastAsia="tr-TR"/>
              </w:rPr>
              <w:t>2008</w:t>
            </w:r>
          </w:p>
        </w:tc>
        <w:tc>
          <w:tcPr>
            <w:tcW w:w="482"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rPr>
                <w:rFonts w:ascii="Calibri" w:eastAsia="Times New Roman" w:hAnsi="Calibri"/>
                <w:color w:val="000000"/>
                <w:sz w:val="20"/>
                <w:szCs w:val="20"/>
                <w:lang w:eastAsia="tr-TR"/>
              </w:rPr>
            </w:pPr>
            <w:r w:rsidRPr="005D0429">
              <w:rPr>
                <w:rFonts w:ascii="Calibri" w:eastAsia="Times New Roman" w:hAnsi="Calibri"/>
                <w:color w:val="000000"/>
                <w:sz w:val="20"/>
                <w:szCs w:val="20"/>
                <w:lang w:eastAsia="tr-TR"/>
              </w:rPr>
              <w:t>Rafineri</w:t>
            </w:r>
          </w:p>
        </w:tc>
        <w:tc>
          <w:tcPr>
            <w:tcW w:w="54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99.646,23</w:t>
            </w:r>
          </w:p>
        </w:tc>
        <w:tc>
          <w:tcPr>
            <w:tcW w:w="54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97.632,10</w:t>
            </w:r>
          </w:p>
        </w:tc>
        <w:tc>
          <w:tcPr>
            <w:tcW w:w="592"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2.632.398,00</w:t>
            </w:r>
          </w:p>
        </w:tc>
        <w:tc>
          <w:tcPr>
            <w:tcW w:w="63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9.527.443,00</w:t>
            </w:r>
          </w:p>
        </w:tc>
        <w:tc>
          <w:tcPr>
            <w:tcW w:w="62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0,00</w:t>
            </w:r>
          </w:p>
        </w:tc>
        <w:tc>
          <w:tcPr>
            <w:tcW w:w="751"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12.159.841,00</w:t>
            </w:r>
          </w:p>
        </w:tc>
      </w:tr>
      <w:tr w:rsidR="005D0429" w:rsidRPr="005D0429" w:rsidTr="006836C6">
        <w:trPr>
          <w:trHeight w:val="20"/>
        </w:trPr>
        <w:tc>
          <w:tcPr>
            <w:tcW w:w="829" w:type="pct"/>
            <w:vMerge/>
            <w:tcBorders>
              <w:top w:val="nil"/>
              <w:left w:val="single" w:sz="8" w:space="0" w:color="D9D9D9"/>
              <w:bottom w:val="single" w:sz="8" w:space="0" w:color="D9D9D9"/>
              <w:right w:val="single" w:sz="8" w:space="0" w:color="D9D9D9"/>
            </w:tcBorders>
            <w:vAlign w:val="center"/>
            <w:hideMark/>
          </w:tcPr>
          <w:p w:rsidR="005D0429" w:rsidRPr="005D0429" w:rsidRDefault="005D0429" w:rsidP="005D0429">
            <w:pPr>
              <w:spacing w:after="0" w:line="240" w:lineRule="auto"/>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rPr>
                <w:rFonts w:ascii="Calibri" w:eastAsia="Times New Roman" w:hAnsi="Calibri"/>
                <w:color w:val="000000"/>
                <w:sz w:val="20"/>
                <w:szCs w:val="20"/>
                <w:lang w:eastAsia="tr-TR"/>
              </w:rPr>
            </w:pPr>
            <w:r w:rsidRPr="005D0429">
              <w:rPr>
                <w:rFonts w:ascii="Calibri" w:eastAsia="Times New Roman" w:hAnsi="Calibri"/>
                <w:color w:val="000000"/>
                <w:sz w:val="20"/>
                <w:szCs w:val="20"/>
                <w:lang w:eastAsia="tr-TR"/>
              </w:rPr>
              <w:t xml:space="preserve">Dağıtıcılar </w:t>
            </w:r>
          </w:p>
        </w:tc>
        <w:tc>
          <w:tcPr>
            <w:tcW w:w="54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58.378,19</w:t>
            </w:r>
          </w:p>
        </w:tc>
        <w:tc>
          <w:tcPr>
            <w:tcW w:w="54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58.724,41</w:t>
            </w:r>
          </w:p>
        </w:tc>
        <w:tc>
          <w:tcPr>
            <w:tcW w:w="592"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394.211,00</w:t>
            </w:r>
          </w:p>
        </w:tc>
        <w:tc>
          <w:tcPr>
            <w:tcW w:w="63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6.843.603,00</w:t>
            </w:r>
          </w:p>
        </w:tc>
        <w:tc>
          <w:tcPr>
            <w:tcW w:w="62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18.568,00</w:t>
            </w:r>
          </w:p>
        </w:tc>
        <w:tc>
          <w:tcPr>
            <w:tcW w:w="751"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7.256.382,00</w:t>
            </w:r>
          </w:p>
        </w:tc>
      </w:tr>
      <w:tr w:rsidR="005D0429" w:rsidRPr="005D0429" w:rsidTr="006836C6">
        <w:trPr>
          <w:trHeight w:val="20"/>
        </w:trPr>
        <w:tc>
          <w:tcPr>
            <w:tcW w:w="829" w:type="pct"/>
            <w:vMerge/>
            <w:tcBorders>
              <w:top w:val="nil"/>
              <w:left w:val="single" w:sz="8" w:space="0" w:color="D9D9D9"/>
              <w:bottom w:val="single" w:sz="8" w:space="0" w:color="D9D9D9"/>
              <w:right w:val="single" w:sz="8" w:space="0" w:color="D9D9D9"/>
            </w:tcBorders>
            <w:vAlign w:val="center"/>
            <w:hideMark/>
          </w:tcPr>
          <w:p w:rsidR="005D0429" w:rsidRPr="005D0429" w:rsidRDefault="005D0429" w:rsidP="005D0429">
            <w:pPr>
              <w:spacing w:after="0" w:line="240" w:lineRule="auto"/>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rPr>
                <w:rFonts w:ascii="Calibri" w:eastAsia="Times New Roman" w:hAnsi="Calibri"/>
                <w:b/>
                <w:color w:val="000000"/>
                <w:sz w:val="20"/>
                <w:szCs w:val="20"/>
                <w:lang w:eastAsia="tr-TR"/>
              </w:rPr>
            </w:pPr>
            <w:r w:rsidRPr="005D0429">
              <w:rPr>
                <w:rFonts w:ascii="Calibri" w:eastAsia="Times New Roman" w:hAnsi="Calibri"/>
                <w:b/>
                <w:color w:val="000000"/>
                <w:sz w:val="20"/>
                <w:szCs w:val="20"/>
                <w:lang w:eastAsia="tr-TR"/>
              </w:rPr>
              <w:t>Toplam</w:t>
            </w:r>
          </w:p>
        </w:tc>
        <w:tc>
          <w:tcPr>
            <w:tcW w:w="54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158.024,42</w:t>
            </w:r>
          </w:p>
        </w:tc>
        <w:tc>
          <w:tcPr>
            <w:tcW w:w="54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156.356,51</w:t>
            </w:r>
          </w:p>
        </w:tc>
        <w:tc>
          <w:tcPr>
            <w:tcW w:w="592"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3.026.609,00</w:t>
            </w:r>
          </w:p>
        </w:tc>
        <w:tc>
          <w:tcPr>
            <w:tcW w:w="63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16.371.046,00</w:t>
            </w:r>
          </w:p>
        </w:tc>
        <w:tc>
          <w:tcPr>
            <w:tcW w:w="62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18.568,00</w:t>
            </w:r>
          </w:p>
        </w:tc>
        <w:tc>
          <w:tcPr>
            <w:tcW w:w="751"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19.416.223,00</w:t>
            </w:r>
          </w:p>
        </w:tc>
      </w:tr>
      <w:tr w:rsidR="005D0429" w:rsidRPr="005D0429" w:rsidTr="006836C6">
        <w:trPr>
          <w:trHeight w:val="20"/>
        </w:trPr>
        <w:tc>
          <w:tcPr>
            <w:tcW w:w="829" w:type="pct"/>
            <w:vMerge w:val="restart"/>
            <w:tcBorders>
              <w:top w:val="nil"/>
              <w:left w:val="single" w:sz="8" w:space="0" w:color="D9D9D9"/>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center"/>
              <w:rPr>
                <w:rFonts w:ascii="Calibri" w:eastAsia="Times New Roman" w:hAnsi="Calibri"/>
                <w:color w:val="000000"/>
                <w:lang w:eastAsia="tr-TR"/>
              </w:rPr>
            </w:pPr>
            <w:r w:rsidRPr="005D0429">
              <w:rPr>
                <w:rFonts w:ascii="Calibri" w:eastAsia="Times New Roman" w:hAnsi="Calibri"/>
                <w:color w:val="000000"/>
                <w:lang w:eastAsia="tr-TR"/>
              </w:rPr>
              <w:lastRenderedPageBreak/>
              <w:t>2009</w:t>
            </w:r>
          </w:p>
        </w:tc>
        <w:tc>
          <w:tcPr>
            <w:tcW w:w="482"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rPr>
                <w:rFonts w:ascii="Calibri" w:eastAsia="Times New Roman" w:hAnsi="Calibri"/>
                <w:color w:val="000000"/>
                <w:sz w:val="20"/>
                <w:szCs w:val="20"/>
                <w:lang w:eastAsia="tr-TR"/>
              </w:rPr>
            </w:pPr>
            <w:r w:rsidRPr="005D0429">
              <w:rPr>
                <w:rFonts w:ascii="Calibri" w:eastAsia="Times New Roman" w:hAnsi="Calibri"/>
                <w:color w:val="000000"/>
                <w:sz w:val="20"/>
                <w:szCs w:val="20"/>
                <w:lang w:eastAsia="tr-TR"/>
              </w:rPr>
              <w:t>Rafineri</w:t>
            </w:r>
          </w:p>
        </w:tc>
        <w:tc>
          <w:tcPr>
            <w:tcW w:w="54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87.617,32</w:t>
            </w:r>
          </w:p>
        </w:tc>
        <w:tc>
          <w:tcPr>
            <w:tcW w:w="54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88.218,87</w:t>
            </w:r>
          </w:p>
        </w:tc>
        <w:tc>
          <w:tcPr>
            <w:tcW w:w="592"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2.675.966,00</w:t>
            </w:r>
          </w:p>
        </w:tc>
        <w:tc>
          <w:tcPr>
            <w:tcW w:w="63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8.320.760,00</w:t>
            </w:r>
          </w:p>
        </w:tc>
        <w:tc>
          <w:tcPr>
            <w:tcW w:w="62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0,00</w:t>
            </w:r>
          </w:p>
        </w:tc>
        <w:tc>
          <w:tcPr>
            <w:tcW w:w="751"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10.996.726,00</w:t>
            </w:r>
          </w:p>
        </w:tc>
      </w:tr>
      <w:tr w:rsidR="005D0429" w:rsidRPr="005D0429" w:rsidTr="006836C6">
        <w:trPr>
          <w:trHeight w:val="20"/>
        </w:trPr>
        <w:tc>
          <w:tcPr>
            <w:tcW w:w="829" w:type="pct"/>
            <w:vMerge/>
            <w:tcBorders>
              <w:top w:val="nil"/>
              <w:left w:val="single" w:sz="8" w:space="0" w:color="D9D9D9"/>
              <w:bottom w:val="single" w:sz="8" w:space="0" w:color="D9D9D9"/>
              <w:right w:val="single" w:sz="8" w:space="0" w:color="D9D9D9"/>
            </w:tcBorders>
            <w:vAlign w:val="center"/>
            <w:hideMark/>
          </w:tcPr>
          <w:p w:rsidR="005D0429" w:rsidRPr="005D0429" w:rsidRDefault="005D0429" w:rsidP="005D0429">
            <w:pPr>
              <w:spacing w:after="0" w:line="240" w:lineRule="auto"/>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rPr>
                <w:rFonts w:ascii="Calibri" w:eastAsia="Times New Roman" w:hAnsi="Calibri"/>
                <w:color w:val="000000"/>
                <w:sz w:val="20"/>
                <w:szCs w:val="20"/>
                <w:lang w:eastAsia="tr-TR"/>
              </w:rPr>
            </w:pPr>
            <w:r w:rsidRPr="005D0429">
              <w:rPr>
                <w:rFonts w:ascii="Calibri" w:eastAsia="Times New Roman" w:hAnsi="Calibri"/>
                <w:color w:val="000000"/>
                <w:sz w:val="20"/>
                <w:szCs w:val="20"/>
                <w:lang w:eastAsia="tr-TR"/>
              </w:rPr>
              <w:t xml:space="preserve">Dağıtıcılar </w:t>
            </w:r>
          </w:p>
        </w:tc>
        <w:tc>
          <w:tcPr>
            <w:tcW w:w="54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66.726,45</w:t>
            </w:r>
          </w:p>
        </w:tc>
        <w:tc>
          <w:tcPr>
            <w:tcW w:w="54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66.141,29</w:t>
            </w:r>
          </w:p>
        </w:tc>
        <w:tc>
          <w:tcPr>
            <w:tcW w:w="592"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276.821,00</w:t>
            </w:r>
          </w:p>
        </w:tc>
        <w:tc>
          <w:tcPr>
            <w:tcW w:w="63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7.975.514,00</w:t>
            </w:r>
          </w:p>
        </w:tc>
        <w:tc>
          <w:tcPr>
            <w:tcW w:w="62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12.231,00</w:t>
            </w:r>
          </w:p>
        </w:tc>
        <w:tc>
          <w:tcPr>
            <w:tcW w:w="751"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8.264.566,00</w:t>
            </w:r>
          </w:p>
        </w:tc>
      </w:tr>
      <w:tr w:rsidR="005D0429" w:rsidRPr="005D0429" w:rsidTr="006836C6">
        <w:trPr>
          <w:trHeight w:val="20"/>
        </w:trPr>
        <w:tc>
          <w:tcPr>
            <w:tcW w:w="829" w:type="pct"/>
            <w:vMerge/>
            <w:tcBorders>
              <w:top w:val="nil"/>
              <w:left w:val="single" w:sz="8" w:space="0" w:color="D9D9D9"/>
              <w:bottom w:val="single" w:sz="8" w:space="0" w:color="D9D9D9"/>
              <w:right w:val="single" w:sz="8" w:space="0" w:color="D9D9D9"/>
            </w:tcBorders>
            <w:vAlign w:val="center"/>
            <w:hideMark/>
          </w:tcPr>
          <w:p w:rsidR="005D0429" w:rsidRPr="005D0429" w:rsidRDefault="005D0429" w:rsidP="005D0429">
            <w:pPr>
              <w:spacing w:after="0" w:line="240" w:lineRule="auto"/>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rPr>
                <w:rFonts w:ascii="Calibri" w:eastAsia="Times New Roman" w:hAnsi="Calibri"/>
                <w:b/>
                <w:color w:val="000000"/>
                <w:sz w:val="20"/>
                <w:szCs w:val="20"/>
                <w:lang w:eastAsia="tr-TR"/>
              </w:rPr>
            </w:pPr>
            <w:r w:rsidRPr="005D0429">
              <w:rPr>
                <w:rFonts w:ascii="Calibri" w:eastAsia="Times New Roman" w:hAnsi="Calibri"/>
                <w:b/>
                <w:color w:val="000000"/>
                <w:sz w:val="20"/>
                <w:szCs w:val="20"/>
                <w:lang w:eastAsia="tr-TR"/>
              </w:rPr>
              <w:t>Toplam</w:t>
            </w:r>
          </w:p>
        </w:tc>
        <w:tc>
          <w:tcPr>
            <w:tcW w:w="54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154.343,77</w:t>
            </w:r>
          </w:p>
        </w:tc>
        <w:tc>
          <w:tcPr>
            <w:tcW w:w="54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154.360,16</w:t>
            </w:r>
          </w:p>
        </w:tc>
        <w:tc>
          <w:tcPr>
            <w:tcW w:w="592"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2.952.787,00</w:t>
            </w:r>
          </w:p>
        </w:tc>
        <w:tc>
          <w:tcPr>
            <w:tcW w:w="63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16.296.274,00</w:t>
            </w:r>
          </w:p>
        </w:tc>
        <w:tc>
          <w:tcPr>
            <w:tcW w:w="62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12.231,00</w:t>
            </w:r>
          </w:p>
        </w:tc>
        <w:tc>
          <w:tcPr>
            <w:tcW w:w="751"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19.261.292,00</w:t>
            </w:r>
          </w:p>
        </w:tc>
      </w:tr>
      <w:tr w:rsidR="005D0429" w:rsidRPr="005D0429" w:rsidTr="006836C6">
        <w:trPr>
          <w:trHeight w:val="20"/>
        </w:trPr>
        <w:tc>
          <w:tcPr>
            <w:tcW w:w="829" w:type="pct"/>
            <w:vMerge w:val="restart"/>
            <w:tcBorders>
              <w:top w:val="nil"/>
              <w:left w:val="single" w:sz="8" w:space="0" w:color="D9D9D9"/>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center"/>
              <w:rPr>
                <w:rFonts w:ascii="Calibri" w:eastAsia="Times New Roman" w:hAnsi="Calibri"/>
                <w:color w:val="000000"/>
                <w:lang w:eastAsia="tr-TR"/>
              </w:rPr>
            </w:pPr>
            <w:r w:rsidRPr="005D0429">
              <w:rPr>
                <w:rFonts w:ascii="Calibri" w:eastAsia="Times New Roman" w:hAnsi="Calibri"/>
                <w:color w:val="000000"/>
                <w:lang w:eastAsia="tr-TR"/>
              </w:rPr>
              <w:t>2010</w:t>
            </w:r>
          </w:p>
        </w:tc>
        <w:tc>
          <w:tcPr>
            <w:tcW w:w="482"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rPr>
                <w:rFonts w:ascii="Calibri" w:eastAsia="Times New Roman" w:hAnsi="Calibri"/>
                <w:color w:val="000000"/>
                <w:sz w:val="20"/>
                <w:szCs w:val="20"/>
                <w:lang w:eastAsia="tr-TR"/>
              </w:rPr>
            </w:pPr>
            <w:r w:rsidRPr="005D0429">
              <w:rPr>
                <w:rFonts w:ascii="Calibri" w:eastAsia="Times New Roman" w:hAnsi="Calibri"/>
                <w:color w:val="000000"/>
                <w:sz w:val="20"/>
                <w:szCs w:val="20"/>
                <w:lang w:eastAsia="tr-TR"/>
              </w:rPr>
              <w:t>Rafineri</w:t>
            </w:r>
          </w:p>
        </w:tc>
        <w:tc>
          <w:tcPr>
            <w:tcW w:w="54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79.641,87</w:t>
            </w:r>
          </w:p>
        </w:tc>
        <w:tc>
          <w:tcPr>
            <w:tcW w:w="54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79.614,98</w:t>
            </w:r>
          </w:p>
        </w:tc>
        <w:tc>
          <w:tcPr>
            <w:tcW w:w="592"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2.380.445,00</w:t>
            </w:r>
          </w:p>
        </w:tc>
        <w:tc>
          <w:tcPr>
            <w:tcW w:w="63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7.571.627,00</w:t>
            </w:r>
          </w:p>
        </w:tc>
        <w:tc>
          <w:tcPr>
            <w:tcW w:w="62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0,00</w:t>
            </w:r>
          </w:p>
        </w:tc>
        <w:tc>
          <w:tcPr>
            <w:tcW w:w="751"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9.952.072,00</w:t>
            </w:r>
          </w:p>
        </w:tc>
      </w:tr>
      <w:tr w:rsidR="005D0429" w:rsidRPr="005D0429" w:rsidTr="006836C6">
        <w:trPr>
          <w:trHeight w:val="20"/>
        </w:trPr>
        <w:tc>
          <w:tcPr>
            <w:tcW w:w="829" w:type="pct"/>
            <w:vMerge/>
            <w:tcBorders>
              <w:top w:val="nil"/>
              <w:left w:val="single" w:sz="8" w:space="0" w:color="D9D9D9"/>
              <w:bottom w:val="single" w:sz="8" w:space="0" w:color="D9D9D9"/>
              <w:right w:val="single" w:sz="8" w:space="0" w:color="D9D9D9"/>
            </w:tcBorders>
            <w:vAlign w:val="center"/>
            <w:hideMark/>
          </w:tcPr>
          <w:p w:rsidR="005D0429" w:rsidRPr="005D0429" w:rsidRDefault="005D0429" w:rsidP="005D0429">
            <w:pPr>
              <w:spacing w:after="0" w:line="240" w:lineRule="auto"/>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rPr>
                <w:rFonts w:ascii="Calibri" w:eastAsia="Times New Roman" w:hAnsi="Calibri"/>
                <w:color w:val="000000"/>
                <w:sz w:val="20"/>
                <w:szCs w:val="20"/>
                <w:lang w:eastAsia="tr-TR"/>
              </w:rPr>
            </w:pPr>
            <w:r w:rsidRPr="005D0429">
              <w:rPr>
                <w:rFonts w:ascii="Calibri" w:eastAsia="Times New Roman" w:hAnsi="Calibri"/>
                <w:color w:val="000000"/>
                <w:sz w:val="20"/>
                <w:szCs w:val="20"/>
                <w:lang w:eastAsia="tr-TR"/>
              </w:rPr>
              <w:t xml:space="preserve">Dağıtıcılar </w:t>
            </w:r>
          </w:p>
        </w:tc>
        <w:tc>
          <w:tcPr>
            <w:tcW w:w="54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80.050,80</w:t>
            </w:r>
          </w:p>
        </w:tc>
        <w:tc>
          <w:tcPr>
            <w:tcW w:w="54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78.335,93</w:t>
            </w:r>
          </w:p>
        </w:tc>
        <w:tc>
          <w:tcPr>
            <w:tcW w:w="592"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367.442,00</w:t>
            </w:r>
          </w:p>
        </w:tc>
        <w:tc>
          <w:tcPr>
            <w:tcW w:w="63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9.405.426,00</w:t>
            </w:r>
          </w:p>
        </w:tc>
        <w:tc>
          <w:tcPr>
            <w:tcW w:w="62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18.591,00</w:t>
            </w:r>
          </w:p>
        </w:tc>
        <w:tc>
          <w:tcPr>
            <w:tcW w:w="751"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9.791.459,00</w:t>
            </w:r>
          </w:p>
        </w:tc>
      </w:tr>
      <w:tr w:rsidR="005D0429" w:rsidRPr="005D0429" w:rsidTr="006836C6">
        <w:trPr>
          <w:trHeight w:val="20"/>
        </w:trPr>
        <w:tc>
          <w:tcPr>
            <w:tcW w:w="829" w:type="pct"/>
            <w:vMerge/>
            <w:tcBorders>
              <w:top w:val="nil"/>
              <w:left w:val="single" w:sz="8" w:space="0" w:color="D9D9D9"/>
              <w:bottom w:val="single" w:sz="8" w:space="0" w:color="D9D9D9"/>
              <w:right w:val="single" w:sz="8" w:space="0" w:color="D9D9D9"/>
            </w:tcBorders>
            <w:vAlign w:val="center"/>
            <w:hideMark/>
          </w:tcPr>
          <w:p w:rsidR="005D0429" w:rsidRPr="005D0429" w:rsidRDefault="005D0429" w:rsidP="005D0429">
            <w:pPr>
              <w:spacing w:after="0" w:line="240" w:lineRule="auto"/>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rPr>
                <w:rFonts w:ascii="Calibri" w:eastAsia="Times New Roman" w:hAnsi="Calibri"/>
                <w:b/>
                <w:color w:val="000000"/>
                <w:sz w:val="20"/>
                <w:szCs w:val="20"/>
                <w:lang w:eastAsia="tr-TR"/>
              </w:rPr>
            </w:pPr>
            <w:r w:rsidRPr="005D0429">
              <w:rPr>
                <w:rFonts w:ascii="Calibri" w:eastAsia="Times New Roman" w:hAnsi="Calibri"/>
                <w:b/>
                <w:color w:val="000000"/>
                <w:sz w:val="20"/>
                <w:szCs w:val="20"/>
                <w:lang w:eastAsia="tr-TR"/>
              </w:rPr>
              <w:t>Toplam</w:t>
            </w:r>
          </w:p>
        </w:tc>
        <w:tc>
          <w:tcPr>
            <w:tcW w:w="54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159.692,67</w:t>
            </w:r>
          </w:p>
        </w:tc>
        <w:tc>
          <w:tcPr>
            <w:tcW w:w="54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157.950,90</w:t>
            </w:r>
          </w:p>
        </w:tc>
        <w:tc>
          <w:tcPr>
            <w:tcW w:w="592"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2.747.888,00</w:t>
            </w:r>
          </w:p>
        </w:tc>
        <w:tc>
          <w:tcPr>
            <w:tcW w:w="63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16.977.053,00</w:t>
            </w:r>
          </w:p>
        </w:tc>
        <w:tc>
          <w:tcPr>
            <w:tcW w:w="62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18.591,00</w:t>
            </w:r>
          </w:p>
        </w:tc>
        <w:tc>
          <w:tcPr>
            <w:tcW w:w="751"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19.743.532,00</w:t>
            </w:r>
          </w:p>
        </w:tc>
      </w:tr>
      <w:tr w:rsidR="005D0429" w:rsidRPr="005D0429" w:rsidTr="006836C6">
        <w:trPr>
          <w:trHeight w:val="20"/>
        </w:trPr>
        <w:tc>
          <w:tcPr>
            <w:tcW w:w="829" w:type="pct"/>
            <w:vMerge w:val="restart"/>
            <w:tcBorders>
              <w:top w:val="nil"/>
              <w:left w:val="single" w:sz="8" w:space="0" w:color="D9D9D9"/>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center"/>
              <w:rPr>
                <w:rFonts w:ascii="Calibri" w:eastAsia="Times New Roman" w:hAnsi="Calibri"/>
                <w:color w:val="000000"/>
                <w:lang w:eastAsia="tr-TR"/>
              </w:rPr>
            </w:pPr>
            <w:r w:rsidRPr="005D0429">
              <w:rPr>
                <w:rFonts w:ascii="Calibri" w:eastAsia="Times New Roman" w:hAnsi="Calibri"/>
                <w:color w:val="000000"/>
                <w:lang w:eastAsia="tr-TR"/>
              </w:rPr>
              <w:t>2011</w:t>
            </w:r>
          </w:p>
        </w:tc>
        <w:tc>
          <w:tcPr>
            <w:tcW w:w="482"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rPr>
                <w:rFonts w:ascii="Calibri" w:eastAsia="Times New Roman" w:hAnsi="Calibri"/>
                <w:color w:val="000000"/>
                <w:sz w:val="20"/>
                <w:szCs w:val="20"/>
                <w:lang w:eastAsia="tr-TR"/>
              </w:rPr>
            </w:pPr>
            <w:r w:rsidRPr="005D0429">
              <w:rPr>
                <w:rFonts w:ascii="Calibri" w:eastAsia="Times New Roman" w:hAnsi="Calibri"/>
                <w:color w:val="000000"/>
                <w:sz w:val="20"/>
                <w:szCs w:val="20"/>
                <w:lang w:eastAsia="tr-TR"/>
              </w:rPr>
              <w:t>Rafineri</w:t>
            </w:r>
          </w:p>
        </w:tc>
        <w:tc>
          <w:tcPr>
            <w:tcW w:w="54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91.993,00</w:t>
            </w:r>
          </w:p>
        </w:tc>
        <w:tc>
          <w:tcPr>
            <w:tcW w:w="54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92.304,00</w:t>
            </w:r>
          </w:p>
        </w:tc>
        <w:tc>
          <w:tcPr>
            <w:tcW w:w="592"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2.413.099,00</w:t>
            </w:r>
          </w:p>
        </w:tc>
        <w:tc>
          <w:tcPr>
            <w:tcW w:w="63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9.124.916,00</w:t>
            </w:r>
          </w:p>
        </w:tc>
        <w:tc>
          <w:tcPr>
            <w:tcW w:w="62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0,00</w:t>
            </w:r>
          </w:p>
        </w:tc>
        <w:tc>
          <w:tcPr>
            <w:tcW w:w="751"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11.538.015,00</w:t>
            </w:r>
          </w:p>
        </w:tc>
      </w:tr>
      <w:tr w:rsidR="005D0429" w:rsidRPr="005D0429" w:rsidTr="006836C6">
        <w:trPr>
          <w:trHeight w:val="20"/>
        </w:trPr>
        <w:tc>
          <w:tcPr>
            <w:tcW w:w="829" w:type="pct"/>
            <w:vMerge/>
            <w:tcBorders>
              <w:top w:val="nil"/>
              <w:left w:val="single" w:sz="8" w:space="0" w:color="D9D9D9"/>
              <w:bottom w:val="single" w:sz="8" w:space="0" w:color="D9D9D9"/>
              <w:right w:val="single" w:sz="8" w:space="0" w:color="D9D9D9"/>
            </w:tcBorders>
            <w:vAlign w:val="center"/>
            <w:hideMark/>
          </w:tcPr>
          <w:p w:rsidR="005D0429" w:rsidRPr="005D0429" w:rsidRDefault="005D0429" w:rsidP="005D0429">
            <w:pPr>
              <w:spacing w:after="0" w:line="240" w:lineRule="auto"/>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rPr>
                <w:rFonts w:ascii="Calibri" w:eastAsia="Times New Roman" w:hAnsi="Calibri"/>
                <w:color w:val="000000"/>
                <w:sz w:val="20"/>
                <w:szCs w:val="20"/>
                <w:lang w:eastAsia="tr-TR"/>
              </w:rPr>
            </w:pPr>
            <w:r w:rsidRPr="005D0429">
              <w:rPr>
                <w:rFonts w:ascii="Calibri" w:eastAsia="Times New Roman" w:hAnsi="Calibri"/>
                <w:color w:val="000000"/>
                <w:sz w:val="20"/>
                <w:szCs w:val="20"/>
                <w:lang w:eastAsia="tr-TR"/>
              </w:rPr>
              <w:t>Dağıtıcılar</w:t>
            </w:r>
          </w:p>
        </w:tc>
        <w:tc>
          <w:tcPr>
            <w:tcW w:w="54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72.401,00</w:t>
            </w:r>
          </w:p>
        </w:tc>
        <w:tc>
          <w:tcPr>
            <w:tcW w:w="54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72.963,00</w:t>
            </w:r>
          </w:p>
        </w:tc>
        <w:tc>
          <w:tcPr>
            <w:tcW w:w="592"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193.624,00</w:t>
            </w:r>
          </w:p>
        </w:tc>
        <w:tc>
          <w:tcPr>
            <w:tcW w:w="63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8.903.953,00</w:t>
            </w:r>
          </w:p>
        </w:tc>
        <w:tc>
          <w:tcPr>
            <w:tcW w:w="62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22.982,00</w:t>
            </w:r>
          </w:p>
        </w:tc>
        <w:tc>
          <w:tcPr>
            <w:tcW w:w="751"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9.120.559,00</w:t>
            </w:r>
          </w:p>
        </w:tc>
      </w:tr>
      <w:tr w:rsidR="005D0429" w:rsidRPr="005D0429" w:rsidTr="006836C6">
        <w:trPr>
          <w:trHeight w:val="20"/>
        </w:trPr>
        <w:tc>
          <w:tcPr>
            <w:tcW w:w="829" w:type="pct"/>
            <w:vMerge/>
            <w:tcBorders>
              <w:top w:val="nil"/>
              <w:left w:val="single" w:sz="8" w:space="0" w:color="D9D9D9"/>
              <w:bottom w:val="single" w:sz="8" w:space="0" w:color="D9D9D9"/>
              <w:right w:val="single" w:sz="8" w:space="0" w:color="D9D9D9"/>
            </w:tcBorders>
            <w:vAlign w:val="center"/>
            <w:hideMark/>
          </w:tcPr>
          <w:p w:rsidR="005D0429" w:rsidRPr="005D0429" w:rsidRDefault="005D0429" w:rsidP="005D0429">
            <w:pPr>
              <w:spacing w:after="0" w:line="240" w:lineRule="auto"/>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rPr>
                <w:rFonts w:ascii="Calibri" w:eastAsia="Times New Roman" w:hAnsi="Calibri"/>
                <w:b/>
                <w:color w:val="000000"/>
                <w:sz w:val="20"/>
                <w:szCs w:val="20"/>
                <w:lang w:eastAsia="tr-TR"/>
              </w:rPr>
            </w:pPr>
            <w:r w:rsidRPr="005D0429">
              <w:rPr>
                <w:rFonts w:ascii="Calibri" w:eastAsia="Times New Roman" w:hAnsi="Calibri"/>
                <w:b/>
                <w:color w:val="000000"/>
                <w:sz w:val="20"/>
                <w:szCs w:val="20"/>
                <w:lang w:eastAsia="tr-TR"/>
              </w:rPr>
              <w:t>Toplam</w:t>
            </w:r>
          </w:p>
        </w:tc>
        <w:tc>
          <w:tcPr>
            <w:tcW w:w="54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164.394,00</w:t>
            </w:r>
          </w:p>
        </w:tc>
        <w:tc>
          <w:tcPr>
            <w:tcW w:w="54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165.267,00</w:t>
            </w:r>
          </w:p>
        </w:tc>
        <w:tc>
          <w:tcPr>
            <w:tcW w:w="592"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2.606.723,00</w:t>
            </w:r>
          </w:p>
        </w:tc>
        <w:tc>
          <w:tcPr>
            <w:tcW w:w="63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18.028.869,00</w:t>
            </w:r>
          </w:p>
        </w:tc>
        <w:tc>
          <w:tcPr>
            <w:tcW w:w="62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22.982,00</w:t>
            </w:r>
          </w:p>
        </w:tc>
        <w:tc>
          <w:tcPr>
            <w:tcW w:w="751"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20.658.574,00</w:t>
            </w:r>
          </w:p>
        </w:tc>
      </w:tr>
      <w:tr w:rsidR="005D0429" w:rsidRPr="005D0429" w:rsidTr="006836C6">
        <w:trPr>
          <w:trHeight w:val="20"/>
        </w:trPr>
        <w:tc>
          <w:tcPr>
            <w:tcW w:w="829" w:type="pct"/>
            <w:vMerge w:val="restart"/>
            <w:tcBorders>
              <w:top w:val="nil"/>
              <w:left w:val="single" w:sz="8" w:space="0" w:color="D9D9D9"/>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center"/>
              <w:rPr>
                <w:rFonts w:ascii="Calibri" w:eastAsia="Times New Roman" w:hAnsi="Calibri"/>
                <w:color w:val="000000"/>
                <w:lang w:eastAsia="tr-TR"/>
              </w:rPr>
            </w:pPr>
            <w:r w:rsidRPr="005D0429">
              <w:rPr>
                <w:rFonts w:ascii="Calibri" w:eastAsia="Times New Roman" w:hAnsi="Calibri"/>
                <w:color w:val="000000"/>
                <w:lang w:eastAsia="tr-TR"/>
              </w:rPr>
              <w:t>2012</w:t>
            </w:r>
          </w:p>
        </w:tc>
        <w:tc>
          <w:tcPr>
            <w:tcW w:w="482"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rPr>
                <w:rFonts w:ascii="Calibri" w:eastAsia="Times New Roman" w:hAnsi="Calibri"/>
                <w:color w:val="000000"/>
                <w:sz w:val="20"/>
                <w:szCs w:val="20"/>
                <w:lang w:eastAsia="tr-TR"/>
              </w:rPr>
            </w:pPr>
            <w:r w:rsidRPr="005D0429">
              <w:rPr>
                <w:rFonts w:ascii="Calibri" w:eastAsia="Times New Roman" w:hAnsi="Calibri"/>
                <w:color w:val="000000"/>
                <w:sz w:val="20"/>
                <w:szCs w:val="20"/>
                <w:lang w:eastAsia="tr-TR"/>
              </w:rPr>
              <w:t>Rafineri</w:t>
            </w:r>
          </w:p>
        </w:tc>
        <w:tc>
          <w:tcPr>
            <w:tcW w:w="54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99.958,02</w:t>
            </w:r>
          </w:p>
        </w:tc>
        <w:tc>
          <w:tcPr>
            <w:tcW w:w="54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98.531,33</w:t>
            </w:r>
          </w:p>
        </w:tc>
        <w:tc>
          <w:tcPr>
            <w:tcW w:w="592"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2.398.835,00</w:t>
            </w:r>
          </w:p>
        </w:tc>
        <w:tc>
          <w:tcPr>
            <w:tcW w:w="63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9.917.338,00</w:t>
            </w:r>
          </w:p>
        </w:tc>
        <w:tc>
          <w:tcPr>
            <w:tcW w:w="62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237,00</w:t>
            </w:r>
          </w:p>
        </w:tc>
        <w:tc>
          <w:tcPr>
            <w:tcW w:w="751"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12.316.410,00</w:t>
            </w:r>
          </w:p>
        </w:tc>
      </w:tr>
      <w:tr w:rsidR="005D0429" w:rsidRPr="005D0429" w:rsidTr="006836C6">
        <w:trPr>
          <w:trHeight w:val="20"/>
        </w:trPr>
        <w:tc>
          <w:tcPr>
            <w:tcW w:w="829" w:type="pct"/>
            <w:vMerge/>
            <w:tcBorders>
              <w:top w:val="nil"/>
              <w:left w:val="single" w:sz="8" w:space="0" w:color="D9D9D9"/>
              <w:bottom w:val="single" w:sz="8" w:space="0" w:color="D9D9D9"/>
              <w:right w:val="single" w:sz="8" w:space="0" w:color="D9D9D9"/>
            </w:tcBorders>
            <w:vAlign w:val="center"/>
            <w:hideMark/>
          </w:tcPr>
          <w:p w:rsidR="005D0429" w:rsidRPr="005D0429" w:rsidRDefault="005D0429" w:rsidP="005D0429">
            <w:pPr>
              <w:spacing w:after="0" w:line="240" w:lineRule="auto"/>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rPr>
                <w:rFonts w:ascii="Calibri" w:eastAsia="Times New Roman" w:hAnsi="Calibri"/>
                <w:color w:val="000000"/>
                <w:sz w:val="20"/>
                <w:szCs w:val="20"/>
                <w:lang w:eastAsia="tr-TR"/>
              </w:rPr>
            </w:pPr>
            <w:r w:rsidRPr="005D0429">
              <w:rPr>
                <w:rFonts w:ascii="Calibri" w:eastAsia="Times New Roman" w:hAnsi="Calibri"/>
                <w:color w:val="000000"/>
                <w:sz w:val="20"/>
                <w:szCs w:val="20"/>
                <w:lang w:eastAsia="tr-TR"/>
              </w:rPr>
              <w:t>Dağıtıcılar</w:t>
            </w:r>
          </w:p>
        </w:tc>
        <w:tc>
          <w:tcPr>
            <w:tcW w:w="54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74.187,38</w:t>
            </w:r>
          </w:p>
        </w:tc>
        <w:tc>
          <w:tcPr>
            <w:tcW w:w="54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74.738,16</w:t>
            </w:r>
          </w:p>
        </w:tc>
        <w:tc>
          <w:tcPr>
            <w:tcW w:w="592"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66.004,00</w:t>
            </w:r>
          </w:p>
        </w:tc>
        <w:tc>
          <w:tcPr>
            <w:tcW w:w="63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9.245.186,00</w:t>
            </w:r>
          </w:p>
        </w:tc>
        <w:tc>
          <w:tcPr>
            <w:tcW w:w="62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30.915,00</w:t>
            </w:r>
          </w:p>
        </w:tc>
        <w:tc>
          <w:tcPr>
            <w:tcW w:w="751"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9.342.105,00</w:t>
            </w:r>
          </w:p>
        </w:tc>
      </w:tr>
      <w:tr w:rsidR="005D0429" w:rsidRPr="005D0429" w:rsidTr="006836C6">
        <w:trPr>
          <w:trHeight w:val="20"/>
        </w:trPr>
        <w:tc>
          <w:tcPr>
            <w:tcW w:w="829" w:type="pct"/>
            <w:vMerge/>
            <w:tcBorders>
              <w:top w:val="nil"/>
              <w:left w:val="single" w:sz="8" w:space="0" w:color="D9D9D9"/>
              <w:bottom w:val="single" w:sz="8" w:space="0" w:color="D9D9D9"/>
              <w:right w:val="single" w:sz="8" w:space="0" w:color="D9D9D9"/>
            </w:tcBorders>
            <w:vAlign w:val="center"/>
            <w:hideMark/>
          </w:tcPr>
          <w:p w:rsidR="005D0429" w:rsidRPr="005D0429" w:rsidRDefault="005D0429" w:rsidP="005D0429">
            <w:pPr>
              <w:spacing w:after="0" w:line="240" w:lineRule="auto"/>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rPr>
                <w:rFonts w:ascii="Calibri" w:eastAsia="Times New Roman" w:hAnsi="Calibri"/>
                <w:b/>
                <w:color w:val="000000"/>
                <w:sz w:val="20"/>
                <w:szCs w:val="20"/>
                <w:lang w:eastAsia="tr-TR"/>
              </w:rPr>
            </w:pPr>
            <w:r w:rsidRPr="005D0429">
              <w:rPr>
                <w:rFonts w:ascii="Calibri" w:eastAsia="Times New Roman" w:hAnsi="Calibri"/>
                <w:b/>
                <w:color w:val="000000"/>
                <w:sz w:val="20"/>
                <w:szCs w:val="20"/>
                <w:lang w:eastAsia="tr-TR"/>
              </w:rPr>
              <w:t>Toplam</w:t>
            </w:r>
          </w:p>
        </w:tc>
        <w:tc>
          <w:tcPr>
            <w:tcW w:w="54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174.145,40</w:t>
            </w:r>
          </w:p>
        </w:tc>
        <w:tc>
          <w:tcPr>
            <w:tcW w:w="54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173.269,49</w:t>
            </w:r>
          </w:p>
        </w:tc>
        <w:tc>
          <w:tcPr>
            <w:tcW w:w="592"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2.464.839,00</w:t>
            </w:r>
          </w:p>
        </w:tc>
        <w:tc>
          <w:tcPr>
            <w:tcW w:w="63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19.162.524,00</w:t>
            </w:r>
          </w:p>
        </w:tc>
        <w:tc>
          <w:tcPr>
            <w:tcW w:w="62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31.152,00</w:t>
            </w:r>
          </w:p>
        </w:tc>
        <w:tc>
          <w:tcPr>
            <w:tcW w:w="751"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21.658.515,00</w:t>
            </w:r>
          </w:p>
        </w:tc>
      </w:tr>
      <w:tr w:rsidR="005D0429" w:rsidRPr="005D0429" w:rsidTr="006836C6">
        <w:trPr>
          <w:trHeight w:val="20"/>
        </w:trPr>
        <w:tc>
          <w:tcPr>
            <w:tcW w:w="829" w:type="pct"/>
            <w:vMerge w:val="restart"/>
            <w:tcBorders>
              <w:top w:val="nil"/>
              <w:left w:val="single" w:sz="8" w:space="0" w:color="D9D9D9"/>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center"/>
              <w:rPr>
                <w:rFonts w:ascii="Calibri" w:eastAsia="Times New Roman" w:hAnsi="Calibri"/>
                <w:color w:val="000000"/>
                <w:lang w:eastAsia="tr-TR"/>
              </w:rPr>
            </w:pPr>
            <w:r w:rsidRPr="005D0429">
              <w:rPr>
                <w:rFonts w:ascii="Calibri" w:eastAsia="Times New Roman" w:hAnsi="Calibri"/>
                <w:color w:val="000000"/>
                <w:lang w:eastAsia="tr-TR"/>
              </w:rPr>
              <w:t>2013</w:t>
            </w:r>
          </w:p>
        </w:tc>
        <w:tc>
          <w:tcPr>
            <w:tcW w:w="482"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rPr>
                <w:rFonts w:ascii="Calibri" w:eastAsia="Times New Roman" w:hAnsi="Calibri"/>
                <w:color w:val="000000"/>
                <w:sz w:val="20"/>
                <w:szCs w:val="20"/>
                <w:lang w:eastAsia="tr-TR"/>
              </w:rPr>
            </w:pPr>
            <w:r w:rsidRPr="005D0429">
              <w:rPr>
                <w:rFonts w:ascii="Calibri" w:eastAsia="Times New Roman" w:hAnsi="Calibri"/>
                <w:color w:val="000000"/>
                <w:sz w:val="20"/>
                <w:szCs w:val="20"/>
                <w:lang w:eastAsia="tr-TR"/>
              </w:rPr>
              <w:t>Rafineri</w:t>
            </w:r>
          </w:p>
        </w:tc>
        <w:tc>
          <w:tcPr>
            <w:tcW w:w="54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94.351,72</w:t>
            </w:r>
          </w:p>
        </w:tc>
        <w:tc>
          <w:tcPr>
            <w:tcW w:w="54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94.683,00</w:t>
            </w:r>
          </w:p>
        </w:tc>
        <w:tc>
          <w:tcPr>
            <w:tcW w:w="592"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2.438.404,00</w:t>
            </w:r>
          </w:p>
        </w:tc>
        <w:tc>
          <w:tcPr>
            <w:tcW w:w="63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9.361.800,00</w:t>
            </w:r>
          </w:p>
        </w:tc>
        <w:tc>
          <w:tcPr>
            <w:tcW w:w="62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7.140,00</w:t>
            </w:r>
          </w:p>
        </w:tc>
        <w:tc>
          <w:tcPr>
            <w:tcW w:w="751"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11.807.344,00</w:t>
            </w:r>
          </w:p>
        </w:tc>
      </w:tr>
      <w:tr w:rsidR="005D0429" w:rsidRPr="005D0429" w:rsidTr="006836C6">
        <w:trPr>
          <w:trHeight w:val="20"/>
        </w:trPr>
        <w:tc>
          <w:tcPr>
            <w:tcW w:w="829" w:type="pct"/>
            <w:vMerge/>
            <w:tcBorders>
              <w:top w:val="nil"/>
              <w:left w:val="single" w:sz="8" w:space="0" w:color="D9D9D9"/>
              <w:bottom w:val="single" w:sz="8" w:space="0" w:color="D9D9D9"/>
              <w:right w:val="single" w:sz="8" w:space="0" w:color="D9D9D9"/>
            </w:tcBorders>
            <w:vAlign w:val="center"/>
            <w:hideMark/>
          </w:tcPr>
          <w:p w:rsidR="005D0429" w:rsidRPr="005D0429" w:rsidRDefault="005D0429" w:rsidP="005D0429">
            <w:pPr>
              <w:spacing w:after="0" w:line="240" w:lineRule="auto"/>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rPr>
                <w:rFonts w:ascii="Calibri" w:eastAsia="Times New Roman" w:hAnsi="Calibri"/>
                <w:color w:val="000000"/>
                <w:sz w:val="20"/>
                <w:szCs w:val="20"/>
                <w:lang w:eastAsia="tr-TR"/>
              </w:rPr>
            </w:pPr>
            <w:r w:rsidRPr="005D0429">
              <w:rPr>
                <w:rFonts w:ascii="Calibri" w:eastAsia="Times New Roman" w:hAnsi="Calibri"/>
                <w:color w:val="000000"/>
                <w:sz w:val="20"/>
                <w:szCs w:val="20"/>
                <w:lang w:eastAsia="tr-TR"/>
              </w:rPr>
              <w:t>Dağıtıcılar</w:t>
            </w:r>
          </w:p>
        </w:tc>
        <w:tc>
          <w:tcPr>
            <w:tcW w:w="54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95.664,74</w:t>
            </w:r>
          </w:p>
        </w:tc>
        <w:tc>
          <w:tcPr>
            <w:tcW w:w="54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90.253,68</w:t>
            </w:r>
          </w:p>
        </w:tc>
        <w:tc>
          <w:tcPr>
            <w:tcW w:w="592"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17.806,00</w:t>
            </w:r>
          </w:p>
        </w:tc>
        <w:tc>
          <w:tcPr>
            <w:tcW w:w="63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11.180.726,00</w:t>
            </w:r>
          </w:p>
        </w:tc>
        <w:tc>
          <w:tcPr>
            <w:tcW w:w="62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68.796,00</w:t>
            </w:r>
          </w:p>
        </w:tc>
        <w:tc>
          <w:tcPr>
            <w:tcW w:w="751"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11.267.328,00</w:t>
            </w:r>
          </w:p>
        </w:tc>
      </w:tr>
      <w:tr w:rsidR="005D0429" w:rsidRPr="005D0429" w:rsidTr="006836C6">
        <w:trPr>
          <w:trHeight w:val="20"/>
        </w:trPr>
        <w:tc>
          <w:tcPr>
            <w:tcW w:w="829" w:type="pct"/>
            <w:vMerge/>
            <w:tcBorders>
              <w:top w:val="nil"/>
              <w:left w:val="single" w:sz="8" w:space="0" w:color="D9D9D9"/>
              <w:bottom w:val="single" w:sz="8" w:space="0" w:color="D9D9D9"/>
              <w:right w:val="single" w:sz="8" w:space="0" w:color="D9D9D9"/>
            </w:tcBorders>
            <w:vAlign w:val="center"/>
            <w:hideMark/>
          </w:tcPr>
          <w:p w:rsidR="005D0429" w:rsidRPr="005D0429" w:rsidRDefault="005D0429" w:rsidP="005D0429">
            <w:pPr>
              <w:spacing w:after="0" w:line="240" w:lineRule="auto"/>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rPr>
                <w:rFonts w:ascii="Calibri" w:eastAsia="Times New Roman" w:hAnsi="Calibri"/>
                <w:b/>
                <w:color w:val="000000"/>
                <w:sz w:val="20"/>
                <w:szCs w:val="20"/>
                <w:lang w:eastAsia="tr-TR"/>
              </w:rPr>
            </w:pPr>
            <w:r w:rsidRPr="005D0429">
              <w:rPr>
                <w:rFonts w:ascii="Calibri" w:eastAsia="Times New Roman" w:hAnsi="Calibri"/>
                <w:b/>
                <w:color w:val="000000"/>
                <w:sz w:val="20"/>
                <w:szCs w:val="20"/>
                <w:lang w:eastAsia="tr-TR"/>
              </w:rPr>
              <w:t>Toplam</w:t>
            </w:r>
          </w:p>
        </w:tc>
        <w:tc>
          <w:tcPr>
            <w:tcW w:w="54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190.016,47</w:t>
            </w:r>
          </w:p>
        </w:tc>
        <w:tc>
          <w:tcPr>
            <w:tcW w:w="54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184.936,69</w:t>
            </w:r>
          </w:p>
        </w:tc>
        <w:tc>
          <w:tcPr>
            <w:tcW w:w="592"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2.456.210,00</w:t>
            </w:r>
          </w:p>
        </w:tc>
        <w:tc>
          <w:tcPr>
            <w:tcW w:w="63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20.542.526,00</w:t>
            </w:r>
          </w:p>
        </w:tc>
        <w:tc>
          <w:tcPr>
            <w:tcW w:w="62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75.936,00</w:t>
            </w:r>
          </w:p>
        </w:tc>
        <w:tc>
          <w:tcPr>
            <w:tcW w:w="751"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23.074.672,00</w:t>
            </w:r>
          </w:p>
        </w:tc>
      </w:tr>
      <w:tr w:rsidR="005D0429" w:rsidRPr="005D0429" w:rsidTr="006836C6">
        <w:trPr>
          <w:trHeight w:val="20"/>
        </w:trPr>
        <w:tc>
          <w:tcPr>
            <w:tcW w:w="829" w:type="pct"/>
            <w:vMerge w:val="restart"/>
            <w:tcBorders>
              <w:top w:val="nil"/>
              <w:left w:val="single" w:sz="8" w:space="0" w:color="D9D9D9"/>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center"/>
              <w:rPr>
                <w:rFonts w:ascii="Calibri" w:eastAsia="Times New Roman" w:hAnsi="Calibri"/>
                <w:color w:val="000000"/>
                <w:lang w:eastAsia="tr-TR"/>
              </w:rPr>
            </w:pPr>
            <w:r w:rsidRPr="005D0429">
              <w:rPr>
                <w:rFonts w:ascii="Calibri" w:eastAsia="Times New Roman" w:hAnsi="Calibri"/>
                <w:color w:val="000000"/>
                <w:lang w:eastAsia="tr-TR"/>
              </w:rPr>
              <w:t>2014</w:t>
            </w:r>
          </w:p>
        </w:tc>
        <w:tc>
          <w:tcPr>
            <w:tcW w:w="482"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rPr>
                <w:rFonts w:ascii="Calibri" w:eastAsia="Times New Roman" w:hAnsi="Calibri"/>
                <w:color w:val="000000"/>
                <w:sz w:val="20"/>
                <w:szCs w:val="20"/>
                <w:lang w:eastAsia="tr-TR"/>
              </w:rPr>
            </w:pPr>
            <w:r w:rsidRPr="005D0429">
              <w:rPr>
                <w:rFonts w:ascii="Calibri" w:eastAsia="Times New Roman" w:hAnsi="Calibri"/>
                <w:color w:val="000000"/>
                <w:sz w:val="20"/>
                <w:szCs w:val="20"/>
                <w:lang w:eastAsia="tr-TR"/>
              </w:rPr>
              <w:t>Rafineri</w:t>
            </w:r>
          </w:p>
        </w:tc>
        <w:tc>
          <w:tcPr>
            <w:tcW w:w="54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83.288,36</w:t>
            </w:r>
          </w:p>
        </w:tc>
        <w:tc>
          <w:tcPr>
            <w:tcW w:w="54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82.046,06</w:t>
            </w:r>
          </w:p>
        </w:tc>
        <w:tc>
          <w:tcPr>
            <w:tcW w:w="592"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2.464.564,00</w:t>
            </w:r>
          </w:p>
        </w:tc>
        <w:tc>
          <w:tcPr>
            <w:tcW w:w="63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7.731.514,00</w:t>
            </w:r>
          </w:p>
        </w:tc>
        <w:tc>
          <w:tcPr>
            <w:tcW w:w="62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59.754,00</w:t>
            </w:r>
          </w:p>
        </w:tc>
        <w:tc>
          <w:tcPr>
            <w:tcW w:w="751"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10.255.832,00</w:t>
            </w:r>
          </w:p>
        </w:tc>
      </w:tr>
      <w:tr w:rsidR="005D0429" w:rsidRPr="005D0429" w:rsidTr="006836C6">
        <w:trPr>
          <w:trHeight w:val="20"/>
        </w:trPr>
        <w:tc>
          <w:tcPr>
            <w:tcW w:w="829" w:type="pct"/>
            <w:vMerge/>
            <w:tcBorders>
              <w:top w:val="nil"/>
              <w:left w:val="single" w:sz="8" w:space="0" w:color="D9D9D9"/>
              <w:bottom w:val="single" w:sz="8" w:space="0" w:color="D9D9D9"/>
              <w:right w:val="single" w:sz="8" w:space="0" w:color="D9D9D9"/>
            </w:tcBorders>
            <w:vAlign w:val="center"/>
            <w:hideMark/>
          </w:tcPr>
          <w:p w:rsidR="005D0429" w:rsidRPr="005D0429" w:rsidRDefault="005D0429" w:rsidP="005D0429">
            <w:pPr>
              <w:spacing w:after="0" w:line="240" w:lineRule="auto"/>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rPr>
                <w:rFonts w:ascii="Calibri" w:eastAsia="Times New Roman" w:hAnsi="Calibri"/>
                <w:color w:val="000000"/>
                <w:sz w:val="20"/>
                <w:szCs w:val="20"/>
                <w:lang w:eastAsia="tr-TR"/>
              </w:rPr>
            </w:pPr>
            <w:r w:rsidRPr="005D0429">
              <w:rPr>
                <w:rFonts w:ascii="Calibri" w:eastAsia="Times New Roman" w:hAnsi="Calibri"/>
                <w:color w:val="000000"/>
                <w:sz w:val="20"/>
                <w:szCs w:val="20"/>
                <w:lang w:eastAsia="tr-TR"/>
              </w:rPr>
              <w:t>Dağıtıcılar</w:t>
            </w:r>
          </w:p>
        </w:tc>
        <w:tc>
          <w:tcPr>
            <w:tcW w:w="54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110.635,56</w:t>
            </w:r>
          </w:p>
        </w:tc>
        <w:tc>
          <w:tcPr>
            <w:tcW w:w="54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109.330,47</w:t>
            </w:r>
          </w:p>
        </w:tc>
        <w:tc>
          <w:tcPr>
            <w:tcW w:w="592"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2.051,00</w:t>
            </w:r>
          </w:p>
        </w:tc>
        <w:tc>
          <w:tcPr>
            <w:tcW w:w="63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13.558.513,00</w:t>
            </w:r>
          </w:p>
        </w:tc>
        <w:tc>
          <w:tcPr>
            <w:tcW w:w="62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105.822,00</w:t>
            </w:r>
          </w:p>
        </w:tc>
        <w:tc>
          <w:tcPr>
            <w:tcW w:w="751"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13.666.386,00</w:t>
            </w:r>
          </w:p>
        </w:tc>
      </w:tr>
      <w:tr w:rsidR="005D0429" w:rsidRPr="005D0429" w:rsidTr="006836C6">
        <w:trPr>
          <w:trHeight w:val="20"/>
        </w:trPr>
        <w:tc>
          <w:tcPr>
            <w:tcW w:w="829" w:type="pct"/>
            <w:vMerge/>
            <w:tcBorders>
              <w:top w:val="nil"/>
              <w:left w:val="single" w:sz="8" w:space="0" w:color="D9D9D9"/>
              <w:bottom w:val="single" w:sz="8" w:space="0" w:color="D9D9D9"/>
              <w:right w:val="single" w:sz="8" w:space="0" w:color="D9D9D9"/>
            </w:tcBorders>
            <w:vAlign w:val="center"/>
            <w:hideMark/>
          </w:tcPr>
          <w:p w:rsidR="005D0429" w:rsidRPr="005D0429" w:rsidRDefault="005D0429" w:rsidP="005D0429">
            <w:pPr>
              <w:spacing w:after="0" w:line="240" w:lineRule="auto"/>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rPr>
                <w:rFonts w:ascii="Calibri" w:eastAsia="Times New Roman" w:hAnsi="Calibri"/>
                <w:b/>
                <w:color w:val="000000"/>
                <w:sz w:val="20"/>
                <w:szCs w:val="20"/>
                <w:lang w:eastAsia="tr-TR"/>
              </w:rPr>
            </w:pPr>
            <w:r w:rsidRPr="005D0429">
              <w:rPr>
                <w:rFonts w:ascii="Calibri" w:eastAsia="Times New Roman" w:hAnsi="Calibri"/>
                <w:b/>
                <w:color w:val="000000"/>
                <w:sz w:val="20"/>
                <w:szCs w:val="20"/>
                <w:lang w:eastAsia="tr-TR"/>
              </w:rPr>
              <w:t>Toplam</w:t>
            </w:r>
          </w:p>
        </w:tc>
        <w:tc>
          <w:tcPr>
            <w:tcW w:w="54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193.923,93</w:t>
            </w:r>
          </w:p>
        </w:tc>
        <w:tc>
          <w:tcPr>
            <w:tcW w:w="54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191.376,54</w:t>
            </w:r>
          </w:p>
        </w:tc>
        <w:tc>
          <w:tcPr>
            <w:tcW w:w="592"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2.466.616,00</w:t>
            </w:r>
          </w:p>
        </w:tc>
        <w:tc>
          <w:tcPr>
            <w:tcW w:w="63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21.290.027,00</w:t>
            </w:r>
          </w:p>
        </w:tc>
        <w:tc>
          <w:tcPr>
            <w:tcW w:w="62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165.577,00</w:t>
            </w:r>
          </w:p>
        </w:tc>
        <w:tc>
          <w:tcPr>
            <w:tcW w:w="751"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23.922.220,00</w:t>
            </w:r>
          </w:p>
        </w:tc>
      </w:tr>
      <w:tr w:rsidR="005D0429" w:rsidRPr="005D0429" w:rsidTr="006836C6">
        <w:trPr>
          <w:trHeight w:val="20"/>
        </w:trPr>
        <w:tc>
          <w:tcPr>
            <w:tcW w:w="829" w:type="pct"/>
            <w:vMerge w:val="restart"/>
            <w:tcBorders>
              <w:top w:val="nil"/>
              <w:left w:val="single" w:sz="8" w:space="0" w:color="D9D9D9"/>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center"/>
              <w:rPr>
                <w:rFonts w:ascii="Calibri" w:eastAsia="Times New Roman" w:hAnsi="Calibri"/>
                <w:color w:val="000000"/>
                <w:lang w:eastAsia="tr-TR"/>
              </w:rPr>
            </w:pPr>
            <w:r w:rsidRPr="005D0429">
              <w:rPr>
                <w:rFonts w:ascii="Calibri" w:eastAsia="Times New Roman" w:hAnsi="Calibri"/>
                <w:color w:val="000000"/>
                <w:lang w:eastAsia="tr-TR"/>
              </w:rPr>
              <w:t>2015</w:t>
            </w:r>
          </w:p>
        </w:tc>
        <w:tc>
          <w:tcPr>
            <w:tcW w:w="482"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rPr>
                <w:rFonts w:ascii="Calibri" w:eastAsia="Times New Roman" w:hAnsi="Calibri"/>
                <w:color w:val="000000"/>
                <w:sz w:val="20"/>
                <w:szCs w:val="20"/>
                <w:lang w:eastAsia="tr-TR"/>
              </w:rPr>
            </w:pPr>
            <w:r w:rsidRPr="005D0429">
              <w:rPr>
                <w:rFonts w:ascii="Calibri" w:eastAsia="Times New Roman" w:hAnsi="Calibri"/>
                <w:color w:val="000000"/>
                <w:sz w:val="20"/>
                <w:szCs w:val="20"/>
                <w:lang w:eastAsia="tr-TR"/>
              </w:rPr>
              <w:t>Rafineri</w:t>
            </w:r>
          </w:p>
        </w:tc>
        <w:tc>
          <w:tcPr>
            <w:tcW w:w="54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108.111,46</w:t>
            </w:r>
          </w:p>
        </w:tc>
        <w:tc>
          <w:tcPr>
            <w:tcW w:w="54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108.536,59</w:t>
            </w:r>
          </w:p>
        </w:tc>
        <w:tc>
          <w:tcPr>
            <w:tcW w:w="592"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2.823.176,00</w:t>
            </w:r>
          </w:p>
        </w:tc>
        <w:tc>
          <w:tcPr>
            <w:tcW w:w="63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10.664.398,00</w:t>
            </w:r>
          </w:p>
        </w:tc>
        <w:tc>
          <w:tcPr>
            <w:tcW w:w="62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79.484,00</w:t>
            </w:r>
          </w:p>
        </w:tc>
        <w:tc>
          <w:tcPr>
            <w:tcW w:w="751"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13.567.058,00</w:t>
            </w:r>
          </w:p>
        </w:tc>
      </w:tr>
      <w:tr w:rsidR="005D0429" w:rsidRPr="005D0429" w:rsidTr="006836C6">
        <w:trPr>
          <w:trHeight w:val="20"/>
        </w:trPr>
        <w:tc>
          <w:tcPr>
            <w:tcW w:w="829" w:type="pct"/>
            <w:vMerge/>
            <w:tcBorders>
              <w:top w:val="nil"/>
              <w:left w:val="single" w:sz="8" w:space="0" w:color="D9D9D9"/>
              <w:bottom w:val="single" w:sz="8" w:space="0" w:color="D9D9D9"/>
              <w:right w:val="single" w:sz="8" w:space="0" w:color="D9D9D9"/>
            </w:tcBorders>
            <w:vAlign w:val="center"/>
            <w:hideMark/>
          </w:tcPr>
          <w:p w:rsidR="005D0429" w:rsidRPr="005D0429" w:rsidRDefault="005D0429" w:rsidP="005D0429">
            <w:pPr>
              <w:spacing w:after="0" w:line="240" w:lineRule="auto"/>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rPr>
                <w:rFonts w:ascii="Calibri" w:eastAsia="Times New Roman" w:hAnsi="Calibri"/>
                <w:color w:val="000000"/>
                <w:sz w:val="20"/>
                <w:szCs w:val="20"/>
                <w:lang w:eastAsia="tr-TR"/>
              </w:rPr>
            </w:pPr>
            <w:r w:rsidRPr="005D0429">
              <w:rPr>
                <w:rFonts w:ascii="Calibri" w:eastAsia="Times New Roman" w:hAnsi="Calibri"/>
                <w:color w:val="000000"/>
                <w:sz w:val="20"/>
                <w:szCs w:val="20"/>
                <w:lang w:eastAsia="tr-TR"/>
              </w:rPr>
              <w:t>Dağıtıcılar</w:t>
            </w:r>
          </w:p>
        </w:tc>
        <w:tc>
          <w:tcPr>
            <w:tcW w:w="54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108.758,10</w:t>
            </w:r>
          </w:p>
        </w:tc>
        <w:tc>
          <w:tcPr>
            <w:tcW w:w="54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109.350,88</w:t>
            </w:r>
          </w:p>
        </w:tc>
        <w:tc>
          <w:tcPr>
            <w:tcW w:w="592"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0,00</w:t>
            </w:r>
          </w:p>
        </w:tc>
        <w:tc>
          <w:tcPr>
            <w:tcW w:w="63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13.516.467,00</w:t>
            </w:r>
          </w:p>
        </w:tc>
        <w:tc>
          <w:tcPr>
            <w:tcW w:w="62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152.793,00</w:t>
            </w:r>
          </w:p>
        </w:tc>
        <w:tc>
          <w:tcPr>
            <w:tcW w:w="751"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13.669.260,00</w:t>
            </w:r>
          </w:p>
        </w:tc>
      </w:tr>
      <w:tr w:rsidR="005D0429" w:rsidRPr="005D0429" w:rsidTr="006836C6">
        <w:trPr>
          <w:trHeight w:val="20"/>
        </w:trPr>
        <w:tc>
          <w:tcPr>
            <w:tcW w:w="829" w:type="pct"/>
            <w:vMerge/>
            <w:tcBorders>
              <w:top w:val="nil"/>
              <w:left w:val="single" w:sz="8" w:space="0" w:color="D9D9D9"/>
              <w:bottom w:val="single" w:sz="8" w:space="0" w:color="D9D9D9"/>
              <w:right w:val="single" w:sz="8" w:space="0" w:color="D9D9D9"/>
            </w:tcBorders>
            <w:vAlign w:val="center"/>
            <w:hideMark/>
          </w:tcPr>
          <w:p w:rsidR="005D0429" w:rsidRPr="005D0429" w:rsidRDefault="005D0429" w:rsidP="005D0429">
            <w:pPr>
              <w:spacing w:after="0" w:line="240" w:lineRule="auto"/>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rPr>
                <w:rFonts w:ascii="Calibri" w:eastAsia="Times New Roman" w:hAnsi="Calibri"/>
                <w:b/>
                <w:color w:val="000000"/>
                <w:sz w:val="20"/>
                <w:szCs w:val="20"/>
                <w:lang w:eastAsia="tr-TR"/>
              </w:rPr>
            </w:pPr>
            <w:r w:rsidRPr="005D0429">
              <w:rPr>
                <w:rFonts w:ascii="Calibri" w:eastAsia="Times New Roman" w:hAnsi="Calibri"/>
                <w:b/>
                <w:color w:val="000000"/>
                <w:sz w:val="20"/>
                <w:szCs w:val="20"/>
                <w:lang w:eastAsia="tr-TR"/>
              </w:rPr>
              <w:t>Toplam</w:t>
            </w:r>
          </w:p>
        </w:tc>
        <w:tc>
          <w:tcPr>
            <w:tcW w:w="54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216.869,56</w:t>
            </w:r>
          </w:p>
        </w:tc>
        <w:tc>
          <w:tcPr>
            <w:tcW w:w="54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217.887,47</w:t>
            </w:r>
          </w:p>
        </w:tc>
        <w:tc>
          <w:tcPr>
            <w:tcW w:w="592"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2.823.176,00</w:t>
            </w:r>
          </w:p>
        </w:tc>
        <w:tc>
          <w:tcPr>
            <w:tcW w:w="63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24.180.865,00</w:t>
            </w:r>
          </w:p>
        </w:tc>
        <w:tc>
          <w:tcPr>
            <w:tcW w:w="62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232.277,00</w:t>
            </w:r>
          </w:p>
        </w:tc>
        <w:tc>
          <w:tcPr>
            <w:tcW w:w="751"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27.236.318,00</w:t>
            </w:r>
          </w:p>
        </w:tc>
      </w:tr>
      <w:tr w:rsidR="005D0429" w:rsidRPr="005D0429" w:rsidTr="006836C6">
        <w:trPr>
          <w:trHeight w:val="20"/>
        </w:trPr>
        <w:tc>
          <w:tcPr>
            <w:tcW w:w="829" w:type="pct"/>
            <w:vMerge w:val="restart"/>
            <w:tcBorders>
              <w:top w:val="nil"/>
              <w:left w:val="single" w:sz="8" w:space="0" w:color="D9D9D9"/>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center"/>
              <w:rPr>
                <w:rFonts w:ascii="Calibri" w:eastAsia="Times New Roman" w:hAnsi="Calibri"/>
                <w:color w:val="000000"/>
                <w:lang w:eastAsia="tr-TR"/>
              </w:rPr>
            </w:pPr>
            <w:r w:rsidRPr="005D0429">
              <w:rPr>
                <w:rFonts w:ascii="Calibri" w:eastAsia="Times New Roman" w:hAnsi="Calibri"/>
                <w:color w:val="000000"/>
                <w:lang w:eastAsia="tr-TR"/>
              </w:rPr>
              <w:t>2016</w:t>
            </w:r>
          </w:p>
        </w:tc>
        <w:tc>
          <w:tcPr>
            <w:tcW w:w="482"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rPr>
                <w:rFonts w:ascii="Calibri" w:eastAsia="Times New Roman" w:hAnsi="Calibri"/>
                <w:color w:val="000000"/>
                <w:sz w:val="20"/>
                <w:szCs w:val="20"/>
                <w:lang w:eastAsia="tr-TR"/>
              </w:rPr>
            </w:pPr>
            <w:r w:rsidRPr="005D0429">
              <w:rPr>
                <w:rFonts w:ascii="Calibri" w:eastAsia="Times New Roman" w:hAnsi="Calibri"/>
                <w:color w:val="000000"/>
                <w:sz w:val="20"/>
                <w:szCs w:val="20"/>
                <w:lang w:eastAsia="tr-TR"/>
              </w:rPr>
              <w:t>Rafineri</w:t>
            </w:r>
          </w:p>
        </w:tc>
        <w:tc>
          <w:tcPr>
            <w:tcW w:w="54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124.068,39</w:t>
            </w:r>
          </w:p>
        </w:tc>
        <w:tc>
          <w:tcPr>
            <w:tcW w:w="54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126.088,45</w:t>
            </w:r>
          </w:p>
        </w:tc>
        <w:tc>
          <w:tcPr>
            <w:tcW w:w="592"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2.918.536,74</w:t>
            </w:r>
          </w:p>
        </w:tc>
        <w:tc>
          <w:tcPr>
            <w:tcW w:w="63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12.814.129,71</w:t>
            </w:r>
          </w:p>
        </w:tc>
        <w:tc>
          <w:tcPr>
            <w:tcW w:w="62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28.389,19</w:t>
            </w:r>
          </w:p>
        </w:tc>
        <w:tc>
          <w:tcPr>
            <w:tcW w:w="751"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15.761.055,64</w:t>
            </w:r>
          </w:p>
        </w:tc>
      </w:tr>
      <w:tr w:rsidR="005D0429" w:rsidRPr="005D0429" w:rsidTr="006836C6">
        <w:trPr>
          <w:trHeight w:val="20"/>
        </w:trPr>
        <w:tc>
          <w:tcPr>
            <w:tcW w:w="829" w:type="pct"/>
            <w:vMerge/>
            <w:tcBorders>
              <w:top w:val="nil"/>
              <w:left w:val="single" w:sz="8" w:space="0" w:color="D9D9D9"/>
              <w:bottom w:val="single" w:sz="8" w:space="0" w:color="D9D9D9"/>
              <w:right w:val="single" w:sz="8" w:space="0" w:color="D9D9D9"/>
            </w:tcBorders>
            <w:vAlign w:val="center"/>
            <w:hideMark/>
          </w:tcPr>
          <w:p w:rsidR="005D0429" w:rsidRPr="005D0429" w:rsidRDefault="005D0429" w:rsidP="005D0429">
            <w:pPr>
              <w:spacing w:after="0" w:line="240" w:lineRule="auto"/>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rPr>
                <w:rFonts w:ascii="Calibri" w:eastAsia="Times New Roman" w:hAnsi="Calibri"/>
                <w:color w:val="000000"/>
                <w:sz w:val="20"/>
                <w:szCs w:val="20"/>
                <w:lang w:eastAsia="tr-TR"/>
              </w:rPr>
            </w:pPr>
            <w:r w:rsidRPr="005D0429">
              <w:rPr>
                <w:rFonts w:ascii="Calibri" w:eastAsia="Times New Roman" w:hAnsi="Calibri"/>
                <w:color w:val="000000"/>
                <w:sz w:val="20"/>
                <w:szCs w:val="20"/>
                <w:lang w:eastAsia="tr-TR"/>
              </w:rPr>
              <w:t>Dağıtıcılar</w:t>
            </w:r>
          </w:p>
        </w:tc>
        <w:tc>
          <w:tcPr>
            <w:tcW w:w="54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111.493,34</w:t>
            </w:r>
          </w:p>
        </w:tc>
        <w:tc>
          <w:tcPr>
            <w:tcW w:w="54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108.872,34</w:t>
            </w:r>
          </w:p>
        </w:tc>
        <w:tc>
          <w:tcPr>
            <w:tcW w:w="592"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0,00</w:t>
            </w:r>
          </w:p>
        </w:tc>
        <w:tc>
          <w:tcPr>
            <w:tcW w:w="63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13.455.607,96</w:t>
            </w:r>
          </w:p>
        </w:tc>
        <w:tc>
          <w:tcPr>
            <w:tcW w:w="62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153.577,87</w:t>
            </w:r>
          </w:p>
        </w:tc>
        <w:tc>
          <w:tcPr>
            <w:tcW w:w="751"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13.609.185,83</w:t>
            </w:r>
          </w:p>
        </w:tc>
      </w:tr>
      <w:tr w:rsidR="005D0429" w:rsidRPr="005D0429" w:rsidTr="006836C6">
        <w:trPr>
          <w:trHeight w:val="20"/>
        </w:trPr>
        <w:tc>
          <w:tcPr>
            <w:tcW w:w="829" w:type="pct"/>
            <w:vMerge/>
            <w:tcBorders>
              <w:top w:val="nil"/>
              <w:left w:val="single" w:sz="8" w:space="0" w:color="D9D9D9"/>
              <w:bottom w:val="single" w:sz="8" w:space="0" w:color="D9D9D9"/>
              <w:right w:val="single" w:sz="8" w:space="0" w:color="D9D9D9"/>
            </w:tcBorders>
            <w:vAlign w:val="center"/>
            <w:hideMark/>
          </w:tcPr>
          <w:p w:rsidR="005D0429" w:rsidRPr="005D0429" w:rsidRDefault="005D0429" w:rsidP="005D0429">
            <w:pPr>
              <w:spacing w:after="0" w:line="240" w:lineRule="auto"/>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rPr>
                <w:rFonts w:ascii="Calibri" w:eastAsia="Times New Roman" w:hAnsi="Calibri"/>
                <w:b/>
                <w:color w:val="000000"/>
                <w:sz w:val="20"/>
                <w:szCs w:val="20"/>
                <w:lang w:eastAsia="tr-TR"/>
              </w:rPr>
            </w:pPr>
            <w:r w:rsidRPr="005D0429">
              <w:rPr>
                <w:rFonts w:ascii="Calibri" w:eastAsia="Times New Roman" w:hAnsi="Calibri"/>
                <w:b/>
                <w:color w:val="000000"/>
                <w:sz w:val="20"/>
                <w:szCs w:val="20"/>
                <w:lang w:eastAsia="tr-TR"/>
              </w:rPr>
              <w:t>Toplam</w:t>
            </w:r>
          </w:p>
        </w:tc>
        <w:tc>
          <w:tcPr>
            <w:tcW w:w="54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235.561,73</w:t>
            </w:r>
          </w:p>
        </w:tc>
        <w:tc>
          <w:tcPr>
            <w:tcW w:w="54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234.960,79</w:t>
            </w:r>
          </w:p>
        </w:tc>
        <w:tc>
          <w:tcPr>
            <w:tcW w:w="592"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2.918.536,74</w:t>
            </w:r>
          </w:p>
        </w:tc>
        <w:tc>
          <w:tcPr>
            <w:tcW w:w="63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26.269.737,67</w:t>
            </w:r>
          </w:p>
        </w:tc>
        <w:tc>
          <w:tcPr>
            <w:tcW w:w="62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181.967,06</w:t>
            </w:r>
          </w:p>
        </w:tc>
        <w:tc>
          <w:tcPr>
            <w:tcW w:w="751"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29.370.241,47</w:t>
            </w:r>
          </w:p>
        </w:tc>
      </w:tr>
      <w:tr w:rsidR="005D0429" w:rsidRPr="005D0429" w:rsidTr="006836C6">
        <w:trPr>
          <w:trHeight w:val="20"/>
        </w:trPr>
        <w:tc>
          <w:tcPr>
            <w:tcW w:w="829" w:type="pct"/>
            <w:vMerge w:val="restart"/>
            <w:tcBorders>
              <w:top w:val="nil"/>
              <w:left w:val="single" w:sz="8" w:space="0" w:color="D9D9D9"/>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center"/>
              <w:rPr>
                <w:rFonts w:ascii="Calibri" w:eastAsia="Times New Roman" w:hAnsi="Calibri"/>
                <w:color w:val="000000"/>
                <w:lang w:eastAsia="tr-TR"/>
              </w:rPr>
            </w:pPr>
            <w:r w:rsidRPr="005D0429">
              <w:rPr>
                <w:rFonts w:ascii="Calibri" w:eastAsia="Times New Roman" w:hAnsi="Calibri"/>
                <w:color w:val="000000"/>
                <w:lang w:eastAsia="tr-TR"/>
              </w:rPr>
              <w:t>2017</w:t>
            </w:r>
          </w:p>
        </w:tc>
        <w:tc>
          <w:tcPr>
            <w:tcW w:w="482"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rPr>
                <w:rFonts w:ascii="Calibri" w:eastAsia="Times New Roman" w:hAnsi="Calibri"/>
                <w:color w:val="000000"/>
                <w:sz w:val="20"/>
                <w:szCs w:val="20"/>
                <w:lang w:eastAsia="tr-TR"/>
              </w:rPr>
            </w:pPr>
            <w:r w:rsidRPr="005D0429">
              <w:rPr>
                <w:rFonts w:ascii="Calibri" w:eastAsia="Times New Roman" w:hAnsi="Calibri"/>
                <w:color w:val="000000"/>
                <w:sz w:val="20"/>
                <w:szCs w:val="20"/>
                <w:lang w:eastAsia="tr-TR"/>
              </w:rPr>
              <w:t>Rafineri</w:t>
            </w:r>
          </w:p>
        </w:tc>
        <w:tc>
          <w:tcPr>
            <w:tcW w:w="54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133.762,01</w:t>
            </w:r>
          </w:p>
        </w:tc>
        <w:tc>
          <w:tcPr>
            <w:tcW w:w="54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130.937,80</w:t>
            </w:r>
          </w:p>
        </w:tc>
        <w:tc>
          <w:tcPr>
            <w:tcW w:w="592"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2.982.718,02</w:t>
            </w:r>
          </w:p>
        </w:tc>
        <w:tc>
          <w:tcPr>
            <w:tcW w:w="63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13.369.035,61</w:t>
            </w:r>
          </w:p>
        </w:tc>
        <w:tc>
          <w:tcPr>
            <w:tcW w:w="62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15.473,43</w:t>
            </w:r>
          </w:p>
        </w:tc>
        <w:tc>
          <w:tcPr>
            <w:tcW w:w="751"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16.367.227,06</w:t>
            </w:r>
          </w:p>
        </w:tc>
      </w:tr>
      <w:tr w:rsidR="005D0429" w:rsidRPr="005D0429" w:rsidTr="006836C6">
        <w:trPr>
          <w:trHeight w:val="20"/>
        </w:trPr>
        <w:tc>
          <w:tcPr>
            <w:tcW w:w="829" w:type="pct"/>
            <w:vMerge/>
            <w:tcBorders>
              <w:top w:val="nil"/>
              <w:left w:val="single" w:sz="8" w:space="0" w:color="D9D9D9"/>
              <w:bottom w:val="single" w:sz="8" w:space="0" w:color="D9D9D9"/>
              <w:right w:val="single" w:sz="8" w:space="0" w:color="D9D9D9"/>
            </w:tcBorders>
            <w:vAlign w:val="center"/>
            <w:hideMark/>
          </w:tcPr>
          <w:p w:rsidR="005D0429" w:rsidRPr="005D0429" w:rsidRDefault="005D0429" w:rsidP="005D0429">
            <w:pPr>
              <w:spacing w:after="0" w:line="240" w:lineRule="auto"/>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rPr>
                <w:rFonts w:ascii="Calibri" w:eastAsia="Times New Roman" w:hAnsi="Calibri"/>
                <w:color w:val="000000"/>
                <w:sz w:val="20"/>
                <w:szCs w:val="20"/>
                <w:lang w:eastAsia="tr-TR"/>
              </w:rPr>
            </w:pPr>
            <w:r w:rsidRPr="005D0429">
              <w:rPr>
                <w:rFonts w:ascii="Calibri" w:eastAsia="Times New Roman" w:hAnsi="Calibri"/>
                <w:color w:val="000000"/>
                <w:sz w:val="20"/>
                <w:szCs w:val="20"/>
                <w:lang w:eastAsia="tr-TR"/>
              </w:rPr>
              <w:t>Dağıtıcılar</w:t>
            </w:r>
          </w:p>
        </w:tc>
        <w:tc>
          <w:tcPr>
            <w:tcW w:w="54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119.137,46</w:t>
            </w:r>
          </w:p>
        </w:tc>
        <w:tc>
          <w:tcPr>
            <w:tcW w:w="54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117.971,15</w:t>
            </w:r>
          </w:p>
        </w:tc>
        <w:tc>
          <w:tcPr>
            <w:tcW w:w="592"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0,00</w:t>
            </w:r>
          </w:p>
        </w:tc>
        <w:tc>
          <w:tcPr>
            <w:tcW w:w="63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14.588.287,66</w:t>
            </w:r>
          </w:p>
        </w:tc>
        <w:tc>
          <w:tcPr>
            <w:tcW w:w="62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158.433,03</w:t>
            </w:r>
          </w:p>
        </w:tc>
        <w:tc>
          <w:tcPr>
            <w:tcW w:w="751"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14.746.720,69</w:t>
            </w:r>
          </w:p>
        </w:tc>
      </w:tr>
      <w:tr w:rsidR="005D0429" w:rsidRPr="005D0429" w:rsidTr="006836C6">
        <w:trPr>
          <w:trHeight w:val="20"/>
        </w:trPr>
        <w:tc>
          <w:tcPr>
            <w:tcW w:w="829" w:type="pct"/>
            <w:vMerge/>
            <w:tcBorders>
              <w:top w:val="nil"/>
              <w:left w:val="single" w:sz="8" w:space="0" w:color="D9D9D9"/>
              <w:bottom w:val="single" w:sz="8" w:space="0" w:color="D9D9D9"/>
              <w:right w:val="single" w:sz="8" w:space="0" w:color="D9D9D9"/>
            </w:tcBorders>
            <w:vAlign w:val="center"/>
            <w:hideMark/>
          </w:tcPr>
          <w:p w:rsidR="005D0429" w:rsidRPr="005D0429" w:rsidRDefault="005D0429" w:rsidP="005D0429">
            <w:pPr>
              <w:spacing w:after="0" w:line="240" w:lineRule="auto"/>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rPr>
                <w:rFonts w:ascii="Calibri" w:eastAsia="Times New Roman" w:hAnsi="Calibri"/>
                <w:b/>
                <w:color w:val="000000"/>
                <w:sz w:val="20"/>
                <w:szCs w:val="20"/>
                <w:lang w:eastAsia="tr-TR"/>
              </w:rPr>
            </w:pPr>
            <w:r w:rsidRPr="005D0429">
              <w:rPr>
                <w:rFonts w:ascii="Calibri" w:eastAsia="Times New Roman" w:hAnsi="Calibri"/>
                <w:b/>
                <w:color w:val="000000"/>
                <w:sz w:val="20"/>
                <w:szCs w:val="20"/>
                <w:lang w:eastAsia="tr-TR"/>
              </w:rPr>
              <w:t>Toplam</w:t>
            </w:r>
          </w:p>
        </w:tc>
        <w:tc>
          <w:tcPr>
            <w:tcW w:w="54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252.899,47</w:t>
            </w:r>
          </w:p>
        </w:tc>
        <w:tc>
          <w:tcPr>
            <w:tcW w:w="54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248.908,95</w:t>
            </w:r>
          </w:p>
        </w:tc>
        <w:tc>
          <w:tcPr>
            <w:tcW w:w="592"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2.982.718,02</w:t>
            </w:r>
          </w:p>
        </w:tc>
        <w:tc>
          <w:tcPr>
            <w:tcW w:w="63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27.957.323,26</w:t>
            </w:r>
          </w:p>
        </w:tc>
        <w:tc>
          <w:tcPr>
            <w:tcW w:w="62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173.906,46</w:t>
            </w:r>
          </w:p>
        </w:tc>
        <w:tc>
          <w:tcPr>
            <w:tcW w:w="751"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31.113.947,74</w:t>
            </w:r>
          </w:p>
        </w:tc>
      </w:tr>
      <w:tr w:rsidR="005D0429" w:rsidRPr="005D0429" w:rsidTr="006836C6">
        <w:trPr>
          <w:trHeight w:val="20"/>
        </w:trPr>
        <w:tc>
          <w:tcPr>
            <w:tcW w:w="829" w:type="pct"/>
            <w:vMerge w:val="restart"/>
            <w:tcBorders>
              <w:top w:val="nil"/>
              <w:left w:val="single" w:sz="8" w:space="0" w:color="D9D9D9"/>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center"/>
              <w:rPr>
                <w:rFonts w:ascii="Calibri" w:eastAsia="Times New Roman" w:hAnsi="Calibri"/>
                <w:color w:val="000000"/>
                <w:lang w:eastAsia="tr-TR"/>
              </w:rPr>
            </w:pPr>
            <w:r w:rsidRPr="005D0429">
              <w:rPr>
                <w:rFonts w:ascii="Calibri" w:eastAsia="Times New Roman" w:hAnsi="Calibri"/>
                <w:color w:val="000000"/>
                <w:lang w:eastAsia="tr-TR"/>
              </w:rPr>
              <w:t>2018</w:t>
            </w:r>
          </w:p>
        </w:tc>
        <w:tc>
          <w:tcPr>
            <w:tcW w:w="482"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rPr>
                <w:rFonts w:ascii="Calibri" w:eastAsia="Times New Roman" w:hAnsi="Calibri"/>
                <w:color w:val="000000"/>
                <w:sz w:val="20"/>
                <w:szCs w:val="20"/>
                <w:lang w:eastAsia="tr-TR"/>
              </w:rPr>
            </w:pPr>
            <w:r w:rsidRPr="005D0429">
              <w:rPr>
                <w:rFonts w:ascii="Calibri" w:eastAsia="Times New Roman" w:hAnsi="Calibri"/>
                <w:color w:val="000000"/>
                <w:sz w:val="20"/>
                <w:szCs w:val="20"/>
                <w:lang w:eastAsia="tr-TR"/>
              </w:rPr>
              <w:t>Rafineri</w:t>
            </w:r>
          </w:p>
        </w:tc>
        <w:tc>
          <w:tcPr>
            <w:tcW w:w="54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137.217,16</w:t>
            </w:r>
          </w:p>
        </w:tc>
        <w:tc>
          <w:tcPr>
            <w:tcW w:w="54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136.097,38</w:t>
            </w:r>
          </w:p>
        </w:tc>
        <w:tc>
          <w:tcPr>
            <w:tcW w:w="592"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3.033.684,35</w:t>
            </w:r>
          </w:p>
        </w:tc>
        <w:tc>
          <w:tcPr>
            <w:tcW w:w="63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13.966.248,42</w:t>
            </w:r>
          </w:p>
        </w:tc>
        <w:tc>
          <w:tcPr>
            <w:tcW w:w="62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12.237,88</w:t>
            </w:r>
          </w:p>
        </w:tc>
        <w:tc>
          <w:tcPr>
            <w:tcW w:w="751"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17.012.170,64</w:t>
            </w:r>
          </w:p>
        </w:tc>
      </w:tr>
      <w:tr w:rsidR="005D0429" w:rsidRPr="005D0429" w:rsidTr="006836C6">
        <w:trPr>
          <w:trHeight w:val="20"/>
        </w:trPr>
        <w:tc>
          <w:tcPr>
            <w:tcW w:w="829" w:type="pct"/>
            <w:vMerge/>
            <w:tcBorders>
              <w:top w:val="nil"/>
              <w:left w:val="single" w:sz="8" w:space="0" w:color="D9D9D9"/>
              <w:bottom w:val="single" w:sz="8" w:space="0" w:color="D9D9D9"/>
              <w:right w:val="single" w:sz="8" w:space="0" w:color="D9D9D9"/>
            </w:tcBorders>
            <w:vAlign w:val="center"/>
            <w:hideMark/>
          </w:tcPr>
          <w:p w:rsidR="005D0429" w:rsidRPr="005D0429" w:rsidRDefault="005D0429" w:rsidP="005D0429">
            <w:pPr>
              <w:spacing w:after="0" w:line="240" w:lineRule="auto"/>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rPr>
                <w:rFonts w:ascii="Calibri" w:eastAsia="Times New Roman" w:hAnsi="Calibri"/>
                <w:color w:val="000000"/>
                <w:sz w:val="20"/>
                <w:szCs w:val="20"/>
                <w:lang w:eastAsia="tr-TR"/>
              </w:rPr>
            </w:pPr>
            <w:r w:rsidRPr="005D0429">
              <w:rPr>
                <w:rFonts w:ascii="Calibri" w:eastAsia="Times New Roman" w:hAnsi="Calibri"/>
                <w:color w:val="000000"/>
                <w:sz w:val="20"/>
                <w:szCs w:val="20"/>
                <w:lang w:eastAsia="tr-TR"/>
              </w:rPr>
              <w:t>Dağıtıcılar</w:t>
            </w:r>
          </w:p>
        </w:tc>
        <w:tc>
          <w:tcPr>
            <w:tcW w:w="54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107.606,46</w:t>
            </w:r>
          </w:p>
        </w:tc>
        <w:tc>
          <w:tcPr>
            <w:tcW w:w="54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108.945,34</w:t>
            </w:r>
          </w:p>
        </w:tc>
        <w:tc>
          <w:tcPr>
            <w:tcW w:w="592"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0,00</w:t>
            </w:r>
          </w:p>
        </w:tc>
        <w:tc>
          <w:tcPr>
            <w:tcW w:w="63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13.412.442,25</w:t>
            </w:r>
          </w:p>
        </w:tc>
        <w:tc>
          <w:tcPr>
            <w:tcW w:w="62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205.871,57</w:t>
            </w:r>
          </w:p>
        </w:tc>
        <w:tc>
          <w:tcPr>
            <w:tcW w:w="751"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eastAsia="Times New Roman" w:hAnsi="Calibri"/>
                <w:color w:val="000000"/>
                <w:sz w:val="18"/>
                <w:szCs w:val="18"/>
                <w:lang w:eastAsia="tr-TR"/>
              </w:rPr>
              <w:t>13.618.313,81</w:t>
            </w:r>
          </w:p>
        </w:tc>
      </w:tr>
      <w:tr w:rsidR="005D0429" w:rsidRPr="005D0429" w:rsidTr="006836C6">
        <w:trPr>
          <w:trHeight w:val="20"/>
        </w:trPr>
        <w:tc>
          <w:tcPr>
            <w:tcW w:w="829" w:type="pct"/>
            <w:vMerge/>
            <w:tcBorders>
              <w:top w:val="nil"/>
              <w:left w:val="single" w:sz="8" w:space="0" w:color="D9D9D9"/>
              <w:bottom w:val="single" w:sz="8" w:space="0" w:color="D9D9D9"/>
              <w:right w:val="single" w:sz="8" w:space="0" w:color="D9D9D9"/>
            </w:tcBorders>
            <w:vAlign w:val="center"/>
            <w:hideMark/>
          </w:tcPr>
          <w:p w:rsidR="005D0429" w:rsidRPr="005D0429" w:rsidRDefault="005D0429" w:rsidP="005D0429">
            <w:pPr>
              <w:spacing w:after="0" w:line="240" w:lineRule="auto"/>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rPr>
                <w:rFonts w:ascii="Calibri" w:eastAsia="Times New Roman" w:hAnsi="Calibri"/>
                <w:b/>
                <w:color w:val="000000"/>
                <w:sz w:val="20"/>
                <w:szCs w:val="20"/>
                <w:lang w:eastAsia="tr-TR"/>
              </w:rPr>
            </w:pPr>
            <w:r w:rsidRPr="005D0429">
              <w:rPr>
                <w:rFonts w:ascii="Calibri" w:eastAsia="Times New Roman" w:hAnsi="Calibri"/>
                <w:b/>
                <w:color w:val="000000"/>
                <w:sz w:val="20"/>
                <w:szCs w:val="20"/>
                <w:lang w:eastAsia="tr-TR"/>
              </w:rPr>
              <w:t>Toplam</w:t>
            </w:r>
          </w:p>
        </w:tc>
        <w:tc>
          <w:tcPr>
            <w:tcW w:w="54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244.823,61</w:t>
            </w:r>
          </w:p>
        </w:tc>
        <w:tc>
          <w:tcPr>
            <w:tcW w:w="54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245.042,72</w:t>
            </w:r>
          </w:p>
        </w:tc>
        <w:tc>
          <w:tcPr>
            <w:tcW w:w="592"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3.033.684,35</w:t>
            </w:r>
          </w:p>
        </w:tc>
        <w:tc>
          <w:tcPr>
            <w:tcW w:w="63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27.378.690,66</w:t>
            </w:r>
          </w:p>
        </w:tc>
        <w:tc>
          <w:tcPr>
            <w:tcW w:w="624"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218.109,44</w:t>
            </w:r>
          </w:p>
        </w:tc>
        <w:tc>
          <w:tcPr>
            <w:tcW w:w="751" w:type="pct"/>
            <w:tcBorders>
              <w:top w:val="nil"/>
              <w:left w:val="nil"/>
              <w:bottom w:val="single" w:sz="8" w:space="0" w:color="D9D9D9"/>
              <w:right w:val="single" w:sz="8" w:space="0" w:color="D9D9D9"/>
            </w:tcBorders>
            <w:shd w:val="clear" w:color="auto" w:fill="auto"/>
            <w:vAlign w:val="center"/>
            <w:hideMark/>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eastAsia="Times New Roman" w:hAnsi="Calibri"/>
                <w:b/>
                <w:color w:val="000000"/>
                <w:sz w:val="18"/>
                <w:szCs w:val="18"/>
                <w:lang w:eastAsia="tr-TR"/>
              </w:rPr>
              <w:t>30.630.484,46</w:t>
            </w:r>
          </w:p>
        </w:tc>
      </w:tr>
      <w:tr w:rsidR="005D0429" w:rsidRPr="005D0429" w:rsidTr="006836C6">
        <w:trPr>
          <w:trHeight w:val="20"/>
        </w:trPr>
        <w:tc>
          <w:tcPr>
            <w:tcW w:w="829" w:type="pct"/>
            <w:vMerge w:val="restart"/>
            <w:tcBorders>
              <w:top w:val="nil"/>
              <w:left w:val="single" w:sz="8" w:space="0" w:color="D9D9D9"/>
              <w:right w:val="single" w:sz="8" w:space="0" w:color="D9D9D9"/>
            </w:tcBorders>
            <w:vAlign w:val="center"/>
          </w:tcPr>
          <w:p w:rsidR="005D0429" w:rsidRPr="005D0429" w:rsidRDefault="005D0429" w:rsidP="005D0429">
            <w:pPr>
              <w:spacing w:after="0" w:line="240" w:lineRule="auto"/>
              <w:jc w:val="center"/>
              <w:rPr>
                <w:rFonts w:ascii="Calibri" w:eastAsia="Times New Roman" w:hAnsi="Calibri"/>
                <w:color w:val="000000"/>
                <w:lang w:eastAsia="tr-TR"/>
              </w:rPr>
            </w:pPr>
            <w:r w:rsidRPr="005D0429">
              <w:rPr>
                <w:rFonts w:ascii="Calibri" w:eastAsia="Times New Roman" w:hAnsi="Calibri"/>
                <w:color w:val="000000"/>
                <w:lang w:eastAsia="tr-TR"/>
              </w:rPr>
              <w:t>2019</w:t>
            </w:r>
          </w:p>
        </w:tc>
        <w:tc>
          <w:tcPr>
            <w:tcW w:w="482"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rPr>
                <w:rFonts w:ascii="Calibri" w:eastAsia="Times New Roman" w:hAnsi="Calibri"/>
                <w:color w:val="000000"/>
                <w:sz w:val="20"/>
                <w:szCs w:val="20"/>
                <w:lang w:eastAsia="tr-TR"/>
              </w:rPr>
            </w:pPr>
            <w:r w:rsidRPr="005D0429">
              <w:rPr>
                <w:rFonts w:ascii="Calibri" w:eastAsia="Times New Roman" w:hAnsi="Calibri"/>
                <w:color w:val="000000"/>
                <w:sz w:val="20"/>
                <w:szCs w:val="20"/>
                <w:lang w:eastAsia="tr-TR"/>
              </w:rPr>
              <w:t>Rafineri</w:t>
            </w:r>
          </w:p>
        </w:tc>
        <w:tc>
          <w:tcPr>
            <w:tcW w:w="544"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hAnsi="Calibri" w:cs="Calibri"/>
                <w:color w:val="000000"/>
                <w:sz w:val="18"/>
                <w:szCs w:val="18"/>
              </w:rPr>
              <w:t>139.047,49</w:t>
            </w:r>
          </w:p>
        </w:tc>
        <w:tc>
          <w:tcPr>
            <w:tcW w:w="544"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hAnsi="Calibri" w:cs="Calibri"/>
                <w:color w:val="000000"/>
                <w:sz w:val="18"/>
                <w:szCs w:val="18"/>
              </w:rPr>
              <w:t>138.857,97</w:t>
            </w:r>
          </w:p>
        </w:tc>
        <w:tc>
          <w:tcPr>
            <w:tcW w:w="592"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hAnsi="Calibri" w:cs="Calibri"/>
                <w:color w:val="000000"/>
                <w:sz w:val="18"/>
                <w:szCs w:val="18"/>
              </w:rPr>
              <w:t>3.138.062,08</w:t>
            </w:r>
          </w:p>
        </w:tc>
        <w:tc>
          <w:tcPr>
            <w:tcW w:w="634"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hAnsi="Calibri" w:cs="Calibri"/>
                <w:color w:val="000000"/>
                <w:sz w:val="18"/>
                <w:szCs w:val="18"/>
              </w:rPr>
              <w:t>14.205.698,60</w:t>
            </w:r>
          </w:p>
        </w:tc>
        <w:tc>
          <w:tcPr>
            <w:tcW w:w="624"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hAnsi="Calibri" w:cs="Calibri"/>
                <w:color w:val="000000"/>
                <w:sz w:val="18"/>
                <w:szCs w:val="18"/>
              </w:rPr>
              <w:t>13.483,34</w:t>
            </w:r>
          </w:p>
        </w:tc>
        <w:tc>
          <w:tcPr>
            <w:tcW w:w="751"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hAnsi="Calibri" w:cs="Calibri"/>
                <w:color w:val="000000"/>
                <w:sz w:val="18"/>
                <w:szCs w:val="18"/>
              </w:rPr>
              <w:t>17.357.244,02</w:t>
            </w:r>
          </w:p>
        </w:tc>
      </w:tr>
      <w:tr w:rsidR="005D0429" w:rsidRPr="005D0429" w:rsidTr="006836C6">
        <w:trPr>
          <w:trHeight w:val="20"/>
        </w:trPr>
        <w:tc>
          <w:tcPr>
            <w:tcW w:w="829" w:type="pct"/>
            <w:vMerge/>
            <w:tcBorders>
              <w:left w:val="single" w:sz="8" w:space="0" w:color="D9D9D9"/>
              <w:right w:val="single" w:sz="8" w:space="0" w:color="D9D9D9"/>
            </w:tcBorders>
            <w:vAlign w:val="center"/>
          </w:tcPr>
          <w:p w:rsidR="005D0429" w:rsidRPr="005D0429" w:rsidRDefault="005D0429" w:rsidP="005D0429">
            <w:pPr>
              <w:spacing w:after="0" w:line="240" w:lineRule="auto"/>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rPr>
                <w:rFonts w:ascii="Calibri" w:eastAsia="Times New Roman" w:hAnsi="Calibri"/>
                <w:color w:val="000000"/>
                <w:sz w:val="20"/>
                <w:szCs w:val="20"/>
                <w:lang w:eastAsia="tr-TR"/>
              </w:rPr>
            </w:pPr>
            <w:r w:rsidRPr="005D0429">
              <w:rPr>
                <w:rFonts w:ascii="Calibri" w:eastAsia="Times New Roman" w:hAnsi="Calibri"/>
                <w:color w:val="000000"/>
                <w:sz w:val="20"/>
                <w:szCs w:val="20"/>
                <w:lang w:eastAsia="tr-TR"/>
              </w:rPr>
              <w:t>Dağıtıcılar</w:t>
            </w:r>
          </w:p>
        </w:tc>
        <w:tc>
          <w:tcPr>
            <w:tcW w:w="544"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hAnsi="Calibri" w:cs="Calibri"/>
                <w:color w:val="000000"/>
                <w:sz w:val="18"/>
                <w:szCs w:val="18"/>
              </w:rPr>
              <w:t>98.834,02</w:t>
            </w:r>
          </w:p>
        </w:tc>
        <w:tc>
          <w:tcPr>
            <w:tcW w:w="544"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hAnsi="Calibri" w:cs="Calibri"/>
                <w:color w:val="000000"/>
                <w:sz w:val="18"/>
                <w:szCs w:val="18"/>
              </w:rPr>
              <w:t>101.826,72</w:t>
            </w:r>
          </w:p>
        </w:tc>
        <w:tc>
          <w:tcPr>
            <w:tcW w:w="592"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hAnsi="Calibri" w:cs="Calibri"/>
                <w:color w:val="000000"/>
                <w:sz w:val="18"/>
                <w:szCs w:val="18"/>
              </w:rPr>
              <w:t>0,00</w:t>
            </w:r>
          </w:p>
        </w:tc>
        <w:tc>
          <w:tcPr>
            <w:tcW w:w="634"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hAnsi="Calibri" w:cs="Calibri"/>
                <w:color w:val="000000"/>
                <w:sz w:val="18"/>
                <w:szCs w:val="18"/>
              </w:rPr>
              <w:t>12.508.538,44</w:t>
            </w:r>
          </w:p>
        </w:tc>
        <w:tc>
          <w:tcPr>
            <w:tcW w:w="624"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hAnsi="Calibri" w:cs="Calibri"/>
                <w:color w:val="000000"/>
                <w:sz w:val="18"/>
                <w:szCs w:val="18"/>
              </w:rPr>
              <w:t>219.817,70</w:t>
            </w:r>
          </w:p>
        </w:tc>
        <w:tc>
          <w:tcPr>
            <w:tcW w:w="751"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eastAsia="Times New Roman" w:hAnsi="Calibri"/>
                <w:color w:val="000000"/>
                <w:sz w:val="18"/>
                <w:szCs w:val="18"/>
                <w:lang w:eastAsia="tr-TR"/>
              </w:rPr>
            </w:pPr>
            <w:r w:rsidRPr="005D0429">
              <w:rPr>
                <w:rFonts w:ascii="Calibri" w:hAnsi="Calibri" w:cs="Calibri"/>
                <w:color w:val="000000"/>
                <w:sz w:val="18"/>
                <w:szCs w:val="18"/>
              </w:rPr>
              <w:t>12.728.356,14</w:t>
            </w:r>
          </w:p>
        </w:tc>
      </w:tr>
      <w:tr w:rsidR="005D0429" w:rsidRPr="005D0429" w:rsidTr="006836C6">
        <w:trPr>
          <w:trHeight w:val="20"/>
        </w:trPr>
        <w:tc>
          <w:tcPr>
            <w:tcW w:w="829" w:type="pct"/>
            <w:vMerge/>
            <w:tcBorders>
              <w:left w:val="single" w:sz="8" w:space="0" w:color="D9D9D9"/>
              <w:bottom w:val="single" w:sz="8" w:space="0" w:color="D9D9D9"/>
              <w:right w:val="single" w:sz="8" w:space="0" w:color="D9D9D9"/>
            </w:tcBorders>
            <w:vAlign w:val="center"/>
          </w:tcPr>
          <w:p w:rsidR="005D0429" w:rsidRPr="005D0429" w:rsidRDefault="005D0429" w:rsidP="005D0429">
            <w:pPr>
              <w:spacing w:after="0" w:line="240" w:lineRule="auto"/>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rPr>
                <w:rFonts w:ascii="Calibri" w:eastAsia="Times New Roman" w:hAnsi="Calibri"/>
                <w:b/>
                <w:color w:val="000000"/>
                <w:sz w:val="20"/>
                <w:szCs w:val="20"/>
                <w:lang w:eastAsia="tr-TR"/>
              </w:rPr>
            </w:pPr>
            <w:r w:rsidRPr="005D0429">
              <w:rPr>
                <w:rFonts w:ascii="Calibri" w:eastAsia="Times New Roman" w:hAnsi="Calibri"/>
                <w:b/>
                <w:color w:val="000000"/>
                <w:sz w:val="20"/>
                <w:szCs w:val="20"/>
                <w:lang w:eastAsia="tr-TR"/>
              </w:rPr>
              <w:t>Toplam</w:t>
            </w:r>
          </w:p>
        </w:tc>
        <w:tc>
          <w:tcPr>
            <w:tcW w:w="544"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hAnsi="Calibri" w:cs="Calibri"/>
                <w:b/>
                <w:color w:val="000000"/>
                <w:sz w:val="18"/>
                <w:szCs w:val="18"/>
              </w:rPr>
              <w:t>237.881,51</w:t>
            </w:r>
          </w:p>
        </w:tc>
        <w:tc>
          <w:tcPr>
            <w:tcW w:w="544"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hAnsi="Calibri" w:cs="Calibri"/>
                <w:b/>
                <w:color w:val="000000"/>
                <w:sz w:val="18"/>
                <w:szCs w:val="18"/>
              </w:rPr>
              <w:t>240.684,69</w:t>
            </w:r>
          </w:p>
        </w:tc>
        <w:tc>
          <w:tcPr>
            <w:tcW w:w="592"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hAnsi="Calibri" w:cs="Calibri"/>
                <w:b/>
                <w:color w:val="000000"/>
                <w:sz w:val="18"/>
                <w:szCs w:val="18"/>
              </w:rPr>
              <w:t>3.138.062,08</w:t>
            </w:r>
          </w:p>
        </w:tc>
        <w:tc>
          <w:tcPr>
            <w:tcW w:w="634"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hAnsi="Calibri" w:cs="Calibri"/>
                <w:b/>
                <w:color w:val="000000"/>
                <w:sz w:val="18"/>
                <w:szCs w:val="18"/>
              </w:rPr>
              <w:t>26.714.237,04</w:t>
            </w:r>
          </w:p>
        </w:tc>
        <w:tc>
          <w:tcPr>
            <w:tcW w:w="624"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hAnsi="Calibri" w:cs="Calibri"/>
                <w:b/>
                <w:color w:val="000000"/>
                <w:sz w:val="18"/>
                <w:szCs w:val="18"/>
              </w:rPr>
              <w:t>233.301,04</w:t>
            </w:r>
          </w:p>
        </w:tc>
        <w:tc>
          <w:tcPr>
            <w:tcW w:w="751"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eastAsia="Times New Roman" w:hAnsi="Calibri"/>
                <w:b/>
                <w:color w:val="000000"/>
                <w:sz w:val="18"/>
                <w:szCs w:val="18"/>
                <w:lang w:eastAsia="tr-TR"/>
              </w:rPr>
            </w:pPr>
            <w:r w:rsidRPr="005D0429">
              <w:rPr>
                <w:rFonts w:ascii="Calibri" w:hAnsi="Calibri" w:cs="Calibri"/>
                <w:b/>
                <w:color w:val="000000"/>
                <w:sz w:val="18"/>
                <w:szCs w:val="18"/>
              </w:rPr>
              <w:t>30.085.600,17</w:t>
            </w:r>
          </w:p>
        </w:tc>
      </w:tr>
      <w:tr w:rsidR="005D0429" w:rsidRPr="005D0429" w:rsidTr="006836C6">
        <w:trPr>
          <w:trHeight w:val="20"/>
        </w:trPr>
        <w:tc>
          <w:tcPr>
            <w:tcW w:w="829" w:type="pct"/>
            <w:vMerge w:val="restart"/>
            <w:tcBorders>
              <w:left w:val="single" w:sz="8" w:space="0" w:color="D9D9D9"/>
              <w:right w:val="single" w:sz="8" w:space="0" w:color="D9D9D9"/>
            </w:tcBorders>
            <w:vAlign w:val="center"/>
          </w:tcPr>
          <w:p w:rsidR="005D0429" w:rsidRPr="005D0429" w:rsidRDefault="005D0429" w:rsidP="005D0429">
            <w:pPr>
              <w:spacing w:after="0" w:line="240" w:lineRule="auto"/>
              <w:jc w:val="center"/>
              <w:rPr>
                <w:rFonts w:ascii="Calibri" w:eastAsia="Times New Roman" w:hAnsi="Calibri"/>
                <w:color w:val="000000"/>
                <w:lang w:eastAsia="tr-TR"/>
              </w:rPr>
            </w:pPr>
            <w:r w:rsidRPr="005D0429">
              <w:rPr>
                <w:rFonts w:ascii="Calibri" w:eastAsia="Times New Roman" w:hAnsi="Calibri"/>
                <w:color w:val="000000"/>
                <w:lang w:eastAsia="tr-TR"/>
              </w:rPr>
              <w:t>2020</w:t>
            </w:r>
          </w:p>
        </w:tc>
        <w:tc>
          <w:tcPr>
            <w:tcW w:w="482"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rPr>
                <w:rFonts w:ascii="Calibri" w:eastAsia="Times New Roman" w:hAnsi="Calibri"/>
                <w:b/>
                <w:color w:val="000000"/>
                <w:sz w:val="20"/>
                <w:szCs w:val="20"/>
                <w:lang w:eastAsia="tr-TR"/>
              </w:rPr>
            </w:pPr>
            <w:r w:rsidRPr="005D0429">
              <w:rPr>
                <w:rFonts w:ascii="Calibri" w:eastAsia="Times New Roman" w:hAnsi="Calibri"/>
                <w:color w:val="000000"/>
                <w:sz w:val="20"/>
                <w:szCs w:val="20"/>
                <w:lang w:eastAsia="tr-TR"/>
              </w:rPr>
              <w:t>Rafineri</w:t>
            </w:r>
          </w:p>
        </w:tc>
        <w:tc>
          <w:tcPr>
            <w:tcW w:w="544"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hAnsi="Calibri" w:cs="Calibri"/>
                <w:b/>
                <w:color w:val="000000"/>
                <w:sz w:val="18"/>
                <w:szCs w:val="18"/>
              </w:rPr>
            </w:pPr>
            <w:r w:rsidRPr="005D0429">
              <w:rPr>
                <w:rFonts w:ascii="Calibri" w:hAnsi="Calibri" w:cs="Calibri"/>
                <w:color w:val="000000"/>
                <w:sz w:val="18"/>
                <w:szCs w:val="18"/>
              </w:rPr>
              <w:t>166.221,94</w:t>
            </w:r>
          </w:p>
        </w:tc>
        <w:tc>
          <w:tcPr>
            <w:tcW w:w="544"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hAnsi="Calibri" w:cs="Calibri"/>
                <w:b/>
                <w:color w:val="000000"/>
                <w:sz w:val="18"/>
                <w:szCs w:val="18"/>
              </w:rPr>
            </w:pPr>
            <w:r w:rsidRPr="005D0429">
              <w:rPr>
                <w:rFonts w:ascii="Calibri" w:hAnsi="Calibri" w:cs="Calibri"/>
                <w:color w:val="000000"/>
                <w:sz w:val="18"/>
                <w:szCs w:val="18"/>
              </w:rPr>
              <w:t>163.736,99</w:t>
            </w:r>
          </w:p>
        </w:tc>
        <w:tc>
          <w:tcPr>
            <w:tcW w:w="592"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hAnsi="Calibri" w:cs="Calibri"/>
                <w:b/>
                <w:color w:val="000000"/>
                <w:sz w:val="18"/>
                <w:szCs w:val="18"/>
              </w:rPr>
            </w:pPr>
            <w:r w:rsidRPr="005D0429">
              <w:rPr>
                <w:rFonts w:ascii="Calibri" w:hAnsi="Calibri" w:cs="Calibri"/>
                <w:color w:val="000000"/>
                <w:sz w:val="18"/>
                <w:szCs w:val="18"/>
              </w:rPr>
              <w:t>3.146.182,46</w:t>
            </w:r>
          </w:p>
        </w:tc>
        <w:tc>
          <w:tcPr>
            <w:tcW w:w="634"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hAnsi="Calibri" w:cs="Calibri"/>
                <w:b/>
                <w:color w:val="000000"/>
                <w:sz w:val="18"/>
                <w:szCs w:val="18"/>
              </w:rPr>
            </w:pPr>
            <w:r w:rsidRPr="005D0429">
              <w:rPr>
                <w:rFonts w:ascii="Calibri" w:hAnsi="Calibri" w:cs="Calibri"/>
                <w:color w:val="000000"/>
                <w:sz w:val="18"/>
                <w:szCs w:val="18"/>
              </w:rPr>
              <w:t>17.311.232,89</w:t>
            </w:r>
          </w:p>
        </w:tc>
        <w:tc>
          <w:tcPr>
            <w:tcW w:w="624"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hAnsi="Calibri" w:cs="Calibri"/>
                <w:b/>
                <w:color w:val="000000"/>
                <w:sz w:val="18"/>
                <w:szCs w:val="18"/>
              </w:rPr>
            </w:pPr>
            <w:r w:rsidRPr="005D0429">
              <w:rPr>
                <w:rFonts w:ascii="Calibri" w:hAnsi="Calibri" w:cs="Calibri"/>
                <w:color w:val="000000"/>
                <w:sz w:val="18"/>
                <w:szCs w:val="18"/>
              </w:rPr>
              <w:t>9.706,62</w:t>
            </w:r>
          </w:p>
        </w:tc>
        <w:tc>
          <w:tcPr>
            <w:tcW w:w="751"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hAnsi="Calibri" w:cs="Calibri"/>
                <w:b/>
                <w:color w:val="000000"/>
                <w:sz w:val="18"/>
                <w:szCs w:val="18"/>
              </w:rPr>
            </w:pPr>
            <w:r w:rsidRPr="005D0429">
              <w:rPr>
                <w:rFonts w:ascii="Calibri" w:hAnsi="Calibri" w:cs="Calibri"/>
                <w:color w:val="000000"/>
                <w:sz w:val="18"/>
                <w:szCs w:val="18"/>
              </w:rPr>
              <w:t>20.467.121,97</w:t>
            </w:r>
          </w:p>
        </w:tc>
      </w:tr>
      <w:tr w:rsidR="005D0429" w:rsidRPr="005D0429" w:rsidTr="006836C6">
        <w:trPr>
          <w:trHeight w:val="20"/>
        </w:trPr>
        <w:tc>
          <w:tcPr>
            <w:tcW w:w="829" w:type="pct"/>
            <w:vMerge/>
            <w:tcBorders>
              <w:left w:val="single" w:sz="8" w:space="0" w:color="D9D9D9"/>
              <w:right w:val="single" w:sz="8" w:space="0" w:color="D9D9D9"/>
            </w:tcBorders>
            <w:vAlign w:val="center"/>
          </w:tcPr>
          <w:p w:rsidR="005D0429" w:rsidRPr="005D0429" w:rsidRDefault="005D0429" w:rsidP="005D0429">
            <w:pPr>
              <w:spacing w:after="0" w:line="240" w:lineRule="auto"/>
              <w:jc w:val="center"/>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rPr>
                <w:rFonts w:ascii="Calibri" w:eastAsia="Times New Roman" w:hAnsi="Calibri"/>
                <w:b/>
                <w:color w:val="000000"/>
                <w:sz w:val="20"/>
                <w:szCs w:val="20"/>
                <w:lang w:eastAsia="tr-TR"/>
              </w:rPr>
            </w:pPr>
            <w:r w:rsidRPr="005D0429">
              <w:rPr>
                <w:rFonts w:ascii="Calibri" w:eastAsia="Times New Roman" w:hAnsi="Calibri"/>
                <w:color w:val="000000"/>
                <w:sz w:val="20"/>
                <w:szCs w:val="20"/>
                <w:lang w:eastAsia="tr-TR"/>
              </w:rPr>
              <w:t>Dağıtıcılar</w:t>
            </w:r>
          </w:p>
        </w:tc>
        <w:tc>
          <w:tcPr>
            <w:tcW w:w="544"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hAnsi="Calibri" w:cs="Calibri"/>
                <w:b/>
                <w:color w:val="000000"/>
                <w:sz w:val="18"/>
                <w:szCs w:val="18"/>
              </w:rPr>
            </w:pPr>
            <w:r w:rsidRPr="005D0429">
              <w:rPr>
                <w:rFonts w:ascii="Calibri" w:hAnsi="Calibri" w:cs="Calibri"/>
                <w:color w:val="000000"/>
                <w:sz w:val="18"/>
                <w:szCs w:val="18"/>
              </w:rPr>
              <w:t>78.661,95</w:t>
            </w:r>
          </w:p>
        </w:tc>
        <w:tc>
          <w:tcPr>
            <w:tcW w:w="544"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hAnsi="Calibri" w:cs="Calibri"/>
                <w:b/>
                <w:color w:val="000000"/>
                <w:sz w:val="18"/>
                <w:szCs w:val="18"/>
              </w:rPr>
            </w:pPr>
            <w:r w:rsidRPr="005D0429">
              <w:rPr>
                <w:rFonts w:ascii="Calibri" w:hAnsi="Calibri" w:cs="Calibri"/>
                <w:color w:val="000000"/>
                <w:sz w:val="18"/>
                <w:szCs w:val="18"/>
              </w:rPr>
              <w:t>77.805,28</w:t>
            </w:r>
          </w:p>
        </w:tc>
        <w:tc>
          <w:tcPr>
            <w:tcW w:w="592"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hAnsi="Calibri" w:cs="Calibri"/>
                <w:b/>
                <w:color w:val="000000"/>
                <w:sz w:val="18"/>
                <w:szCs w:val="18"/>
              </w:rPr>
            </w:pPr>
            <w:r w:rsidRPr="005D0429">
              <w:rPr>
                <w:rFonts w:ascii="Calibri" w:hAnsi="Calibri" w:cs="Calibri"/>
                <w:color w:val="000000"/>
                <w:sz w:val="18"/>
                <w:szCs w:val="18"/>
              </w:rPr>
              <w:t>0,00</w:t>
            </w:r>
          </w:p>
        </w:tc>
        <w:tc>
          <w:tcPr>
            <w:tcW w:w="634"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hAnsi="Calibri" w:cs="Calibri"/>
                <w:b/>
                <w:color w:val="000000"/>
                <w:sz w:val="18"/>
                <w:szCs w:val="18"/>
              </w:rPr>
            </w:pPr>
            <w:r w:rsidRPr="005D0429">
              <w:rPr>
                <w:rFonts w:ascii="Calibri" w:hAnsi="Calibri" w:cs="Calibri"/>
                <w:color w:val="000000"/>
                <w:sz w:val="18"/>
                <w:szCs w:val="18"/>
              </w:rPr>
              <w:t>9.583.784,42</w:t>
            </w:r>
          </w:p>
        </w:tc>
        <w:tc>
          <w:tcPr>
            <w:tcW w:w="624"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hAnsi="Calibri" w:cs="Calibri"/>
                <w:b/>
                <w:color w:val="000000"/>
                <w:sz w:val="18"/>
                <w:szCs w:val="18"/>
              </w:rPr>
            </w:pPr>
            <w:r w:rsidRPr="005D0429">
              <w:rPr>
                <w:rFonts w:ascii="Calibri" w:hAnsi="Calibri" w:cs="Calibri"/>
                <w:color w:val="000000"/>
                <w:sz w:val="18"/>
                <w:szCs w:val="18"/>
              </w:rPr>
              <w:t>141.862,36</w:t>
            </w:r>
          </w:p>
        </w:tc>
        <w:tc>
          <w:tcPr>
            <w:tcW w:w="751"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hAnsi="Calibri" w:cs="Calibri"/>
                <w:b/>
                <w:color w:val="000000"/>
                <w:sz w:val="18"/>
                <w:szCs w:val="18"/>
              </w:rPr>
            </w:pPr>
            <w:r w:rsidRPr="005D0429">
              <w:rPr>
                <w:rFonts w:ascii="Calibri" w:hAnsi="Calibri" w:cs="Calibri"/>
                <w:color w:val="000000"/>
                <w:sz w:val="18"/>
                <w:szCs w:val="18"/>
              </w:rPr>
              <w:t>9.725.464,78</w:t>
            </w:r>
          </w:p>
        </w:tc>
      </w:tr>
      <w:tr w:rsidR="005D0429" w:rsidRPr="005D0429" w:rsidTr="006836C6">
        <w:trPr>
          <w:trHeight w:val="20"/>
        </w:trPr>
        <w:tc>
          <w:tcPr>
            <w:tcW w:w="829" w:type="pct"/>
            <w:vMerge/>
            <w:tcBorders>
              <w:left w:val="single" w:sz="8" w:space="0" w:color="D9D9D9"/>
              <w:bottom w:val="single" w:sz="8" w:space="0" w:color="D9D9D9"/>
              <w:right w:val="single" w:sz="8" w:space="0" w:color="D9D9D9"/>
            </w:tcBorders>
            <w:vAlign w:val="center"/>
          </w:tcPr>
          <w:p w:rsidR="005D0429" w:rsidRPr="005D0429" w:rsidRDefault="005D0429" w:rsidP="005D0429">
            <w:pPr>
              <w:spacing w:after="0" w:line="240" w:lineRule="auto"/>
              <w:jc w:val="center"/>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rPr>
                <w:rFonts w:ascii="Calibri" w:eastAsia="Times New Roman" w:hAnsi="Calibri"/>
                <w:b/>
                <w:color w:val="000000"/>
                <w:sz w:val="20"/>
                <w:szCs w:val="20"/>
                <w:lang w:eastAsia="tr-TR"/>
              </w:rPr>
            </w:pPr>
            <w:r w:rsidRPr="005D0429">
              <w:rPr>
                <w:rFonts w:ascii="Calibri" w:eastAsia="Times New Roman" w:hAnsi="Calibri"/>
                <w:b/>
                <w:color w:val="000000"/>
                <w:sz w:val="20"/>
                <w:szCs w:val="20"/>
                <w:lang w:eastAsia="tr-TR"/>
              </w:rPr>
              <w:t>Toplam</w:t>
            </w:r>
          </w:p>
        </w:tc>
        <w:tc>
          <w:tcPr>
            <w:tcW w:w="544"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hAnsi="Calibri" w:cs="Calibri"/>
                <w:b/>
                <w:color w:val="000000"/>
                <w:sz w:val="18"/>
                <w:szCs w:val="18"/>
              </w:rPr>
            </w:pPr>
            <w:r w:rsidRPr="005D0429">
              <w:rPr>
                <w:rFonts w:ascii="Calibri" w:hAnsi="Calibri" w:cs="Calibri"/>
                <w:b/>
                <w:bCs/>
                <w:color w:val="000000"/>
                <w:sz w:val="18"/>
                <w:szCs w:val="18"/>
              </w:rPr>
              <w:t>244.883,89</w:t>
            </w:r>
          </w:p>
        </w:tc>
        <w:tc>
          <w:tcPr>
            <w:tcW w:w="544"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hAnsi="Calibri" w:cs="Calibri"/>
                <w:b/>
                <w:color w:val="000000"/>
                <w:sz w:val="18"/>
                <w:szCs w:val="18"/>
              </w:rPr>
            </w:pPr>
            <w:r w:rsidRPr="005D0429">
              <w:rPr>
                <w:rFonts w:ascii="Calibri" w:hAnsi="Calibri" w:cs="Calibri"/>
                <w:b/>
                <w:bCs/>
                <w:color w:val="000000"/>
                <w:sz w:val="18"/>
                <w:szCs w:val="18"/>
              </w:rPr>
              <w:t>241.542,22</w:t>
            </w:r>
          </w:p>
        </w:tc>
        <w:tc>
          <w:tcPr>
            <w:tcW w:w="592"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hAnsi="Calibri" w:cs="Calibri"/>
                <w:b/>
                <w:color w:val="000000"/>
                <w:sz w:val="18"/>
                <w:szCs w:val="18"/>
              </w:rPr>
            </w:pPr>
            <w:r w:rsidRPr="005D0429">
              <w:rPr>
                <w:rFonts w:ascii="Calibri" w:hAnsi="Calibri" w:cs="Calibri"/>
                <w:b/>
                <w:bCs/>
                <w:color w:val="000000"/>
                <w:sz w:val="18"/>
                <w:szCs w:val="18"/>
              </w:rPr>
              <w:t>3.146.182,46</w:t>
            </w:r>
          </w:p>
        </w:tc>
        <w:tc>
          <w:tcPr>
            <w:tcW w:w="634"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hAnsi="Calibri" w:cs="Calibri"/>
                <w:b/>
                <w:color w:val="000000"/>
                <w:sz w:val="18"/>
                <w:szCs w:val="18"/>
              </w:rPr>
            </w:pPr>
            <w:r w:rsidRPr="005D0429">
              <w:rPr>
                <w:rFonts w:ascii="Calibri" w:hAnsi="Calibri" w:cs="Calibri"/>
                <w:b/>
                <w:bCs/>
                <w:color w:val="000000"/>
                <w:sz w:val="18"/>
                <w:szCs w:val="18"/>
              </w:rPr>
              <w:t>26.895.017,32</w:t>
            </w:r>
          </w:p>
        </w:tc>
        <w:tc>
          <w:tcPr>
            <w:tcW w:w="624"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hAnsi="Calibri" w:cs="Calibri"/>
                <w:b/>
                <w:color w:val="000000"/>
                <w:sz w:val="18"/>
                <w:szCs w:val="18"/>
              </w:rPr>
            </w:pPr>
            <w:r w:rsidRPr="005D0429">
              <w:rPr>
                <w:rFonts w:ascii="Calibri" w:hAnsi="Calibri" w:cs="Calibri"/>
                <w:b/>
                <w:bCs/>
                <w:color w:val="000000"/>
                <w:sz w:val="18"/>
                <w:szCs w:val="18"/>
              </w:rPr>
              <w:t>151.568,98</w:t>
            </w:r>
          </w:p>
        </w:tc>
        <w:tc>
          <w:tcPr>
            <w:tcW w:w="751"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hAnsi="Calibri" w:cs="Calibri"/>
                <w:b/>
                <w:color w:val="000000"/>
                <w:sz w:val="18"/>
                <w:szCs w:val="18"/>
              </w:rPr>
            </w:pPr>
            <w:r w:rsidRPr="005D0429">
              <w:rPr>
                <w:rFonts w:ascii="Calibri" w:hAnsi="Calibri" w:cs="Calibri"/>
                <w:b/>
                <w:bCs/>
                <w:color w:val="000000"/>
                <w:sz w:val="18"/>
                <w:szCs w:val="18"/>
              </w:rPr>
              <w:t>30.192.768,76</w:t>
            </w:r>
          </w:p>
        </w:tc>
      </w:tr>
      <w:tr w:rsidR="005D0429" w:rsidRPr="005D0429" w:rsidTr="006836C6">
        <w:trPr>
          <w:trHeight w:val="20"/>
        </w:trPr>
        <w:tc>
          <w:tcPr>
            <w:tcW w:w="829" w:type="pct"/>
            <w:vMerge w:val="restart"/>
            <w:tcBorders>
              <w:left w:val="single" w:sz="8" w:space="0" w:color="D9D9D9"/>
              <w:right w:val="single" w:sz="8" w:space="0" w:color="D9D9D9"/>
            </w:tcBorders>
            <w:vAlign w:val="center"/>
          </w:tcPr>
          <w:p w:rsidR="005D0429" w:rsidRPr="005D0429" w:rsidRDefault="005D0429" w:rsidP="005D0429">
            <w:pPr>
              <w:spacing w:after="0" w:line="240" w:lineRule="auto"/>
              <w:jc w:val="center"/>
              <w:rPr>
                <w:rFonts w:ascii="Calibri" w:eastAsia="Times New Roman" w:hAnsi="Calibri"/>
                <w:color w:val="000000"/>
                <w:lang w:eastAsia="tr-TR"/>
              </w:rPr>
            </w:pPr>
            <w:r w:rsidRPr="005D0429">
              <w:rPr>
                <w:rFonts w:ascii="Calibri" w:eastAsia="Times New Roman" w:hAnsi="Calibri"/>
                <w:color w:val="000000"/>
                <w:lang w:eastAsia="tr-TR"/>
              </w:rPr>
              <w:t>2021</w:t>
            </w:r>
          </w:p>
        </w:tc>
        <w:tc>
          <w:tcPr>
            <w:tcW w:w="482"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rPr>
                <w:rFonts w:ascii="Calibri" w:eastAsia="Times New Roman" w:hAnsi="Calibri"/>
                <w:b/>
                <w:color w:val="000000"/>
                <w:sz w:val="20"/>
                <w:szCs w:val="20"/>
                <w:lang w:eastAsia="tr-TR"/>
              </w:rPr>
            </w:pPr>
            <w:r w:rsidRPr="005D0429">
              <w:rPr>
                <w:rFonts w:ascii="Calibri" w:eastAsia="Times New Roman" w:hAnsi="Calibri"/>
                <w:color w:val="000000"/>
                <w:sz w:val="20"/>
                <w:szCs w:val="20"/>
                <w:lang w:eastAsia="tr-TR"/>
              </w:rPr>
              <w:t>Rafineri</w:t>
            </w:r>
          </w:p>
        </w:tc>
        <w:tc>
          <w:tcPr>
            <w:tcW w:w="544"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hAnsi="Calibri" w:cs="Calibri"/>
                <w:bCs/>
                <w:color w:val="000000"/>
                <w:sz w:val="18"/>
                <w:szCs w:val="18"/>
              </w:rPr>
            </w:pPr>
            <w:r w:rsidRPr="005D0429">
              <w:rPr>
                <w:rFonts w:ascii="Calibri" w:hAnsi="Calibri" w:cs="Calibri"/>
                <w:bCs/>
                <w:color w:val="000000"/>
                <w:sz w:val="18"/>
                <w:szCs w:val="18"/>
              </w:rPr>
              <w:t>177.562,49</w:t>
            </w:r>
          </w:p>
        </w:tc>
        <w:tc>
          <w:tcPr>
            <w:tcW w:w="544"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hAnsi="Calibri" w:cs="Calibri"/>
                <w:bCs/>
                <w:color w:val="000000"/>
                <w:sz w:val="18"/>
                <w:szCs w:val="18"/>
              </w:rPr>
            </w:pPr>
            <w:r w:rsidRPr="005D0429">
              <w:rPr>
                <w:rFonts w:ascii="Calibri" w:hAnsi="Calibri" w:cs="Calibri"/>
                <w:bCs/>
                <w:color w:val="000000"/>
                <w:sz w:val="18"/>
                <w:szCs w:val="18"/>
              </w:rPr>
              <w:t>176.528,26</w:t>
            </w:r>
          </w:p>
        </w:tc>
        <w:tc>
          <w:tcPr>
            <w:tcW w:w="592"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hAnsi="Calibri" w:cs="Calibri"/>
                <w:bCs/>
                <w:color w:val="000000"/>
                <w:sz w:val="18"/>
                <w:szCs w:val="18"/>
              </w:rPr>
            </w:pPr>
            <w:r w:rsidRPr="005D0429">
              <w:rPr>
                <w:rFonts w:ascii="Calibri" w:hAnsi="Calibri" w:cs="Calibri"/>
                <w:bCs/>
                <w:color w:val="000000"/>
                <w:sz w:val="18"/>
                <w:szCs w:val="18"/>
              </w:rPr>
              <w:t>3.923.155,36</w:t>
            </w:r>
          </w:p>
        </w:tc>
        <w:tc>
          <w:tcPr>
            <w:tcW w:w="634"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hAnsi="Calibri" w:cs="Calibri"/>
                <w:bCs/>
                <w:color w:val="000000"/>
                <w:sz w:val="18"/>
                <w:szCs w:val="18"/>
              </w:rPr>
            </w:pPr>
            <w:r w:rsidRPr="005D0429">
              <w:rPr>
                <w:rFonts w:ascii="Calibri" w:hAnsi="Calibri" w:cs="Calibri"/>
                <w:bCs/>
                <w:color w:val="000000"/>
                <w:sz w:val="18"/>
                <w:szCs w:val="18"/>
              </w:rPr>
              <w:t>18.130.928,15</w:t>
            </w:r>
          </w:p>
        </w:tc>
        <w:tc>
          <w:tcPr>
            <w:tcW w:w="624"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hAnsi="Calibri" w:cs="Calibri"/>
                <w:bCs/>
                <w:color w:val="000000"/>
                <w:sz w:val="18"/>
                <w:szCs w:val="18"/>
              </w:rPr>
            </w:pPr>
            <w:r w:rsidRPr="005D0429">
              <w:rPr>
                <w:rFonts w:ascii="Calibri" w:hAnsi="Calibri" w:cs="Calibri"/>
                <w:bCs/>
                <w:color w:val="000000"/>
                <w:sz w:val="18"/>
                <w:szCs w:val="18"/>
              </w:rPr>
              <w:t>11.949,45</w:t>
            </w:r>
          </w:p>
        </w:tc>
        <w:tc>
          <w:tcPr>
            <w:tcW w:w="751"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hAnsi="Calibri" w:cs="Calibri"/>
                <w:bCs/>
                <w:color w:val="000000"/>
                <w:sz w:val="18"/>
                <w:szCs w:val="18"/>
              </w:rPr>
            </w:pPr>
            <w:r w:rsidRPr="005D0429">
              <w:rPr>
                <w:rFonts w:ascii="Calibri" w:hAnsi="Calibri" w:cs="Calibri"/>
                <w:bCs/>
                <w:color w:val="000000"/>
                <w:sz w:val="18"/>
                <w:szCs w:val="18"/>
              </w:rPr>
              <w:t>22.066.032,96</w:t>
            </w:r>
          </w:p>
        </w:tc>
      </w:tr>
      <w:tr w:rsidR="005D0429" w:rsidRPr="005D0429" w:rsidTr="006836C6">
        <w:trPr>
          <w:trHeight w:val="20"/>
        </w:trPr>
        <w:tc>
          <w:tcPr>
            <w:tcW w:w="829" w:type="pct"/>
            <w:vMerge/>
            <w:tcBorders>
              <w:left w:val="single" w:sz="8" w:space="0" w:color="D9D9D9"/>
              <w:right w:val="single" w:sz="8" w:space="0" w:color="D9D9D9"/>
            </w:tcBorders>
            <w:vAlign w:val="center"/>
          </w:tcPr>
          <w:p w:rsidR="005D0429" w:rsidRPr="005D0429" w:rsidRDefault="005D0429" w:rsidP="005D0429">
            <w:pPr>
              <w:spacing w:after="0" w:line="240" w:lineRule="auto"/>
              <w:jc w:val="center"/>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rPr>
                <w:rFonts w:ascii="Calibri" w:eastAsia="Times New Roman" w:hAnsi="Calibri"/>
                <w:b/>
                <w:color w:val="000000"/>
                <w:sz w:val="20"/>
                <w:szCs w:val="20"/>
                <w:lang w:eastAsia="tr-TR"/>
              </w:rPr>
            </w:pPr>
            <w:r w:rsidRPr="005D0429">
              <w:rPr>
                <w:rFonts w:ascii="Calibri" w:eastAsia="Times New Roman" w:hAnsi="Calibri"/>
                <w:color w:val="000000"/>
                <w:sz w:val="20"/>
                <w:szCs w:val="20"/>
                <w:lang w:eastAsia="tr-TR"/>
              </w:rPr>
              <w:t>Dağıtıcılar</w:t>
            </w:r>
          </w:p>
        </w:tc>
        <w:tc>
          <w:tcPr>
            <w:tcW w:w="544"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hAnsi="Calibri" w:cs="Calibri"/>
                <w:bCs/>
                <w:color w:val="000000"/>
                <w:sz w:val="18"/>
                <w:szCs w:val="18"/>
              </w:rPr>
            </w:pPr>
            <w:r w:rsidRPr="005D0429">
              <w:rPr>
                <w:rFonts w:ascii="Calibri" w:hAnsi="Calibri" w:cs="Calibri"/>
                <w:bCs/>
                <w:color w:val="000000"/>
                <w:sz w:val="18"/>
                <w:szCs w:val="18"/>
              </w:rPr>
              <w:t>97.681,96</w:t>
            </w:r>
          </w:p>
        </w:tc>
        <w:tc>
          <w:tcPr>
            <w:tcW w:w="544"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hAnsi="Calibri" w:cs="Calibri"/>
                <w:bCs/>
                <w:color w:val="000000"/>
                <w:sz w:val="18"/>
                <w:szCs w:val="18"/>
              </w:rPr>
            </w:pPr>
            <w:r w:rsidRPr="005D0429">
              <w:rPr>
                <w:rFonts w:ascii="Calibri" w:hAnsi="Calibri" w:cs="Calibri"/>
                <w:bCs/>
                <w:color w:val="000000"/>
                <w:sz w:val="18"/>
                <w:szCs w:val="18"/>
              </w:rPr>
              <w:t>96.086,14</w:t>
            </w:r>
          </w:p>
        </w:tc>
        <w:tc>
          <w:tcPr>
            <w:tcW w:w="592"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hAnsi="Calibri" w:cs="Calibri"/>
                <w:bCs/>
                <w:color w:val="000000"/>
                <w:sz w:val="18"/>
                <w:szCs w:val="18"/>
              </w:rPr>
            </w:pPr>
            <w:r w:rsidRPr="005D0429">
              <w:rPr>
                <w:rFonts w:ascii="Calibri" w:hAnsi="Calibri" w:cs="Calibri"/>
                <w:bCs/>
                <w:color w:val="000000"/>
                <w:sz w:val="18"/>
                <w:szCs w:val="18"/>
              </w:rPr>
              <w:t>6.352,19</w:t>
            </w:r>
          </w:p>
        </w:tc>
        <w:tc>
          <w:tcPr>
            <w:tcW w:w="634"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hAnsi="Calibri" w:cs="Calibri"/>
                <w:bCs/>
                <w:color w:val="000000"/>
                <w:sz w:val="18"/>
                <w:szCs w:val="18"/>
              </w:rPr>
            </w:pPr>
            <w:r w:rsidRPr="005D0429">
              <w:rPr>
                <w:rFonts w:ascii="Calibri" w:hAnsi="Calibri" w:cs="Calibri"/>
                <w:bCs/>
                <w:color w:val="000000"/>
                <w:sz w:val="18"/>
                <w:szCs w:val="18"/>
              </w:rPr>
              <w:t>11.838.522,30</w:t>
            </w:r>
          </w:p>
        </w:tc>
        <w:tc>
          <w:tcPr>
            <w:tcW w:w="624"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hAnsi="Calibri" w:cs="Calibri"/>
                <w:bCs/>
                <w:color w:val="000000"/>
                <w:sz w:val="18"/>
                <w:szCs w:val="18"/>
              </w:rPr>
            </w:pPr>
            <w:r w:rsidRPr="005D0429">
              <w:rPr>
                <w:rFonts w:ascii="Calibri" w:hAnsi="Calibri" w:cs="Calibri"/>
                <w:bCs/>
                <w:color w:val="000000"/>
                <w:sz w:val="18"/>
                <w:szCs w:val="18"/>
              </w:rPr>
              <w:t>165.528,19</w:t>
            </w:r>
          </w:p>
        </w:tc>
        <w:tc>
          <w:tcPr>
            <w:tcW w:w="751"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hAnsi="Calibri" w:cs="Calibri"/>
                <w:bCs/>
                <w:color w:val="000000"/>
                <w:sz w:val="18"/>
                <w:szCs w:val="18"/>
              </w:rPr>
            </w:pPr>
            <w:r w:rsidRPr="005D0429">
              <w:rPr>
                <w:rFonts w:ascii="Calibri" w:hAnsi="Calibri" w:cs="Calibri"/>
                <w:bCs/>
                <w:color w:val="000000"/>
                <w:sz w:val="18"/>
                <w:szCs w:val="18"/>
              </w:rPr>
              <w:t>12.010.402,69</w:t>
            </w:r>
          </w:p>
        </w:tc>
      </w:tr>
      <w:tr w:rsidR="005D0429" w:rsidRPr="005D0429" w:rsidTr="006836C6">
        <w:trPr>
          <w:trHeight w:val="20"/>
        </w:trPr>
        <w:tc>
          <w:tcPr>
            <w:tcW w:w="829" w:type="pct"/>
            <w:vMerge/>
            <w:tcBorders>
              <w:left w:val="single" w:sz="8" w:space="0" w:color="D9D9D9"/>
              <w:bottom w:val="single" w:sz="8" w:space="0" w:color="D9D9D9"/>
              <w:right w:val="single" w:sz="8" w:space="0" w:color="D9D9D9"/>
            </w:tcBorders>
            <w:vAlign w:val="center"/>
          </w:tcPr>
          <w:p w:rsidR="005D0429" w:rsidRPr="005D0429" w:rsidRDefault="005D0429" w:rsidP="005D0429">
            <w:pPr>
              <w:spacing w:after="0" w:line="240" w:lineRule="auto"/>
              <w:jc w:val="center"/>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rPr>
                <w:rFonts w:ascii="Calibri" w:eastAsia="Times New Roman" w:hAnsi="Calibri"/>
                <w:b/>
                <w:color w:val="000000"/>
                <w:sz w:val="20"/>
                <w:szCs w:val="20"/>
                <w:lang w:eastAsia="tr-TR"/>
              </w:rPr>
            </w:pPr>
            <w:r w:rsidRPr="005D0429">
              <w:rPr>
                <w:rFonts w:ascii="Calibri" w:eastAsia="Times New Roman" w:hAnsi="Calibri"/>
                <w:b/>
                <w:color w:val="000000"/>
                <w:sz w:val="20"/>
                <w:szCs w:val="20"/>
                <w:lang w:eastAsia="tr-TR"/>
              </w:rPr>
              <w:t>Toplam</w:t>
            </w:r>
          </w:p>
        </w:tc>
        <w:tc>
          <w:tcPr>
            <w:tcW w:w="544"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hAnsi="Calibri" w:cs="Calibri"/>
                <w:b/>
                <w:bCs/>
                <w:color w:val="000000"/>
                <w:sz w:val="18"/>
                <w:szCs w:val="18"/>
              </w:rPr>
            </w:pPr>
            <w:r w:rsidRPr="005D0429">
              <w:rPr>
                <w:rFonts w:ascii="Calibri" w:hAnsi="Calibri" w:cs="Calibri"/>
                <w:b/>
                <w:bCs/>
                <w:color w:val="000000"/>
                <w:sz w:val="18"/>
                <w:szCs w:val="18"/>
              </w:rPr>
              <w:t>275.244,45</w:t>
            </w:r>
          </w:p>
        </w:tc>
        <w:tc>
          <w:tcPr>
            <w:tcW w:w="544"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hAnsi="Calibri" w:cs="Calibri"/>
                <w:b/>
                <w:bCs/>
                <w:color w:val="000000"/>
                <w:sz w:val="18"/>
                <w:szCs w:val="18"/>
              </w:rPr>
            </w:pPr>
            <w:r w:rsidRPr="005D0429">
              <w:rPr>
                <w:rFonts w:ascii="Calibri" w:hAnsi="Calibri" w:cs="Calibri"/>
                <w:b/>
                <w:bCs/>
                <w:color w:val="000000"/>
                <w:sz w:val="18"/>
                <w:szCs w:val="18"/>
              </w:rPr>
              <w:t>272.614,40</w:t>
            </w:r>
          </w:p>
        </w:tc>
        <w:tc>
          <w:tcPr>
            <w:tcW w:w="592"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hAnsi="Calibri" w:cs="Calibri"/>
                <w:b/>
                <w:bCs/>
                <w:color w:val="000000"/>
                <w:sz w:val="18"/>
                <w:szCs w:val="18"/>
              </w:rPr>
            </w:pPr>
            <w:r w:rsidRPr="005D0429">
              <w:rPr>
                <w:rFonts w:ascii="Calibri" w:hAnsi="Calibri" w:cs="Calibri"/>
                <w:b/>
                <w:bCs/>
                <w:color w:val="000000"/>
                <w:sz w:val="18"/>
                <w:szCs w:val="18"/>
              </w:rPr>
              <w:t>3.929.507,55</w:t>
            </w:r>
          </w:p>
        </w:tc>
        <w:tc>
          <w:tcPr>
            <w:tcW w:w="634"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hAnsi="Calibri" w:cs="Calibri"/>
                <w:b/>
                <w:bCs/>
                <w:color w:val="000000"/>
                <w:sz w:val="18"/>
                <w:szCs w:val="18"/>
              </w:rPr>
            </w:pPr>
            <w:r w:rsidRPr="005D0429">
              <w:rPr>
                <w:rFonts w:ascii="Calibri" w:hAnsi="Calibri" w:cs="Calibri"/>
                <w:b/>
                <w:bCs/>
                <w:color w:val="000000"/>
                <w:sz w:val="18"/>
                <w:szCs w:val="18"/>
              </w:rPr>
              <w:t>29.969.450,45</w:t>
            </w:r>
          </w:p>
        </w:tc>
        <w:tc>
          <w:tcPr>
            <w:tcW w:w="624"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hAnsi="Calibri" w:cs="Calibri"/>
                <w:b/>
                <w:bCs/>
                <w:color w:val="000000"/>
                <w:sz w:val="18"/>
                <w:szCs w:val="18"/>
              </w:rPr>
            </w:pPr>
            <w:r w:rsidRPr="005D0429">
              <w:rPr>
                <w:rFonts w:ascii="Calibri" w:hAnsi="Calibri" w:cs="Calibri"/>
                <w:b/>
                <w:bCs/>
                <w:color w:val="000000"/>
                <w:sz w:val="18"/>
                <w:szCs w:val="18"/>
              </w:rPr>
              <w:t>177.477,64</w:t>
            </w:r>
          </w:p>
        </w:tc>
        <w:tc>
          <w:tcPr>
            <w:tcW w:w="751" w:type="pct"/>
            <w:tcBorders>
              <w:top w:val="nil"/>
              <w:left w:val="nil"/>
              <w:bottom w:val="single" w:sz="8" w:space="0" w:color="D9D9D9"/>
              <w:right w:val="single" w:sz="8" w:space="0" w:color="D9D9D9"/>
            </w:tcBorders>
            <w:shd w:val="clear" w:color="auto" w:fill="auto"/>
            <w:vAlign w:val="center"/>
          </w:tcPr>
          <w:p w:rsidR="005D0429" w:rsidRPr="005D0429" w:rsidRDefault="005D0429" w:rsidP="005D0429">
            <w:pPr>
              <w:spacing w:after="0" w:line="240" w:lineRule="auto"/>
              <w:jc w:val="right"/>
              <w:rPr>
                <w:rFonts w:ascii="Calibri" w:hAnsi="Calibri" w:cs="Calibri"/>
                <w:b/>
                <w:bCs/>
                <w:color w:val="000000"/>
                <w:sz w:val="18"/>
                <w:szCs w:val="18"/>
              </w:rPr>
            </w:pPr>
            <w:r w:rsidRPr="005D0429">
              <w:rPr>
                <w:rFonts w:ascii="Calibri" w:hAnsi="Calibri" w:cs="Calibri"/>
                <w:b/>
                <w:bCs/>
                <w:color w:val="000000"/>
                <w:sz w:val="18"/>
                <w:szCs w:val="18"/>
              </w:rPr>
              <w:t>34.076.435,65</w:t>
            </w:r>
          </w:p>
        </w:tc>
      </w:tr>
      <w:tr w:rsidR="00873EA8" w:rsidRPr="005D0429" w:rsidTr="006836C6">
        <w:trPr>
          <w:trHeight w:val="20"/>
        </w:trPr>
        <w:tc>
          <w:tcPr>
            <w:tcW w:w="829" w:type="pct"/>
            <w:vMerge w:val="restart"/>
            <w:tcBorders>
              <w:left w:val="single" w:sz="8" w:space="0" w:color="D9D9D9"/>
              <w:right w:val="single" w:sz="8" w:space="0" w:color="D9D9D9"/>
            </w:tcBorders>
            <w:vAlign w:val="center"/>
          </w:tcPr>
          <w:p w:rsidR="00873EA8" w:rsidRPr="005D0429" w:rsidRDefault="00873EA8" w:rsidP="00873EA8">
            <w:pPr>
              <w:spacing w:after="0" w:line="240" w:lineRule="auto"/>
              <w:jc w:val="center"/>
              <w:rPr>
                <w:rFonts w:ascii="Calibri" w:eastAsia="Times New Roman" w:hAnsi="Calibri"/>
                <w:color w:val="000000"/>
                <w:lang w:eastAsia="tr-TR"/>
              </w:rPr>
            </w:pPr>
            <w:r w:rsidRPr="005D0429">
              <w:rPr>
                <w:rFonts w:ascii="Calibri" w:eastAsia="Times New Roman" w:hAnsi="Calibri"/>
                <w:color w:val="000000"/>
                <w:lang w:eastAsia="tr-TR"/>
              </w:rPr>
              <w:t>202</w:t>
            </w:r>
            <w:r>
              <w:rPr>
                <w:rFonts w:ascii="Calibri" w:eastAsia="Times New Roman" w:hAnsi="Calibri"/>
                <w:color w:val="000000"/>
                <w:lang w:eastAsia="tr-TR"/>
              </w:rPr>
              <w:t>2</w:t>
            </w:r>
          </w:p>
        </w:tc>
        <w:tc>
          <w:tcPr>
            <w:tcW w:w="482" w:type="pct"/>
            <w:tcBorders>
              <w:top w:val="nil"/>
              <w:left w:val="nil"/>
              <w:bottom w:val="single" w:sz="8" w:space="0" w:color="D9D9D9"/>
              <w:right w:val="single" w:sz="8" w:space="0" w:color="D9D9D9"/>
            </w:tcBorders>
            <w:shd w:val="clear" w:color="auto" w:fill="auto"/>
            <w:vAlign w:val="center"/>
          </w:tcPr>
          <w:p w:rsidR="00873EA8" w:rsidRPr="005D0429" w:rsidRDefault="00873EA8" w:rsidP="00873EA8">
            <w:pPr>
              <w:spacing w:after="0" w:line="240" w:lineRule="auto"/>
              <w:rPr>
                <w:rFonts w:ascii="Calibri" w:eastAsia="Times New Roman" w:hAnsi="Calibri"/>
                <w:b/>
                <w:color w:val="000000"/>
                <w:sz w:val="20"/>
                <w:szCs w:val="20"/>
                <w:lang w:eastAsia="tr-TR"/>
              </w:rPr>
            </w:pPr>
            <w:r w:rsidRPr="00E6446B">
              <w:rPr>
                <w:rFonts w:ascii="Calibri" w:hAnsi="Calibri" w:cs="Calibri"/>
                <w:color w:val="000000"/>
                <w:sz w:val="16"/>
                <w:szCs w:val="20"/>
              </w:rPr>
              <w:t>Rafineri</w:t>
            </w:r>
          </w:p>
        </w:tc>
        <w:tc>
          <w:tcPr>
            <w:tcW w:w="544" w:type="pct"/>
            <w:tcBorders>
              <w:top w:val="nil"/>
              <w:left w:val="nil"/>
              <w:bottom w:val="single" w:sz="8" w:space="0" w:color="D9D9D9"/>
              <w:right w:val="single" w:sz="8" w:space="0" w:color="D9D9D9"/>
            </w:tcBorders>
            <w:shd w:val="clear" w:color="auto" w:fill="auto"/>
            <w:vAlign w:val="center"/>
          </w:tcPr>
          <w:p w:rsidR="00873EA8" w:rsidRPr="005D0429" w:rsidRDefault="00873EA8" w:rsidP="00873EA8">
            <w:pPr>
              <w:spacing w:after="0" w:line="240" w:lineRule="auto"/>
              <w:jc w:val="right"/>
              <w:rPr>
                <w:rFonts w:ascii="Calibri" w:hAnsi="Calibri" w:cs="Calibri"/>
                <w:b/>
                <w:bCs/>
                <w:color w:val="000000"/>
                <w:sz w:val="18"/>
                <w:szCs w:val="18"/>
              </w:rPr>
            </w:pPr>
            <w:r w:rsidRPr="00E6446B">
              <w:rPr>
                <w:rFonts w:ascii="Calibri" w:hAnsi="Calibri" w:cs="Calibri"/>
                <w:color w:val="000000"/>
                <w:sz w:val="16"/>
                <w:szCs w:val="20"/>
              </w:rPr>
              <w:t>190.794,572</w:t>
            </w:r>
          </w:p>
        </w:tc>
        <w:tc>
          <w:tcPr>
            <w:tcW w:w="544" w:type="pct"/>
            <w:tcBorders>
              <w:top w:val="nil"/>
              <w:left w:val="nil"/>
              <w:bottom w:val="single" w:sz="8" w:space="0" w:color="D9D9D9"/>
              <w:right w:val="single" w:sz="8" w:space="0" w:color="D9D9D9"/>
            </w:tcBorders>
            <w:shd w:val="clear" w:color="auto" w:fill="auto"/>
            <w:vAlign w:val="center"/>
          </w:tcPr>
          <w:p w:rsidR="00873EA8" w:rsidRPr="005D0429" w:rsidRDefault="00873EA8" w:rsidP="00873EA8">
            <w:pPr>
              <w:spacing w:after="0" w:line="240" w:lineRule="auto"/>
              <w:jc w:val="right"/>
              <w:rPr>
                <w:rFonts w:ascii="Calibri" w:hAnsi="Calibri" w:cs="Calibri"/>
                <w:b/>
                <w:bCs/>
                <w:color w:val="000000"/>
                <w:sz w:val="18"/>
                <w:szCs w:val="18"/>
              </w:rPr>
            </w:pPr>
            <w:r w:rsidRPr="00E6446B">
              <w:rPr>
                <w:rFonts w:ascii="Calibri" w:hAnsi="Calibri" w:cs="Calibri"/>
                <w:color w:val="000000"/>
                <w:sz w:val="16"/>
                <w:szCs w:val="20"/>
              </w:rPr>
              <w:t>191.373,223</w:t>
            </w:r>
          </w:p>
        </w:tc>
        <w:tc>
          <w:tcPr>
            <w:tcW w:w="592" w:type="pct"/>
            <w:tcBorders>
              <w:top w:val="nil"/>
              <w:left w:val="nil"/>
              <w:bottom w:val="single" w:sz="8" w:space="0" w:color="D9D9D9"/>
              <w:right w:val="single" w:sz="8" w:space="0" w:color="D9D9D9"/>
            </w:tcBorders>
            <w:shd w:val="clear" w:color="auto" w:fill="auto"/>
            <w:vAlign w:val="center"/>
          </w:tcPr>
          <w:p w:rsidR="00873EA8" w:rsidRPr="005D0429" w:rsidRDefault="00873EA8" w:rsidP="00873EA8">
            <w:pPr>
              <w:spacing w:after="0" w:line="240" w:lineRule="auto"/>
              <w:jc w:val="right"/>
              <w:rPr>
                <w:rFonts w:ascii="Calibri" w:hAnsi="Calibri" w:cs="Calibri"/>
                <w:b/>
                <w:bCs/>
                <w:color w:val="000000"/>
                <w:sz w:val="18"/>
                <w:szCs w:val="18"/>
              </w:rPr>
            </w:pPr>
            <w:r w:rsidRPr="00E6446B">
              <w:rPr>
                <w:rFonts w:ascii="Calibri" w:hAnsi="Calibri" w:cs="Calibri"/>
                <w:color w:val="000000"/>
                <w:sz w:val="16"/>
                <w:szCs w:val="20"/>
              </w:rPr>
              <w:t>4.349.039,088</w:t>
            </w:r>
          </w:p>
        </w:tc>
        <w:tc>
          <w:tcPr>
            <w:tcW w:w="634" w:type="pct"/>
            <w:tcBorders>
              <w:top w:val="nil"/>
              <w:left w:val="nil"/>
              <w:bottom w:val="single" w:sz="8" w:space="0" w:color="D9D9D9"/>
              <w:right w:val="single" w:sz="8" w:space="0" w:color="D9D9D9"/>
            </w:tcBorders>
            <w:shd w:val="clear" w:color="auto" w:fill="auto"/>
            <w:vAlign w:val="center"/>
          </w:tcPr>
          <w:p w:rsidR="00873EA8" w:rsidRPr="005D0429" w:rsidRDefault="00873EA8" w:rsidP="00873EA8">
            <w:pPr>
              <w:spacing w:after="0" w:line="240" w:lineRule="auto"/>
              <w:jc w:val="right"/>
              <w:rPr>
                <w:rFonts w:ascii="Calibri" w:hAnsi="Calibri" w:cs="Calibri"/>
                <w:b/>
                <w:bCs/>
                <w:color w:val="000000"/>
                <w:sz w:val="18"/>
                <w:szCs w:val="18"/>
              </w:rPr>
            </w:pPr>
            <w:r w:rsidRPr="00E6446B">
              <w:rPr>
                <w:rFonts w:ascii="Calibri" w:hAnsi="Calibri" w:cs="Calibri"/>
                <w:color w:val="000000"/>
                <w:sz w:val="16"/>
                <w:szCs w:val="20"/>
              </w:rPr>
              <w:t>19.563.217,395</w:t>
            </w:r>
          </w:p>
        </w:tc>
        <w:tc>
          <w:tcPr>
            <w:tcW w:w="624" w:type="pct"/>
            <w:tcBorders>
              <w:top w:val="nil"/>
              <w:left w:val="nil"/>
              <w:bottom w:val="single" w:sz="8" w:space="0" w:color="D9D9D9"/>
              <w:right w:val="single" w:sz="8" w:space="0" w:color="D9D9D9"/>
            </w:tcBorders>
            <w:shd w:val="clear" w:color="auto" w:fill="auto"/>
            <w:vAlign w:val="center"/>
          </w:tcPr>
          <w:p w:rsidR="00873EA8" w:rsidRPr="005D0429" w:rsidRDefault="00873EA8" w:rsidP="00873EA8">
            <w:pPr>
              <w:spacing w:after="0" w:line="240" w:lineRule="auto"/>
              <w:jc w:val="right"/>
              <w:rPr>
                <w:rFonts w:ascii="Calibri" w:hAnsi="Calibri" w:cs="Calibri"/>
                <w:b/>
                <w:bCs/>
                <w:color w:val="000000"/>
                <w:sz w:val="18"/>
                <w:szCs w:val="18"/>
              </w:rPr>
            </w:pPr>
            <w:r w:rsidRPr="00E6446B">
              <w:rPr>
                <w:rFonts w:ascii="Calibri" w:hAnsi="Calibri" w:cs="Calibri"/>
                <w:color w:val="000000"/>
                <w:sz w:val="16"/>
                <w:szCs w:val="20"/>
              </w:rPr>
              <w:t>9.402,509</w:t>
            </w:r>
          </w:p>
        </w:tc>
        <w:tc>
          <w:tcPr>
            <w:tcW w:w="751" w:type="pct"/>
            <w:tcBorders>
              <w:top w:val="nil"/>
              <w:left w:val="nil"/>
              <w:bottom w:val="single" w:sz="8" w:space="0" w:color="D9D9D9"/>
              <w:right w:val="single" w:sz="8" w:space="0" w:color="D9D9D9"/>
            </w:tcBorders>
            <w:shd w:val="clear" w:color="auto" w:fill="auto"/>
            <w:vAlign w:val="center"/>
          </w:tcPr>
          <w:p w:rsidR="00873EA8" w:rsidRPr="005D0429" w:rsidRDefault="00873EA8" w:rsidP="00873EA8">
            <w:pPr>
              <w:spacing w:after="0" w:line="240" w:lineRule="auto"/>
              <w:jc w:val="right"/>
              <w:rPr>
                <w:rFonts w:ascii="Calibri" w:hAnsi="Calibri" w:cs="Calibri"/>
                <w:b/>
                <w:bCs/>
                <w:color w:val="000000"/>
                <w:sz w:val="18"/>
                <w:szCs w:val="18"/>
              </w:rPr>
            </w:pPr>
            <w:r w:rsidRPr="00E6446B">
              <w:rPr>
                <w:rFonts w:ascii="Calibri" w:hAnsi="Calibri" w:cs="Calibri"/>
                <w:color w:val="000000"/>
                <w:sz w:val="16"/>
                <w:szCs w:val="20"/>
              </w:rPr>
              <w:t>23.921.658,992</w:t>
            </w:r>
          </w:p>
        </w:tc>
      </w:tr>
      <w:tr w:rsidR="00873EA8" w:rsidRPr="005D0429" w:rsidTr="006836C6">
        <w:trPr>
          <w:trHeight w:val="20"/>
        </w:trPr>
        <w:tc>
          <w:tcPr>
            <w:tcW w:w="829" w:type="pct"/>
            <w:vMerge/>
            <w:tcBorders>
              <w:left w:val="single" w:sz="8" w:space="0" w:color="D9D9D9"/>
              <w:right w:val="single" w:sz="8" w:space="0" w:color="D9D9D9"/>
            </w:tcBorders>
            <w:vAlign w:val="center"/>
          </w:tcPr>
          <w:p w:rsidR="00873EA8" w:rsidRPr="005D0429" w:rsidRDefault="00873EA8" w:rsidP="00873EA8">
            <w:pPr>
              <w:spacing w:after="0" w:line="240" w:lineRule="auto"/>
              <w:jc w:val="center"/>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tcPr>
          <w:p w:rsidR="00873EA8" w:rsidRPr="005D0429" w:rsidRDefault="00873EA8" w:rsidP="00873EA8">
            <w:pPr>
              <w:spacing w:after="0" w:line="240" w:lineRule="auto"/>
              <w:rPr>
                <w:rFonts w:ascii="Calibri" w:eastAsia="Times New Roman" w:hAnsi="Calibri"/>
                <w:b/>
                <w:color w:val="000000"/>
                <w:sz w:val="20"/>
                <w:szCs w:val="20"/>
                <w:lang w:eastAsia="tr-TR"/>
              </w:rPr>
            </w:pPr>
            <w:r w:rsidRPr="00E6446B">
              <w:rPr>
                <w:rFonts w:ascii="Calibri" w:hAnsi="Calibri" w:cs="Calibri"/>
                <w:color w:val="000000"/>
                <w:sz w:val="16"/>
                <w:szCs w:val="20"/>
              </w:rPr>
              <w:t>Dağıtıcılar</w:t>
            </w:r>
          </w:p>
        </w:tc>
        <w:tc>
          <w:tcPr>
            <w:tcW w:w="544" w:type="pct"/>
            <w:tcBorders>
              <w:top w:val="nil"/>
              <w:left w:val="nil"/>
              <w:bottom w:val="single" w:sz="8" w:space="0" w:color="D9D9D9"/>
              <w:right w:val="single" w:sz="8" w:space="0" w:color="D9D9D9"/>
            </w:tcBorders>
            <w:shd w:val="clear" w:color="auto" w:fill="auto"/>
            <w:vAlign w:val="center"/>
          </w:tcPr>
          <w:p w:rsidR="00873EA8" w:rsidRPr="005D0429" w:rsidRDefault="00873EA8" w:rsidP="00873EA8">
            <w:pPr>
              <w:spacing w:after="0" w:line="240" w:lineRule="auto"/>
              <w:jc w:val="right"/>
              <w:rPr>
                <w:rFonts w:ascii="Calibri" w:hAnsi="Calibri" w:cs="Calibri"/>
                <w:b/>
                <w:bCs/>
                <w:color w:val="000000"/>
                <w:sz w:val="18"/>
                <w:szCs w:val="18"/>
              </w:rPr>
            </w:pPr>
            <w:r w:rsidRPr="00E6446B">
              <w:rPr>
                <w:rFonts w:ascii="Calibri" w:hAnsi="Calibri" w:cs="Calibri"/>
                <w:color w:val="000000"/>
                <w:sz w:val="16"/>
                <w:szCs w:val="20"/>
              </w:rPr>
              <w:t>79.993,114</w:t>
            </w:r>
          </w:p>
        </w:tc>
        <w:tc>
          <w:tcPr>
            <w:tcW w:w="544" w:type="pct"/>
            <w:tcBorders>
              <w:top w:val="nil"/>
              <w:left w:val="nil"/>
              <w:bottom w:val="single" w:sz="8" w:space="0" w:color="D9D9D9"/>
              <w:right w:val="single" w:sz="8" w:space="0" w:color="D9D9D9"/>
            </w:tcBorders>
            <w:shd w:val="clear" w:color="auto" w:fill="auto"/>
            <w:vAlign w:val="center"/>
          </w:tcPr>
          <w:p w:rsidR="00873EA8" w:rsidRPr="005D0429" w:rsidRDefault="00873EA8" w:rsidP="00873EA8">
            <w:pPr>
              <w:spacing w:after="0" w:line="240" w:lineRule="auto"/>
              <w:jc w:val="right"/>
              <w:rPr>
                <w:rFonts w:ascii="Calibri" w:hAnsi="Calibri" w:cs="Calibri"/>
                <w:b/>
                <w:bCs/>
                <w:color w:val="000000"/>
                <w:sz w:val="18"/>
                <w:szCs w:val="18"/>
              </w:rPr>
            </w:pPr>
            <w:r w:rsidRPr="00E6446B">
              <w:rPr>
                <w:rFonts w:ascii="Calibri" w:hAnsi="Calibri" w:cs="Calibri"/>
                <w:color w:val="000000"/>
                <w:sz w:val="16"/>
                <w:szCs w:val="20"/>
              </w:rPr>
              <w:t>81.317,935</w:t>
            </w:r>
          </w:p>
        </w:tc>
        <w:tc>
          <w:tcPr>
            <w:tcW w:w="592" w:type="pct"/>
            <w:tcBorders>
              <w:top w:val="nil"/>
              <w:left w:val="nil"/>
              <w:bottom w:val="single" w:sz="8" w:space="0" w:color="D9D9D9"/>
              <w:right w:val="single" w:sz="8" w:space="0" w:color="D9D9D9"/>
            </w:tcBorders>
            <w:shd w:val="clear" w:color="auto" w:fill="auto"/>
            <w:vAlign w:val="center"/>
          </w:tcPr>
          <w:p w:rsidR="00873EA8" w:rsidRPr="005D0429" w:rsidRDefault="00873EA8" w:rsidP="00873EA8">
            <w:pPr>
              <w:spacing w:after="0" w:line="240" w:lineRule="auto"/>
              <w:jc w:val="right"/>
              <w:rPr>
                <w:rFonts w:ascii="Calibri" w:hAnsi="Calibri" w:cs="Calibri"/>
                <w:b/>
                <w:bCs/>
                <w:color w:val="000000"/>
                <w:sz w:val="18"/>
                <w:szCs w:val="18"/>
              </w:rPr>
            </w:pPr>
            <w:r w:rsidRPr="00E6446B">
              <w:rPr>
                <w:rFonts w:ascii="Calibri" w:hAnsi="Calibri" w:cs="Calibri"/>
                <w:color w:val="000000"/>
                <w:sz w:val="16"/>
                <w:szCs w:val="20"/>
              </w:rPr>
              <w:t>4.096,079</w:t>
            </w:r>
          </w:p>
        </w:tc>
        <w:tc>
          <w:tcPr>
            <w:tcW w:w="634" w:type="pct"/>
            <w:tcBorders>
              <w:top w:val="nil"/>
              <w:left w:val="nil"/>
              <w:bottom w:val="single" w:sz="8" w:space="0" w:color="D9D9D9"/>
              <w:right w:val="single" w:sz="8" w:space="0" w:color="D9D9D9"/>
            </w:tcBorders>
            <w:shd w:val="clear" w:color="auto" w:fill="auto"/>
            <w:vAlign w:val="center"/>
          </w:tcPr>
          <w:p w:rsidR="00873EA8" w:rsidRPr="005D0429" w:rsidRDefault="00873EA8" w:rsidP="00873EA8">
            <w:pPr>
              <w:spacing w:after="0" w:line="240" w:lineRule="auto"/>
              <w:jc w:val="right"/>
              <w:rPr>
                <w:rFonts w:ascii="Calibri" w:hAnsi="Calibri" w:cs="Calibri"/>
                <w:b/>
                <w:bCs/>
                <w:color w:val="000000"/>
                <w:sz w:val="18"/>
                <w:szCs w:val="18"/>
              </w:rPr>
            </w:pPr>
            <w:r w:rsidRPr="00E6446B">
              <w:rPr>
                <w:rFonts w:ascii="Calibri" w:hAnsi="Calibri" w:cs="Calibri"/>
                <w:color w:val="000000"/>
                <w:sz w:val="16"/>
                <w:szCs w:val="20"/>
              </w:rPr>
              <w:t>9.959.686,963</w:t>
            </w:r>
          </w:p>
        </w:tc>
        <w:tc>
          <w:tcPr>
            <w:tcW w:w="624" w:type="pct"/>
            <w:tcBorders>
              <w:top w:val="nil"/>
              <w:left w:val="nil"/>
              <w:bottom w:val="single" w:sz="8" w:space="0" w:color="D9D9D9"/>
              <w:right w:val="single" w:sz="8" w:space="0" w:color="D9D9D9"/>
            </w:tcBorders>
            <w:shd w:val="clear" w:color="auto" w:fill="auto"/>
            <w:vAlign w:val="center"/>
          </w:tcPr>
          <w:p w:rsidR="00873EA8" w:rsidRPr="005D0429" w:rsidRDefault="00873EA8" w:rsidP="00873EA8">
            <w:pPr>
              <w:spacing w:after="0" w:line="240" w:lineRule="auto"/>
              <w:jc w:val="right"/>
              <w:rPr>
                <w:rFonts w:ascii="Calibri" w:hAnsi="Calibri" w:cs="Calibri"/>
                <w:b/>
                <w:bCs/>
                <w:color w:val="000000"/>
                <w:sz w:val="18"/>
                <w:szCs w:val="18"/>
              </w:rPr>
            </w:pPr>
            <w:r w:rsidRPr="00E6446B">
              <w:rPr>
                <w:rFonts w:ascii="Calibri" w:hAnsi="Calibri" w:cs="Calibri"/>
                <w:color w:val="000000"/>
                <w:sz w:val="16"/>
                <w:szCs w:val="20"/>
              </w:rPr>
              <w:t>200.937,597</w:t>
            </w:r>
          </w:p>
        </w:tc>
        <w:tc>
          <w:tcPr>
            <w:tcW w:w="751" w:type="pct"/>
            <w:tcBorders>
              <w:top w:val="nil"/>
              <w:left w:val="nil"/>
              <w:bottom w:val="single" w:sz="8" w:space="0" w:color="D9D9D9"/>
              <w:right w:val="single" w:sz="8" w:space="0" w:color="D9D9D9"/>
            </w:tcBorders>
            <w:shd w:val="clear" w:color="auto" w:fill="auto"/>
            <w:vAlign w:val="center"/>
          </w:tcPr>
          <w:p w:rsidR="00873EA8" w:rsidRPr="005D0429" w:rsidRDefault="00873EA8" w:rsidP="00873EA8">
            <w:pPr>
              <w:spacing w:after="0" w:line="240" w:lineRule="auto"/>
              <w:jc w:val="right"/>
              <w:rPr>
                <w:rFonts w:ascii="Calibri" w:hAnsi="Calibri" w:cs="Calibri"/>
                <w:b/>
                <w:bCs/>
                <w:color w:val="000000"/>
                <w:sz w:val="18"/>
                <w:szCs w:val="18"/>
              </w:rPr>
            </w:pPr>
            <w:r w:rsidRPr="00E6446B">
              <w:rPr>
                <w:rFonts w:ascii="Calibri" w:hAnsi="Calibri" w:cs="Calibri"/>
                <w:color w:val="000000"/>
                <w:sz w:val="16"/>
                <w:szCs w:val="20"/>
              </w:rPr>
              <w:t>10.164.720,639</w:t>
            </w:r>
          </w:p>
        </w:tc>
      </w:tr>
      <w:tr w:rsidR="00873EA8" w:rsidRPr="005D0429" w:rsidTr="006836C6">
        <w:trPr>
          <w:trHeight w:val="20"/>
        </w:trPr>
        <w:tc>
          <w:tcPr>
            <w:tcW w:w="829" w:type="pct"/>
            <w:vMerge/>
            <w:tcBorders>
              <w:left w:val="single" w:sz="8" w:space="0" w:color="D9D9D9"/>
              <w:bottom w:val="single" w:sz="8" w:space="0" w:color="D9D9D9"/>
              <w:right w:val="single" w:sz="8" w:space="0" w:color="D9D9D9"/>
            </w:tcBorders>
            <w:vAlign w:val="center"/>
          </w:tcPr>
          <w:p w:rsidR="00873EA8" w:rsidRPr="005D0429" w:rsidRDefault="00873EA8" w:rsidP="00873EA8">
            <w:pPr>
              <w:spacing w:after="0" w:line="240" w:lineRule="auto"/>
              <w:jc w:val="center"/>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tcPr>
          <w:p w:rsidR="00873EA8" w:rsidRPr="005D0429" w:rsidRDefault="00873EA8" w:rsidP="00873EA8">
            <w:pPr>
              <w:spacing w:after="0" w:line="240" w:lineRule="auto"/>
              <w:rPr>
                <w:rFonts w:ascii="Calibri" w:eastAsia="Times New Roman" w:hAnsi="Calibri"/>
                <w:b/>
                <w:color w:val="000000"/>
                <w:sz w:val="20"/>
                <w:szCs w:val="20"/>
                <w:lang w:eastAsia="tr-TR"/>
              </w:rPr>
            </w:pPr>
            <w:r w:rsidRPr="00E6446B">
              <w:rPr>
                <w:rFonts w:ascii="Calibri" w:hAnsi="Calibri" w:cs="Calibri"/>
                <w:b/>
                <w:bCs/>
                <w:color w:val="000000"/>
                <w:sz w:val="16"/>
                <w:szCs w:val="20"/>
              </w:rPr>
              <w:t>Toplam</w:t>
            </w:r>
          </w:p>
        </w:tc>
        <w:tc>
          <w:tcPr>
            <w:tcW w:w="544" w:type="pct"/>
            <w:tcBorders>
              <w:top w:val="nil"/>
              <w:left w:val="nil"/>
              <w:bottom w:val="single" w:sz="8" w:space="0" w:color="D9D9D9"/>
              <w:right w:val="single" w:sz="8" w:space="0" w:color="D9D9D9"/>
            </w:tcBorders>
            <w:shd w:val="clear" w:color="auto" w:fill="auto"/>
            <w:vAlign w:val="center"/>
          </w:tcPr>
          <w:p w:rsidR="00873EA8" w:rsidRPr="005D0429" w:rsidRDefault="00873EA8" w:rsidP="00873EA8">
            <w:pPr>
              <w:spacing w:after="0" w:line="240" w:lineRule="auto"/>
              <w:jc w:val="right"/>
              <w:rPr>
                <w:rFonts w:ascii="Calibri" w:hAnsi="Calibri" w:cs="Calibri"/>
                <w:b/>
                <w:bCs/>
                <w:color w:val="000000"/>
                <w:sz w:val="18"/>
                <w:szCs w:val="18"/>
              </w:rPr>
            </w:pPr>
            <w:r w:rsidRPr="00E6446B">
              <w:rPr>
                <w:rFonts w:ascii="Calibri" w:hAnsi="Calibri" w:cs="Calibri"/>
                <w:b/>
                <w:bCs/>
                <w:color w:val="000000"/>
                <w:sz w:val="16"/>
                <w:szCs w:val="20"/>
              </w:rPr>
              <w:t>270.787,686</w:t>
            </w:r>
          </w:p>
        </w:tc>
        <w:tc>
          <w:tcPr>
            <w:tcW w:w="544" w:type="pct"/>
            <w:tcBorders>
              <w:top w:val="nil"/>
              <w:left w:val="nil"/>
              <w:bottom w:val="single" w:sz="8" w:space="0" w:color="D9D9D9"/>
              <w:right w:val="single" w:sz="8" w:space="0" w:color="D9D9D9"/>
            </w:tcBorders>
            <w:shd w:val="clear" w:color="auto" w:fill="auto"/>
            <w:vAlign w:val="center"/>
          </w:tcPr>
          <w:p w:rsidR="00873EA8" w:rsidRPr="005D0429" w:rsidRDefault="00873EA8" w:rsidP="00873EA8">
            <w:pPr>
              <w:spacing w:after="0" w:line="240" w:lineRule="auto"/>
              <w:jc w:val="right"/>
              <w:rPr>
                <w:rFonts w:ascii="Calibri" w:hAnsi="Calibri" w:cs="Calibri"/>
                <w:b/>
                <w:bCs/>
                <w:color w:val="000000"/>
                <w:sz w:val="18"/>
                <w:szCs w:val="18"/>
              </w:rPr>
            </w:pPr>
            <w:r w:rsidRPr="00E6446B">
              <w:rPr>
                <w:rFonts w:ascii="Calibri" w:hAnsi="Calibri" w:cs="Calibri"/>
                <w:b/>
                <w:bCs/>
                <w:color w:val="000000"/>
                <w:sz w:val="16"/>
                <w:szCs w:val="20"/>
              </w:rPr>
              <w:t>272.691,158</w:t>
            </w:r>
          </w:p>
        </w:tc>
        <w:tc>
          <w:tcPr>
            <w:tcW w:w="592" w:type="pct"/>
            <w:tcBorders>
              <w:top w:val="nil"/>
              <w:left w:val="nil"/>
              <w:bottom w:val="single" w:sz="8" w:space="0" w:color="D9D9D9"/>
              <w:right w:val="single" w:sz="8" w:space="0" w:color="D9D9D9"/>
            </w:tcBorders>
            <w:shd w:val="clear" w:color="auto" w:fill="auto"/>
            <w:vAlign w:val="center"/>
          </w:tcPr>
          <w:p w:rsidR="00873EA8" w:rsidRPr="005D0429" w:rsidRDefault="00873EA8" w:rsidP="00873EA8">
            <w:pPr>
              <w:spacing w:after="0" w:line="240" w:lineRule="auto"/>
              <w:jc w:val="right"/>
              <w:rPr>
                <w:rFonts w:ascii="Calibri" w:hAnsi="Calibri" w:cs="Calibri"/>
                <w:b/>
                <w:bCs/>
                <w:color w:val="000000"/>
                <w:sz w:val="18"/>
                <w:szCs w:val="18"/>
              </w:rPr>
            </w:pPr>
            <w:r w:rsidRPr="00E6446B">
              <w:rPr>
                <w:rFonts w:ascii="Calibri" w:hAnsi="Calibri" w:cs="Calibri"/>
                <w:b/>
                <w:bCs/>
                <w:color w:val="000000"/>
                <w:sz w:val="16"/>
                <w:szCs w:val="20"/>
              </w:rPr>
              <w:t>4.353.135,167</w:t>
            </w:r>
          </w:p>
        </w:tc>
        <w:tc>
          <w:tcPr>
            <w:tcW w:w="634" w:type="pct"/>
            <w:tcBorders>
              <w:top w:val="nil"/>
              <w:left w:val="nil"/>
              <w:bottom w:val="single" w:sz="8" w:space="0" w:color="D9D9D9"/>
              <w:right w:val="single" w:sz="8" w:space="0" w:color="D9D9D9"/>
            </w:tcBorders>
            <w:shd w:val="clear" w:color="auto" w:fill="auto"/>
            <w:vAlign w:val="center"/>
          </w:tcPr>
          <w:p w:rsidR="00873EA8" w:rsidRPr="005D0429" w:rsidRDefault="00873EA8" w:rsidP="00873EA8">
            <w:pPr>
              <w:spacing w:after="0" w:line="240" w:lineRule="auto"/>
              <w:jc w:val="right"/>
              <w:rPr>
                <w:rFonts w:ascii="Calibri" w:hAnsi="Calibri" w:cs="Calibri"/>
                <w:b/>
                <w:bCs/>
                <w:color w:val="000000"/>
                <w:sz w:val="18"/>
                <w:szCs w:val="18"/>
              </w:rPr>
            </w:pPr>
            <w:r w:rsidRPr="00E6446B">
              <w:rPr>
                <w:rFonts w:ascii="Calibri" w:hAnsi="Calibri" w:cs="Calibri"/>
                <w:b/>
                <w:bCs/>
                <w:color w:val="000000"/>
                <w:sz w:val="16"/>
                <w:szCs w:val="20"/>
              </w:rPr>
              <w:t>29.522.904,358</w:t>
            </w:r>
          </w:p>
        </w:tc>
        <w:tc>
          <w:tcPr>
            <w:tcW w:w="624" w:type="pct"/>
            <w:tcBorders>
              <w:top w:val="nil"/>
              <w:left w:val="nil"/>
              <w:bottom w:val="single" w:sz="8" w:space="0" w:color="D9D9D9"/>
              <w:right w:val="single" w:sz="8" w:space="0" w:color="D9D9D9"/>
            </w:tcBorders>
            <w:shd w:val="clear" w:color="auto" w:fill="auto"/>
            <w:vAlign w:val="center"/>
          </w:tcPr>
          <w:p w:rsidR="00873EA8" w:rsidRPr="005D0429" w:rsidRDefault="00873EA8" w:rsidP="00873EA8">
            <w:pPr>
              <w:spacing w:after="0" w:line="240" w:lineRule="auto"/>
              <w:jc w:val="right"/>
              <w:rPr>
                <w:rFonts w:ascii="Calibri" w:hAnsi="Calibri" w:cs="Calibri"/>
                <w:b/>
                <w:bCs/>
                <w:color w:val="000000"/>
                <w:sz w:val="18"/>
                <w:szCs w:val="18"/>
              </w:rPr>
            </w:pPr>
            <w:r w:rsidRPr="00E6446B">
              <w:rPr>
                <w:rFonts w:ascii="Calibri" w:hAnsi="Calibri" w:cs="Calibri"/>
                <w:b/>
                <w:bCs/>
                <w:color w:val="000000"/>
                <w:sz w:val="16"/>
                <w:szCs w:val="20"/>
              </w:rPr>
              <w:t>210.340,106</w:t>
            </w:r>
          </w:p>
        </w:tc>
        <w:tc>
          <w:tcPr>
            <w:tcW w:w="751" w:type="pct"/>
            <w:tcBorders>
              <w:top w:val="nil"/>
              <w:left w:val="nil"/>
              <w:bottom w:val="single" w:sz="8" w:space="0" w:color="D9D9D9"/>
              <w:right w:val="single" w:sz="8" w:space="0" w:color="D9D9D9"/>
            </w:tcBorders>
            <w:shd w:val="clear" w:color="auto" w:fill="auto"/>
            <w:vAlign w:val="center"/>
          </w:tcPr>
          <w:p w:rsidR="00873EA8" w:rsidRPr="005D0429" w:rsidRDefault="00873EA8" w:rsidP="00873EA8">
            <w:pPr>
              <w:spacing w:after="0" w:line="240" w:lineRule="auto"/>
              <w:jc w:val="right"/>
              <w:rPr>
                <w:rFonts w:ascii="Calibri" w:hAnsi="Calibri" w:cs="Calibri"/>
                <w:b/>
                <w:bCs/>
                <w:color w:val="000000"/>
                <w:sz w:val="18"/>
                <w:szCs w:val="18"/>
              </w:rPr>
            </w:pPr>
            <w:r w:rsidRPr="00E6446B">
              <w:rPr>
                <w:rFonts w:ascii="Calibri" w:hAnsi="Calibri" w:cs="Calibri"/>
                <w:b/>
                <w:bCs/>
                <w:color w:val="000000"/>
                <w:sz w:val="16"/>
                <w:szCs w:val="20"/>
              </w:rPr>
              <w:t>34.086.379,631</w:t>
            </w:r>
          </w:p>
        </w:tc>
      </w:tr>
      <w:tr w:rsidR="006836C6" w:rsidRPr="005D0429" w:rsidTr="006836C6">
        <w:trPr>
          <w:trHeight w:val="20"/>
        </w:trPr>
        <w:tc>
          <w:tcPr>
            <w:tcW w:w="1311" w:type="pct"/>
            <w:gridSpan w:val="2"/>
            <w:tcBorders>
              <w:top w:val="single" w:sz="8" w:space="0" w:color="D9D9D9"/>
              <w:left w:val="single" w:sz="8" w:space="0" w:color="D9D9D9"/>
              <w:bottom w:val="single" w:sz="8" w:space="0" w:color="D9D9D9"/>
              <w:right w:val="single" w:sz="8" w:space="0" w:color="D9D9D9"/>
            </w:tcBorders>
            <w:shd w:val="clear" w:color="auto" w:fill="auto"/>
            <w:vAlign w:val="center"/>
            <w:hideMark/>
          </w:tcPr>
          <w:p w:rsidR="006836C6" w:rsidRPr="005D0429" w:rsidRDefault="006836C6" w:rsidP="006836C6">
            <w:pPr>
              <w:spacing w:after="0" w:line="240" w:lineRule="auto"/>
              <w:jc w:val="center"/>
              <w:rPr>
                <w:rFonts w:ascii="Calibri" w:eastAsia="Times New Roman" w:hAnsi="Calibri"/>
                <w:b/>
                <w:bCs/>
                <w:color w:val="000000"/>
                <w:lang w:eastAsia="tr-TR"/>
              </w:rPr>
            </w:pPr>
            <w:r w:rsidRPr="005D0429">
              <w:rPr>
                <w:rFonts w:ascii="Calibri" w:eastAsia="Times New Roman" w:hAnsi="Calibri"/>
                <w:b/>
                <w:bCs/>
                <w:color w:val="000000"/>
                <w:lang w:eastAsia="tr-TR"/>
              </w:rPr>
              <w:t>Genel Toplam</w:t>
            </w:r>
          </w:p>
        </w:tc>
        <w:tc>
          <w:tcPr>
            <w:tcW w:w="544" w:type="pct"/>
            <w:tcBorders>
              <w:top w:val="nil"/>
              <w:left w:val="nil"/>
              <w:bottom w:val="single" w:sz="4" w:space="0" w:color="D9D9D9" w:themeColor="background1" w:themeShade="D9"/>
              <w:right w:val="single" w:sz="4" w:space="0" w:color="D9D9D9" w:themeColor="background1" w:themeShade="D9"/>
            </w:tcBorders>
            <w:shd w:val="clear" w:color="auto" w:fill="auto"/>
          </w:tcPr>
          <w:p w:rsidR="006836C6" w:rsidRPr="00E46A86" w:rsidDel="00052591" w:rsidRDefault="006836C6" w:rsidP="006836C6">
            <w:pPr>
              <w:spacing w:after="0" w:line="240" w:lineRule="auto"/>
              <w:jc w:val="right"/>
              <w:rPr>
                <w:rFonts w:ascii="Calibri" w:hAnsi="Calibri" w:cs="Calibri"/>
                <w:b/>
                <w:bCs/>
                <w:color w:val="000000"/>
                <w:sz w:val="16"/>
                <w:szCs w:val="20"/>
              </w:rPr>
            </w:pPr>
            <w:r w:rsidRPr="006836C6">
              <w:rPr>
                <w:rFonts w:ascii="Calibri" w:hAnsi="Calibri" w:cs="Calibri"/>
                <w:b/>
                <w:bCs/>
                <w:color w:val="000000"/>
                <w:sz w:val="16"/>
                <w:szCs w:val="20"/>
              </w:rPr>
              <w:t>3</w:t>
            </w:r>
            <w:r>
              <w:rPr>
                <w:rFonts w:ascii="Calibri" w:hAnsi="Calibri" w:cs="Calibri"/>
                <w:b/>
                <w:bCs/>
                <w:color w:val="000000"/>
                <w:sz w:val="16"/>
                <w:szCs w:val="20"/>
              </w:rPr>
              <w:t>.</w:t>
            </w:r>
            <w:r w:rsidRPr="006836C6">
              <w:rPr>
                <w:rFonts w:ascii="Calibri" w:hAnsi="Calibri" w:cs="Calibri"/>
                <w:b/>
                <w:bCs/>
                <w:color w:val="000000"/>
                <w:sz w:val="16"/>
                <w:szCs w:val="20"/>
              </w:rPr>
              <w:t>342</w:t>
            </w:r>
            <w:r>
              <w:rPr>
                <w:rFonts w:ascii="Calibri" w:hAnsi="Calibri" w:cs="Calibri"/>
                <w:b/>
                <w:bCs/>
                <w:color w:val="000000"/>
                <w:sz w:val="16"/>
                <w:szCs w:val="20"/>
              </w:rPr>
              <w:t>.</w:t>
            </w:r>
            <w:r w:rsidRPr="006836C6">
              <w:rPr>
                <w:rFonts w:ascii="Calibri" w:hAnsi="Calibri" w:cs="Calibri"/>
                <w:b/>
                <w:bCs/>
                <w:color w:val="000000"/>
                <w:sz w:val="16"/>
                <w:szCs w:val="20"/>
              </w:rPr>
              <w:t>266,091</w:t>
            </w:r>
          </w:p>
        </w:tc>
        <w:tc>
          <w:tcPr>
            <w:tcW w:w="544" w:type="pct"/>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tcPr>
          <w:p w:rsidR="006836C6" w:rsidRPr="006836C6" w:rsidDel="00052591" w:rsidRDefault="006836C6" w:rsidP="006836C6">
            <w:pPr>
              <w:spacing w:after="0" w:line="240" w:lineRule="auto"/>
              <w:jc w:val="right"/>
              <w:rPr>
                <w:rFonts w:ascii="Calibri" w:hAnsi="Calibri" w:cs="Calibri"/>
                <w:b/>
                <w:bCs/>
                <w:color w:val="000000"/>
                <w:sz w:val="16"/>
                <w:szCs w:val="20"/>
              </w:rPr>
            </w:pPr>
            <w:r w:rsidRPr="006836C6">
              <w:rPr>
                <w:rFonts w:ascii="Calibri" w:hAnsi="Calibri" w:cs="Calibri"/>
                <w:b/>
                <w:bCs/>
                <w:color w:val="000000"/>
                <w:sz w:val="16"/>
                <w:szCs w:val="20"/>
              </w:rPr>
              <w:t>3</w:t>
            </w:r>
            <w:r>
              <w:rPr>
                <w:rFonts w:ascii="Calibri" w:hAnsi="Calibri" w:cs="Calibri"/>
                <w:b/>
                <w:bCs/>
                <w:color w:val="000000"/>
                <w:sz w:val="16"/>
                <w:szCs w:val="20"/>
              </w:rPr>
              <w:t>.</w:t>
            </w:r>
            <w:r w:rsidRPr="006836C6">
              <w:rPr>
                <w:rFonts w:ascii="Calibri" w:hAnsi="Calibri" w:cs="Calibri"/>
                <w:b/>
                <w:bCs/>
                <w:color w:val="000000"/>
                <w:sz w:val="16"/>
                <w:szCs w:val="20"/>
              </w:rPr>
              <w:t>315</w:t>
            </w:r>
            <w:r>
              <w:rPr>
                <w:rFonts w:ascii="Calibri" w:hAnsi="Calibri" w:cs="Calibri"/>
                <w:b/>
                <w:bCs/>
                <w:color w:val="000000"/>
                <w:sz w:val="16"/>
                <w:szCs w:val="20"/>
              </w:rPr>
              <w:t>.</w:t>
            </w:r>
            <w:r w:rsidRPr="006836C6">
              <w:rPr>
                <w:rFonts w:ascii="Calibri" w:hAnsi="Calibri" w:cs="Calibri"/>
                <w:b/>
                <w:bCs/>
                <w:color w:val="000000"/>
                <w:sz w:val="16"/>
                <w:szCs w:val="20"/>
              </w:rPr>
              <w:t>309,248</w:t>
            </w:r>
          </w:p>
        </w:tc>
        <w:tc>
          <w:tcPr>
            <w:tcW w:w="592" w:type="pct"/>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tcPr>
          <w:p w:rsidR="006836C6" w:rsidRPr="006836C6" w:rsidDel="00052591" w:rsidRDefault="006836C6" w:rsidP="006836C6">
            <w:pPr>
              <w:spacing w:after="0" w:line="240" w:lineRule="auto"/>
              <w:jc w:val="right"/>
              <w:rPr>
                <w:rFonts w:ascii="Calibri" w:hAnsi="Calibri" w:cs="Calibri"/>
                <w:b/>
                <w:bCs/>
                <w:color w:val="000000"/>
                <w:sz w:val="16"/>
                <w:szCs w:val="20"/>
              </w:rPr>
            </w:pPr>
            <w:r w:rsidRPr="006836C6">
              <w:rPr>
                <w:rFonts w:ascii="Calibri" w:hAnsi="Calibri" w:cs="Calibri"/>
                <w:b/>
                <w:bCs/>
                <w:color w:val="000000"/>
                <w:sz w:val="16"/>
                <w:szCs w:val="20"/>
              </w:rPr>
              <w:t>48</w:t>
            </w:r>
            <w:r>
              <w:rPr>
                <w:rFonts w:ascii="Calibri" w:hAnsi="Calibri" w:cs="Calibri"/>
                <w:b/>
                <w:bCs/>
                <w:color w:val="000000"/>
                <w:sz w:val="16"/>
                <w:szCs w:val="20"/>
              </w:rPr>
              <w:t>.</w:t>
            </w:r>
            <w:r w:rsidRPr="006836C6">
              <w:rPr>
                <w:rFonts w:ascii="Calibri" w:hAnsi="Calibri" w:cs="Calibri"/>
                <w:b/>
                <w:bCs/>
                <w:color w:val="000000"/>
                <w:sz w:val="16"/>
                <w:szCs w:val="20"/>
              </w:rPr>
              <w:t>349</w:t>
            </w:r>
            <w:r>
              <w:rPr>
                <w:rFonts w:ascii="Calibri" w:hAnsi="Calibri" w:cs="Calibri"/>
                <w:b/>
                <w:bCs/>
                <w:color w:val="000000"/>
                <w:sz w:val="16"/>
                <w:szCs w:val="20"/>
              </w:rPr>
              <w:t>.</w:t>
            </w:r>
            <w:r w:rsidRPr="006836C6">
              <w:rPr>
                <w:rFonts w:ascii="Calibri" w:hAnsi="Calibri" w:cs="Calibri"/>
                <w:b/>
                <w:bCs/>
                <w:color w:val="000000"/>
                <w:sz w:val="16"/>
                <w:szCs w:val="20"/>
              </w:rPr>
              <w:t>269,367</w:t>
            </w:r>
          </w:p>
        </w:tc>
        <w:tc>
          <w:tcPr>
            <w:tcW w:w="634" w:type="pct"/>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tcPr>
          <w:p w:rsidR="006836C6" w:rsidRPr="006836C6" w:rsidDel="00052591" w:rsidRDefault="006836C6" w:rsidP="006836C6">
            <w:pPr>
              <w:spacing w:after="0" w:line="240" w:lineRule="auto"/>
              <w:jc w:val="right"/>
              <w:rPr>
                <w:rFonts w:ascii="Calibri" w:hAnsi="Calibri" w:cs="Calibri"/>
                <w:b/>
                <w:bCs/>
                <w:color w:val="000000"/>
                <w:sz w:val="16"/>
                <w:szCs w:val="20"/>
              </w:rPr>
            </w:pPr>
            <w:r w:rsidRPr="006836C6">
              <w:rPr>
                <w:rFonts w:ascii="Calibri" w:hAnsi="Calibri" w:cs="Calibri"/>
                <w:b/>
                <w:bCs/>
                <w:color w:val="000000"/>
                <w:sz w:val="16"/>
                <w:szCs w:val="20"/>
              </w:rPr>
              <w:t>363</w:t>
            </w:r>
            <w:r>
              <w:rPr>
                <w:rFonts w:ascii="Calibri" w:hAnsi="Calibri" w:cs="Calibri"/>
                <w:b/>
                <w:bCs/>
                <w:color w:val="000000"/>
                <w:sz w:val="16"/>
                <w:szCs w:val="20"/>
              </w:rPr>
              <w:t>.</w:t>
            </w:r>
            <w:r w:rsidRPr="006836C6">
              <w:rPr>
                <w:rFonts w:ascii="Calibri" w:hAnsi="Calibri" w:cs="Calibri"/>
                <w:b/>
                <w:bCs/>
                <w:color w:val="000000"/>
                <w:sz w:val="16"/>
                <w:szCs w:val="20"/>
              </w:rPr>
              <w:t>616</w:t>
            </w:r>
            <w:r>
              <w:rPr>
                <w:rFonts w:ascii="Calibri" w:hAnsi="Calibri" w:cs="Calibri"/>
                <w:b/>
                <w:bCs/>
                <w:color w:val="000000"/>
                <w:sz w:val="16"/>
                <w:szCs w:val="20"/>
              </w:rPr>
              <w:t>.</w:t>
            </w:r>
            <w:r w:rsidRPr="006836C6">
              <w:rPr>
                <w:rFonts w:ascii="Calibri" w:hAnsi="Calibri" w:cs="Calibri"/>
                <w:b/>
                <w:bCs/>
                <w:color w:val="000000"/>
                <w:sz w:val="16"/>
                <w:szCs w:val="20"/>
              </w:rPr>
              <w:t>783,763</w:t>
            </w:r>
          </w:p>
        </w:tc>
        <w:tc>
          <w:tcPr>
            <w:tcW w:w="624" w:type="pct"/>
            <w:tcBorders>
              <w:top w:val="nil"/>
              <w:left w:val="single" w:sz="4" w:space="0" w:color="D9D9D9" w:themeColor="background1" w:themeShade="D9"/>
              <w:bottom w:val="single" w:sz="4" w:space="0" w:color="D9D9D9" w:themeColor="background1" w:themeShade="D9"/>
              <w:right w:val="single" w:sz="4" w:space="0" w:color="D9D9D9"/>
            </w:tcBorders>
            <w:shd w:val="clear" w:color="auto" w:fill="auto"/>
          </w:tcPr>
          <w:p w:rsidR="006836C6" w:rsidRPr="006836C6" w:rsidDel="00052591" w:rsidRDefault="006836C6" w:rsidP="006836C6">
            <w:pPr>
              <w:spacing w:after="0" w:line="240" w:lineRule="auto"/>
              <w:jc w:val="right"/>
              <w:rPr>
                <w:rFonts w:ascii="Calibri" w:hAnsi="Calibri" w:cs="Calibri"/>
                <w:b/>
                <w:bCs/>
                <w:color w:val="000000"/>
                <w:sz w:val="16"/>
                <w:szCs w:val="20"/>
              </w:rPr>
            </w:pPr>
            <w:r w:rsidRPr="006836C6">
              <w:rPr>
                <w:rFonts w:ascii="Calibri" w:hAnsi="Calibri" w:cs="Calibri"/>
                <w:b/>
                <w:bCs/>
                <w:color w:val="000000"/>
                <w:sz w:val="16"/>
                <w:szCs w:val="20"/>
              </w:rPr>
              <w:t>1</w:t>
            </w:r>
            <w:r>
              <w:rPr>
                <w:rFonts w:ascii="Calibri" w:hAnsi="Calibri" w:cs="Calibri"/>
                <w:b/>
                <w:bCs/>
                <w:color w:val="000000"/>
                <w:sz w:val="16"/>
                <w:szCs w:val="20"/>
              </w:rPr>
              <w:t>.</w:t>
            </w:r>
            <w:r w:rsidRPr="006836C6">
              <w:rPr>
                <w:rFonts w:ascii="Calibri" w:hAnsi="Calibri" w:cs="Calibri"/>
                <w:b/>
                <w:bCs/>
                <w:color w:val="000000"/>
                <w:sz w:val="16"/>
                <w:szCs w:val="20"/>
              </w:rPr>
              <w:t>950</w:t>
            </w:r>
            <w:r>
              <w:rPr>
                <w:rFonts w:ascii="Calibri" w:hAnsi="Calibri" w:cs="Calibri"/>
                <w:b/>
                <w:bCs/>
                <w:color w:val="000000"/>
                <w:sz w:val="16"/>
                <w:szCs w:val="20"/>
              </w:rPr>
              <w:t>.</w:t>
            </w:r>
            <w:r w:rsidRPr="006836C6">
              <w:rPr>
                <w:rFonts w:ascii="Calibri" w:hAnsi="Calibri" w:cs="Calibri"/>
                <w:b/>
                <w:bCs/>
                <w:color w:val="000000"/>
                <w:sz w:val="16"/>
                <w:szCs w:val="20"/>
              </w:rPr>
              <w:t>703,231</w:t>
            </w:r>
          </w:p>
        </w:tc>
        <w:tc>
          <w:tcPr>
            <w:tcW w:w="751" w:type="pct"/>
            <w:tcBorders>
              <w:top w:val="nil"/>
              <w:left w:val="single" w:sz="4" w:space="0" w:color="D9D9D9"/>
              <w:bottom w:val="single" w:sz="4" w:space="0" w:color="D9D9D9" w:themeColor="background1" w:themeShade="D9"/>
              <w:right w:val="single" w:sz="4" w:space="0" w:color="D9D9D9" w:themeColor="background1" w:themeShade="D9"/>
            </w:tcBorders>
            <w:shd w:val="clear" w:color="auto" w:fill="auto"/>
          </w:tcPr>
          <w:p w:rsidR="006836C6" w:rsidRPr="006836C6" w:rsidDel="00052591" w:rsidRDefault="006836C6" w:rsidP="006836C6">
            <w:pPr>
              <w:spacing w:after="0" w:line="240" w:lineRule="auto"/>
              <w:jc w:val="right"/>
              <w:rPr>
                <w:rFonts w:ascii="Calibri" w:hAnsi="Calibri" w:cs="Calibri"/>
                <w:b/>
                <w:bCs/>
                <w:color w:val="000000"/>
                <w:sz w:val="16"/>
                <w:szCs w:val="20"/>
              </w:rPr>
            </w:pPr>
            <w:r w:rsidRPr="006836C6">
              <w:rPr>
                <w:rFonts w:ascii="Calibri" w:hAnsi="Calibri" w:cs="Calibri"/>
                <w:b/>
                <w:bCs/>
                <w:color w:val="000000"/>
                <w:sz w:val="16"/>
                <w:szCs w:val="20"/>
              </w:rPr>
              <w:t>413</w:t>
            </w:r>
            <w:r>
              <w:rPr>
                <w:rFonts w:ascii="Calibri" w:hAnsi="Calibri" w:cs="Calibri"/>
                <w:b/>
                <w:bCs/>
                <w:color w:val="000000"/>
                <w:sz w:val="16"/>
                <w:szCs w:val="20"/>
              </w:rPr>
              <w:t>.</w:t>
            </w:r>
            <w:r w:rsidRPr="006836C6">
              <w:rPr>
                <w:rFonts w:ascii="Calibri" w:hAnsi="Calibri" w:cs="Calibri"/>
                <w:b/>
                <w:bCs/>
                <w:color w:val="000000"/>
                <w:sz w:val="16"/>
                <w:szCs w:val="20"/>
              </w:rPr>
              <w:t>916</w:t>
            </w:r>
            <w:r>
              <w:rPr>
                <w:rFonts w:ascii="Calibri" w:hAnsi="Calibri" w:cs="Calibri"/>
                <w:b/>
                <w:bCs/>
                <w:color w:val="000000"/>
                <w:sz w:val="16"/>
                <w:szCs w:val="20"/>
              </w:rPr>
              <w:t>.</w:t>
            </w:r>
            <w:r w:rsidRPr="006836C6">
              <w:rPr>
                <w:rFonts w:ascii="Calibri" w:hAnsi="Calibri" w:cs="Calibri"/>
                <w:b/>
                <w:bCs/>
                <w:color w:val="000000"/>
                <w:sz w:val="16"/>
                <w:szCs w:val="20"/>
              </w:rPr>
              <w:t>665,371</w:t>
            </w:r>
          </w:p>
        </w:tc>
      </w:tr>
    </w:tbl>
    <w:p w:rsidR="004E03B6" w:rsidRDefault="004E03B6" w:rsidP="004E03B6">
      <w:pPr>
        <w:spacing w:after="0"/>
      </w:pPr>
    </w:p>
    <w:p w:rsidR="004E03B6" w:rsidRDefault="004E03B6" w:rsidP="004E03B6">
      <w:pPr>
        <w:autoSpaceDE w:val="0"/>
        <w:autoSpaceDN w:val="0"/>
        <w:adjustRightInd w:val="0"/>
        <w:spacing w:after="0"/>
        <w:rPr>
          <w:color w:val="000000" w:themeColor="text1"/>
        </w:rPr>
      </w:pPr>
      <w:r w:rsidRPr="003342D4">
        <w:rPr>
          <w:color w:val="000000" w:themeColor="text1"/>
        </w:rPr>
        <w:t>Kurumca belirlenen şart ve seviyede</w:t>
      </w:r>
      <w:r w:rsidR="00FA6184">
        <w:rPr>
          <w:color w:val="000000" w:themeColor="text1"/>
        </w:rPr>
        <w:t xml:space="preserve"> UM</w:t>
      </w:r>
      <w:r w:rsidRPr="003342D4">
        <w:rPr>
          <w:color w:val="000000" w:themeColor="text1"/>
        </w:rPr>
        <w:t xml:space="preserve">, ilgili lisans sahipleri tarafından akaryakıta eklenmekte ve ardından piyasaya arz edilmeden önce TÜBİTAK tarafından geliştirilen </w:t>
      </w:r>
      <w:r w:rsidRPr="00372350">
        <w:rPr>
          <w:i/>
          <w:color w:val="000000" w:themeColor="text1"/>
        </w:rPr>
        <w:t>“basitleştirilmiş kontrol cihazı”</w:t>
      </w:r>
      <w:r w:rsidRPr="003342D4">
        <w:rPr>
          <w:color w:val="000000" w:themeColor="text1"/>
        </w:rPr>
        <w:t xml:space="preserve"> ile kontrol </w:t>
      </w:r>
      <w:r w:rsidRPr="003342D4">
        <w:rPr>
          <w:color w:val="000000" w:themeColor="text1"/>
        </w:rPr>
        <w:lastRenderedPageBreak/>
        <w:t xml:space="preserve">edilmektedir. Piyasaya arz edilen akaryakıtın denetimlerinde yine TÜBİTAK tarafından üretilen </w:t>
      </w:r>
      <w:r w:rsidRPr="00372350">
        <w:rPr>
          <w:i/>
          <w:color w:val="000000" w:themeColor="text1"/>
        </w:rPr>
        <w:t>“Ulusal Marker Saha Kontrol Cihazı”</w:t>
      </w:r>
      <w:r w:rsidRPr="003342D4">
        <w:rPr>
          <w:color w:val="000000" w:themeColor="text1"/>
        </w:rPr>
        <w:t xml:space="preserve"> kullanılmaktadır. Petrol piyasasında serbest dolaşımda bulunan akaryakıtın denetimleri Kurum ile İçişleri Bakanlığı ve Ticaret Bakanlığı arasında imzalanan </w:t>
      </w:r>
      <w:r w:rsidR="002A7E33" w:rsidRPr="003342D4">
        <w:rPr>
          <w:color w:val="000000" w:themeColor="text1"/>
        </w:rPr>
        <w:t>iş birliği</w:t>
      </w:r>
      <w:r w:rsidRPr="003342D4">
        <w:rPr>
          <w:color w:val="000000" w:themeColor="text1"/>
        </w:rPr>
        <w:t xml:space="preserve"> protokolleri çerçevesinde gerçekleştirilmektedir.</w:t>
      </w:r>
    </w:p>
    <w:p w:rsidR="004E03B6" w:rsidRPr="003342D4" w:rsidRDefault="004E03B6" w:rsidP="004E03B6">
      <w:pPr>
        <w:autoSpaceDE w:val="0"/>
        <w:autoSpaceDN w:val="0"/>
        <w:adjustRightInd w:val="0"/>
        <w:spacing w:after="0"/>
        <w:rPr>
          <w:color w:val="000000" w:themeColor="text1"/>
        </w:rPr>
      </w:pPr>
    </w:p>
    <w:p w:rsidR="004E03B6" w:rsidRDefault="00FA6184" w:rsidP="004E03B6">
      <w:pPr>
        <w:spacing w:after="0"/>
        <w:rPr>
          <w:color w:val="000000" w:themeColor="text1"/>
        </w:rPr>
      </w:pPr>
      <w:r>
        <w:rPr>
          <w:color w:val="000000" w:themeColor="text1"/>
        </w:rPr>
        <w:t xml:space="preserve">UM </w:t>
      </w:r>
      <w:r w:rsidR="004E03B6" w:rsidRPr="003342D4">
        <w:rPr>
          <w:color w:val="000000" w:themeColor="text1"/>
        </w:rPr>
        <w:t>uygulaması neticesinde, ülke içerisinde yasal olarak serbest dolaşıma giren akaryakıt ile yasal olmayan akaryakıt ayrıştırılarak, ürün ikmal zincirinin her aşamasında ürün kalite denetimi yapılabilmekte ve kaçak akaryakıtın yurt içinde piyasaya arzı ve standart dışı akaryakıtın diğer akaryakıt ile karıştırılarak piyasaya sunulması engellenmektedir. Böylece piyasaya arz edilen akaryakıtın dolaylı olarak standartlara uygun olması da sağlanabilmektedir.</w:t>
      </w:r>
    </w:p>
    <w:p w:rsidR="005D0429" w:rsidRPr="00F435AE" w:rsidRDefault="004E03B6" w:rsidP="001A5189">
      <w:pPr>
        <w:pStyle w:val="Balk4"/>
        <w:numPr>
          <w:ilvl w:val="3"/>
          <w:numId w:val="11"/>
        </w:numPr>
        <w:spacing w:after="240"/>
        <w:rPr>
          <w:rFonts w:asciiTheme="minorHAnsi" w:hAnsiTheme="minorHAnsi"/>
          <w:i w:val="0"/>
          <w:iCs w:val="0"/>
          <w:color w:val="auto"/>
        </w:rPr>
      </w:pPr>
      <w:bookmarkStart w:id="191" w:name="_Toc132713794"/>
      <w:r w:rsidRPr="00227EE8">
        <w:rPr>
          <w:rFonts w:asciiTheme="minorHAnsi" w:hAnsiTheme="minorHAnsi"/>
          <w:i w:val="0"/>
          <w:iCs w:val="0"/>
          <w:color w:val="auto"/>
        </w:rPr>
        <w:t>Akaryakıt Bayileri Otomasyon Sistemi</w:t>
      </w:r>
      <w:bookmarkEnd w:id="191"/>
    </w:p>
    <w:p w:rsidR="005D0429" w:rsidRPr="005D0429" w:rsidRDefault="005D0429" w:rsidP="005D0429">
      <w:pPr>
        <w:rPr>
          <w:color w:val="000000" w:themeColor="text1"/>
        </w:rPr>
      </w:pPr>
      <w:r w:rsidRPr="005D0429">
        <w:rPr>
          <w:color w:val="000000" w:themeColor="text1"/>
        </w:rPr>
        <w:t xml:space="preserve">Petrol Piyasası Kanununun 7 nci maddesinin yedinci fıkrasında yer alan </w:t>
      </w:r>
      <w:r w:rsidRPr="005D0429">
        <w:rPr>
          <w:i/>
          <w:color w:val="000000" w:themeColor="text1"/>
        </w:rPr>
        <w:t>“Dağıtıcı lisansı sahipleri, Kurum tarafından belirlenen esaslara uygun olarak bayilerinde kaçak petrol satışının yapılmasını önleyen teknolojik yöntemleri de içeren bir denetim sistemi kurar ve uygular.”</w:t>
      </w:r>
      <w:r w:rsidRPr="005D0429">
        <w:rPr>
          <w:color w:val="000000" w:themeColor="text1"/>
        </w:rPr>
        <w:t xml:space="preserve"> hükmü çerçevesinde Kurumca gerekli çalışmalar yapılmış ve 06.07.2007 tarihli ve 26574 sayılı Resmî </w:t>
      </w:r>
      <w:r w:rsidR="00274939">
        <w:rPr>
          <w:color w:val="000000" w:themeColor="text1"/>
        </w:rPr>
        <w:t>Gazetede</w:t>
      </w:r>
      <w:r w:rsidRPr="005D0429">
        <w:rPr>
          <w:color w:val="000000" w:themeColor="text1"/>
        </w:rPr>
        <w:t xml:space="preserve"> yayımlanarak yürürlüğe giren 27.06.2007 tarihli ve 1240 sayılı Kurul Kararı alınmıştır. Söz konusu Kurul Kararının 4 üncü maddesinin birinci fıkrasının (b) bendinde bulunan </w:t>
      </w:r>
      <w:r w:rsidRPr="005D0429">
        <w:rPr>
          <w:i/>
          <w:color w:val="000000" w:themeColor="text1"/>
        </w:rPr>
        <w:t>“Akaryakıt istasyonlarında stok hareketleri ve akaryakıt alım satım işlemlerinin elektronik ortamda, günlük olarak izlenebilmesine yönelik bir istasyon otomasyon sistemi kurar. Merkez bağlantısı olan istasyon otomasyon sistemi ile bayilerindeki akaryakıt alım satım hareketlerini izler ve raporlar. Kayıt dışı ikmal ve satış tespit edilmesi halinde Kurumu derhal bilgilendirir.”</w:t>
      </w:r>
      <w:r w:rsidRPr="005D0429">
        <w:rPr>
          <w:color w:val="000000" w:themeColor="text1"/>
        </w:rPr>
        <w:t xml:space="preserve"> hükmü gereği otomasyon sistemleri kurma ve uygulama yükümlülüğü dağıtıcı lisansı sahiplerine verilmiştir. Söz konusu yükümlülük akaryakıt istasyonları için 30.06.2011 sabit köy pompaları ve tarımsal amaçlı satış tankerleri için 30.09.2011 tarihinde başlamıştır.</w:t>
      </w:r>
    </w:p>
    <w:p w:rsidR="005D0429" w:rsidRPr="005D0429" w:rsidRDefault="005D0429" w:rsidP="005D0429">
      <w:pPr>
        <w:rPr>
          <w:color w:val="000000" w:themeColor="text1"/>
        </w:rPr>
      </w:pPr>
      <w:r w:rsidRPr="005D0429">
        <w:rPr>
          <w:color w:val="000000" w:themeColor="text1"/>
        </w:rPr>
        <w:t>1240 sayılı Bayi Denetim Sistemine İlişkin Kurul Kararı kapsamında dağıtıcı lisansı sahiplerinin, kurdukları denetim sistemi vasıtasıyla topladıkları verileri günlük ve aylık olarak Kurum</w:t>
      </w:r>
      <w:r w:rsidR="002A7E33">
        <w:rPr>
          <w:color w:val="000000" w:themeColor="text1"/>
        </w:rPr>
        <w:t>a</w:t>
      </w:r>
      <w:r w:rsidRPr="005D0429">
        <w:rPr>
          <w:color w:val="000000" w:themeColor="text1"/>
        </w:rPr>
        <w:t xml:space="preserve"> bildirme yükümlülükleri bulunmaktadır. Söz konusu verilerin bir kısmı EBİS kapsamında elektronik imzalı bildirim olarak alınmakta olup bir kısmı ise Kurum web servisleri aracılığıyla Kurum</w:t>
      </w:r>
      <w:r w:rsidR="002A7E33">
        <w:rPr>
          <w:color w:val="000000" w:themeColor="text1"/>
        </w:rPr>
        <w:t>a</w:t>
      </w:r>
      <w:r w:rsidRPr="005D0429">
        <w:rPr>
          <w:color w:val="000000" w:themeColor="text1"/>
        </w:rPr>
        <w:t xml:space="preserve"> ulaştırılmaktadır. Kurum</w:t>
      </w:r>
      <w:r w:rsidR="002A7E33">
        <w:rPr>
          <w:color w:val="000000" w:themeColor="text1"/>
        </w:rPr>
        <w:t>a</w:t>
      </w:r>
      <w:r w:rsidRPr="005D0429">
        <w:rPr>
          <w:color w:val="000000" w:themeColor="text1"/>
        </w:rPr>
        <w:t xml:space="preserve"> ulaşan istasyon otomasyon sistemi verileri, Petrol Piyasası Kanunu kapsamında kaçak akaryakıt ile mücadelede görevli kurum ve kuruluşlar ile görevlerinin gerektirdiği ölçüde paylaşılmaktadır. Ayrıca, söz konusu veriler doğrultusunda oluşturulan istatistiki bilgiler haftalık olarak Enerji ve Tabii Kaynaklar Bakanlığı ile paylaşılmaktadır.</w:t>
      </w:r>
    </w:p>
    <w:p w:rsidR="005D0429" w:rsidRDefault="005D0429" w:rsidP="005D0429">
      <w:pPr>
        <w:rPr>
          <w:color w:val="000000" w:themeColor="text1"/>
        </w:rPr>
      </w:pPr>
      <w:r w:rsidRPr="005D0429">
        <w:rPr>
          <w:color w:val="000000" w:themeColor="text1"/>
        </w:rPr>
        <w:t xml:space="preserve">30.04.2021 tarihli ve 31470 sayılı Resmî </w:t>
      </w:r>
      <w:r w:rsidR="00274939">
        <w:rPr>
          <w:color w:val="000000" w:themeColor="text1"/>
        </w:rPr>
        <w:t>Gazetede</w:t>
      </w:r>
      <w:r w:rsidRPr="005D0429">
        <w:rPr>
          <w:color w:val="000000" w:themeColor="text1"/>
        </w:rPr>
        <w:t xml:space="preserve"> yayımlanan 7318 sayılı Kanunun 7 nci maddesi ile 5015 sayılı Kanun'un 7 nci maddesine eklenen "</w:t>
      </w:r>
      <w:r w:rsidRPr="005D0429">
        <w:rPr>
          <w:i/>
          <w:color w:val="000000" w:themeColor="text1"/>
        </w:rPr>
        <w:t>Dağıtıcı lisansı sahipleri, Kurum tarafından belirlenen esaslara uygun olarak bayilerinde kaçak akaryakıt satışının yapılmasını önleyen teknolojik yöntemleri de içeren bir denetim sistemi kurmak ve uygulamakla yükümlüdür. (Ek cümle: 29.4.2021-7318/7 md.) Dağıtıcı lisansı sahibi, Kurumca yetkilendirilen tüzel kişiler aracılığı ile denetim sistemini kurar ve uygular. Denetim sistemini kuracak ve uygulayacak tüzel kişilerde aranacak idari, mali ve teknik şartlar ile bu tüzel kişilerin hak ve yükümlükleri Kurum tarafından belirlenir</w:t>
      </w:r>
      <w:r w:rsidRPr="005D0429">
        <w:rPr>
          <w:color w:val="000000" w:themeColor="text1"/>
        </w:rPr>
        <w:t xml:space="preserve">..." hükmü gereğince, yetkilendirilmiş otomasyon şirketi izin başvuruları Kurumca değerlendirilmekte, söz konusu şartları sağlayan tüzel kişilere bayi denetim sisteminin kurulması, uygulanması, bakım ve onarımında bulunabilmesi adına izin verilmektedir. Öte yandan, 03.08.2021 tarihli ve 31557 sayılı Resmî </w:t>
      </w:r>
      <w:r w:rsidR="00274939">
        <w:rPr>
          <w:color w:val="000000" w:themeColor="text1"/>
        </w:rPr>
        <w:t>Gazetede</w:t>
      </w:r>
      <w:r w:rsidRPr="005D0429">
        <w:rPr>
          <w:color w:val="000000" w:themeColor="text1"/>
        </w:rPr>
        <w:t xml:space="preserve"> yayımlanan 29.07.2021 tarihli ve 10338 sayılı Kurul Kararı gereğince, 01.01.2022 tarihi itibarıyla 1240 sayılı Karar’ın eki olan “Otomasyon Sistemi Kılavuzu’nda belirlenen usul ve esaslar dâhilinde verilerin doğru olarak üretilmesi, korunması ve saklanmasından, Kurum</w:t>
      </w:r>
      <w:r w:rsidR="003C6441">
        <w:rPr>
          <w:color w:val="000000" w:themeColor="text1"/>
        </w:rPr>
        <w:t>a</w:t>
      </w:r>
      <w:r w:rsidRPr="005D0429">
        <w:rPr>
          <w:color w:val="000000" w:themeColor="text1"/>
        </w:rPr>
        <w:t xml:space="preserve"> doğru ve eksiksiz şekilde gönderilmesinden dağıtıcılar </w:t>
      </w:r>
      <w:r w:rsidRPr="005D0429">
        <w:rPr>
          <w:color w:val="000000" w:themeColor="text1"/>
        </w:rPr>
        <w:lastRenderedPageBreak/>
        <w:t>ve yetkilendirilmiş otomasyon şirketleri müştereken sorumludur.</w:t>
      </w:r>
      <w:r w:rsidR="00986A70">
        <w:rPr>
          <w:color w:val="000000" w:themeColor="text1"/>
        </w:rPr>
        <w:t xml:space="preserve"> 2022 yılı</w:t>
      </w:r>
      <w:r w:rsidR="002242D7">
        <w:rPr>
          <w:color w:val="000000" w:themeColor="text1"/>
        </w:rPr>
        <w:t>nda</w:t>
      </w:r>
      <w:r w:rsidR="00986A70">
        <w:rPr>
          <w:color w:val="000000" w:themeColor="text1"/>
        </w:rPr>
        <w:t xml:space="preserve"> y</w:t>
      </w:r>
      <w:r w:rsidR="00986A70" w:rsidRPr="00986A70">
        <w:rPr>
          <w:color w:val="000000" w:themeColor="text1"/>
        </w:rPr>
        <w:t>etkilendirilmiş otomasyon şirketleri</w:t>
      </w:r>
      <w:r w:rsidR="00B35DE1">
        <w:rPr>
          <w:color w:val="000000" w:themeColor="text1"/>
        </w:rPr>
        <w:t xml:space="preserve"> sayısı 7 tane olup</w:t>
      </w:r>
      <w:r w:rsidR="00986A70">
        <w:rPr>
          <w:color w:val="000000" w:themeColor="text1"/>
        </w:rPr>
        <w:t xml:space="preserve"> </w:t>
      </w:r>
      <w:r w:rsidR="00B35DE1">
        <w:rPr>
          <w:color w:val="000000" w:themeColor="text1"/>
        </w:rPr>
        <w:t xml:space="preserve">bu şirketlerin ticaret unvanları </w:t>
      </w:r>
      <w:r w:rsidR="00986A70">
        <w:rPr>
          <w:color w:val="000000" w:themeColor="text1"/>
        </w:rPr>
        <w:t>aşağıda verilmiştir.</w:t>
      </w:r>
    </w:p>
    <w:p w:rsidR="00986A70" w:rsidRDefault="00986A70" w:rsidP="00986A70">
      <w:pPr>
        <w:pStyle w:val="Balk5"/>
        <w:jc w:val="center"/>
        <w:rPr>
          <w:rStyle w:val="Gl"/>
          <w:color w:val="000000" w:themeColor="text1"/>
        </w:rPr>
      </w:pPr>
      <w:bookmarkStart w:id="192" w:name="_Toc132713901"/>
      <w:r w:rsidRPr="00E11ED2">
        <w:rPr>
          <w:rStyle w:val="Gl"/>
          <w:color w:val="000000" w:themeColor="text1"/>
        </w:rPr>
        <w:t>Tablo 3.</w:t>
      </w:r>
      <w:r>
        <w:rPr>
          <w:rStyle w:val="Gl"/>
          <w:color w:val="000000" w:themeColor="text1"/>
        </w:rPr>
        <w:t>11</w:t>
      </w:r>
      <w:r w:rsidRPr="00E11ED2">
        <w:rPr>
          <w:rStyle w:val="Gl"/>
          <w:color w:val="000000" w:themeColor="text1"/>
        </w:rPr>
        <w:t>: 202</w:t>
      </w:r>
      <w:r>
        <w:rPr>
          <w:rStyle w:val="Gl"/>
          <w:color w:val="000000" w:themeColor="text1"/>
        </w:rPr>
        <w:t>2</w:t>
      </w:r>
      <w:r w:rsidRPr="00E11ED2">
        <w:rPr>
          <w:rStyle w:val="Gl"/>
          <w:color w:val="000000" w:themeColor="text1"/>
        </w:rPr>
        <w:t xml:space="preserve"> Yılı</w:t>
      </w:r>
      <w:r w:rsidR="002242D7">
        <w:rPr>
          <w:rStyle w:val="Gl"/>
          <w:color w:val="000000" w:themeColor="text1"/>
        </w:rPr>
        <w:t>nda</w:t>
      </w:r>
      <w:r w:rsidRPr="00E11ED2">
        <w:rPr>
          <w:rStyle w:val="Gl"/>
          <w:color w:val="000000" w:themeColor="text1"/>
        </w:rPr>
        <w:t xml:space="preserve"> </w:t>
      </w:r>
      <w:r>
        <w:rPr>
          <w:rStyle w:val="Gl"/>
          <w:color w:val="000000" w:themeColor="text1"/>
        </w:rPr>
        <w:t>Y</w:t>
      </w:r>
      <w:r w:rsidRPr="00986A70">
        <w:rPr>
          <w:rStyle w:val="Gl"/>
          <w:color w:val="000000" w:themeColor="text1"/>
        </w:rPr>
        <w:t xml:space="preserve">etkilendirilmiş </w:t>
      </w:r>
      <w:r>
        <w:rPr>
          <w:rStyle w:val="Gl"/>
          <w:color w:val="000000" w:themeColor="text1"/>
        </w:rPr>
        <w:t>O</w:t>
      </w:r>
      <w:r w:rsidRPr="00986A70">
        <w:rPr>
          <w:rStyle w:val="Gl"/>
          <w:color w:val="000000" w:themeColor="text1"/>
        </w:rPr>
        <w:t xml:space="preserve">tomasyon </w:t>
      </w:r>
      <w:r>
        <w:rPr>
          <w:rStyle w:val="Gl"/>
          <w:color w:val="000000" w:themeColor="text1"/>
        </w:rPr>
        <w:t>Ş</w:t>
      </w:r>
      <w:r w:rsidRPr="00986A70">
        <w:rPr>
          <w:rStyle w:val="Gl"/>
          <w:color w:val="000000" w:themeColor="text1"/>
        </w:rPr>
        <w:t>irketleri</w:t>
      </w:r>
      <w:bookmarkEnd w:id="192"/>
    </w:p>
    <w:tbl>
      <w:tblPr>
        <w:tblW w:w="9214" w:type="dxa"/>
        <w:jc w:val="center"/>
        <w:tblCellMar>
          <w:left w:w="70" w:type="dxa"/>
          <w:right w:w="70" w:type="dxa"/>
        </w:tblCellMar>
        <w:tblLook w:val="04A0" w:firstRow="1" w:lastRow="0" w:firstColumn="1" w:lastColumn="0" w:noHBand="0" w:noVBand="1"/>
      </w:tblPr>
      <w:tblGrid>
        <w:gridCol w:w="9214"/>
      </w:tblGrid>
      <w:tr w:rsidR="00986A70" w:rsidTr="00986A70">
        <w:trPr>
          <w:trHeight w:val="580"/>
          <w:jc w:val="center"/>
        </w:trPr>
        <w:tc>
          <w:tcPr>
            <w:tcW w:w="9214" w:type="dxa"/>
            <w:tcBorders>
              <w:top w:val="nil"/>
              <w:left w:val="single" w:sz="4" w:space="0" w:color="4F81BD"/>
              <w:bottom w:val="single" w:sz="4" w:space="0" w:color="BFBFBF" w:themeColor="background1" w:themeShade="BF"/>
              <w:right w:val="single" w:sz="4" w:space="0" w:color="D3D3D3"/>
            </w:tcBorders>
            <w:shd w:val="clear" w:color="auto" w:fill="6E9ECA"/>
            <w:vAlign w:val="center"/>
            <w:hideMark/>
          </w:tcPr>
          <w:p w:rsidR="00986A70" w:rsidRPr="00B35DE1" w:rsidRDefault="00986A70" w:rsidP="0071148E">
            <w:pPr>
              <w:spacing w:after="0" w:line="240" w:lineRule="auto"/>
              <w:jc w:val="center"/>
              <w:rPr>
                <w:rFonts w:ascii="Calibri" w:eastAsia="Times New Roman" w:hAnsi="Calibri" w:cs="Calibri"/>
                <w:b/>
                <w:bCs/>
                <w:color w:val="FFFFFF"/>
                <w:lang w:eastAsia="tr-TR"/>
              </w:rPr>
            </w:pPr>
            <w:r w:rsidRPr="00B35DE1">
              <w:rPr>
                <w:rFonts w:ascii="Calibri" w:eastAsia="Times New Roman" w:hAnsi="Calibri" w:cs="Calibri"/>
                <w:b/>
                <w:bCs/>
                <w:color w:val="FFFFFF"/>
                <w:lang w:eastAsia="tr-TR"/>
              </w:rPr>
              <w:t>Şirket U</w:t>
            </w:r>
            <w:r w:rsidRPr="00B35DE1">
              <w:rPr>
                <w:rFonts w:ascii="Calibri" w:eastAsia="Times New Roman" w:hAnsi="Calibri" w:cs="Calibri"/>
                <w:b/>
                <w:color w:val="FFFFFF"/>
                <w:lang w:eastAsia="tr-TR"/>
              </w:rPr>
              <w:t>nvanı</w:t>
            </w:r>
          </w:p>
        </w:tc>
      </w:tr>
      <w:tr w:rsidR="00986A70" w:rsidTr="00B35DE1">
        <w:trPr>
          <w:trHeight w:val="290"/>
          <w:jc w:val="center"/>
        </w:trPr>
        <w:tc>
          <w:tcPr>
            <w:tcW w:w="921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986A70" w:rsidRPr="00EB0B28" w:rsidRDefault="00986A70" w:rsidP="00986A70">
            <w:r w:rsidRPr="00EB0B28">
              <w:t>MEPSAN PETROL CİHAZLARI SANAYİ TİCARET ANONİM ŞİRKETİ</w:t>
            </w:r>
          </w:p>
        </w:tc>
      </w:tr>
      <w:tr w:rsidR="00986A70" w:rsidTr="00B35DE1">
        <w:trPr>
          <w:trHeight w:val="290"/>
          <w:jc w:val="center"/>
        </w:trPr>
        <w:tc>
          <w:tcPr>
            <w:tcW w:w="921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986A70" w:rsidRPr="00EB0B28" w:rsidRDefault="00986A70" w:rsidP="00986A70">
            <w:r w:rsidRPr="00EB0B28">
              <w:t>TURPAK ELEKTROMANYETİK YAKIT İKMAL SİSTEMLERİ TİCARET ANONİM ŞİRKETİ</w:t>
            </w:r>
          </w:p>
        </w:tc>
      </w:tr>
      <w:tr w:rsidR="00986A70" w:rsidTr="00B35DE1">
        <w:trPr>
          <w:trHeight w:val="290"/>
          <w:jc w:val="center"/>
        </w:trPr>
        <w:tc>
          <w:tcPr>
            <w:tcW w:w="921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986A70" w:rsidRPr="00EB0B28" w:rsidRDefault="00986A70" w:rsidP="00986A70">
            <w:r w:rsidRPr="00EB0B28">
              <w:t>ASİS OTOMASYON VE AKARYAKIT SİSTEMLERİ ANONİM ŞİRKETİ</w:t>
            </w:r>
          </w:p>
        </w:tc>
      </w:tr>
      <w:tr w:rsidR="00986A70" w:rsidTr="00B35DE1">
        <w:trPr>
          <w:trHeight w:val="290"/>
          <w:jc w:val="center"/>
        </w:trPr>
        <w:tc>
          <w:tcPr>
            <w:tcW w:w="921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986A70" w:rsidRPr="00EB0B28" w:rsidRDefault="00986A70" w:rsidP="00986A70">
            <w:r w:rsidRPr="00EB0B28">
              <w:t>PETRONET OTOMASYON ENERJİ MÜHENDİSLİK İNŞAAT PETROL SANAYİ VE TİCARET ANONİM ŞİRKETİ</w:t>
            </w:r>
          </w:p>
        </w:tc>
      </w:tr>
      <w:tr w:rsidR="00986A70" w:rsidTr="00B35DE1">
        <w:trPr>
          <w:trHeight w:val="290"/>
          <w:jc w:val="center"/>
        </w:trPr>
        <w:tc>
          <w:tcPr>
            <w:tcW w:w="921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986A70" w:rsidRPr="00EB0B28" w:rsidRDefault="00986A70" w:rsidP="00986A70">
            <w:r w:rsidRPr="00EB0B28">
              <w:t>TARIM KREDİ TEKNOLOJİ ANONİM ŞİRKETİ</w:t>
            </w:r>
          </w:p>
        </w:tc>
      </w:tr>
      <w:tr w:rsidR="00986A70" w:rsidTr="00B35DE1">
        <w:trPr>
          <w:trHeight w:val="290"/>
          <w:jc w:val="center"/>
        </w:trPr>
        <w:tc>
          <w:tcPr>
            <w:tcW w:w="921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986A70" w:rsidRPr="00EB0B28" w:rsidRDefault="00986A70" w:rsidP="00986A70">
            <w:r w:rsidRPr="00EB0B28">
              <w:t>TORA PETROL ÜRÜNLERİ MÜHENDİSLİĞİ ELEKTRİK VE ELEKTRONİK SANAYİ TİCARET ANONİM ŞİRKETİ</w:t>
            </w:r>
          </w:p>
        </w:tc>
      </w:tr>
      <w:tr w:rsidR="00B35DE1" w:rsidTr="00B35DE1">
        <w:trPr>
          <w:trHeight w:val="290"/>
          <w:jc w:val="center"/>
        </w:trPr>
        <w:tc>
          <w:tcPr>
            <w:tcW w:w="921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B35DE1" w:rsidRPr="00EB0B28" w:rsidRDefault="00097839" w:rsidP="00986A70">
            <w:r w:rsidRPr="00097839">
              <w:t>TRIGON TEKNOLOJİ OTOMASYON SİSTEMLERİ SANAYİ ANONİM ŞİRKETİ</w:t>
            </w:r>
          </w:p>
        </w:tc>
      </w:tr>
    </w:tbl>
    <w:p w:rsidR="004E03B6" w:rsidRPr="00F435AE" w:rsidRDefault="004E03B6" w:rsidP="001A5189">
      <w:pPr>
        <w:pStyle w:val="Balk4"/>
        <w:numPr>
          <w:ilvl w:val="3"/>
          <w:numId w:val="11"/>
        </w:numPr>
        <w:spacing w:after="240"/>
        <w:rPr>
          <w:rFonts w:asciiTheme="minorHAnsi" w:hAnsiTheme="minorHAnsi"/>
          <w:i w:val="0"/>
          <w:iCs w:val="0"/>
          <w:color w:val="auto"/>
        </w:rPr>
      </w:pPr>
      <w:bookmarkStart w:id="193" w:name="_Toc132713795"/>
      <w:r w:rsidRPr="00227EE8">
        <w:rPr>
          <w:rFonts w:asciiTheme="minorHAnsi" w:hAnsiTheme="minorHAnsi"/>
          <w:i w:val="0"/>
          <w:iCs w:val="0"/>
          <w:color w:val="auto"/>
        </w:rPr>
        <w:t>Petrol Depo Stok Takip Sistemi</w:t>
      </w:r>
      <w:bookmarkEnd w:id="193"/>
    </w:p>
    <w:p w:rsidR="001A5189" w:rsidRDefault="004E03B6" w:rsidP="001A5189">
      <w:pPr>
        <w:rPr>
          <w:color w:val="000000" w:themeColor="text1"/>
        </w:rPr>
      </w:pPr>
      <w:r w:rsidRPr="00BC70DF">
        <w:rPr>
          <w:color w:val="000000" w:themeColor="text1"/>
        </w:rPr>
        <w:t>Petrol piyasasında ulusal stok kapsamına giren depolama tesislerinde bulunan tanklardaki petrol miktarını ve seviyelerinin saatlik olarak elektronik ortamda izlenmesi ve bu sistemlerde oluşan verilerin, Kurum</w:t>
      </w:r>
      <w:r w:rsidR="003C6441">
        <w:rPr>
          <w:color w:val="000000" w:themeColor="text1"/>
        </w:rPr>
        <w:t xml:space="preserve"> </w:t>
      </w:r>
      <w:r w:rsidRPr="00BC70DF">
        <w:rPr>
          <w:color w:val="000000" w:themeColor="text1"/>
        </w:rPr>
        <w:t>tarafından da doğrudan takip edebilmesi için tank takip sisteminin kurulması çalışmaları tamamlanmıştır. Petrol Depo Stok Takip sistemine Kupon sistemi de eklenerek 01.01.2018 tarihi itibarı</w:t>
      </w:r>
      <w:r>
        <w:rPr>
          <w:color w:val="000000" w:themeColor="text1"/>
        </w:rPr>
        <w:t xml:space="preserve"> ile sistem hizmete sunulmuştur</w:t>
      </w:r>
      <w:r w:rsidR="00F66B7B">
        <w:rPr>
          <w:color w:val="000000" w:themeColor="text1"/>
        </w:rPr>
        <w:t>.</w:t>
      </w:r>
      <w:bookmarkStart w:id="194" w:name="_Toc442431263"/>
    </w:p>
    <w:p w:rsidR="000E2647" w:rsidRDefault="000E2647" w:rsidP="001A5189">
      <w:pPr>
        <w:rPr>
          <w:color w:val="000000" w:themeColor="text1"/>
        </w:rPr>
      </w:pPr>
    </w:p>
    <w:p w:rsidR="000E2647" w:rsidRDefault="000E2647" w:rsidP="001A5189">
      <w:pPr>
        <w:rPr>
          <w:color w:val="000000" w:themeColor="text1"/>
        </w:rPr>
      </w:pPr>
    </w:p>
    <w:p w:rsidR="000E2647" w:rsidRDefault="000E2647" w:rsidP="001A5189">
      <w:pPr>
        <w:rPr>
          <w:color w:val="000000" w:themeColor="text1"/>
        </w:rPr>
      </w:pPr>
    </w:p>
    <w:p w:rsidR="000E2647" w:rsidRDefault="000E2647" w:rsidP="001A5189">
      <w:pPr>
        <w:rPr>
          <w:color w:val="000000" w:themeColor="text1"/>
        </w:rPr>
      </w:pPr>
    </w:p>
    <w:p w:rsidR="000E2647" w:rsidRDefault="000E2647" w:rsidP="001A5189">
      <w:pPr>
        <w:rPr>
          <w:color w:val="000000" w:themeColor="text1"/>
        </w:rPr>
      </w:pPr>
    </w:p>
    <w:p w:rsidR="000E2647" w:rsidRDefault="000E2647" w:rsidP="001A5189">
      <w:pPr>
        <w:rPr>
          <w:color w:val="000000" w:themeColor="text1"/>
        </w:rPr>
      </w:pPr>
    </w:p>
    <w:p w:rsidR="000E2647" w:rsidRDefault="000E2647" w:rsidP="001A5189">
      <w:pPr>
        <w:rPr>
          <w:color w:val="000000" w:themeColor="text1"/>
        </w:rPr>
      </w:pPr>
    </w:p>
    <w:p w:rsidR="000E2647" w:rsidRDefault="000E2647" w:rsidP="001A5189">
      <w:pPr>
        <w:rPr>
          <w:color w:val="000000" w:themeColor="text1"/>
        </w:rPr>
      </w:pPr>
    </w:p>
    <w:p w:rsidR="000E2647" w:rsidRDefault="000E2647" w:rsidP="001A5189">
      <w:pPr>
        <w:rPr>
          <w:color w:val="000000" w:themeColor="text1"/>
        </w:rPr>
      </w:pPr>
    </w:p>
    <w:p w:rsidR="000E2647" w:rsidRDefault="000E2647" w:rsidP="001A5189">
      <w:pPr>
        <w:rPr>
          <w:color w:val="000000" w:themeColor="text1"/>
        </w:rPr>
      </w:pPr>
    </w:p>
    <w:p w:rsidR="000E2647" w:rsidRDefault="000E2647" w:rsidP="001A5189">
      <w:pPr>
        <w:rPr>
          <w:color w:val="000000" w:themeColor="text1"/>
        </w:rPr>
      </w:pPr>
    </w:p>
    <w:p w:rsidR="000E2647" w:rsidRDefault="000E2647" w:rsidP="001A5189">
      <w:pPr>
        <w:rPr>
          <w:color w:val="000000" w:themeColor="text1"/>
        </w:rPr>
      </w:pPr>
    </w:p>
    <w:p w:rsidR="000E2647" w:rsidRDefault="000E2647" w:rsidP="001A5189">
      <w:pPr>
        <w:rPr>
          <w:color w:val="000000" w:themeColor="text1"/>
        </w:rPr>
      </w:pPr>
    </w:p>
    <w:p w:rsidR="00CB5826" w:rsidRPr="000E2647" w:rsidRDefault="00CB5826" w:rsidP="000E2647">
      <w:pPr>
        <w:pStyle w:val="Balk2"/>
        <w:numPr>
          <w:ilvl w:val="1"/>
          <w:numId w:val="11"/>
        </w:numPr>
        <w:spacing w:before="0" w:after="240"/>
        <w:rPr>
          <w:rFonts w:asciiTheme="minorHAnsi" w:hAnsiTheme="minorHAnsi"/>
          <w:color w:val="auto"/>
          <w:sz w:val="22"/>
          <w:szCs w:val="22"/>
        </w:rPr>
      </w:pPr>
      <w:bookmarkStart w:id="195" w:name="_Toc132713796"/>
      <w:r w:rsidRPr="000E2647">
        <w:rPr>
          <w:rFonts w:asciiTheme="minorHAnsi" w:hAnsiTheme="minorHAnsi"/>
          <w:color w:val="auto"/>
          <w:sz w:val="22"/>
          <w:szCs w:val="22"/>
        </w:rPr>
        <w:lastRenderedPageBreak/>
        <w:t>Sıvılaştırılmış Petrol Gazları (LPG) Piyasası Lisanslama Faaliyetleri</w:t>
      </w:r>
      <w:bookmarkEnd w:id="194"/>
      <w:bookmarkEnd w:id="195"/>
    </w:p>
    <w:p w:rsidR="00CB5826" w:rsidRDefault="00B34FA4" w:rsidP="00CB5826">
      <w:pPr>
        <w:spacing w:after="0"/>
      </w:pPr>
      <w:r>
        <w:t>LPG</w:t>
      </w:r>
      <w:r w:rsidR="00CB5826" w:rsidRPr="00E9291A">
        <w:t xml:space="preserve"> ile ilgili; LPG Dağıtıcı, LPG Taşıma, LPG Depolama, LPG Otogaz Bayilik, LPG Tüpü İmalatı, LPG Tüpü Muayenesi, Tamiri ve Bakımı faaliyetlerinin yapılması için lisans alınması zorunludur. LPG lisansları kapsamında yapılacak faaliyetler ve lisans sahiplerinin yükümlülükleri, Sıvılaştırılmış Petrol Gazları (LPG) Piyasası Lisans Yönetmeliğinde belirtilmiştir. </w:t>
      </w:r>
    </w:p>
    <w:p w:rsidR="00954AFF" w:rsidRPr="00E9291A" w:rsidRDefault="00954AFF" w:rsidP="00CB5826">
      <w:pPr>
        <w:spacing w:after="0"/>
      </w:pPr>
    </w:p>
    <w:p w:rsidR="00CB5826" w:rsidRDefault="00FE3B54" w:rsidP="00CB5826">
      <w:pPr>
        <w:spacing w:after="0"/>
      </w:pPr>
      <w:r>
        <w:t>202</w:t>
      </w:r>
      <w:r w:rsidR="00E725FC">
        <w:t>2</w:t>
      </w:r>
      <w:r w:rsidR="00CB5826" w:rsidRPr="00466EFF">
        <w:t xml:space="preserve"> yılı içerisinde </w:t>
      </w:r>
      <w:r w:rsidR="00B34FA4" w:rsidRPr="00466EFF">
        <w:t>LPG</w:t>
      </w:r>
      <w:r w:rsidR="00CB5826" w:rsidRPr="00466EFF">
        <w:t xml:space="preserve"> piyasasında gerçekleştir</w:t>
      </w:r>
      <w:r w:rsidR="00237791" w:rsidRPr="00466EFF">
        <w:t>ilen lisans işlemleri Tablo 3.10</w:t>
      </w:r>
      <w:r w:rsidR="000A02ED" w:rsidRPr="00466EFF">
        <w:t>’da</w:t>
      </w:r>
      <w:r w:rsidR="00CB5826" w:rsidRPr="00466EFF">
        <w:t xml:space="preserve"> yer almaktadır.</w:t>
      </w:r>
    </w:p>
    <w:p w:rsidR="00CB5826" w:rsidRDefault="004E03B6" w:rsidP="00C466F8">
      <w:pPr>
        <w:pStyle w:val="Balk5"/>
        <w:jc w:val="center"/>
        <w:rPr>
          <w:rStyle w:val="Gl"/>
          <w:color w:val="000000" w:themeColor="text1"/>
        </w:rPr>
      </w:pPr>
      <w:bookmarkStart w:id="196" w:name="_Toc416447590"/>
      <w:bookmarkStart w:id="197" w:name="_Toc442441740"/>
      <w:bookmarkStart w:id="198" w:name="_Toc132713902"/>
      <w:r w:rsidRPr="00466EFF">
        <w:rPr>
          <w:rStyle w:val="Gl"/>
          <w:color w:val="000000" w:themeColor="text1"/>
        </w:rPr>
        <w:t>Tablo 3.</w:t>
      </w:r>
      <w:r w:rsidR="00986A70">
        <w:rPr>
          <w:rStyle w:val="Gl"/>
          <w:color w:val="000000" w:themeColor="text1"/>
        </w:rPr>
        <w:t>12</w:t>
      </w:r>
      <w:r w:rsidR="00CB5826" w:rsidRPr="00466EFF">
        <w:rPr>
          <w:rStyle w:val="Gl"/>
          <w:color w:val="000000" w:themeColor="text1"/>
        </w:rPr>
        <w:t>: LPG Piy</w:t>
      </w:r>
      <w:r w:rsidR="00FE3B54">
        <w:rPr>
          <w:rStyle w:val="Gl"/>
          <w:color w:val="000000" w:themeColor="text1"/>
        </w:rPr>
        <w:t>asasında 202</w:t>
      </w:r>
      <w:r w:rsidR="008F1742">
        <w:rPr>
          <w:rStyle w:val="Gl"/>
          <w:color w:val="000000" w:themeColor="text1"/>
        </w:rPr>
        <w:t>2</w:t>
      </w:r>
      <w:r w:rsidR="00CB5826" w:rsidRPr="00466EFF">
        <w:rPr>
          <w:rStyle w:val="Gl"/>
          <w:color w:val="000000" w:themeColor="text1"/>
        </w:rPr>
        <w:t xml:space="preserve"> Yılında Gerçekleştirilen Lisans İşlemleri</w:t>
      </w:r>
      <w:r w:rsidR="002B57E9">
        <w:rPr>
          <w:rStyle w:val="Gl"/>
          <w:color w:val="000000" w:themeColor="text1"/>
        </w:rPr>
        <w:t xml:space="preserve"> </w:t>
      </w:r>
      <w:r w:rsidR="00CB5826" w:rsidRPr="00466EFF">
        <w:rPr>
          <w:rStyle w:val="Gl"/>
          <w:color w:val="000000" w:themeColor="text1"/>
        </w:rPr>
        <w:t>(Adet)</w:t>
      </w:r>
      <w:bookmarkEnd w:id="196"/>
      <w:bookmarkEnd w:id="197"/>
      <w:bookmarkEnd w:id="198"/>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575"/>
        <w:gridCol w:w="1085"/>
        <w:gridCol w:w="1076"/>
        <w:gridCol w:w="1659"/>
        <w:gridCol w:w="1080"/>
        <w:gridCol w:w="1082"/>
        <w:gridCol w:w="1082"/>
        <w:gridCol w:w="1273"/>
      </w:tblGrid>
      <w:tr w:rsidR="003C6441" w:rsidRPr="00B32DD7" w:rsidTr="008F1742">
        <w:trPr>
          <w:trHeight w:val="283"/>
        </w:trPr>
        <w:tc>
          <w:tcPr>
            <w:tcW w:w="794" w:type="pct"/>
            <w:shd w:val="clear" w:color="000000" w:fill="6E9ECA"/>
            <w:vAlign w:val="center"/>
            <w:hideMark/>
          </w:tcPr>
          <w:p w:rsidR="003C6441" w:rsidRPr="00B32DD7" w:rsidRDefault="003C6441" w:rsidP="003C6441">
            <w:pPr>
              <w:spacing w:after="0" w:line="240" w:lineRule="auto"/>
              <w:jc w:val="center"/>
              <w:rPr>
                <w:rFonts w:eastAsia="Times New Roman" w:cstheme="minorHAnsi"/>
                <w:b/>
                <w:bCs/>
                <w:color w:val="FFFFFF"/>
                <w:lang w:eastAsia="tr-TR"/>
              </w:rPr>
            </w:pPr>
            <w:r w:rsidRPr="00B32DD7">
              <w:rPr>
                <w:rFonts w:eastAsia="Times New Roman" w:cstheme="minorHAnsi"/>
                <w:b/>
                <w:bCs/>
                <w:color w:val="FFFFFF"/>
                <w:lang w:eastAsia="tr-TR"/>
              </w:rPr>
              <w:t>Lisans Tipi</w:t>
            </w:r>
          </w:p>
        </w:tc>
        <w:tc>
          <w:tcPr>
            <w:tcW w:w="547" w:type="pct"/>
            <w:shd w:val="clear" w:color="000000" w:fill="6E9ECA"/>
            <w:vAlign w:val="center"/>
            <w:hideMark/>
          </w:tcPr>
          <w:p w:rsidR="003C6441" w:rsidRPr="00B32DD7" w:rsidRDefault="003C6441" w:rsidP="003C6441">
            <w:pPr>
              <w:spacing w:after="0" w:line="240" w:lineRule="auto"/>
              <w:jc w:val="center"/>
              <w:rPr>
                <w:rFonts w:eastAsia="Times New Roman" w:cstheme="minorHAnsi"/>
                <w:b/>
                <w:bCs/>
                <w:color w:val="FFFFFF"/>
                <w:lang w:eastAsia="tr-TR"/>
              </w:rPr>
            </w:pPr>
            <w:r w:rsidRPr="00B32DD7">
              <w:rPr>
                <w:rFonts w:eastAsia="Times New Roman" w:cstheme="minorHAnsi"/>
                <w:b/>
                <w:bCs/>
                <w:color w:val="FFFFFF"/>
                <w:lang w:eastAsia="tr-TR"/>
              </w:rPr>
              <w:t>Lisans Başvurusu Sayısı</w:t>
            </w:r>
          </w:p>
        </w:tc>
        <w:tc>
          <w:tcPr>
            <w:tcW w:w="543" w:type="pct"/>
            <w:shd w:val="clear" w:color="000000" w:fill="6E9ECA"/>
            <w:vAlign w:val="center"/>
            <w:hideMark/>
          </w:tcPr>
          <w:p w:rsidR="003C6441" w:rsidRPr="00B32DD7" w:rsidRDefault="003C6441" w:rsidP="003C6441">
            <w:pPr>
              <w:spacing w:after="0" w:line="240" w:lineRule="auto"/>
              <w:jc w:val="center"/>
              <w:rPr>
                <w:rFonts w:eastAsia="Times New Roman" w:cstheme="minorHAnsi"/>
                <w:b/>
                <w:bCs/>
                <w:color w:val="FFFFFF"/>
                <w:lang w:eastAsia="tr-TR"/>
              </w:rPr>
            </w:pPr>
            <w:r w:rsidRPr="00B32DD7">
              <w:rPr>
                <w:rFonts w:eastAsia="Times New Roman" w:cstheme="minorHAnsi"/>
                <w:b/>
                <w:bCs/>
                <w:color w:val="FFFFFF"/>
                <w:lang w:eastAsia="tr-TR"/>
              </w:rPr>
              <w:t>Verilen Lisans Sayısı</w:t>
            </w:r>
          </w:p>
        </w:tc>
        <w:tc>
          <w:tcPr>
            <w:tcW w:w="837" w:type="pct"/>
            <w:shd w:val="clear" w:color="000000" w:fill="6E9ECA"/>
            <w:vAlign w:val="center"/>
            <w:hideMark/>
          </w:tcPr>
          <w:p w:rsidR="003C6441" w:rsidRPr="00B32DD7" w:rsidRDefault="003C6441" w:rsidP="003C6441">
            <w:pPr>
              <w:spacing w:after="0" w:line="240" w:lineRule="auto"/>
              <w:jc w:val="center"/>
              <w:rPr>
                <w:rFonts w:eastAsia="Times New Roman" w:cstheme="minorHAnsi"/>
                <w:b/>
                <w:bCs/>
                <w:color w:val="FFFFFF"/>
                <w:lang w:eastAsia="tr-TR"/>
              </w:rPr>
            </w:pPr>
            <w:r w:rsidRPr="00B32DD7">
              <w:rPr>
                <w:rFonts w:eastAsia="Times New Roman" w:cstheme="minorHAnsi"/>
                <w:b/>
                <w:bCs/>
                <w:color w:val="FFFFFF"/>
                <w:lang w:eastAsia="tr-TR"/>
              </w:rPr>
              <w:t>Sona Eren/Erdirilen Lisans Sayısı</w:t>
            </w:r>
          </w:p>
        </w:tc>
        <w:tc>
          <w:tcPr>
            <w:tcW w:w="545" w:type="pct"/>
            <w:shd w:val="clear" w:color="000000" w:fill="6E9ECA"/>
            <w:vAlign w:val="center"/>
            <w:hideMark/>
          </w:tcPr>
          <w:p w:rsidR="003C6441" w:rsidRPr="00B32DD7" w:rsidRDefault="003C6441" w:rsidP="003C6441">
            <w:pPr>
              <w:spacing w:after="0" w:line="240" w:lineRule="auto"/>
              <w:jc w:val="center"/>
              <w:rPr>
                <w:rFonts w:eastAsia="Times New Roman" w:cstheme="minorHAnsi"/>
                <w:b/>
                <w:bCs/>
                <w:color w:val="FFFFFF"/>
                <w:lang w:eastAsia="tr-TR"/>
              </w:rPr>
            </w:pPr>
            <w:r w:rsidRPr="00B32DD7">
              <w:rPr>
                <w:rFonts w:eastAsia="Times New Roman" w:cstheme="minorHAnsi"/>
                <w:b/>
                <w:bCs/>
                <w:color w:val="FFFFFF"/>
                <w:lang w:eastAsia="tr-TR"/>
              </w:rPr>
              <w:t>İptal Edilen Lisans Sayısı</w:t>
            </w:r>
          </w:p>
        </w:tc>
        <w:tc>
          <w:tcPr>
            <w:tcW w:w="546" w:type="pct"/>
            <w:shd w:val="clear" w:color="000000" w:fill="6E9ECA"/>
            <w:vAlign w:val="center"/>
            <w:hideMark/>
          </w:tcPr>
          <w:p w:rsidR="003C6441" w:rsidRPr="00B32DD7" w:rsidRDefault="003C6441" w:rsidP="003C6441">
            <w:pPr>
              <w:spacing w:after="0" w:line="240" w:lineRule="auto"/>
              <w:jc w:val="center"/>
              <w:rPr>
                <w:rFonts w:eastAsia="Times New Roman" w:cstheme="minorHAnsi"/>
                <w:b/>
                <w:bCs/>
                <w:color w:val="FFFFFF"/>
                <w:lang w:eastAsia="tr-TR"/>
              </w:rPr>
            </w:pPr>
            <w:r w:rsidRPr="00B32DD7">
              <w:rPr>
                <w:rFonts w:eastAsia="Times New Roman" w:cstheme="minorHAnsi"/>
                <w:b/>
                <w:bCs/>
                <w:color w:val="FFFFFF"/>
                <w:lang w:eastAsia="tr-TR"/>
              </w:rPr>
              <w:t>Tadil Sayısı</w:t>
            </w:r>
          </w:p>
        </w:tc>
        <w:tc>
          <w:tcPr>
            <w:tcW w:w="546" w:type="pct"/>
            <w:shd w:val="clear" w:color="000000" w:fill="6E9ECA"/>
            <w:vAlign w:val="center"/>
            <w:hideMark/>
          </w:tcPr>
          <w:p w:rsidR="003C6441" w:rsidRPr="00B32DD7" w:rsidRDefault="003C6441" w:rsidP="003C6441">
            <w:pPr>
              <w:spacing w:after="0" w:line="240" w:lineRule="auto"/>
              <w:jc w:val="center"/>
              <w:rPr>
                <w:rFonts w:eastAsia="Times New Roman" w:cstheme="minorHAnsi"/>
                <w:b/>
                <w:bCs/>
                <w:color w:val="FFFFFF"/>
                <w:lang w:eastAsia="tr-TR"/>
              </w:rPr>
            </w:pPr>
            <w:r w:rsidRPr="00B32DD7">
              <w:rPr>
                <w:rFonts w:eastAsia="Times New Roman" w:cstheme="minorHAnsi"/>
                <w:b/>
                <w:bCs/>
                <w:color w:val="FFFFFF"/>
                <w:lang w:eastAsia="tr-TR"/>
              </w:rPr>
              <w:t>Genel Toplam</w:t>
            </w:r>
          </w:p>
        </w:tc>
        <w:tc>
          <w:tcPr>
            <w:tcW w:w="642" w:type="pct"/>
            <w:shd w:val="clear" w:color="000000" w:fill="6E9ECA"/>
            <w:vAlign w:val="center"/>
            <w:hideMark/>
          </w:tcPr>
          <w:p w:rsidR="003C6441" w:rsidRPr="00B32DD7" w:rsidRDefault="003C6441" w:rsidP="003C6441">
            <w:pPr>
              <w:spacing w:after="0" w:line="240" w:lineRule="auto"/>
              <w:jc w:val="center"/>
              <w:rPr>
                <w:rFonts w:eastAsia="Times New Roman" w:cstheme="minorHAnsi"/>
                <w:b/>
                <w:bCs/>
                <w:color w:val="FFFFFF"/>
                <w:lang w:eastAsia="tr-TR"/>
              </w:rPr>
            </w:pPr>
            <w:r w:rsidRPr="00B32DD7">
              <w:rPr>
                <w:rFonts w:eastAsia="Times New Roman" w:cstheme="minorHAnsi"/>
                <w:b/>
                <w:bCs/>
                <w:color w:val="FFFFFF"/>
                <w:lang w:eastAsia="tr-TR"/>
              </w:rPr>
              <w:t>Dönem Sonu Yürürlükteki Lisans Sayısı</w:t>
            </w:r>
          </w:p>
        </w:tc>
      </w:tr>
      <w:tr w:rsidR="006836C6" w:rsidRPr="00B32DD7" w:rsidTr="00AE38A1">
        <w:trPr>
          <w:trHeight w:val="283"/>
        </w:trPr>
        <w:tc>
          <w:tcPr>
            <w:tcW w:w="794" w:type="pct"/>
            <w:shd w:val="clear" w:color="auto" w:fill="auto"/>
          </w:tcPr>
          <w:p w:rsidR="006836C6" w:rsidRPr="00B32DD7" w:rsidRDefault="006836C6" w:rsidP="006836C6">
            <w:pPr>
              <w:spacing w:after="0" w:line="240" w:lineRule="auto"/>
              <w:jc w:val="left"/>
              <w:rPr>
                <w:rFonts w:eastAsia="Times New Roman" w:cstheme="minorHAnsi"/>
                <w:color w:val="000000"/>
                <w:lang w:eastAsia="tr-TR"/>
              </w:rPr>
            </w:pPr>
            <w:r w:rsidRPr="00B32DD7">
              <w:rPr>
                <w:rFonts w:cstheme="minorHAnsi"/>
                <w:color w:val="000000"/>
              </w:rPr>
              <w:t>LPG Dağıtıcı Lisansı</w:t>
            </w:r>
          </w:p>
        </w:tc>
        <w:tc>
          <w:tcPr>
            <w:tcW w:w="547" w:type="pct"/>
            <w:shd w:val="clear" w:color="auto" w:fill="auto"/>
          </w:tcPr>
          <w:p w:rsidR="006836C6" w:rsidRPr="008F1742" w:rsidRDefault="006836C6" w:rsidP="006836C6">
            <w:pPr>
              <w:spacing w:after="0" w:line="240" w:lineRule="auto"/>
              <w:jc w:val="right"/>
              <w:rPr>
                <w:rFonts w:eastAsia="Times New Roman" w:cstheme="minorHAnsi"/>
                <w:color w:val="000000"/>
                <w:lang w:eastAsia="tr-TR"/>
              </w:rPr>
            </w:pPr>
            <w:r>
              <w:rPr>
                <w:rFonts w:ascii="Calibri"/>
                <w:w w:val="95"/>
              </w:rPr>
              <w:t>5</w:t>
            </w:r>
          </w:p>
        </w:tc>
        <w:tc>
          <w:tcPr>
            <w:tcW w:w="543" w:type="pct"/>
            <w:shd w:val="clear" w:color="auto" w:fill="auto"/>
          </w:tcPr>
          <w:p w:rsidR="006836C6" w:rsidRPr="008F1742" w:rsidRDefault="006836C6" w:rsidP="006836C6">
            <w:pPr>
              <w:spacing w:after="0" w:line="240" w:lineRule="auto"/>
              <w:jc w:val="right"/>
              <w:rPr>
                <w:rFonts w:eastAsia="Times New Roman" w:cstheme="minorHAnsi"/>
                <w:color w:val="000000"/>
                <w:lang w:eastAsia="tr-TR"/>
              </w:rPr>
            </w:pPr>
            <w:r>
              <w:rPr>
                <w:rFonts w:ascii="Calibri"/>
                <w:w w:val="95"/>
              </w:rPr>
              <w:t>4</w:t>
            </w:r>
          </w:p>
        </w:tc>
        <w:tc>
          <w:tcPr>
            <w:tcW w:w="837" w:type="pct"/>
            <w:shd w:val="clear" w:color="auto" w:fill="auto"/>
          </w:tcPr>
          <w:p w:rsidR="006836C6" w:rsidRPr="008F1742" w:rsidRDefault="006836C6" w:rsidP="006836C6">
            <w:pPr>
              <w:spacing w:after="0" w:line="240" w:lineRule="auto"/>
              <w:jc w:val="right"/>
              <w:rPr>
                <w:rFonts w:eastAsia="Times New Roman" w:cstheme="minorHAnsi"/>
                <w:color w:val="000000"/>
                <w:lang w:eastAsia="tr-TR"/>
              </w:rPr>
            </w:pPr>
            <w:r>
              <w:rPr>
                <w:rFonts w:ascii="Calibri"/>
                <w:w w:val="95"/>
              </w:rPr>
              <w:t>11</w:t>
            </w:r>
          </w:p>
        </w:tc>
        <w:tc>
          <w:tcPr>
            <w:tcW w:w="545" w:type="pct"/>
            <w:shd w:val="clear" w:color="auto" w:fill="auto"/>
          </w:tcPr>
          <w:p w:rsidR="006836C6" w:rsidRPr="008F1742" w:rsidRDefault="006836C6" w:rsidP="006836C6">
            <w:pPr>
              <w:spacing w:after="0" w:line="240" w:lineRule="auto"/>
              <w:jc w:val="right"/>
              <w:rPr>
                <w:rFonts w:eastAsia="Times New Roman" w:cstheme="minorHAnsi"/>
                <w:color w:val="000000"/>
                <w:lang w:eastAsia="tr-TR"/>
              </w:rPr>
            </w:pPr>
            <w:r>
              <w:rPr>
                <w:rFonts w:ascii="Calibri"/>
                <w:w w:val="95"/>
              </w:rPr>
              <w:t>1</w:t>
            </w:r>
          </w:p>
        </w:tc>
        <w:tc>
          <w:tcPr>
            <w:tcW w:w="546" w:type="pct"/>
            <w:shd w:val="clear" w:color="auto" w:fill="auto"/>
          </w:tcPr>
          <w:p w:rsidR="006836C6" w:rsidRPr="008F1742" w:rsidRDefault="006836C6" w:rsidP="006836C6">
            <w:pPr>
              <w:spacing w:after="0" w:line="240" w:lineRule="auto"/>
              <w:jc w:val="right"/>
              <w:rPr>
                <w:rFonts w:eastAsia="Times New Roman" w:cstheme="minorHAnsi"/>
                <w:color w:val="000000"/>
                <w:lang w:eastAsia="tr-TR"/>
              </w:rPr>
            </w:pPr>
            <w:r>
              <w:rPr>
                <w:rFonts w:ascii="Calibri"/>
                <w:w w:val="95"/>
              </w:rPr>
              <w:t>21</w:t>
            </w:r>
          </w:p>
        </w:tc>
        <w:tc>
          <w:tcPr>
            <w:tcW w:w="546" w:type="pct"/>
            <w:shd w:val="clear" w:color="auto" w:fill="auto"/>
          </w:tcPr>
          <w:p w:rsidR="006836C6" w:rsidRPr="008F1742" w:rsidRDefault="006836C6" w:rsidP="006836C6">
            <w:pPr>
              <w:spacing w:after="0" w:line="240" w:lineRule="auto"/>
              <w:jc w:val="right"/>
              <w:rPr>
                <w:rFonts w:eastAsia="Times New Roman" w:cstheme="minorHAnsi"/>
                <w:color w:val="000000"/>
                <w:lang w:eastAsia="tr-TR"/>
              </w:rPr>
            </w:pPr>
            <w:r>
              <w:rPr>
                <w:rFonts w:ascii="Calibri" w:hAnsi="Calibri" w:cs="Calibri"/>
              </w:rPr>
              <w:t>45</w:t>
            </w:r>
          </w:p>
        </w:tc>
        <w:tc>
          <w:tcPr>
            <w:tcW w:w="642" w:type="pct"/>
            <w:shd w:val="clear" w:color="auto" w:fill="auto"/>
          </w:tcPr>
          <w:p w:rsidR="006836C6" w:rsidRPr="008F1742" w:rsidRDefault="006836C6" w:rsidP="006836C6">
            <w:pPr>
              <w:spacing w:after="0" w:line="240" w:lineRule="auto"/>
              <w:jc w:val="right"/>
              <w:rPr>
                <w:rFonts w:eastAsia="Times New Roman" w:cstheme="minorHAnsi"/>
                <w:b/>
                <w:bCs/>
                <w:color w:val="000000"/>
                <w:lang w:eastAsia="tr-TR"/>
              </w:rPr>
            </w:pPr>
            <w:r>
              <w:rPr>
                <w:rFonts w:ascii="Calibri"/>
                <w:w w:val="95"/>
              </w:rPr>
              <w:t>80</w:t>
            </w:r>
          </w:p>
        </w:tc>
      </w:tr>
      <w:tr w:rsidR="006836C6" w:rsidRPr="00B32DD7" w:rsidTr="00AE38A1">
        <w:trPr>
          <w:trHeight w:val="283"/>
        </w:trPr>
        <w:tc>
          <w:tcPr>
            <w:tcW w:w="794" w:type="pct"/>
            <w:shd w:val="clear" w:color="auto" w:fill="auto"/>
          </w:tcPr>
          <w:p w:rsidR="006836C6" w:rsidRPr="00B32DD7" w:rsidRDefault="006836C6" w:rsidP="006836C6">
            <w:pPr>
              <w:spacing w:after="0" w:line="240" w:lineRule="auto"/>
              <w:jc w:val="left"/>
              <w:rPr>
                <w:rFonts w:eastAsia="Times New Roman" w:cstheme="minorHAnsi"/>
                <w:color w:val="000000"/>
                <w:lang w:eastAsia="tr-TR"/>
              </w:rPr>
            </w:pPr>
            <w:r w:rsidRPr="00B32DD7">
              <w:rPr>
                <w:rFonts w:cstheme="minorHAnsi"/>
                <w:color w:val="000000"/>
              </w:rPr>
              <w:t>LPG Depolama Lisansı</w:t>
            </w:r>
          </w:p>
        </w:tc>
        <w:tc>
          <w:tcPr>
            <w:tcW w:w="547" w:type="pct"/>
            <w:shd w:val="clear" w:color="auto" w:fill="auto"/>
          </w:tcPr>
          <w:p w:rsidR="006836C6" w:rsidRPr="008F1742" w:rsidRDefault="006836C6" w:rsidP="006836C6">
            <w:pPr>
              <w:spacing w:after="0" w:line="240" w:lineRule="auto"/>
              <w:jc w:val="right"/>
              <w:rPr>
                <w:rFonts w:eastAsia="Times New Roman" w:cstheme="minorHAnsi"/>
                <w:color w:val="000000"/>
                <w:lang w:eastAsia="tr-TR"/>
              </w:rPr>
            </w:pPr>
            <w:r>
              <w:rPr>
                <w:rFonts w:ascii="Calibri"/>
                <w:w w:val="95"/>
              </w:rPr>
              <w:t>5</w:t>
            </w:r>
          </w:p>
        </w:tc>
        <w:tc>
          <w:tcPr>
            <w:tcW w:w="543" w:type="pct"/>
            <w:shd w:val="clear" w:color="auto" w:fill="auto"/>
          </w:tcPr>
          <w:p w:rsidR="006836C6" w:rsidRPr="008F1742" w:rsidRDefault="006836C6" w:rsidP="006836C6">
            <w:pPr>
              <w:spacing w:after="0" w:line="240" w:lineRule="auto"/>
              <w:jc w:val="right"/>
              <w:rPr>
                <w:rFonts w:eastAsia="Times New Roman" w:cstheme="minorHAnsi"/>
                <w:color w:val="000000"/>
                <w:lang w:eastAsia="tr-TR"/>
              </w:rPr>
            </w:pPr>
            <w:r>
              <w:rPr>
                <w:rFonts w:ascii="Calibri"/>
                <w:w w:val="95"/>
              </w:rPr>
              <w:t>5</w:t>
            </w:r>
          </w:p>
        </w:tc>
        <w:tc>
          <w:tcPr>
            <w:tcW w:w="837" w:type="pct"/>
            <w:shd w:val="clear" w:color="auto" w:fill="auto"/>
          </w:tcPr>
          <w:p w:rsidR="006836C6" w:rsidRPr="008F1742" w:rsidRDefault="006836C6" w:rsidP="006836C6">
            <w:pPr>
              <w:spacing w:after="0" w:line="240" w:lineRule="auto"/>
              <w:jc w:val="right"/>
              <w:rPr>
                <w:rFonts w:eastAsia="Times New Roman" w:cstheme="minorHAnsi"/>
                <w:color w:val="000000"/>
                <w:lang w:eastAsia="tr-TR"/>
              </w:rPr>
            </w:pPr>
            <w:r>
              <w:rPr>
                <w:rFonts w:ascii="Calibri"/>
                <w:w w:val="95"/>
              </w:rPr>
              <w:t>4</w:t>
            </w:r>
          </w:p>
        </w:tc>
        <w:tc>
          <w:tcPr>
            <w:tcW w:w="545" w:type="pct"/>
            <w:shd w:val="clear" w:color="auto" w:fill="auto"/>
          </w:tcPr>
          <w:p w:rsidR="006836C6" w:rsidRPr="008F1742" w:rsidRDefault="006836C6" w:rsidP="006836C6">
            <w:pPr>
              <w:spacing w:after="0" w:line="240" w:lineRule="auto"/>
              <w:jc w:val="right"/>
              <w:rPr>
                <w:rFonts w:eastAsia="Times New Roman" w:cstheme="minorHAnsi"/>
                <w:color w:val="000000"/>
                <w:lang w:eastAsia="tr-TR"/>
              </w:rPr>
            </w:pPr>
            <w:r>
              <w:rPr>
                <w:rFonts w:ascii="Calibri"/>
                <w:w w:val="95"/>
              </w:rPr>
              <w:t>0</w:t>
            </w:r>
          </w:p>
        </w:tc>
        <w:tc>
          <w:tcPr>
            <w:tcW w:w="546" w:type="pct"/>
            <w:shd w:val="clear" w:color="auto" w:fill="auto"/>
          </w:tcPr>
          <w:p w:rsidR="006836C6" w:rsidRPr="008F1742" w:rsidRDefault="006836C6" w:rsidP="006836C6">
            <w:pPr>
              <w:spacing w:after="0" w:line="240" w:lineRule="auto"/>
              <w:jc w:val="right"/>
              <w:rPr>
                <w:rFonts w:eastAsia="Times New Roman" w:cstheme="minorHAnsi"/>
                <w:color w:val="000000"/>
                <w:lang w:eastAsia="tr-TR"/>
              </w:rPr>
            </w:pPr>
            <w:r>
              <w:rPr>
                <w:rFonts w:ascii="Calibri"/>
                <w:w w:val="95"/>
              </w:rPr>
              <w:t>29</w:t>
            </w:r>
          </w:p>
        </w:tc>
        <w:tc>
          <w:tcPr>
            <w:tcW w:w="546" w:type="pct"/>
            <w:shd w:val="clear" w:color="auto" w:fill="auto"/>
          </w:tcPr>
          <w:p w:rsidR="006836C6" w:rsidRPr="008F1742" w:rsidRDefault="006836C6" w:rsidP="006836C6">
            <w:pPr>
              <w:spacing w:after="0" w:line="240" w:lineRule="auto"/>
              <w:jc w:val="right"/>
              <w:rPr>
                <w:rFonts w:eastAsia="Times New Roman" w:cstheme="minorHAnsi"/>
                <w:color w:val="000000"/>
                <w:lang w:eastAsia="tr-TR"/>
              </w:rPr>
            </w:pPr>
            <w:r>
              <w:rPr>
                <w:rFonts w:ascii="Calibri"/>
                <w:w w:val="95"/>
              </w:rPr>
              <w:t>43</w:t>
            </w:r>
          </w:p>
        </w:tc>
        <w:tc>
          <w:tcPr>
            <w:tcW w:w="642" w:type="pct"/>
            <w:shd w:val="clear" w:color="auto" w:fill="auto"/>
          </w:tcPr>
          <w:p w:rsidR="006836C6" w:rsidRPr="008F1742" w:rsidRDefault="006836C6" w:rsidP="006836C6">
            <w:pPr>
              <w:spacing w:after="0" w:line="240" w:lineRule="auto"/>
              <w:jc w:val="right"/>
              <w:rPr>
                <w:rFonts w:eastAsia="Times New Roman" w:cstheme="minorHAnsi"/>
                <w:b/>
                <w:bCs/>
                <w:color w:val="000000"/>
                <w:lang w:eastAsia="tr-TR"/>
              </w:rPr>
            </w:pPr>
            <w:r>
              <w:rPr>
                <w:rFonts w:ascii="Calibri"/>
                <w:w w:val="95"/>
              </w:rPr>
              <w:t>99</w:t>
            </w:r>
          </w:p>
        </w:tc>
      </w:tr>
      <w:tr w:rsidR="006836C6" w:rsidRPr="00B32DD7" w:rsidTr="00AE38A1">
        <w:trPr>
          <w:trHeight w:val="283"/>
        </w:trPr>
        <w:tc>
          <w:tcPr>
            <w:tcW w:w="794" w:type="pct"/>
            <w:shd w:val="clear" w:color="auto" w:fill="auto"/>
          </w:tcPr>
          <w:p w:rsidR="006836C6" w:rsidRPr="00B32DD7" w:rsidRDefault="006836C6" w:rsidP="006836C6">
            <w:pPr>
              <w:spacing w:after="0" w:line="240" w:lineRule="auto"/>
              <w:jc w:val="left"/>
              <w:rPr>
                <w:rFonts w:eastAsia="Times New Roman" w:cstheme="minorHAnsi"/>
                <w:color w:val="000000"/>
                <w:lang w:eastAsia="tr-TR"/>
              </w:rPr>
            </w:pPr>
            <w:r w:rsidRPr="00B32DD7">
              <w:rPr>
                <w:rFonts w:cstheme="minorHAnsi"/>
                <w:color w:val="000000"/>
              </w:rPr>
              <w:t>LPG Otogaz Bayilik Lisansı</w:t>
            </w:r>
          </w:p>
        </w:tc>
        <w:tc>
          <w:tcPr>
            <w:tcW w:w="547" w:type="pct"/>
            <w:shd w:val="clear" w:color="auto" w:fill="auto"/>
          </w:tcPr>
          <w:p w:rsidR="006836C6" w:rsidRPr="008F1742" w:rsidRDefault="006836C6" w:rsidP="006836C6">
            <w:pPr>
              <w:spacing w:after="0" w:line="240" w:lineRule="auto"/>
              <w:jc w:val="right"/>
              <w:rPr>
                <w:rFonts w:eastAsia="Times New Roman" w:cstheme="minorHAnsi"/>
                <w:color w:val="000000"/>
                <w:lang w:eastAsia="tr-TR"/>
              </w:rPr>
            </w:pPr>
            <w:r>
              <w:rPr>
                <w:rFonts w:ascii="Calibri"/>
              </w:rPr>
              <w:t>690</w:t>
            </w:r>
          </w:p>
        </w:tc>
        <w:tc>
          <w:tcPr>
            <w:tcW w:w="543" w:type="pct"/>
            <w:shd w:val="clear" w:color="auto" w:fill="auto"/>
          </w:tcPr>
          <w:p w:rsidR="006836C6" w:rsidRPr="008F1742" w:rsidRDefault="006836C6" w:rsidP="006836C6">
            <w:pPr>
              <w:spacing w:after="0" w:line="240" w:lineRule="auto"/>
              <w:jc w:val="right"/>
              <w:rPr>
                <w:rFonts w:eastAsia="Times New Roman" w:cstheme="minorHAnsi"/>
                <w:color w:val="000000"/>
                <w:lang w:eastAsia="tr-TR"/>
              </w:rPr>
            </w:pPr>
            <w:r>
              <w:rPr>
                <w:rFonts w:ascii="Calibri"/>
              </w:rPr>
              <w:t>664</w:t>
            </w:r>
          </w:p>
        </w:tc>
        <w:tc>
          <w:tcPr>
            <w:tcW w:w="837" w:type="pct"/>
            <w:shd w:val="clear" w:color="auto" w:fill="auto"/>
          </w:tcPr>
          <w:p w:rsidR="006836C6" w:rsidRPr="008F1742" w:rsidRDefault="006836C6" w:rsidP="006836C6">
            <w:pPr>
              <w:spacing w:after="0" w:line="240" w:lineRule="auto"/>
              <w:jc w:val="right"/>
              <w:rPr>
                <w:rFonts w:eastAsia="Times New Roman" w:cstheme="minorHAnsi"/>
                <w:color w:val="000000"/>
                <w:lang w:eastAsia="tr-TR"/>
              </w:rPr>
            </w:pPr>
            <w:r>
              <w:rPr>
                <w:rFonts w:ascii="Calibri"/>
                <w:w w:val="95"/>
              </w:rPr>
              <w:t>378</w:t>
            </w:r>
          </w:p>
        </w:tc>
        <w:tc>
          <w:tcPr>
            <w:tcW w:w="545" w:type="pct"/>
            <w:shd w:val="clear" w:color="auto" w:fill="auto"/>
          </w:tcPr>
          <w:p w:rsidR="006836C6" w:rsidRPr="008F1742" w:rsidRDefault="006836C6" w:rsidP="006836C6">
            <w:pPr>
              <w:spacing w:after="0" w:line="240" w:lineRule="auto"/>
              <w:jc w:val="right"/>
              <w:rPr>
                <w:rFonts w:eastAsia="Times New Roman" w:cstheme="minorHAnsi"/>
                <w:color w:val="000000"/>
                <w:lang w:eastAsia="tr-TR"/>
              </w:rPr>
            </w:pPr>
            <w:r>
              <w:rPr>
                <w:rFonts w:ascii="Calibri" w:hAnsi="Calibri" w:cs="Calibri"/>
              </w:rPr>
              <w:t>1</w:t>
            </w:r>
          </w:p>
        </w:tc>
        <w:tc>
          <w:tcPr>
            <w:tcW w:w="546" w:type="pct"/>
            <w:shd w:val="clear" w:color="auto" w:fill="auto"/>
          </w:tcPr>
          <w:p w:rsidR="006836C6" w:rsidRPr="008F1742" w:rsidRDefault="006836C6" w:rsidP="006836C6">
            <w:pPr>
              <w:spacing w:after="0" w:line="240" w:lineRule="auto"/>
              <w:jc w:val="right"/>
              <w:rPr>
                <w:rFonts w:eastAsia="Times New Roman" w:cstheme="minorHAnsi"/>
                <w:color w:val="000000"/>
                <w:lang w:eastAsia="tr-TR"/>
              </w:rPr>
            </w:pPr>
            <w:r>
              <w:rPr>
                <w:rFonts w:ascii="Calibri"/>
              </w:rPr>
              <w:t>790</w:t>
            </w:r>
          </w:p>
        </w:tc>
        <w:tc>
          <w:tcPr>
            <w:tcW w:w="546" w:type="pct"/>
            <w:shd w:val="clear" w:color="auto" w:fill="auto"/>
          </w:tcPr>
          <w:p w:rsidR="006836C6" w:rsidRPr="008F1742" w:rsidRDefault="006836C6" w:rsidP="006836C6">
            <w:pPr>
              <w:spacing w:after="0" w:line="240" w:lineRule="auto"/>
              <w:jc w:val="right"/>
              <w:rPr>
                <w:rFonts w:eastAsia="Times New Roman" w:cstheme="minorHAnsi"/>
                <w:color w:val="000000"/>
                <w:lang w:eastAsia="tr-TR"/>
              </w:rPr>
            </w:pPr>
            <w:r>
              <w:rPr>
                <w:rFonts w:ascii="Calibri"/>
              </w:rPr>
              <w:t>2.953</w:t>
            </w:r>
          </w:p>
        </w:tc>
        <w:tc>
          <w:tcPr>
            <w:tcW w:w="642" w:type="pct"/>
            <w:shd w:val="clear" w:color="auto" w:fill="auto"/>
          </w:tcPr>
          <w:p w:rsidR="006836C6" w:rsidRPr="008F1742" w:rsidRDefault="006836C6" w:rsidP="006836C6">
            <w:pPr>
              <w:spacing w:after="0" w:line="240" w:lineRule="auto"/>
              <w:jc w:val="right"/>
              <w:rPr>
                <w:rFonts w:eastAsia="Times New Roman" w:cstheme="minorHAnsi"/>
                <w:b/>
                <w:bCs/>
                <w:color w:val="000000"/>
                <w:lang w:eastAsia="tr-TR"/>
              </w:rPr>
            </w:pPr>
            <w:r w:rsidRPr="0009223A">
              <w:rPr>
                <w:rFonts w:ascii="Calibri"/>
                <w:w w:val="95"/>
              </w:rPr>
              <w:t>1</w:t>
            </w:r>
            <w:r>
              <w:rPr>
                <w:rFonts w:ascii="Calibri"/>
                <w:w w:val="95"/>
              </w:rPr>
              <w:t>0</w:t>
            </w:r>
            <w:r w:rsidRPr="0009223A">
              <w:rPr>
                <w:rFonts w:ascii="Calibri"/>
                <w:w w:val="95"/>
              </w:rPr>
              <w:t>.</w:t>
            </w:r>
            <w:r>
              <w:rPr>
                <w:rFonts w:ascii="Calibri"/>
                <w:w w:val="95"/>
              </w:rPr>
              <w:t>948</w:t>
            </w:r>
          </w:p>
        </w:tc>
      </w:tr>
      <w:tr w:rsidR="006836C6" w:rsidRPr="00B32DD7" w:rsidTr="00AE38A1">
        <w:trPr>
          <w:trHeight w:val="283"/>
        </w:trPr>
        <w:tc>
          <w:tcPr>
            <w:tcW w:w="794" w:type="pct"/>
            <w:shd w:val="clear" w:color="auto" w:fill="auto"/>
          </w:tcPr>
          <w:p w:rsidR="006836C6" w:rsidRPr="00B32DD7" w:rsidRDefault="006836C6" w:rsidP="006836C6">
            <w:pPr>
              <w:spacing w:after="0" w:line="240" w:lineRule="auto"/>
              <w:jc w:val="left"/>
              <w:rPr>
                <w:rFonts w:eastAsia="Times New Roman" w:cstheme="minorHAnsi"/>
                <w:color w:val="000000"/>
                <w:lang w:eastAsia="tr-TR"/>
              </w:rPr>
            </w:pPr>
            <w:r w:rsidRPr="00B32DD7">
              <w:rPr>
                <w:rFonts w:cstheme="minorHAnsi"/>
                <w:color w:val="000000"/>
              </w:rPr>
              <w:t>LPG Taşıma Lisansı</w:t>
            </w:r>
          </w:p>
        </w:tc>
        <w:tc>
          <w:tcPr>
            <w:tcW w:w="547" w:type="pct"/>
            <w:shd w:val="clear" w:color="auto" w:fill="auto"/>
          </w:tcPr>
          <w:p w:rsidR="006836C6" w:rsidRPr="008F1742" w:rsidRDefault="006836C6" w:rsidP="006836C6">
            <w:pPr>
              <w:spacing w:after="0" w:line="240" w:lineRule="auto"/>
              <w:jc w:val="right"/>
              <w:rPr>
                <w:rFonts w:eastAsia="Times New Roman" w:cstheme="minorHAnsi"/>
                <w:color w:val="000000"/>
                <w:lang w:eastAsia="tr-TR"/>
              </w:rPr>
            </w:pPr>
            <w:r>
              <w:rPr>
                <w:rFonts w:ascii="Calibri"/>
                <w:w w:val="95"/>
              </w:rPr>
              <w:t>4</w:t>
            </w:r>
          </w:p>
        </w:tc>
        <w:tc>
          <w:tcPr>
            <w:tcW w:w="543" w:type="pct"/>
            <w:shd w:val="clear" w:color="auto" w:fill="auto"/>
          </w:tcPr>
          <w:p w:rsidR="006836C6" w:rsidRPr="008F1742" w:rsidRDefault="006836C6" w:rsidP="006836C6">
            <w:pPr>
              <w:spacing w:after="0" w:line="240" w:lineRule="auto"/>
              <w:jc w:val="right"/>
              <w:rPr>
                <w:rFonts w:eastAsia="Times New Roman" w:cstheme="minorHAnsi"/>
                <w:color w:val="000000"/>
                <w:lang w:eastAsia="tr-TR"/>
              </w:rPr>
            </w:pPr>
            <w:r>
              <w:rPr>
                <w:rFonts w:ascii="Calibri"/>
                <w:w w:val="95"/>
              </w:rPr>
              <w:t>3</w:t>
            </w:r>
          </w:p>
        </w:tc>
        <w:tc>
          <w:tcPr>
            <w:tcW w:w="837" w:type="pct"/>
            <w:shd w:val="clear" w:color="auto" w:fill="auto"/>
          </w:tcPr>
          <w:p w:rsidR="006836C6" w:rsidRPr="008F1742" w:rsidRDefault="006836C6" w:rsidP="006836C6">
            <w:pPr>
              <w:spacing w:after="0" w:line="240" w:lineRule="auto"/>
              <w:jc w:val="right"/>
              <w:rPr>
                <w:rFonts w:eastAsia="Times New Roman" w:cstheme="minorHAnsi"/>
                <w:color w:val="000000"/>
                <w:lang w:eastAsia="tr-TR"/>
              </w:rPr>
            </w:pPr>
            <w:r>
              <w:rPr>
                <w:rFonts w:ascii="Calibri"/>
                <w:w w:val="95"/>
              </w:rPr>
              <w:t>4</w:t>
            </w:r>
          </w:p>
        </w:tc>
        <w:tc>
          <w:tcPr>
            <w:tcW w:w="545" w:type="pct"/>
            <w:shd w:val="clear" w:color="auto" w:fill="auto"/>
          </w:tcPr>
          <w:p w:rsidR="006836C6" w:rsidRPr="008F1742" w:rsidRDefault="006836C6" w:rsidP="006836C6">
            <w:pPr>
              <w:spacing w:after="0" w:line="240" w:lineRule="auto"/>
              <w:jc w:val="right"/>
              <w:rPr>
                <w:rFonts w:eastAsia="Times New Roman" w:cstheme="minorHAnsi"/>
                <w:color w:val="000000"/>
                <w:lang w:eastAsia="tr-TR"/>
              </w:rPr>
            </w:pPr>
            <w:r>
              <w:rPr>
                <w:rFonts w:ascii="Calibri"/>
                <w:w w:val="95"/>
              </w:rPr>
              <w:t>0</w:t>
            </w:r>
          </w:p>
        </w:tc>
        <w:tc>
          <w:tcPr>
            <w:tcW w:w="546" w:type="pct"/>
            <w:shd w:val="clear" w:color="auto" w:fill="auto"/>
          </w:tcPr>
          <w:p w:rsidR="006836C6" w:rsidRPr="008F1742" w:rsidRDefault="006836C6" w:rsidP="006836C6">
            <w:pPr>
              <w:spacing w:after="0" w:line="240" w:lineRule="auto"/>
              <w:jc w:val="right"/>
              <w:rPr>
                <w:rFonts w:eastAsia="Times New Roman" w:cstheme="minorHAnsi"/>
                <w:color w:val="000000"/>
                <w:lang w:eastAsia="tr-TR"/>
              </w:rPr>
            </w:pPr>
            <w:r>
              <w:rPr>
                <w:rFonts w:ascii="Calibri"/>
                <w:w w:val="95"/>
              </w:rPr>
              <w:t>19</w:t>
            </w:r>
          </w:p>
        </w:tc>
        <w:tc>
          <w:tcPr>
            <w:tcW w:w="546" w:type="pct"/>
            <w:shd w:val="clear" w:color="auto" w:fill="auto"/>
          </w:tcPr>
          <w:p w:rsidR="006836C6" w:rsidRPr="008F1742" w:rsidRDefault="006836C6" w:rsidP="006836C6">
            <w:pPr>
              <w:spacing w:after="0" w:line="240" w:lineRule="auto"/>
              <w:jc w:val="right"/>
              <w:rPr>
                <w:rFonts w:eastAsia="Times New Roman" w:cstheme="minorHAnsi"/>
                <w:color w:val="000000"/>
                <w:lang w:eastAsia="tr-TR"/>
              </w:rPr>
            </w:pPr>
            <w:r>
              <w:rPr>
                <w:rFonts w:ascii="Calibri"/>
                <w:w w:val="95"/>
              </w:rPr>
              <w:t>37</w:t>
            </w:r>
          </w:p>
        </w:tc>
        <w:tc>
          <w:tcPr>
            <w:tcW w:w="642" w:type="pct"/>
            <w:shd w:val="clear" w:color="auto" w:fill="auto"/>
          </w:tcPr>
          <w:p w:rsidR="006836C6" w:rsidRPr="008F1742" w:rsidRDefault="006836C6" w:rsidP="006836C6">
            <w:pPr>
              <w:spacing w:after="0" w:line="240" w:lineRule="auto"/>
              <w:jc w:val="right"/>
              <w:rPr>
                <w:rFonts w:eastAsia="Times New Roman" w:cstheme="minorHAnsi"/>
                <w:b/>
                <w:bCs/>
                <w:color w:val="000000"/>
                <w:lang w:eastAsia="tr-TR"/>
              </w:rPr>
            </w:pPr>
            <w:r>
              <w:rPr>
                <w:rFonts w:ascii="Calibri"/>
                <w:w w:val="95"/>
              </w:rPr>
              <w:t>42</w:t>
            </w:r>
          </w:p>
        </w:tc>
      </w:tr>
      <w:tr w:rsidR="006836C6" w:rsidRPr="00B32DD7" w:rsidTr="00AE38A1">
        <w:trPr>
          <w:trHeight w:val="283"/>
        </w:trPr>
        <w:tc>
          <w:tcPr>
            <w:tcW w:w="794" w:type="pct"/>
            <w:shd w:val="clear" w:color="auto" w:fill="auto"/>
          </w:tcPr>
          <w:p w:rsidR="006836C6" w:rsidRPr="00B32DD7" w:rsidRDefault="006836C6" w:rsidP="006836C6">
            <w:pPr>
              <w:spacing w:after="0" w:line="240" w:lineRule="auto"/>
              <w:jc w:val="left"/>
              <w:rPr>
                <w:rFonts w:eastAsia="Times New Roman" w:cstheme="minorHAnsi"/>
                <w:color w:val="000000"/>
                <w:lang w:eastAsia="tr-TR"/>
              </w:rPr>
            </w:pPr>
            <w:r w:rsidRPr="00B32DD7">
              <w:rPr>
                <w:rFonts w:cstheme="minorHAnsi"/>
                <w:color w:val="000000"/>
              </w:rPr>
              <w:t>LPG Tüpü İmalatı Lisansı</w:t>
            </w:r>
          </w:p>
        </w:tc>
        <w:tc>
          <w:tcPr>
            <w:tcW w:w="547" w:type="pct"/>
            <w:shd w:val="clear" w:color="auto" w:fill="auto"/>
          </w:tcPr>
          <w:p w:rsidR="006836C6" w:rsidRPr="008F1742" w:rsidRDefault="006836C6" w:rsidP="006836C6">
            <w:pPr>
              <w:spacing w:after="0" w:line="240" w:lineRule="auto"/>
              <w:jc w:val="right"/>
              <w:rPr>
                <w:rFonts w:eastAsia="Times New Roman" w:cstheme="minorHAnsi"/>
                <w:color w:val="000000"/>
                <w:lang w:eastAsia="tr-TR"/>
              </w:rPr>
            </w:pPr>
            <w:r>
              <w:rPr>
                <w:rFonts w:ascii="Calibri"/>
                <w:w w:val="95"/>
              </w:rPr>
              <w:t>1</w:t>
            </w:r>
          </w:p>
        </w:tc>
        <w:tc>
          <w:tcPr>
            <w:tcW w:w="543" w:type="pct"/>
            <w:shd w:val="clear" w:color="auto" w:fill="auto"/>
          </w:tcPr>
          <w:p w:rsidR="006836C6" w:rsidRPr="008F1742" w:rsidRDefault="006836C6" w:rsidP="006836C6">
            <w:pPr>
              <w:spacing w:after="0" w:line="240" w:lineRule="auto"/>
              <w:jc w:val="right"/>
              <w:rPr>
                <w:rFonts w:eastAsia="Times New Roman" w:cstheme="minorHAnsi"/>
                <w:color w:val="000000"/>
                <w:lang w:eastAsia="tr-TR"/>
              </w:rPr>
            </w:pPr>
            <w:r>
              <w:rPr>
                <w:rFonts w:ascii="Calibri"/>
                <w:w w:val="95"/>
              </w:rPr>
              <w:t>1</w:t>
            </w:r>
          </w:p>
        </w:tc>
        <w:tc>
          <w:tcPr>
            <w:tcW w:w="837" w:type="pct"/>
            <w:shd w:val="clear" w:color="auto" w:fill="auto"/>
          </w:tcPr>
          <w:p w:rsidR="006836C6" w:rsidRPr="008F1742" w:rsidRDefault="006836C6" w:rsidP="006836C6">
            <w:pPr>
              <w:spacing w:after="0" w:line="240" w:lineRule="auto"/>
              <w:jc w:val="right"/>
              <w:rPr>
                <w:rFonts w:eastAsia="Times New Roman" w:cstheme="minorHAnsi"/>
                <w:color w:val="000000"/>
                <w:lang w:eastAsia="tr-TR"/>
              </w:rPr>
            </w:pPr>
            <w:r>
              <w:rPr>
                <w:rFonts w:ascii="Calibri"/>
                <w:w w:val="95"/>
              </w:rPr>
              <w:t>0</w:t>
            </w:r>
          </w:p>
        </w:tc>
        <w:tc>
          <w:tcPr>
            <w:tcW w:w="545" w:type="pct"/>
            <w:shd w:val="clear" w:color="auto" w:fill="auto"/>
          </w:tcPr>
          <w:p w:rsidR="006836C6" w:rsidRPr="008F1742" w:rsidRDefault="006836C6" w:rsidP="006836C6">
            <w:pPr>
              <w:spacing w:after="0" w:line="240" w:lineRule="auto"/>
              <w:jc w:val="right"/>
              <w:rPr>
                <w:rFonts w:eastAsia="Times New Roman" w:cstheme="minorHAnsi"/>
                <w:color w:val="000000"/>
                <w:lang w:eastAsia="tr-TR"/>
              </w:rPr>
            </w:pPr>
            <w:r>
              <w:rPr>
                <w:rFonts w:ascii="Calibri"/>
                <w:w w:val="95"/>
              </w:rPr>
              <w:t>0</w:t>
            </w:r>
          </w:p>
        </w:tc>
        <w:tc>
          <w:tcPr>
            <w:tcW w:w="546" w:type="pct"/>
            <w:shd w:val="clear" w:color="auto" w:fill="auto"/>
          </w:tcPr>
          <w:p w:rsidR="006836C6" w:rsidRPr="008F1742" w:rsidRDefault="006836C6" w:rsidP="006836C6">
            <w:pPr>
              <w:spacing w:after="0" w:line="240" w:lineRule="auto"/>
              <w:jc w:val="right"/>
              <w:rPr>
                <w:rFonts w:eastAsia="Times New Roman" w:cstheme="minorHAnsi"/>
                <w:color w:val="000000"/>
                <w:lang w:eastAsia="tr-TR"/>
              </w:rPr>
            </w:pPr>
            <w:r>
              <w:rPr>
                <w:rFonts w:ascii="Calibri"/>
                <w:w w:val="95"/>
              </w:rPr>
              <w:t>0</w:t>
            </w:r>
          </w:p>
        </w:tc>
        <w:tc>
          <w:tcPr>
            <w:tcW w:w="546" w:type="pct"/>
            <w:shd w:val="clear" w:color="auto" w:fill="auto"/>
          </w:tcPr>
          <w:p w:rsidR="006836C6" w:rsidRPr="008F1742" w:rsidRDefault="006836C6" w:rsidP="006836C6">
            <w:pPr>
              <w:spacing w:after="0" w:line="240" w:lineRule="auto"/>
              <w:jc w:val="right"/>
              <w:rPr>
                <w:rFonts w:eastAsia="Times New Roman" w:cstheme="minorHAnsi"/>
                <w:color w:val="000000"/>
                <w:lang w:eastAsia="tr-TR"/>
              </w:rPr>
            </w:pPr>
            <w:r>
              <w:rPr>
                <w:rFonts w:ascii="Calibri"/>
                <w:w w:val="95"/>
              </w:rPr>
              <w:t>2</w:t>
            </w:r>
          </w:p>
        </w:tc>
        <w:tc>
          <w:tcPr>
            <w:tcW w:w="642" w:type="pct"/>
            <w:shd w:val="clear" w:color="auto" w:fill="auto"/>
          </w:tcPr>
          <w:p w:rsidR="006836C6" w:rsidRPr="008F1742" w:rsidRDefault="006836C6" w:rsidP="006836C6">
            <w:pPr>
              <w:spacing w:after="0" w:line="240" w:lineRule="auto"/>
              <w:jc w:val="right"/>
              <w:rPr>
                <w:rFonts w:eastAsia="Times New Roman" w:cstheme="minorHAnsi"/>
                <w:b/>
                <w:bCs/>
                <w:color w:val="000000"/>
                <w:lang w:eastAsia="tr-TR"/>
              </w:rPr>
            </w:pPr>
            <w:r>
              <w:rPr>
                <w:rFonts w:ascii="Calibri"/>
                <w:w w:val="95"/>
              </w:rPr>
              <w:t>8</w:t>
            </w:r>
          </w:p>
        </w:tc>
      </w:tr>
      <w:tr w:rsidR="006836C6" w:rsidRPr="00B32DD7" w:rsidTr="00AE38A1">
        <w:trPr>
          <w:trHeight w:val="283"/>
        </w:trPr>
        <w:tc>
          <w:tcPr>
            <w:tcW w:w="794" w:type="pct"/>
            <w:shd w:val="clear" w:color="auto" w:fill="auto"/>
          </w:tcPr>
          <w:p w:rsidR="006836C6" w:rsidRPr="00B32DD7" w:rsidRDefault="006836C6" w:rsidP="006836C6">
            <w:pPr>
              <w:spacing w:after="0" w:line="240" w:lineRule="auto"/>
              <w:jc w:val="left"/>
              <w:rPr>
                <w:rFonts w:eastAsia="Times New Roman" w:cstheme="minorHAnsi"/>
                <w:color w:val="000000"/>
                <w:lang w:eastAsia="tr-TR"/>
              </w:rPr>
            </w:pPr>
            <w:r w:rsidRPr="00B32DD7">
              <w:rPr>
                <w:rFonts w:cstheme="minorHAnsi"/>
                <w:color w:val="000000"/>
              </w:rPr>
              <w:t>LPG Tüpü Muayenesi Tamiri Bakımı Lisansı</w:t>
            </w:r>
          </w:p>
        </w:tc>
        <w:tc>
          <w:tcPr>
            <w:tcW w:w="547" w:type="pct"/>
            <w:shd w:val="clear" w:color="auto" w:fill="auto"/>
          </w:tcPr>
          <w:p w:rsidR="006836C6" w:rsidRDefault="006836C6" w:rsidP="006836C6">
            <w:pPr>
              <w:pStyle w:val="TableParagraph"/>
              <w:rPr>
                <w:rFonts w:ascii="Calibri" w:eastAsia="Calibri" w:hAnsi="Calibri" w:cs="Calibri"/>
                <w:b/>
                <w:bCs/>
              </w:rPr>
            </w:pPr>
          </w:p>
          <w:p w:rsidR="006836C6" w:rsidRPr="008F1742" w:rsidRDefault="006836C6" w:rsidP="006836C6">
            <w:pPr>
              <w:spacing w:after="0" w:line="240" w:lineRule="auto"/>
              <w:jc w:val="right"/>
              <w:rPr>
                <w:rFonts w:eastAsia="Times New Roman" w:cstheme="minorHAnsi"/>
                <w:color w:val="000000"/>
                <w:lang w:eastAsia="tr-TR"/>
              </w:rPr>
            </w:pPr>
            <w:r>
              <w:rPr>
                <w:rFonts w:ascii="Calibri"/>
                <w:w w:val="95"/>
              </w:rPr>
              <w:t>1</w:t>
            </w:r>
          </w:p>
        </w:tc>
        <w:tc>
          <w:tcPr>
            <w:tcW w:w="543" w:type="pct"/>
            <w:shd w:val="clear" w:color="auto" w:fill="auto"/>
          </w:tcPr>
          <w:p w:rsidR="006836C6" w:rsidRDefault="006836C6" w:rsidP="006836C6">
            <w:pPr>
              <w:pStyle w:val="TableParagraph"/>
              <w:rPr>
                <w:rFonts w:ascii="Calibri" w:eastAsia="Calibri" w:hAnsi="Calibri" w:cs="Calibri"/>
                <w:b/>
                <w:bCs/>
              </w:rPr>
            </w:pPr>
          </w:p>
          <w:p w:rsidR="006836C6" w:rsidRPr="008F1742" w:rsidRDefault="006836C6" w:rsidP="006836C6">
            <w:pPr>
              <w:spacing w:after="0" w:line="240" w:lineRule="auto"/>
              <w:jc w:val="right"/>
              <w:rPr>
                <w:rFonts w:eastAsia="Times New Roman" w:cstheme="minorHAnsi"/>
                <w:color w:val="000000"/>
                <w:lang w:eastAsia="tr-TR"/>
              </w:rPr>
            </w:pPr>
            <w:r>
              <w:rPr>
                <w:rFonts w:ascii="Calibri"/>
                <w:w w:val="95"/>
              </w:rPr>
              <w:t>1</w:t>
            </w:r>
          </w:p>
        </w:tc>
        <w:tc>
          <w:tcPr>
            <w:tcW w:w="837" w:type="pct"/>
            <w:shd w:val="clear" w:color="auto" w:fill="auto"/>
          </w:tcPr>
          <w:p w:rsidR="006836C6" w:rsidRDefault="006836C6" w:rsidP="006836C6">
            <w:pPr>
              <w:pStyle w:val="TableParagraph"/>
              <w:rPr>
                <w:rFonts w:ascii="Calibri" w:eastAsia="Calibri" w:hAnsi="Calibri" w:cs="Calibri"/>
                <w:b/>
                <w:bCs/>
              </w:rPr>
            </w:pPr>
          </w:p>
          <w:p w:rsidR="006836C6" w:rsidRPr="008F1742" w:rsidRDefault="006836C6" w:rsidP="006836C6">
            <w:pPr>
              <w:spacing w:after="0" w:line="240" w:lineRule="auto"/>
              <w:jc w:val="right"/>
              <w:rPr>
                <w:rFonts w:eastAsia="Times New Roman" w:cstheme="minorHAnsi"/>
                <w:color w:val="000000"/>
                <w:lang w:eastAsia="tr-TR"/>
              </w:rPr>
            </w:pPr>
            <w:r>
              <w:rPr>
                <w:rFonts w:ascii="Calibri"/>
                <w:w w:val="95"/>
              </w:rPr>
              <w:t>1</w:t>
            </w:r>
          </w:p>
        </w:tc>
        <w:tc>
          <w:tcPr>
            <w:tcW w:w="545" w:type="pct"/>
            <w:shd w:val="clear" w:color="auto" w:fill="auto"/>
          </w:tcPr>
          <w:p w:rsidR="006836C6" w:rsidRDefault="006836C6" w:rsidP="006836C6">
            <w:pPr>
              <w:pStyle w:val="TableParagraph"/>
              <w:rPr>
                <w:rFonts w:ascii="Calibri" w:eastAsia="Calibri" w:hAnsi="Calibri" w:cs="Calibri"/>
                <w:b/>
                <w:bCs/>
              </w:rPr>
            </w:pPr>
          </w:p>
          <w:p w:rsidR="006836C6" w:rsidRPr="008F1742" w:rsidRDefault="006836C6" w:rsidP="006836C6">
            <w:pPr>
              <w:spacing w:after="0" w:line="240" w:lineRule="auto"/>
              <w:jc w:val="right"/>
              <w:rPr>
                <w:rFonts w:eastAsia="Times New Roman" w:cstheme="minorHAnsi"/>
                <w:color w:val="000000"/>
                <w:lang w:eastAsia="tr-TR"/>
              </w:rPr>
            </w:pPr>
            <w:r>
              <w:rPr>
                <w:rFonts w:ascii="Calibri"/>
                <w:w w:val="95"/>
              </w:rPr>
              <w:t>0</w:t>
            </w:r>
          </w:p>
        </w:tc>
        <w:tc>
          <w:tcPr>
            <w:tcW w:w="546" w:type="pct"/>
            <w:shd w:val="clear" w:color="auto" w:fill="auto"/>
          </w:tcPr>
          <w:p w:rsidR="006836C6" w:rsidRDefault="006836C6" w:rsidP="006836C6">
            <w:pPr>
              <w:pStyle w:val="TableParagraph"/>
              <w:rPr>
                <w:rFonts w:ascii="Calibri" w:eastAsia="Calibri" w:hAnsi="Calibri" w:cs="Calibri"/>
                <w:b/>
                <w:bCs/>
              </w:rPr>
            </w:pPr>
          </w:p>
          <w:p w:rsidR="006836C6" w:rsidRPr="008F1742" w:rsidRDefault="006836C6" w:rsidP="006836C6">
            <w:pPr>
              <w:spacing w:after="0" w:line="240" w:lineRule="auto"/>
              <w:jc w:val="right"/>
              <w:rPr>
                <w:rFonts w:eastAsia="Times New Roman" w:cstheme="minorHAnsi"/>
                <w:color w:val="000000"/>
                <w:lang w:eastAsia="tr-TR"/>
              </w:rPr>
            </w:pPr>
            <w:r>
              <w:rPr>
                <w:rFonts w:ascii="Calibri"/>
                <w:w w:val="95"/>
              </w:rPr>
              <w:t>17</w:t>
            </w:r>
          </w:p>
        </w:tc>
        <w:tc>
          <w:tcPr>
            <w:tcW w:w="546" w:type="pct"/>
            <w:shd w:val="clear" w:color="auto" w:fill="auto"/>
          </w:tcPr>
          <w:p w:rsidR="006836C6" w:rsidRDefault="006836C6" w:rsidP="006836C6">
            <w:pPr>
              <w:pStyle w:val="TableParagraph"/>
              <w:rPr>
                <w:rFonts w:ascii="Calibri" w:eastAsia="Calibri" w:hAnsi="Calibri" w:cs="Calibri"/>
                <w:b/>
                <w:bCs/>
              </w:rPr>
            </w:pPr>
          </w:p>
          <w:p w:rsidR="006836C6" w:rsidRPr="008F1742" w:rsidRDefault="006836C6" w:rsidP="006836C6">
            <w:pPr>
              <w:spacing w:after="0" w:line="240" w:lineRule="auto"/>
              <w:jc w:val="right"/>
              <w:rPr>
                <w:rFonts w:eastAsia="Times New Roman" w:cstheme="minorHAnsi"/>
                <w:color w:val="000000"/>
                <w:lang w:eastAsia="tr-TR"/>
              </w:rPr>
            </w:pPr>
            <w:r>
              <w:rPr>
                <w:rFonts w:ascii="Calibri"/>
                <w:w w:val="95"/>
              </w:rPr>
              <w:t>21</w:t>
            </w:r>
          </w:p>
        </w:tc>
        <w:tc>
          <w:tcPr>
            <w:tcW w:w="642" w:type="pct"/>
            <w:shd w:val="clear" w:color="auto" w:fill="auto"/>
          </w:tcPr>
          <w:p w:rsidR="006836C6" w:rsidRDefault="006836C6" w:rsidP="006836C6">
            <w:pPr>
              <w:pStyle w:val="TableParagraph"/>
              <w:jc w:val="right"/>
              <w:rPr>
                <w:rFonts w:ascii="Calibri" w:eastAsia="Calibri" w:hAnsi="Calibri" w:cs="Calibri"/>
                <w:b/>
                <w:bCs/>
              </w:rPr>
            </w:pPr>
          </w:p>
          <w:p w:rsidR="006836C6" w:rsidRPr="008F1742" w:rsidRDefault="006836C6" w:rsidP="006836C6">
            <w:pPr>
              <w:spacing w:after="0" w:line="240" w:lineRule="auto"/>
              <w:jc w:val="right"/>
              <w:rPr>
                <w:rFonts w:eastAsia="Times New Roman" w:cstheme="minorHAnsi"/>
                <w:b/>
                <w:bCs/>
                <w:color w:val="000000"/>
                <w:lang w:eastAsia="tr-TR"/>
              </w:rPr>
            </w:pPr>
            <w:r>
              <w:rPr>
                <w:rFonts w:ascii="Calibri"/>
                <w:w w:val="95"/>
              </w:rPr>
              <w:t>60</w:t>
            </w:r>
          </w:p>
        </w:tc>
      </w:tr>
      <w:tr w:rsidR="006836C6" w:rsidRPr="00B32DD7" w:rsidTr="00AE38A1">
        <w:trPr>
          <w:trHeight w:val="283"/>
        </w:trPr>
        <w:tc>
          <w:tcPr>
            <w:tcW w:w="794" w:type="pct"/>
            <w:shd w:val="clear" w:color="auto" w:fill="auto"/>
          </w:tcPr>
          <w:p w:rsidR="006836C6" w:rsidRPr="00B32DD7" w:rsidRDefault="006836C6" w:rsidP="006836C6">
            <w:pPr>
              <w:spacing w:after="0" w:line="240" w:lineRule="auto"/>
              <w:jc w:val="left"/>
              <w:rPr>
                <w:rFonts w:eastAsia="Times New Roman" w:cstheme="minorHAnsi"/>
                <w:color w:val="000000"/>
                <w:lang w:eastAsia="tr-TR"/>
              </w:rPr>
            </w:pPr>
            <w:r w:rsidRPr="00B32DD7">
              <w:rPr>
                <w:rFonts w:cstheme="minorHAnsi"/>
                <w:b/>
                <w:bCs/>
                <w:color w:val="000000"/>
              </w:rPr>
              <w:t>Toplam</w:t>
            </w:r>
          </w:p>
        </w:tc>
        <w:tc>
          <w:tcPr>
            <w:tcW w:w="547" w:type="pct"/>
            <w:shd w:val="clear" w:color="auto" w:fill="auto"/>
          </w:tcPr>
          <w:p w:rsidR="006836C6" w:rsidRPr="008F1742" w:rsidRDefault="006836C6" w:rsidP="006836C6">
            <w:pPr>
              <w:spacing w:after="0" w:line="240" w:lineRule="auto"/>
              <w:jc w:val="right"/>
              <w:rPr>
                <w:rFonts w:eastAsia="Times New Roman" w:cstheme="minorHAnsi"/>
                <w:b/>
                <w:color w:val="000000"/>
                <w:lang w:eastAsia="tr-TR"/>
              </w:rPr>
            </w:pPr>
            <w:r>
              <w:rPr>
                <w:rFonts w:ascii="Calibri"/>
              </w:rPr>
              <w:t>706</w:t>
            </w:r>
          </w:p>
        </w:tc>
        <w:tc>
          <w:tcPr>
            <w:tcW w:w="543" w:type="pct"/>
            <w:shd w:val="clear" w:color="auto" w:fill="auto"/>
          </w:tcPr>
          <w:p w:rsidR="006836C6" w:rsidRPr="008F1742" w:rsidRDefault="006836C6" w:rsidP="006836C6">
            <w:pPr>
              <w:spacing w:after="0" w:line="240" w:lineRule="auto"/>
              <w:jc w:val="right"/>
              <w:rPr>
                <w:rFonts w:eastAsia="Times New Roman" w:cstheme="minorHAnsi"/>
                <w:b/>
                <w:color w:val="000000"/>
                <w:lang w:eastAsia="tr-TR"/>
              </w:rPr>
            </w:pPr>
            <w:r>
              <w:rPr>
                <w:rFonts w:ascii="Calibri"/>
              </w:rPr>
              <w:t>678</w:t>
            </w:r>
          </w:p>
        </w:tc>
        <w:tc>
          <w:tcPr>
            <w:tcW w:w="837" w:type="pct"/>
            <w:shd w:val="clear" w:color="auto" w:fill="auto"/>
          </w:tcPr>
          <w:p w:rsidR="006836C6" w:rsidRPr="008F1742" w:rsidRDefault="006836C6" w:rsidP="006836C6">
            <w:pPr>
              <w:spacing w:after="0" w:line="240" w:lineRule="auto"/>
              <w:jc w:val="right"/>
              <w:rPr>
                <w:rFonts w:eastAsia="Times New Roman" w:cstheme="minorHAnsi"/>
                <w:b/>
                <w:color w:val="000000"/>
                <w:lang w:eastAsia="tr-TR"/>
              </w:rPr>
            </w:pPr>
            <w:r>
              <w:rPr>
                <w:rFonts w:ascii="Calibri"/>
                <w:w w:val="95"/>
              </w:rPr>
              <w:t>398</w:t>
            </w:r>
          </w:p>
        </w:tc>
        <w:tc>
          <w:tcPr>
            <w:tcW w:w="545" w:type="pct"/>
            <w:shd w:val="clear" w:color="auto" w:fill="auto"/>
          </w:tcPr>
          <w:p w:rsidR="006836C6" w:rsidRPr="008F1742" w:rsidRDefault="006836C6" w:rsidP="006836C6">
            <w:pPr>
              <w:spacing w:after="0" w:line="240" w:lineRule="auto"/>
              <w:jc w:val="right"/>
              <w:rPr>
                <w:rFonts w:eastAsia="Times New Roman" w:cstheme="minorHAnsi"/>
                <w:b/>
                <w:color w:val="000000"/>
                <w:lang w:eastAsia="tr-TR"/>
              </w:rPr>
            </w:pPr>
            <w:r>
              <w:rPr>
                <w:rFonts w:ascii="Calibri"/>
                <w:w w:val="95"/>
              </w:rPr>
              <w:t>2</w:t>
            </w:r>
          </w:p>
        </w:tc>
        <w:tc>
          <w:tcPr>
            <w:tcW w:w="546" w:type="pct"/>
            <w:shd w:val="clear" w:color="auto" w:fill="auto"/>
          </w:tcPr>
          <w:p w:rsidR="006836C6" w:rsidRPr="008F1742" w:rsidRDefault="006836C6" w:rsidP="006836C6">
            <w:pPr>
              <w:spacing w:after="0" w:line="240" w:lineRule="auto"/>
              <w:jc w:val="right"/>
              <w:rPr>
                <w:rFonts w:eastAsia="Times New Roman" w:cstheme="minorHAnsi"/>
                <w:b/>
                <w:color w:val="000000"/>
                <w:lang w:eastAsia="tr-TR"/>
              </w:rPr>
            </w:pPr>
            <w:r w:rsidRPr="00EA50D9">
              <w:rPr>
                <w:rFonts w:ascii="Calibri"/>
                <w:w w:val="95"/>
              </w:rPr>
              <w:t>8</w:t>
            </w:r>
            <w:r>
              <w:rPr>
                <w:rFonts w:ascii="Calibri"/>
                <w:w w:val="95"/>
              </w:rPr>
              <w:t>76</w:t>
            </w:r>
          </w:p>
        </w:tc>
        <w:tc>
          <w:tcPr>
            <w:tcW w:w="546" w:type="pct"/>
            <w:shd w:val="clear" w:color="auto" w:fill="auto"/>
          </w:tcPr>
          <w:p w:rsidR="006836C6" w:rsidRPr="008F1742" w:rsidRDefault="006836C6" w:rsidP="006836C6">
            <w:pPr>
              <w:spacing w:after="0" w:line="240" w:lineRule="auto"/>
              <w:jc w:val="right"/>
              <w:rPr>
                <w:rFonts w:eastAsia="Times New Roman" w:cstheme="minorHAnsi"/>
                <w:b/>
                <w:color w:val="000000"/>
                <w:lang w:eastAsia="tr-TR"/>
              </w:rPr>
            </w:pPr>
            <w:r>
              <w:rPr>
                <w:rFonts w:ascii="Calibri"/>
                <w:w w:val="95"/>
              </w:rPr>
              <w:t>3.101</w:t>
            </w:r>
          </w:p>
        </w:tc>
        <w:tc>
          <w:tcPr>
            <w:tcW w:w="642" w:type="pct"/>
            <w:shd w:val="clear" w:color="auto" w:fill="auto"/>
          </w:tcPr>
          <w:p w:rsidR="006836C6" w:rsidRPr="008F1742" w:rsidRDefault="006836C6" w:rsidP="006836C6">
            <w:pPr>
              <w:spacing w:after="0" w:line="240" w:lineRule="auto"/>
              <w:jc w:val="right"/>
              <w:rPr>
                <w:rFonts w:eastAsia="Times New Roman" w:cstheme="minorHAnsi"/>
                <w:b/>
                <w:bCs/>
                <w:color w:val="000000"/>
                <w:lang w:eastAsia="tr-TR"/>
              </w:rPr>
            </w:pPr>
            <w:r>
              <w:rPr>
                <w:rFonts w:ascii="Calibri"/>
                <w:w w:val="95"/>
              </w:rPr>
              <w:t>11</w:t>
            </w:r>
            <w:r w:rsidRPr="005D05ED">
              <w:rPr>
                <w:rFonts w:ascii="Calibri"/>
                <w:w w:val="95"/>
              </w:rPr>
              <w:t>.</w:t>
            </w:r>
            <w:r>
              <w:rPr>
                <w:rFonts w:ascii="Calibri"/>
                <w:w w:val="95"/>
              </w:rPr>
              <w:t>237</w:t>
            </w:r>
          </w:p>
        </w:tc>
      </w:tr>
    </w:tbl>
    <w:p w:rsidR="005748C0" w:rsidRPr="000E2647" w:rsidRDefault="00B32C14" w:rsidP="000E2647">
      <w:pPr>
        <w:pStyle w:val="Balk4"/>
        <w:numPr>
          <w:ilvl w:val="2"/>
          <w:numId w:val="11"/>
        </w:numPr>
        <w:spacing w:after="240"/>
        <w:rPr>
          <w:rStyle w:val="Gl"/>
          <w:rFonts w:cstheme="minorHAnsi"/>
          <w:color w:val="000000" w:themeColor="text1"/>
        </w:rPr>
      </w:pPr>
      <w:bookmarkStart w:id="199" w:name="_Toc416447591"/>
      <w:bookmarkStart w:id="200" w:name="_Toc442441741"/>
      <w:bookmarkStart w:id="201" w:name="_Toc132713797"/>
      <w:r w:rsidRPr="000E2647">
        <w:rPr>
          <w:rFonts w:asciiTheme="minorHAnsi" w:hAnsiTheme="minorHAnsi" w:cstheme="minorHAnsi"/>
          <w:bCs w:val="0"/>
          <w:i w:val="0"/>
          <w:iCs w:val="0"/>
          <w:color w:val="auto"/>
        </w:rPr>
        <w:t>Sıvılaştırılmış Petrol Gazları (LPG) Piyasası Kupon İzni Verme Faaliyetleri</w:t>
      </w:r>
      <w:r w:rsidRPr="000E2647">
        <w:rPr>
          <w:rFonts w:asciiTheme="minorHAnsi" w:hAnsiTheme="minorHAnsi" w:cstheme="minorHAnsi"/>
          <w:bCs w:val="0"/>
          <w:i w:val="0"/>
          <w:iCs w:val="0"/>
          <w:color w:val="auto"/>
        </w:rPr>
        <w:t> </w:t>
      </w:r>
      <w:bookmarkStart w:id="202" w:name="_Toc416447593"/>
      <w:bookmarkStart w:id="203" w:name="_Toc442441742"/>
      <w:bookmarkEnd w:id="199"/>
      <w:bookmarkEnd w:id="200"/>
      <w:bookmarkEnd w:id="201"/>
    </w:p>
    <w:p w:rsidR="005748C0" w:rsidRDefault="00FC2252" w:rsidP="00FC2252">
      <w:r w:rsidRPr="00FC2252">
        <w:t xml:space="preserve">Ulusal Petrol Stok Komisyonun 2017/1 sayılı Kararı ve LPG Piyasasında Zorunlu Petrol Stoku ve Zorunlu Petrol Stokunun Kupon Sistemi Kapsamında LPG Olarak Tutulabilmesine Dair Karar kapsamında, </w:t>
      </w:r>
      <w:r w:rsidR="00DE2860" w:rsidRPr="00FC2252">
        <w:t>202</w:t>
      </w:r>
      <w:r w:rsidR="00DE2860">
        <w:t>2</w:t>
      </w:r>
      <w:r w:rsidR="00DE2860" w:rsidRPr="00FC2252">
        <w:t xml:space="preserve"> yılında (202</w:t>
      </w:r>
      <w:r w:rsidR="00DE2860">
        <w:t>3</w:t>
      </w:r>
      <w:r w:rsidR="00DE2860" w:rsidRPr="00FC2252">
        <w:t xml:space="preserve"> yılında hizmet vermek üzere) </w:t>
      </w:r>
      <w:r w:rsidR="00DE2860">
        <w:t>8</w:t>
      </w:r>
      <w:r w:rsidR="00DE2860" w:rsidRPr="00FC2252">
        <w:t xml:space="preserve"> Dağıtıcı</w:t>
      </w:r>
      <w:r w:rsidR="00DE2860">
        <w:t xml:space="preserve"> lisansı sahibi şirkete </w:t>
      </w:r>
      <w:r w:rsidR="00DE2860" w:rsidRPr="00FC2252">
        <w:t>ve</w:t>
      </w:r>
      <w:r w:rsidR="00DE2860">
        <w:t xml:space="preserve"> 4</w:t>
      </w:r>
      <w:r w:rsidR="00DE2860" w:rsidRPr="00FC2252">
        <w:t xml:space="preserve"> Rafinerici lisansı </w:t>
      </w:r>
      <w:r w:rsidR="00DE2860">
        <w:t>tesisine lisans bazında</w:t>
      </w:r>
      <w:r w:rsidR="00DE2860" w:rsidRPr="00FC2252">
        <w:t xml:space="preserve"> kupon izni verilmiştir.</w:t>
      </w:r>
      <w:r w:rsidRPr="00FC2252">
        <w:t xml:space="preserve"> </w:t>
      </w:r>
    </w:p>
    <w:p w:rsidR="00CB5826" w:rsidRDefault="00CB5826" w:rsidP="00C466F8">
      <w:pPr>
        <w:pStyle w:val="Balk5"/>
        <w:jc w:val="center"/>
        <w:rPr>
          <w:rStyle w:val="Gl"/>
          <w:color w:val="000000" w:themeColor="text1"/>
        </w:rPr>
      </w:pPr>
      <w:bookmarkStart w:id="204" w:name="_Toc132713903"/>
      <w:r w:rsidRPr="00FC2252">
        <w:rPr>
          <w:rStyle w:val="Gl"/>
          <w:color w:val="000000" w:themeColor="text1"/>
        </w:rPr>
        <w:t>T</w:t>
      </w:r>
      <w:r w:rsidR="004E03B6" w:rsidRPr="00FC2252">
        <w:rPr>
          <w:rStyle w:val="Gl"/>
          <w:color w:val="000000" w:themeColor="text1"/>
        </w:rPr>
        <w:t>ablo 3.1</w:t>
      </w:r>
      <w:r w:rsidR="00986A70">
        <w:rPr>
          <w:rStyle w:val="Gl"/>
          <w:color w:val="000000" w:themeColor="text1"/>
        </w:rPr>
        <w:t>3</w:t>
      </w:r>
      <w:r w:rsidR="004132BA" w:rsidRPr="00FC2252">
        <w:rPr>
          <w:rStyle w:val="Gl"/>
          <w:color w:val="000000" w:themeColor="text1"/>
        </w:rPr>
        <w:t>: 202</w:t>
      </w:r>
      <w:r w:rsidR="008F1742">
        <w:rPr>
          <w:rStyle w:val="Gl"/>
          <w:color w:val="000000" w:themeColor="text1"/>
        </w:rPr>
        <w:t>2</w:t>
      </w:r>
      <w:r w:rsidRPr="00FC2252">
        <w:rPr>
          <w:rStyle w:val="Gl"/>
          <w:color w:val="000000" w:themeColor="text1"/>
        </w:rPr>
        <w:t xml:space="preserve"> Yılı Sonu İtibar</w:t>
      </w:r>
      <w:r w:rsidR="00B32DD7">
        <w:rPr>
          <w:rStyle w:val="Gl"/>
          <w:color w:val="000000" w:themeColor="text1"/>
        </w:rPr>
        <w:t>ı</w:t>
      </w:r>
      <w:r w:rsidRPr="00FC2252">
        <w:rPr>
          <w:rStyle w:val="Gl"/>
          <w:color w:val="000000" w:themeColor="text1"/>
        </w:rPr>
        <w:t>yl</w:t>
      </w:r>
      <w:r w:rsidR="00B32DD7">
        <w:rPr>
          <w:rStyle w:val="Gl"/>
          <w:color w:val="000000" w:themeColor="text1"/>
        </w:rPr>
        <w:t>a</w:t>
      </w:r>
      <w:r w:rsidRPr="00FC2252">
        <w:rPr>
          <w:rStyle w:val="Gl"/>
          <w:color w:val="000000" w:themeColor="text1"/>
        </w:rPr>
        <w:t xml:space="preserve"> LPG Piyasası Depolama Lisansı Bilgileri</w:t>
      </w:r>
      <w:bookmarkEnd w:id="202"/>
      <w:bookmarkEnd w:id="203"/>
      <w:bookmarkEnd w:id="204"/>
    </w:p>
    <w:tbl>
      <w:tblPr>
        <w:tblW w:w="84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69"/>
        <w:gridCol w:w="2130"/>
        <w:gridCol w:w="3747"/>
      </w:tblGrid>
      <w:tr w:rsidR="00DE2860" w:rsidRPr="00B32DD7" w:rsidTr="00FF24CA">
        <w:trPr>
          <w:trHeight w:val="552"/>
          <w:tblHeader/>
          <w:jc w:val="center"/>
        </w:trPr>
        <w:tc>
          <w:tcPr>
            <w:tcW w:w="2569" w:type="dxa"/>
            <w:shd w:val="clear" w:color="6E9ECA" w:fill="6E9ECA"/>
            <w:hideMark/>
          </w:tcPr>
          <w:p w:rsidR="00DE2860" w:rsidRPr="00B32DD7" w:rsidRDefault="00DE2860" w:rsidP="00FF24CA">
            <w:pPr>
              <w:spacing w:after="0" w:line="240" w:lineRule="auto"/>
              <w:rPr>
                <w:rFonts w:eastAsia="Times New Roman" w:cstheme="minorHAnsi"/>
                <w:b/>
                <w:color w:val="FFFFFF" w:themeColor="background1"/>
                <w:lang w:eastAsia="tr-TR"/>
              </w:rPr>
            </w:pPr>
            <w:bookmarkStart w:id="205" w:name="_Hlk129609822"/>
            <w:r w:rsidRPr="00B32DD7">
              <w:rPr>
                <w:rFonts w:eastAsia="Times New Roman" w:cstheme="minorHAnsi"/>
                <w:b/>
                <w:color w:val="FFFFFF" w:themeColor="background1"/>
                <w:lang w:eastAsia="tr-TR"/>
              </w:rPr>
              <w:t>Tesisin Bulunduğu İl</w:t>
            </w:r>
          </w:p>
        </w:tc>
        <w:tc>
          <w:tcPr>
            <w:tcW w:w="2130" w:type="dxa"/>
            <w:shd w:val="clear" w:color="6E9ECA" w:fill="6E9ECA"/>
            <w:hideMark/>
          </w:tcPr>
          <w:p w:rsidR="00DE2860" w:rsidRPr="00B32DD7" w:rsidRDefault="00DE2860" w:rsidP="00FF24CA">
            <w:pPr>
              <w:spacing w:after="0" w:line="240" w:lineRule="auto"/>
              <w:jc w:val="center"/>
              <w:rPr>
                <w:rFonts w:eastAsia="Times New Roman" w:cstheme="minorHAnsi"/>
                <w:b/>
                <w:color w:val="FFFFFF" w:themeColor="background1"/>
                <w:lang w:eastAsia="tr-TR"/>
              </w:rPr>
            </w:pPr>
            <w:r w:rsidRPr="00B32DD7">
              <w:rPr>
                <w:rFonts w:eastAsia="Times New Roman" w:cstheme="minorHAnsi"/>
                <w:b/>
                <w:color w:val="FFFFFF" w:themeColor="background1"/>
                <w:lang w:eastAsia="tr-TR"/>
              </w:rPr>
              <w:t>Toplam Kapasite (m3)</w:t>
            </w:r>
          </w:p>
        </w:tc>
        <w:tc>
          <w:tcPr>
            <w:tcW w:w="3747" w:type="dxa"/>
            <w:shd w:val="clear" w:color="6E9ECA" w:fill="6E9ECA"/>
            <w:hideMark/>
          </w:tcPr>
          <w:p w:rsidR="00DE2860" w:rsidRPr="00B32DD7" w:rsidRDefault="00DE2860" w:rsidP="00FF24CA">
            <w:pPr>
              <w:spacing w:after="0" w:line="240" w:lineRule="auto"/>
              <w:jc w:val="center"/>
              <w:rPr>
                <w:rFonts w:eastAsia="Times New Roman" w:cstheme="minorHAnsi"/>
                <w:b/>
                <w:color w:val="FFFFFF" w:themeColor="background1"/>
                <w:lang w:eastAsia="tr-TR"/>
              </w:rPr>
            </w:pPr>
            <w:r w:rsidRPr="00B32DD7">
              <w:rPr>
                <w:rFonts w:eastAsia="Times New Roman" w:cstheme="minorHAnsi"/>
                <w:b/>
                <w:color w:val="FFFFFF" w:themeColor="background1"/>
                <w:lang w:eastAsia="tr-TR"/>
              </w:rPr>
              <w:t>Toplam Depolama Kapasitesindeki Payı (%)</w:t>
            </w:r>
          </w:p>
        </w:tc>
      </w:tr>
      <w:tr w:rsidR="00DE2860" w:rsidRPr="00B32DD7" w:rsidTr="00FF24CA">
        <w:trPr>
          <w:trHeight w:val="288"/>
          <w:jc w:val="center"/>
        </w:trPr>
        <w:tc>
          <w:tcPr>
            <w:tcW w:w="2569" w:type="dxa"/>
            <w:tcBorders>
              <w:top w:val="single" w:sz="4" w:space="0" w:color="D3D3D3"/>
              <w:left w:val="single" w:sz="4" w:space="0" w:color="D3D3D3"/>
              <w:bottom w:val="single" w:sz="4" w:space="0" w:color="D3D3D3"/>
              <w:right w:val="single" w:sz="4" w:space="0" w:color="D3D3D3"/>
            </w:tcBorders>
            <w:shd w:val="clear" w:color="auto" w:fill="auto"/>
            <w:hideMark/>
          </w:tcPr>
          <w:p w:rsidR="00DE2860" w:rsidRPr="00B32DD7" w:rsidRDefault="00DE2860" w:rsidP="00FF24CA">
            <w:pPr>
              <w:spacing w:after="0" w:line="240" w:lineRule="auto"/>
              <w:rPr>
                <w:rFonts w:eastAsia="Times New Roman" w:cstheme="minorHAnsi"/>
                <w:color w:val="000000"/>
                <w:lang w:eastAsia="tr-TR"/>
              </w:rPr>
            </w:pPr>
            <w:r>
              <w:rPr>
                <w:rFonts w:ascii="Tahoma" w:hAnsi="Tahoma" w:cs="Tahoma"/>
                <w:color w:val="000000"/>
                <w:sz w:val="20"/>
                <w:szCs w:val="20"/>
              </w:rPr>
              <w:t>ADANA</w:t>
            </w:r>
          </w:p>
        </w:tc>
        <w:tc>
          <w:tcPr>
            <w:tcW w:w="2130" w:type="dxa"/>
            <w:tcBorders>
              <w:top w:val="single" w:sz="4" w:space="0" w:color="D3D3D3"/>
              <w:left w:val="nil"/>
              <w:bottom w:val="single" w:sz="4" w:space="0" w:color="D3D3D3"/>
              <w:right w:val="single" w:sz="4" w:space="0" w:color="D3D3D3"/>
            </w:tcBorders>
            <w:shd w:val="clear" w:color="auto" w:fill="auto"/>
            <w:noWrap/>
            <w:hideMark/>
          </w:tcPr>
          <w:p w:rsidR="00DE2860" w:rsidRPr="00B32DD7" w:rsidRDefault="00DE2860" w:rsidP="00FF24CA">
            <w:pPr>
              <w:spacing w:after="0" w:line="240" w:lineRule="auto"/>
              <w:jc w:val="right"/>
              <w:rPr>
                <w:rFonts w:eastAsia="Times New Roman" w:cstheme="minorHAnsi"/>
                <w:color w:val="000000"/>
                <w:lang w:eastAsia="tr-TR"/>
              </w:rPr>
            </w:pPr>
            <w:r>
              <w:rPr>
                <w:rFonts w:ascii="Tahoma" w:hAnsi="Tahoma" w:cs="Tahoma"/>
                <w:color w:val="000000"/>
                <w:sz w:val="20"/>
                <w:szCs w:val="20"/>
              </w:rPr>
              <w:t>950,00</w:t>
            </w:r>
          </w:p>
        </w:tc>
        <w:tc>
          <w:tcPr>
            <w:tcW w:w="3747" w:type="dxa"/>
            <w:tcBorders>
              <w:top w:val="single" w:sz="4" w:space="0" w:color="D3D3D3"/>
              <w:left w:val="nil"/>
              <w:bottom w:val="single" w:sz="4" w:space="0" w:color="D3D3D3"/>
              <w:right w:val="single" w:sz="4" w:space="0" w:color="D3D3D3"/>
            </w:tcBorders>
            <w:shd w:val="clear" w:color="auto" w:fill="auto"/>
            <w:noWrap/>
            <w:hideMark/>
          </w:tcPr>
          <w:p w:rsidR="00DE2860" w:rsidRPr="00B32DD7" w:rsidRDefault="00DE2860" w:rsidP="00FF24CA">
            <w:pPr>
              <w:spacing w:after="0" w:line="240" w:lineRule="auto"/>
              <w:jc w:val="center"/>
              <w:rPr>
                <w:rFonts w:eastAsia="Times New Roman" w:cstheme="minorHAnsi"/>
                <w:color w:val="000000"/>
                <w:lang w:eastAsia="tr-TR"/>
              </w:rPr>
            </w:pPr>
            <w:r>
              <w:rPr>
                <w:rFonts w:ascii="Tahoma" w:hAnsi="Tahoma" w:cs="Tahoma"/>
                <w:color w:val="000000"/>
                <w:sz w:val="20"/>
                <w:szCs w:val="20"/>
              </w:rPr>
              <w:t>0,12</w:t>
            </w:r>
          </w:p>
        </w:tc>
      </w:tr>
      <w:tr w:rsidR="00DE2860" w:rsidRPr="00B32DD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rsidR="00DE2860" w:rsidRPr="00B32DD7" w:rsidRDefault="00DE2860" w:rsidP="00FF24CA">
            <w:pPr>
              <w:spacing w:after="0" w:line="240" w:lineRule="auto"/>
              <w:rPr>
                <w:rFonts w:eastAsia="Times New Roman" w:cstheme="minorHAnsi"/>
                <w:color w:val="000000"/>
                <w:lang w:eastAsia="tr-TR"/>
              </w:rPr>
            </w:pPr>
            <w:r>
              <w:rPr>
                <w:rFonts w:ascii="Tahoma" w:hAnsi="Tahoma" w:cs="Tahoma"/>
                <w:color w:val="000000"/>
                <w:sz w:val="20"/>
                <w:szCs w:val="20"/>
              </w:rPr>
              <w:t>ADIYAMAN</w:t>
            </w:r>
          </w:p>
        </w:tc>
        <w:tc>
          <w:tcPr>
            <w:tcW w:w="2130" w:type="dxa"/>
            <w:tcBorders>
              <w:top w:val="nil"/>
              <w:left w:val="nil"/>
              <w:bottom w:val="single" w:sz="4" w:space="0" w:color="D3D3D3"/>
              <w:right w:val="single" w:sz="4" w:space="0" w:color="D3D3D3"/>
            </w:tcBorders>
            <w:shd w:val="clear" w:color="auto" w:fill="auto"/>
            <w:noWrap/>
            <w:hideMark/>
          </w:tcPr>
          <w:p w:rsidR="00DE2860" w:rsidRPr="00B32DD7" w:rsidRDefault="00DE2860" w:rsidP="00FF24CA">
            <w:pPr>
              <w:spacing w:after="0" w:line="240" w:lineRule="auto"/>
              <w:jc w:val="right"/>
              <w:rPr>
                <w:rFonts w:eastAsia="Times New Roman" w:cstheme="minorHAnsi"/>
                <w:color w:val="000000"/>
                <w:lang w:eastAsia="tr-TR"/>
              </w:rPr>
            </w:pPr>
            <w:r>
              <w:rPr>
                <w:rFonts w:ascii="Tahoma" w:hAnsi="Tahoma" w:cs="Tahoma"/>
                <w:color w:val="000000"/>
                <w:sz w:val="20"/>
                <w:szCs w:val="20"/>
              </w:rPr>
              <w:t>1.115,00</w:t>
            </w:r>
          </w:p>
        </w:tc>
        <w:tc>
          <w:tcPr>
            <w:tcW w:w="3747" w:type="dxa"/>
            <w:tcBorders>
              <w:top w:val="nil"/>
              <w:left w:val="nil"/>
              <w:bottom w:val="single" w:sz="4" w:space="0" w:color="D3D3D3"/>
              <w:right w:val="single" w:sz="4" w:space="0" w:color="D3D3D3"/>
            </w:tcBorders>
            <w:shd w:val="clear" w:color="auto" w:fill="auto"/>
            <w:noWrap/>
            <w:hideMark/>
          </w:tcPr>
          <w:p w:rsidR="00DE2860" w:rsidRPr="00B32DD7" w:rsidRDefault="00DE2860" w:rsidP="00FF24CA">
            <w:pPr>
              <w:spacing w:after="0" w:line="240" w:lineRule="auto"/>
              <w:jc w:val="center"/>
              <w:rPr>
                <w:rFonts w:eastAsia="Times New Roman" w:cstheme="minorHAnsi"/>
                <w:color w:val="000000"/>
                <w:lang w:eastAsia="tr-TR"/>
              </w:rPr>
            </w:pPr>
            <w:r>
              <w:rPr>
                <w:rFonts w:ascii="Tahoma" w:hAnsi="Tahoma" w:cs="Tahoma"/>
                <w:color w:val="000000"/>
                <w:sz w:val="20"/>
                <w:szCs w:val="20"/>
              </w:rPr>
              <w:t>0,15</w:t>
            </w:r>
          </w:p>
        </w:tc>
      </w:tr>
      <w:tr w:rsidR="00DE2860" w:rsidRPr="00B32DD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tcPr>
          <w:p w:rsidR="00DE2860" w:rsidRDefault="00DE2860" w:rsidP="00FF24CA">
            <w:pPr>
              <w:spacing w:after="0" w:line="240" w:lineRule="auto"/>
              <w:rPr>
                <w:rFonts w:ascii="Tahoma" w:hAnsi="Tahoma" w:cs="Tahoma"/>
                <w:color w:val="000000"/>
                <w:sz w:val="20"/>
                <w:szCs w:val="20"/>
              </w:rPr>
            </w:pPr>
            <w:r>
              <w:rPr>
                <w:rFonts w:ascii="Tahoma" w:hAnsi="Tahoma" w:cs="Tahoma"/>
                <w:color w:val="000000"/>
                <w:sz w:val="20"/>
                <w:szCs w:val="20"/>
              </w:rPr>
              <w:t>AĞRI</w:t>
            </w:r>
          </w:p>
        </w:tc>
        <w:tc>
          <w:tcPr>
            <w:tcW w:w="2130" w:type="dxa"/>
            <w:tcBorders>
              <w:top w:val="nil"/>
              <w:left w:val="nil"/>
              <w:bottom w:val="single" w:sz="4" w:space="0" w:color="D3D3D3"/>
              <w:right w:val="single" w:sz="4" w:space="0" w:color="D3D3D3"/>
            </w:tcBorders>
            <w:shd w:val="clear" w:color="auto" w:fill="auto"/>
            <w:noWrap/>
          </w:tcPr>
          <w:p w:rsidR="00DE2860" w:rsidRDefault="00DE2860" w:rsidP="00FF24CA">
            <w:pPr>
              <w:spacing w:after="0" w:line="240" w:lineRule="auto"/>
              <w:jc w:val="right"/>
              <w:rPr>
                <w:rFonts w:ascii="Tahoma" w:hAnsi="Tahoma" w:cs="Tahoma"/>
                <w:color w:val="000000"/>
                <w:sz w:val="20"/>
                <w:szCs w:val="20"/>
              </w:rPr>
            </w:pPr>
            <w:r>
              <w:rPr>
                <w:rFonts w:ascii="Tahoma" w:hAnsi="Tahoma" w:cs="Tahoma"/>
                <w:color w:val="000000"/>
                <w:sz w:val="20"/>
                <w:szCs w:val="20"/>
              </w:rPr>
              <w:t>70,00</w:t>
            </w:r>
          </w:p>
        </w:tc>
        <w:tc>
          <w:tcPr>
            <w:tcW w:w="3747" w:type="dxa"/>
            <w:tcBorders>
              <w:top w:val="nil"/>
              <w:left w:val="nil"/>
              <w:bottom w:val="single" w:sz="4" w:space="0" w:color="D3D3D3"/>
              <w:right w:val="single" w:sz="4" w:space="0" w:color="D3D3D3"/>
            </w:tcBorders>
            <w:shd w:val="clear" w:color="auto" w:fill="auto"/>
            <w:noWrap/>
          </w:tcPr>
          <w:p w:rsidR="00DE2860" w:rsidRDefault="00DE2860" w:rsidP="00FF24CA">
            <w:pPr>
              <w:spacing w:after="0" w:line="240" w:lineRule="auto"/>
              <w:jc w:val="center"/>
              <w:rPr>
                <w:rFonts w:ascii="Tahoma" w:hAnsi="Tahoma" w:cs="Tahoma"/>
                <w:color w:val="000000"/>
                <w:sz w:val="20"/>
                <w:szCs w:val="20"/>
              </w:rPr>
            </w:pPr>
            <w:r>
              <w:rPr>
                <w:rFonts w:ascii="Tahoma" w:hAnsi="Tahoma" w:cs="Tahoma"/>
                <w:color w:val="000000"/>
                <w:sz w:val="20"/>
                <w:szCs w:val="20"/>
              </w:rPr>
              <w:t>0,01</w:t>
            </w:r>
          </w:p>
        </w:tc>
      </w:tr>
      <w:tr w:rsidR="00DE2860" w:rsidRPr="00B32DD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rsidR="00DE2860" w:rsidRPr="00B32DD7" w:rsidRDefault="00DE2860" w:rsidP="00FF24CA">
            <w:pPr>
              <w:spacing w:after="0" w:line="240" w:lineRule="auto"/>
              <w:rPr>
                <w:rFonts w:eastAsia="Times New Roman" w:cstheme="minorHAnsi"/>
                <w:color w:val="000000"/>
                <w:lang w:eastAsia="tr-TR"/>
              </w:rPr>
            </w:pPr>
            <w:r>
              <w:rPr>
                <w:rFonts w:ascii="Tahoma" w:hAnsi="Tahoma" w:cs="Tahoma"/>
                <w:color w:val="000000"/>
                <w:sz w:val="20"/>
                <w:szCs w:val="20"/>
              </w:rPr>
              <w:t>AKSARAY</w:t>
            </w:r>
          </w:p>
        </w:tc>
        <w:tc>
          <w:tcPr>
            <w:tcW w:w="2130" w:type="dxa"/>
            <w:tcBorders>
              <w:top w:val="nil"/>
              <w:left w:val="nil"/>
              <w:bottom w:val="single" w:sz="4" w:space="0" w:color="D3D3D3"/>
              <w:right w:val="single" w:sz="4" w:space="0" w:color="D3D3D3"/>
            </w:tcBorders>
            <w:shd w:val="clear" w:color="auto" w:fill="auto"/>
            <w:noWrap/>
          </w:tcPr>
          <w:p w:rsidR="00DE2860" w:rsidRPr="00E6446B" w:rsidRDefault="00DE2860" w:rsidP="00FF24CA">
            <w:pPr>
              <w:spacing w:after="0" w:line="240" w:lineRule="auto"/>
              <w:jc w:val="right"/>
              <w:rPr>
                <w:rFonts w:ascii="Tahoma" w:hAnsi="Tahoma" w:cs="Tahoma"/>
                <w:color w:val="000000"/>
                <w:sz w:val="20"/>
                <w:szCs w:val="20"/>
              </w:rPr>
            </w:pPr>
            <w:r>
              <w:rPr>
                <w:rFonts w:ascii="Tahoma" w:hAnsi="Tahoma" w:cs="Tahoma"/>
                <w:color w:val="000000"/>
                <w:sz w:val="20"/>
                <w:szCs w:val="20"/>
              </w:rPr>
              <w:t>254,00</w:t>
            </w:r>
          </w:p>
        </w:tc>
        <w:tc>
          <w:tcPr>
            <w:tcW w:w="3747" w:type="dxa"/>
            <w:tcBorders>
              <w:top w:val="nil"/>
              <w:left w:val="nil"/>
              <w:bottom w:val="single" w:sz="4" w:space="0" w:color="D3D3D3"/>
              <w:right w:val="single" w:sz="4" w:space="0" w:color="D3D3D3"/>
            </w:tcBorders>
            <w:shd w:val="clear" w:color="auto" w:fill="auto"/>
            <w:noWrap/>
          </w:tcPr>
          <w:p w:rsidR="00DE2860" w:rsidRPr="00B32DD7" w:rsidRDefault="00DE2860" w:rsidP="00FF24CA">
            <w:pPr>
              <w:spacing w:after="0" w:line="240" w:lineRule="auto"/>
              <w:jc w:val="center"/>
              <w:rPr>
                <w:rFonts w:eastAsia="Times New Roman" w:cstheme="minorHAnsi"/>
                <w:color w:val="000000"/>
                <w:lang w:eastAsia="tr-TR"/>
              </w:rPr>
            </w:pPr>
            <w:r>
              <w:rPr>
                <w:rFonts w:ascii="Tahoma" w:hAnsi="Tahoma" w:cs="Tahoma"/>
                <w:color w:val="000000"/>
                <w:sz w:val="20"/>
                <w:szCs w:val="20"/>
              </w:rPr>
              <w:t>0,03</w:t>
            </w:r>
          </w:p>
        </w:tc>
      </w:tr>
      <w:tr w:rsidR="00DE2860" w:rsidRPr="00B32DD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rsidR="00DE2860" w:rsidRPr="00B32DD7" w:rsidRDefault="00DE2860" w:rsidP="00FF24CA">
            <w:pPr>
              <w:spacing w:after="0" w:line="240" w:lineRule="auto"/>
              <w:rPr>
                <w:rFonts w:eastAsia="Times New Roman" w:cstheme="minorHAnsi"/>
                <w:color w:val="000000"/>
                <w:lang w:eastAsia="tr-TR"/>
              </w:rPr>
            </w:pPr>
            <w:r>
              <w:rPr>
                <w:rFonts w:ascii="Tahoma" w:hAnsi="Tahoma" w:cs="Tahoma"/>
                <w:color w:val="000000"/>
                <w:sz w:val="20"/>
                <w:szCs w:val="20"/>
              </w:rPr>
              <w:t>AMASYA</w:t>
            </w:r>
          </w:p>
        </w:tc>
        <w:tc>
          <w:tcPr>
            <w:tcW w:w="2130" w:type="dxa"/>
            <w:tcBorders>
              <w:top w:val="nil"/>
              <w:left w:val="nil"/>
              <w:bottom w:val="single" w:sz="4" w:space="0" w:color="D3D3D3"/>
              <w:right w:val="single" w:sz="4" w:space="0" w:color="D3D3D3"/>
            </w:tcBorders>
            <w:shd w:val="clear" w:color="auto" w:fill="auto"/>
            <w:noWrap/>
          </w:tcPr>
          <w:p w:rsidR="00DE2860" w:rsidRPr="00B32DD7" w:rsidRDefault="00DE2860" w:rsidP="00FF24CA">
            <w:pPr>
              <w:spacing w:after="0" w:line="240" w:lineRule="auto"/>
              <w:jc w:val="right"/>
              <w:rPr>
                <w:rFonts w:eastAsia="Times New Roman" w:cstheme="minorHAnsi"/>
                <w:color w:val="000000"/>
                <w:lang w:eastAsia="tr-TR"/>
              </w:rPr>
            </w:pPr>
            <w:r>
              <w:rPr>
                <w:rFonts w:ascii="Tahoma" w:hAnsi="Tahoma" w:cs="Tahoma"/>
                <w:color w:val="000000"/>
                <w:sz w:val="20"/>
                <w:szCs w:val="20"/>
              </w:rPr>
              <w:t>836,00</w:t>
            </w:r>
          </w:p>
        </w:tc>
        <w:tc>
          <w:tcPr>
            <w:tcW w:w="3747" w:type="dxa"/>
            <w:tcBorders>
              <w:top w:val="nil"/>
              <w:left w:val="nil"/>
              <w:bottom w:val="single" w:sz="4" w:space="0" w:color="D3D3D3"/>
              <w:right w:val="single" w:sz="4" w:space="0" w:color="D3D3D3"/>
            </w:tcBorders>
            <w:shd w:val="clear" w:color="auto" w:fill="auto"/>
            <w:noWrap/>
          </w:tcPr>
          <w:p w:rsidR="00DE2860" w:rsidRPr="00B32DD7" w:rsidRDefault="00DE2860" w:rsidP="00FF24CA">
            <w:pPr>
              <w:spacing w:after="0" w:line="240" w:lineRule="auto"/>
              <w:jc w:val="center"/>
              <w:rPr>
                <w:rFonts w:eastAsia="Times New Roman" w:cstheme="minorHAnsi"/>
                <w:color w:val="000000"/>
                <w:lang w:eastAsia="tr-TR"/>
              </w:rPr>
            </w:pPr>
            <w:r>
              <w:rPr>
                <w:rFonts w:ascii="Tahoma" w:hAnsi="Tahoma" w:cs="Tahoma"/>
                <w:color w:val="000000"/>
                <w:sz w:val="20"/>
                <w:szCs w:val="20"/>
              </w:rPr>
              <w:t>0,11</w:t>
            </w:r>
          </w:p>
        </w:tc>
      </w:tr>
      <w:tr w:rsidR="00DE2860" w:rsidRPr="00B32DD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rsidR="00DE2860" w:rsidRPr="00B32DD7" w:rsidRDefault="00DE2860" w:rsidP="00FF24CA">
            <w:pPr>
              <w:spacing w:after="0" w:line="240" w:lineRule="auto"/>
              <w:rPr>
                <w:rFonts w:eastAsia="Times New Roman" w:cstheme="minorHAnsi"/>
                <w:color w:val="000000"/>
                <w:lang w:eastAsia="tr-TR"/>
              </w:rPr>
            </w:pPr>
            <w:r>
              <w:rPr>
                <w:rFonts w:ascii="Tahoma" w:hAnsi="Tahoma" w:cs="Tahoma"/>
                <w:color w:val="000000"/>
                <w:sz w:val="20"/>
                <w:szCs w:val="20"/>
              </w:rPr>
              <w:t>ANKARA</w:t>
            </w:r>
          </w:p>
        </w:tc>
        <w:tc>
          <w:tcPr>
            <w:tcW w:w="2130" w:type="dxa"/>
            <w:tcBorders>
              <w:top w:val="nil"/>
              <w:left w:val="nil"/>
              <w:bottom w:val="single" w:sz="4" w:space="0" w:color="D3D3D3"/>
              <w:right w:val="single" w:sz="4" w:space="0" w:color="D3D3D3"/>
            </w:tcBorders>
            <w:shd w:val="clear" w:color="auto" w:fill="auto"/>
            <w:noWrap/>
          </w:tcPr>
          <w:p w:rsidR="00DE2860" w:rsidRPr="00B32DD7" w:rsidRDefault="00DE2860" w:rsidP="00FF24CA">
            <w:pPr>
              <w:spacing w:after="0" w:line="240" w:lineRule="auto"/>
              <w:jc w:val="right"/>
              <w:rPr>
                <w:rFonts w:eastAsia="Times New Roman" w:cstheme="minorHAnsi"/>
                <w:color w:val="000000"/>
                <w:lang w:eastAsia="tr-TR"/>
              </w:rPr>
            </w:pPr>
            <w:r>
              <w:rPr>
                <w:rFonts w:ascii="Tahoma" w:hAnsi="Tahoma" w:cs="Tahoma"/>
                <w:color w:val="000000"/>
                <w:sz w:val="20"/>
                <w:szCs w:val="20"/>
              </w:rPr>
              <w:t>15.775,00</w:t>
            </w:r>
          </w:p>
        </w:tc>
        <w:tc>
          <w:tcPr>
            <w:tcW w:w="3747" w:type="dxa"/>
            <w:tcBorders>
              <w:top w:val="nil"/>
              <w:left w:val="nil"/>
              <w:bottom w:val="single" w:sz="4" w:space="0" w:color="D3D3D3"/>
              <w:right w:val="single" w:sz="4" w:space="0" w:color="D3D3D3"/>
            </w:tcBorders>
            <w:shd w:val="clear" w:color="auto" w:fill="auto"/>
            <w:noWrap/>
          </w:tcPr>
          <w:p w:rsidR="00DE2860" w:rsidRPr="00B32DD7" w:rsidRDefault="00DE2860" w:rsidP="00FF24CA">
            <w:pPr>
              <w:spacing w:after="0" w:line="240" w:lineRule="auto"/>
              <w:jc w:val="center"/>
              <w:rPr>
                <w:rFonts w:eastAsia="Times New Roman" w:cstheme="minorHAnsi"/>
                <w:color w:val="000000"/>
                <w:lang w:eastAsia="tr-TR"/>
              </w:rPr>
            </w:pPr>
            <w:r>
              <w:rPr>
                <w:rFonts w:ascii="Tahoma" w:hAnsi="Tahoma" w:cs="Tahoma"/>
                <w:color w:val="000000"/>
                <w:sz w:val="20"/>
                <w:szCs w:val="20"/>
              </w:rPr>
              <w:t>2,07</w:t>
            </w:r>
          </w:p>
        </w:tc>
      </w:tr>
      <w:tr w:rsidR="00DE2860" w:rsidRPr="00B32DD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rsidR="00DE2860" w:rsidRPr="00B32DD7" w:rsidRDefault="00DE2860" w:rsidP="00FF24CA">
            <w:pPr>
              <w:spacing w:after="0" w:line="240" w:lineRule="auto"/>
              <w:rPr>
                <w:rFonts w:eastAsia="Times New Roman" w:cstheme="minorHAnsi"/>
                <w:color w:val="000000"/>
                <w:lang w:eastAsia="tr-TR"/>
              </w:rPr>
            </w:pPr>
            <w:r>
              <w:rPr>
                <w:rFonts w:ascii="Tahoma" w:hAnsi="Tahoma" w:cs="Tahoma"/>
                <w:color w:val="000000"/>
                <w:sz w:val="20"/>
                <w:szCs w:val="20"/>
              </w:rPr>
              <w:t>ANTALYA</w:t>
            </w:r>
          </w:p>
        </w:tc>
        <w:tc>
          <w:tcPr>
            <w:tcW w:w="2130" w:type="dxa"/>
            <w:tcBorders>
              <w:top w:val="nil"/>
              <w:left w:val="nil"/>
              <w:bottom w:val="single" w:sz="4" w:space="0" w:color="D3D3D3"/>
              <w:right w:val="single" w:sz="4" w:space="0" w:color="D3D3D3"/>
            </w:tcBorders>
            <w:shd w:val="clear" w:color="auto" w:fill="auto"/>
            <w:noWrap/>
          </w:tcPr>
          <w:p w:rsidR="00DE2860" w:rsidRPr="00B32DD7" w:rsidRDefault="00DE2860" w:rsidP="00FF24CA">
            <w:pPr>
              <w:spacing w:after="0" w:line="240" w:lineRule="auto"/>
              <w:jc w:val="right"/>
              <w:rPr>
                <w:rFonts w:eastAsia="Times New Roman" w:cstheme="minorHAnsi"/>
                <w:color w:val="000000"/>
                <w:lang w:eastAsia="tr-TR"/>
              </w:rPr>
            </w:pPr>
            <w:r>
              <w:rPr>
                <w:rFonts w:ascii="Tahoma" w:hAnsi="Tahoma" w:cs="Tahoma"/>
                <w:color w:val="000000"/>
                <w:sz w:val="20"/>
                <w:szCs w:val="20"/>
              </w:rPr>
              <w:t>36.434,00</w:t>
            </w:r>
          </w:p>
        </w:tc>
        <w:tc>
          <w:tcPr>
            <w:tcW w:w="3747" w:type="dxa"/>
            <w:tcBorders>
              <w:top w:val="nil"/>
              <w:left w:val="nil"/>
              <w:bottom w:val="single" w:sz="4" w:space="0" w:color="D3D3D3"/>
              <w:right w:val="single" w:sz="4" w:space="0" w:color="D3D3D3"/>
            </w:tcBorders>
            <w:shd w:val="clear" w:color="auto" w:fill="auto"/>
            <w:noWrap/>
          </w:tcPr>
          <w:p w:rsidR="00DE2860" w:rsidRPr="00B32DD7" w:rsidRDefault="00DE2860" w:rsidP="00FF24CA">
            <w:pPr>
              <w:spacing w:after="0" w:line="240" w:lineRule="auto"/>
              <w:jc w:val="center"/>
              <w:rPr>
                <w:rFonts w:eastAsia="Times New Roman" w:cstheme="minorHAnsi"/>
                <w:color w:val="000000"/>
                <w:lang w:eastAsia="tr-TR"/>
              </w:rPr>
            </w:pPr>
            <w:r>
              <w:rPr>
                <w:rFonts w:ascii="Tahoma" w:hAnsi="Tahoma" w:cs="Tahoma"/>
                <w:color w:val="000000"/>
                <w:sz w:val="20"/>
                <w:szCs w:val="20"/>
              </w:rPr>
              <w:t>4,79</w:t>
            </w:r>
          </w:p>
        </w:tc>
      </w:tr>
      <w:tr w:rsidR="00DE2860" w:rsidRPr="00B32DD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rsidR="00DE2860" w:rsidRPr="00B32DD7" w:rsidRDefault="00DE2860" w:rsidP="00FF24CA">
            <w:pPr>
              <w:spacing w:after="0" w:line="240" w:lineRule="auto"/>
              <w:rPr>
                <w:rFonts w:eastAsia="Times New Roman" w:cstheme="minorHAnsi"/>
                <w:color w:val="000000"/>
                <w:lang w:eastAsia="tr-TR"/>
              </w:rPr>
            </w:pPr>
            <w:r>
              <w:rPr>
                <w:rFonts w:ascii="Tahoma" w:hAnsi="Tahoma" w:cs="Tahoma"/>
                <w:color w:val="000000"/>
                <w:sz w:val="20"/>
                <w:szCs w:val="20"/>
              </w:rPr>
              <w:t>ARTVİN</w:t>
            </w:r>
          </w:p>
        </w:tc>
        <w:tc>
          <w:tcPr>
            <w:tcW w:w="2130" w:type="dxa"/>
            <w:tcBorders>
              <w:top w:val="nil"/>
              <w:left w:val="nil"/>
              <w:bottom w:val="single" w:sz="4" w:space="0" w:color="D3D3D3"/>
              <w:right w:val="single" w:sz="4" w:space="0" w:color="D3D3D3"/>
            </w:tcBorders>
            <w:shd w:val="clear" w:color="auto" w:fill="auto"/>
            <w:noWrap/>
          </w:tcPr>
          <w:p w:rsidR="00DE2860" w:rsidRPr="00B32DD7" w:rsidRDefault="00DE2860" w:rsidP="00FF24CA">
            <w:pPr>
              <w:spacing w:after="0" w:line="240" w:lineRule="auto"/>
              <w:jc w:val="right"/>
              <w:rPr>
                <w:rFonts w:eastAsia="Times New Roman" w:cstheme="minorHAnsi"/>
                <w:color w:val="000000"/>
                <w:lang w:eastAsia="tr-TR"/>
              </w:rPr>
            </w:pPr>
            <w:r>
              <w:rPr>
                <w:rFonts w:ascii="Tahoma" w:hAnsi="Tahoma" w:cs="Tahoma"/>
                <w:color w:val="000000"/>
                <w:sz w:val="20"/>
                <w:szCs w:val="20"/>
              </w:rPr>
              <w:t>420,00</w:t>
            </w:r>
          </w:p>
        </w:tc>
        <w:tc>
          <w:tcPr>
            <w:tcW w:w="3747" w:type="dxa"/>
            <w:tcBorders>
              <w:top w:val="nil"/>
              <w:left w:val="nil"/>
              <w:bottom w:val="single" w:sz="4" w:space="0" w:color="D3D3D3"/>
              <w:right w:val="single" w:sz="4" w:space="0" w:color="D3D3D3"/>
            </w:tcBorders>
            <w:shd w:val="clear" w:color="auto" w:fill="auto"/>
            <w:noWrap/>
          </w:tcPr>
          <w:p w:rsidR="00DE2860" w:rsidRPr="00B32DD7" w:rsidRDefault="00DE2860" w:rsidP="00FF24CA">
            <w:pPr>
              <w:spacing w:after="0" w:line="240" w:lineRule="auto"/>
              <w:jc w:val="center"/>
              <w:rPr>
                <w:rFonts w:eastAsia="Times New Roman" w:cstheme="minorHAnsi"/>
                <w:color w:val="000000"/>
                <w:lang w:eastAsia="tr-TR"/>
              </w:rPr>
            </w:pPr>
            <w:r>
              <w:rPr>
                <w:rFonts w:ascii="Tahoma" w:hAnsi="Tahoma" w:cs="Tahoma"/>
                <w:color w:val="000000"/>
                <w:sz w:val="20"/>
                <w:szCs w:val="20"/>
              </w:rPr>
              <w:t>0,06</w:t>
            </w:r>
          </w:p>
        </w:tc>
      </w:tr>
      <w:tr w:rsidR="00DE2860" w:rsidRPr="00B32DD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rsidR="00DE2860" w:rsidRPr="00B32DD7" w:rsidRDefault="00DE2860" w:rsidP="00FF24CA">
            <w:pPr>
              <w:spacing w:after="0" w:line="240" w:lineRule="auto"/>
              <w:rPr>
                <w:rFonts w:eastAsia="Times New Roman" w:cstheme="minorHAnsi"/>
                <w:color w:val="000000"/>
                <w:lang w:eastAsia="tr-TR"/>
              </w:rPr>
            </w:pPr>
            <w:r>
              <w:rPr>
                <w:rFonts w:ascii="Tahoma" w:hAnsi="Tahoma" w:cs="Tahoma"/>
                <w:color w:val="000000"/>
                <w:sz w:val="20"/>
                <w:szCs w:val="20"/>
              </w:rPr>
              <w:t>AYDIN</w:t>
            </w:r>
          </w:p>
        </w:tc>
        <w:tc>
          <w:tcPr>
            <w:tcW w:w="2130" w:type="dxa"/>
            <w:tcBorders>
              <w:top w:val="nil"/>
              <w:left w:val="nil"/>
              <w:bottom w:val="single" w:sz="4" w:space="0" w:color="D3D3D3"/>
              <w:right w:val="single" w:sz="4" w:space="0" w:color="D3D3D3"/>
            </w:tcBorders>
            <w:shd w:val="clear" w:color="auto" w:fill="auto"/>
            <w:noWrap/>
          </w:tcPr>
          <w:p w:rsidR="00DE2860" w:rsidRPr="00B32DD7" w:rsidRDefault="00DE2860" w:rsidP="00FF24CA">
            <w:pPr>
              <w:spacing w:after="0" w:line="240" w:lineRule="auto"/>
              <w:jc w:val="right"/>
              <w:rPr>
                <w:rFonts w:eastAsia="Times New Roman" w:cstheme="minorHAnsi"/>
                <w:color w:val="000000"/>
                <w:lang w:eastAsia="tr-TR"/>
              </w:rPr>
            </w:pPr>
            <w:r>
              <w:rPr>
                <w:rFonts w:ascii="Tahoma" w:hAnsi="Tahoma" w:cs="Tahoma"/>
                <w:color w:val="000000"/>
                <w:sz w:val="20"/>
                <w:szCs w:val="20"/>
              </w:rPr>
              <w:t>880,00</w:t>
            </w:r>
          </w:p>
        </w:tc>
        <w:tc>
          <w:tcPr>
            <w:tcW w:w="3747" w:type="dxa"/>
            <w:tcBorders>
              <w:top w:val="nil"/>
              <w:left w:val="nil"/>
              <w:bottom w:val="single" w:sz="4" w:space="0" w:color="D3D3D3"/>
              <w:right w:val="single" w:sz="4" w:space="0" w:color="D3D3D3"/>
            </w:tcBorders>
            <w:shd w:val="clear" w:color="auto" w:fill="auto"/>
            <w:noWrap/>
          </w:tcPr>
          <w:p w:rsidR="00DE2860" w:rsidRPr="00B32DD7" w:rsidRDefault="00DE2860" w:rsidP="00FF24CA">
            <w:pPr>
              <w:spacing w:after="0" w:line="240" w:lineRule="auto"/>
              <w:jc w:val="center"/>
              <w:rPr>
                <w:rFonts w:eastAsia="Times New Roman" w:cstheme="minorHAnsi"/>
                <w:color w:val="000000"/>
                <w:lang w:eastAsia="tr-TR"/>
              </w:rPr>
            </w:pPr>
            <w:r>
              <w:rPr>
                <w:rFonts w:ascii="Tahoma" w:hAnsi="Tahoma" w:cs="Tahoma"/>
                <w:color w:val="000000"/>
                <w:sz w:val="20"/>
                <w:szCs w:val="20"/>
              </w:rPr>
              <w:t>0,12</w:t>
            </w:r>
          </w:p>
        </w:tc>
      </w:tr>
      <w:tr w:rsidR="00DE2860" w:rsidRPr="00B32DD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rsidR="00DE2860" w:rsidRPr="00B32DD7" w:rsidRDefault="00DE2860" w:rsidP="00FF24CA">
            <w:pPr>
              <w:spacing w:after="0" w:line="240" w:lineRule="auto"/>
              <w:rPr>
                <w:rFonts w:eastAsia="Times New Roman" w:cstheme="minorHAnsi"/>
                <w:color w:val="000000"/>
                <w:lang w:eastAsia="tr-TR"/>
              </w:rPr>
            </w:pPr>
            <w:r>
              <w:rPr>
                <w:rFonts w:ascii="Tahoma" w:hAnsi="Tahoma" w:cs="Tahoma"/>
                <w:color w:val="000000"/>
                <w:sz w:val="20"/>
                <w:szCs w:val="20"/>
              </w:rPr>
              <w:lastRenderedPageBreak/>
              <w:t>BALIKESİR</w:t>
            </w:r>
          </w:p>
        </w:tc>
        <w:tc>
          <w:tcPr>
            <w:tcW w:w="2130" w:type="dxa"/>
            <w:tcBorders>
              <w:top w:val="nil"/>
              <w:left w:val="nil"/>
              <w:bottom w:val="single" w:sz="4" w:space="0" w:color="D3D3D3"/>
              <w:right w:val="single" w:sz="4" w:space="0" w:color="D3D3D3"/>
            </w:tcBorders>
            <w:shd w:val="clear" w:color="auto" w:fill="auto"/>
            <w:noWrap/>
          </w:tcPr>
          <w:p w:rsidR="00DE2860" w:rsidRPr="00B32DD7" w:rsidRDefault="00DE2860" w:rsidP="00FF24CA">
            <w:pPr>
              <w:spacing w:after="0" w:line="240" w:lineRule="auto"/>
              <w:jc w:val="right"/>
              <w:rPr>
                <w:rFonts w:eastAsia="Times New Roman" w:cstheme="minorHAnsi"/>
                <w:color w:val="000000"/>
                <w:lang w:eastAsia="tr-TR"/>
              </w:rPr>
            </w:pPr>
            <w:r>
              <w:rPr>
                <w:rFonts w:ascii="Tahoma" w:hAnsi="Tahoma" w:cs="Tahoma"/>
                <w:color w:val="000000"/>
                <w:sz w:val="20"/>
                <w:szCs w:val="20"/>
              </w:rPr>
              <w:t>200,00</w:t>
            </w:r>
          </w:p>
        </w:tc>
        <w:tc>
          <w:tcPr>
            <w:tcW w:w="3747" w:type="dxa"/>
            <w:tcBorders>
              <w:top w:val="nil"/>
              <w:left w:val="nil"/>
              <w:bottom w:val="single" w:sz="4" w:space="0" w:color="D3D3D3"/>
              <w:right w:val="single" w:sz="4" w:space="0" w:color="D3D3D3"/>
            </w:tcBorders>
            <w:shd w:val="clear" w:color="auto" w:fill="auto"/>
            <w:noWrap/>
          </w:tcPr>
          <w:p w:rsidR="00DE2860" w:rsidRPr="00B32DD7" w:rsidRDefault="00DE2860" w:rsidP="00FF24CA">
            <w:pPr>
              <w:spacing w:after="0" w:line="240" w:lineRule="auto"/>
              <w:jc w:val="center"/>
              <w:rPr>
                <w:rFonts w:eastAsia="Times New Roman" w:cstheme="minorHAnsi"/>
                <w:color w:val="000000"/>
                <w:lang w:eastAsia="tr-TR"/>
              </w:rPr>
            </w:pPr>
            <w:r>
              <w:rPr>
                <w:rFonts w:ascii="Tahoma" w:hAnsi="Tahoma" w:cs="Tahoma"/>
                <w:color w:val="000000"/>
                <w:sz w:val="20"/>
                <w:szCs w:val="20"/>
              </w:rPr>
              <w:t>0,03</w:t>
            </w:r>
          </w:p>
        </w:tc>
      </w:tr>
      <w:tr w:rsidR="00DE2860" w:rsidRPr="00B32DD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rsidR="00DE2860" w:rsidRPr="00B32DD7" w:rsidRDefault="00DE2860" w:rsidP="00FF24CA">
            <w:pPr>
              <w:spacing w:after="0" w:line="240" w:lineRule="auto"/>
              <w:rPr>
                <w:rFonts w:eastAsia="Times New Roman" w:cstheme="minorHAnsi"/>
                <w:color w:val="000000"/>
                <w:lang w:eastAsia="tr-TR"/>
              </w:rPr>
            </w:pPr>
            <w:r>
              <w:rPr>
                <w:rFonts w:ascii="Tahoma" w:hAnsi="Tahoma" w:cs="Tahoma"/>
                <w:color w:val="000000"/>
                <w:sz w:val="20"/>
                <w:szCs w:val="20"/>
              </w:rPr>
              <w:t>BATMAN</w:t>
            </w:r>
          </w:p>
        </w:tc>
        <w:tc>
          <w:tcPr>
            <w:tcW w:w="2130" w:type="dxa"/>
            <w:tcBorders>
              <w:top w:val="nil"/>
              <w:left w:val="nil"/>
              <w:bottom w:val="single" w:sz="4" w:space="0" w:color="D3D3D3"/>
              <w:right w:val="single" w:sz="4" w:space="0" w:color="D3D3D3"/>
            </w:tcBorders>
            <w:shd w:val="clear" w:color="auto" w:fill="auto"/>
            <w:noWrap/>
          </w:tcPr>
          <w:p w:rsidR="00DE2860" w:rsidRPr="00B32DD7" w:rsidRDefault="00DE2860" w:rsidP="00FF24CA">
            <w:pPr>
              <w:spacing w:after="0" w:line="240" w:lineRule="auto"/>
              <w:jc w:val="right"/>
              <w:rPr>
                <w:rFonts w:eastAsia="Times New Roman" w:cstheme="minorHAnsi"/>
                <w:color w:val="000000"/>
                <w:lang w:eastAsia="tr-TR"/>
              </w:rPr>
            </w:pPr>
            <w:r>
              <w:rPr>
                <w:rFonts w:ascii="Tahoma" w:hAnsi="Tahoma" w:cs="Tahoma"/>
                <w:color w:val="000000"/>
                <w:sz w:val="20"/>
                <w:szCs w:val="20"/>
              </w:rPr>
              <w:t>676,00</w:t>
            </w:r>
          </w:p>
        </w:tc>
        <w:tc>
          <w:tcPr>
            <w:tcW w:w="3747" w:type="dxa"/>
            <w:tcBorders>
              <w:top w:val="nil"/>
              <w:left w:val="nil"/>
              <w:bottom w:val="single" w:sz="4" w:space="0" w:color="D3D3D3"/>
              <w:right w:val="single" w:sz="4" w:space="0" w:color="D3D3D3"/>
            </w:tcBorders>
            <w:shd w:val="clear" w:color="auto" w:fill="auto"/>
            <w:noWrap/>
          </w:tcPr>
          <w:p w:rsidR="00DE2860" w:rsidRPr="00B32DD7" w:rsidRDefault="00DE2860" w:rsidP="00FF24CA">
            <w:pPr>
              <w:spacing w:after="0" w:line="240" w:lineRule="auto"/>
              <w:jc w:val="center"/>
              <w:rPr>
                <w:rFonts w:eastAsia="Times New Roman" w:cstheme="minorHAnsi"/>
                <w:color w:val="000000"/>
                <w:lang w:eastAsia="tr-TR"/>
              </w:rPr>
            </w:pPr>
            <w:r>
              <w:rPr>
                <w:rFonts w:ascii="Tahoma" w:hAnsi="Tahoma" w:cs="Tahoma"/>
                <w:color w:val="000000"/>
                <w:sz w:val="20"/>
                <w:szCs w:val="20"/>
              </w:rPr>
              <w:t>0,09</w:t>
            </w:r>
          </w:p>
        </w:tc>
      </w:tr>
      <w:tr w:rsidR="00DE2860" w:rsidRPr="00B32DD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rsidR="00DE2860" w:rsidRPr="00B32DD7" w:rsidRDefault="00DE2860" w:rsidP="00FF24CA">
            <w:pPr>
              <w:spacing w:after="0" w:line="240" w:lineRule="auto"/>
              <w:rPr>
                <w:rFonts w:eastAsia="Times New Roman" w:cstheme="minorHAnsi"/>
                <w:color w:val="000000"/>
                <w:lang w:eastAsia="tr-TR"/>
              </w:rPr>
            </w:pPr>
            <w:r>
              <w:rPr>
                <w:rFonts w:ascii="Tahoma" w:hAnsi="Tahoma" w:cs="Tahoma"/>
                <w:color w:val="000000"/>
                <w:sz w:val="20"/>
                <w:szCs w:val="20"/>
              </w:rPr>
              <w:t>BURDUR</w:t>
            </w:r>
          </w:p>
        </w:tc>
        <w:tc>
          <w:tcPr>
            <w:tcW w:w="2130" w:type="dxa"/>
            <w:tcBorders>
              <w:top w:val="nil"/>
              <w:left w:val="nil"/>
              <w:bottom w:val="single" w:sz="4" w:space="0" w:color="D3D3D3"/>
              <w:right w:val="single" w:sz="4" w:space="0" w:color="D3D3D3"/>
            </w:tcBorders>
            <w:shd w:val="clear" w:color="auto" w:fill="auto"/>
            <w:noWrap/>
          </w:tcPr>
          <w:p w:rsidR="00DE2860" w:rsidRPr="00B32DD7" w:rsidRDefault="00DE2860" w:rsidP="00FF24CA">
            <w:pPr>
              <w:spacing w:after="0" w:line="240" w:lineRule="auto"/>
              <w:jc w:val="right"/>
              <w:rPr>
                <w:rFonts w:eastAsia="Times New Roman" w:cstheme="minorHAnsi"/>
                <w:color w:val="000000"/>
                <w:lang w:eastAsia="tr-TR"/>
              </w:rPr>
            </w:pPr>
            <w:r>
              <w:rPr>
                <w:rFonts w:ascii="Tahoma" w:hAnsi="Tahoma" w:cs="Tahoma"/>
                <w:color w:val="000000"/>
                <w:sz w:val="20"/>
                <w:szCs w:val="20"/>
              </w:rPr>
              <w:t>625,00</w:t>
            </w:r>
          </w:p>
        </w:tc>
        <w:tc>
          <w:tcPr>
            <w:tcW w:w="3747" w:type="dxa"/>
            <w:tcBorders>
              <w:top w:val="nil"/>
              <w:left w:val="nil"/>
              <w:bottom w:val="single" w:sz="4" w:space="0" w:color="D3D3D3"/>
              <w:right w:val="single" w:sz="4" w:space="0" w:color="D3D3D3"/>
            </w:tcBorders>
            <w:shd w:val="clear" w:color="auto" w:fill="auto"/>
            <w:noWrap/>
          </w:tcPr>
          <w:p w:rsidR="00DE2860" w:rsidRPr="00B32DD7" w:rsidRDefault="00DE2860" w:rsidP="00FF24CA">
            <w:pPr>
              <w:spacing w:after="0" w:line="240" w:lineRule="auto"/>
              <w:jc w:val="center"/>
              <w:rPr>
                <w:rFonts w:eastAsia="Times New Roman" w:cstheme="minorHAnsi"/>
                <w:color w:val="000000"/>
                <w:lang w:eastAsia="tr-TR"/>
              </w:rPr>
            </w:pPr>
            <w:r>
              <w:rPr>
                <w:rFonts w:ascii="Tahoma" w:hAnsi="Tahoma" w:cs="Tahoma"/>
                <w:color w:val="000000"/>
                <w:sz w:val="20"/>
                <w:szCs w:val="20"/>
              </w:rPr>
              <w:t>0,08</w:t>
            </w:r>
          </w:p>
        </w:tc>
      </w:tr>
      <w:tr w:rsidR="00DE2860" w:rsidRPr="00B32DD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rsidR="00DE2860" w:rsidRPr="00B32DD7" w:rsidRDefault="00DE2860" w:rsidP="00FF24CA">
            <w:pPr>
              <w:spacing w:after="0" w:line="240" w:lineRule="auto"/>
              <w:rPr>
                <w:rFonts w:eastAsia="Times New Roman" w:cstheme="minorHAnsi"/>
                <w:color w:val="000000"/>
                <w:lang w:eastAsia="tr-TR"/>
              </w:rPr>
            </w:pPr>
            <w:r>
              <w:rPr>
                <w:rFonts w:ascii="Tahoma" w:hAnsi="Tahoma" w:cs="Tahoma"/>
                <w:color w:val="000000"/>
                <w:sz w:val="20"/>
                <w:szCs w:val="20"/>
              </w:rPr>
              <w:t>BURSA</w:t>
            </w:r>
          </w:p>
        </w:tc>
        <w:tc>
          <w:tcPr>
            <w:tcW w:w="2130" w:type="dxa"/>
            <w:tcBorders>
              <w:top w:val="nil"/>
              <w:left w:val="nil"/>
              <w:bottom w:val="single" w:sz="4" w:space="0" w:color="D3D3D3"/>
              <w:right w:val="single" w:sz="4" w:space="0" w:color="D3D3D3"/>
            </w:tcBorders>
            <w:shd w:val="clear" w:color="auto" w:fill="auto"/>
            <w:noWrap/>
          </w:tcPr>
          <w:p w:rsidR="00DE2860" w:rsidRPr="00B32DD7" w:rsidRDefault="00DE2860" w:rsidP="00FF24CA">
            <w:pPr>
              <w:spacing w:after="0" w:line="240" w:lineRule="auto"/>
              <w:jc w:val="right"/>
              <w:rPr>
                <w:rFonts w:eastAsia="Times New Roman" w:cstheme="minorHAnsi"/>
                <w:color w:val="000000"/>
                <w:lang w:eastAsia="tr-TR"/>
              </w:rPr>
            </w:pPr>
            <w:r>
              <w:rPr>
                <w:rFonts w:ascii="Tahoma" w:hAnsi="Tahoma" w:cs="Tahoma"/>
                <w:color w:val="000000"/>
                <w:sz w:val="20"/>
                <w:szCs w:val="20"/>
              </w:rPr>
              <w:t>265,00</w:t>
            </w:r>
          </w:p>
        </w:tc>
        <w:tc>
          <w:tcPr>
            <w:tcW w:w="3747" w:type="dxa"/>
            <w:tcBorders>
              <w:top w:val="nil"/>
              <w:left w:val="nil"/>
              <w:bottom w:val="single" w:sz="4" w:space="0" w:color="D3D3D3"/>
              <w:right w:val="single" w:sz="4" w:space="0" w:color="D3D3D3"/>
            </w:tcBorders>
            <w:shd w:val="clear" w:color="auto" w:fill="auto"/>
            <w:noWrap/>
          </w:tcPr>
          <w:p w:rsidR="00DE2860" w:rsidRPr="00B32DD7" w:rsidRDefault="00DE2860" w:rsidP="00FF24CA">
            <w:pPr>
              <w:spacing w:after="0" w:line="240" w:lineRule="auto"/>
              <w:jc w:val="center"/>
              <w:rPr>
                <w:rFonts w:eastAsia="Times New Roman" w:cstheme="minorHAnsi"/>
                <w:color w:val="000000"/>
                <w:lang w:eastAsia="tr-TR"/>
              </w:rPr>
            </w:pPr>
            <w:r>
              <w:rPr>
                <w:rFonts w:ascii="Tahoma" w:hAnsi="Tahoma" w:cs="Tahoma"/>
                <w:color w:val="000000"/>
                <w:sz w:val="20"/>
                <w:szCs w:val="20"/>
              </w:rPr>
              <w:t>0,03</w:t>
            </w:r>
          </w:p>
        </w:tc>
      </w:tr>
      <w:tr w:rsidR="00DE2860" w:rsidRPr="00B32DD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rsidR="00DE2860" w:rsidRPr="00B32DD7" w:rsidRDefault="00DE2860" w:rsidP="00FF24CA">
            <w:pPr>
              <w:spacing w:after="0" w:line="240" w:lineRule="auto"/>
              <w:rPr>
                <w:rFonts w:eastAsia="Times New Roman" w:cstheme="minorHAnsi"/>
                <w:color w:val="000000"/>
                <w:lang w:eastAsia="tr-TR"/>
              </w:rPr>
            </w:pPr>
            <w:r>
              <w:rPr>
                <w:rFonts w:ascii="Tahoma" w:hAnsi="Tahoma" w:cs="Tahoma"/>
                <w:color w:val="000000"/>
                <w:sz w:val="20"/>
                <w:szCs w:val="20"/>
              </w:rPr>
              <w:t>ÇANKIRI</w:t>
            </w:r>
          </w:p>
        </w:tc>
        <w:tc>
          <w:tcPr>
            <w:tcW w:w="2130" w:type="dxa"/>
            <w:tcBorders>
              <w:top w:val="nil"/>
              <w:left w:val="nil"/>
              <w:bottom w:val="single" w:sz="4" w:space="0" w:color="D3D3D3"/>
              <w:right w:val="single" w:sz="4" w:space="0" w:color="D3D3D3"/>
            </w:tcBorders>
            <w:shd w:val="clear" w:color="auto" w:fill="auto"/>
            <w:noWrap/>
          </w:tcPr>
          <w:p w:rsidR="00DE2860" w:rsidRPr="00B32DD7" w:rsidRDefault="00DE2860" w:rsidP="00FF24CA">
            <w:pPr>
              <w:spacing w:after="0" w:line="240" w:lineRule="auto"/>
              <w:jc w:val="right"/>
              <w:rPr>
                <w:rFonts w:eastAsia="Times New Roman" w:cstheme="minorHAnsi"/>
                <w:color w:val="000000"/>
                <w:lang w:eastAsia="tr-TR"/>
              </w:rPr>
            </w:pPr>
            <w:r>
              <w:rPr>
                <w:rFonts w:ascii="Tahoma" w:hAnsi="Tahoma" w:cs="Tahoma"/>
                <w:color w:val="000000"/>
                <w:sz w:val="20"/>
                <w:szCs w:val="20"/>
              </w:rPr>
              <w:t>360,00</w:t>
            </w:r>
          </w:p>
        </w:tc>
        <w:tc>
          <w:tcPr>
            <w:tcW w:w="3747" w:type="dxa"/>
            <w:tcBorders>
              <w:top w:val="nil"/>
              <w:left w:val="nil"/>
              <w:bottom w:val="single" w:sz="4" w:space="0" w:color="D3D3D3"/>
              <w:right w:val="single" w:sz="4" w:space="0" w:color="D3D3D3"/>
            </w:tcBorders>
            <w:shd w:val="clear" w:color="auto" w:fill="auto"/>
            <w:noWrap/>
          </w:tcPr>
          <w:p w:rsidR="00DE2860" w:rsidRPr="00B32DD7" w:rsidRDefault="00DE2860" w:rsidP="00FF24CA">
            <w:pPr>
              <w:spacing w:after="0" w:line="240" w:lineRule="auto"/>
              <w:jc w:val="center"/>
              <w:rPr>
                <w:rFonts w:eastAsia="Times New Roman" w:cstheme="minorHAnsi"/>
                <w:color w:val="000000"/>
                <w:lang w:eastAsia="tr-TR"/>
              </w:rPr>
            </w:pPr>
            <w:r>
              <w:rPr>
                <w:rFonts w:ascii="Tahoma" w:hAnsi="Tahoma" w:cs="Tahoma"/>
                <w:color w:val="000000"/>
                <w:sz w:val="20"/>
                <w:szCs w:val="20"/>
              </w:rPr>
              <w:t>0,05</w:t>
            </w:r>
          </w:p>
        </w:tc>
      </w:tr>
      <w:tr w:rsidR="00DE2860" w:rsidRPr="00B32DD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rsidR="00DE2860" w:rsidRPr="00B32DD7" w:rsidRDefault="00DE2860" w:rsidP="00FF24CA">
            <w:pPr>
              <w:spacing w:after="0" w:line="240" w:lineRule="auto"/>
              <w:rPr>
                <w:rFonts w:eastAsia="Times New Roman" w:cstheme="minorHAnsi"/>
                <w:color w:val="000000"/>
                <w:lang w:eastAsia="tr-TR"/>
              </w:rPr>
            </w:pPr>
            <w:r>
              <w:rPr>
                <w:rFonts w:ascii="Tahoma" w:hAnsi="Tahoma" w:cs="Tahoma"/>
                <w:color w:val="000000"/>
                <w:sz w:val="20"/>
                <w:szCs w:val="20"/>
              </w:rPr>
              <w:t>ÇORUM</w:t>
            </w:r>
          </w:p>
        </w:tc>
        <w:tc>
          <w:tcPr>
            <w:tcW w:w="2130" w:type="dxa"/>
            <w:tcBorders>
              <w:top w:val="nil"/>
              <w:left w:val="nil"/>
              <w:bottom w:val="single" w:sz="4" w:space="0" w:color="D3D3D3"/>
              <w:right w:val="single" w:sz="4" w:space="0" w:color="D3D3D3"/>
            </w:tcBorders>
            <w:shd w:val="clear" w:color="auto" w:fill="auto"/>
            <w:noWrap/>
          </w:tcPr>
          <w:p w:rsidR="00DE2860" w:rsidRPr="00B32DD7" w:rsidRDefault="00DE2860" w:rsidP="00FF24CA">
            <w:pPr>
              <w:spacing w:after="0" w:line="240" w:lineRule="auto"/>
              <w:jc w:val="right"/>
              <w:rPr>
                <w:rFonts w:eastAsia="Times New Roman" w:cstheme="minorHAnsi"/>
                <w:color w:val="000000"/>
                <w:lang w:eastAsia="tr-TR"/>
              </w:rPr>
            </w:pPr>
            <w:r>
              <w:rPr>
                <w:rFonts w:ascii="Tahoma" w:hAnsi="Tahoma" w:cs="Tahoma"/>
                <w:color w:val="000000"/>
                <w:sz w:val="20"/>
                <w:szCs w:val="20"/>
              </w:rPr>
              <w:t>700,00</w:t>
            </w:r>
          </w:p>
        </w:tc>
        <w:tc>
          <w:tcPr>
            <w:tcW w:w="3747" w:type="dxa"/>
            <w:tcBorders>
              <w:top w:val="nil"/>
              <w:left w:val="nil"/>
              <w:bottom w:val="single" w:sz="4" w:space="0" w:color="D3D3D3"/>
              <w:right w:val="single" w:sz="4" w:space="0" w:color="D3D3D3"/>
            </w:tcBorders>
            <w:shd w:val="clear" w:color="auto" w:fill="auto"/>
            <w:noWrap/>
          </w:tcPr>
          <w:p w:rsidR="00DE2860" w:rsidRPr="00B32DD7" w:rsidRDefault="00DE2860" w:rsidP="00FF24CA">
            <w:pPr>
              <w:spacing w:after="0" w:line="240" w:lineRule="auto"/>
              <w:jc w:val="center"/>
              <w:rPr>
                <w:rFonts w:eastAsia="Times New Roman" w:cstheme="minorHAnsi"/>
                <w:color w:val="000000"/>
                <w:lang w:eastAsia="tr-TR"/>
              </w:rPr>
            </w:pPr>
            <w:r>
              <w:rPr>
                <w:rFonts w:ascii="Tahoma" w:hAnsi="Tahoma" w:cs="Tahoma"/>
                <w:color w:val="000000"/>
                <w:sz w:val="20"/>
                <w:szCs w:val="20"/>
              </w:rPr>
              <w:t>0,09</w:t>
            </w:r>
          </w:p>
        </w:tc>
      </w:tr>
      <w:tr w:rsidR="00DE2860" w:rsidRPr="00B32DD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rsidR="00DE2860" w:rsidRPr="00B32DD7" w:rsidRDefault="00DE2860" w:rsidP="00FF24CA">
            <w:pPr>
              <w:spacing w:after="0" w:line="240" w:lineRule="auto"/>
              <w:rPr>
                <w:rFonts w:eastAsia="Times New Roman" w:cstheme="minorHAnsi"/>
                <w:color w:val="000000"/>
                <w:lang w:eastAsia="tr-TR"/>
              </w:rPr>
            </w:pPr>
            <w:r>
              <w:rPr>
                <w:rFonts w:ascii="Tahoma" w:hAnsi="Tahoma" w:cs="Tahoma"/>
                <w:color w:val="000000"/>
                <w:sz w:val="20"/>
                <w:szCs w:val="20"/>
              </w:rPr>
              <w:t>DİYARBAKIR</w:t>
            </w:r>
          </w:p>
        </w:tc>
        <w:tc>
          <w:tcPr>
            <w:tcW w:w="2130" w:type="dxa"/>
            <w:tcBorders>
              <w:top w:val="nil"/>
              <w:left w:val="nil"/>
              <w:bottom w:val="single" w:sz="4" w:space="0" w:color="D3D3D3"/>
              <w:right w:val="single" w:sz="4" w:space="0" w:color="D3D3D3"/>
            </w:tcBorders>
            <w:shd w:val="clear" w:color="auto" w:fill="auto"/>
            <w:noWrap/>
          </w:tcPr>
          <w:p w:rsidR="00DE2860" w:rsidRPr="00B32DD7" w:rsidRDefault="00DE2860" w:rsidP="00FF24CA">
            <w:pPr>
              <w:spacing w:after="0" w:line="240" w:lineRule="auto"/>
              <w:jc w:val="right"/>
              <w:rPr>
                <w:rFonts w:eastAsia="Times New Roman" w:cstheme="minorHAnsi"/>
                <w:color w:val="000000"/>
                <w:lang w:eastAsia="tr-TR"/>
              </w:rPr>
            </w:pPr>
            <w:r>
              <w:rPr>
                <w:rFonts w:ascii="Tahoma" w:hAnsi="Tahoma" w:cs="Tahoma"/>
                <w:color w:val="000000"/>
                <w:sz w:val="20"/>
                <w:szCs w:val="20"/>
              </w:rPr>
              <w:t>2.595,00</w:t>
            </w:r>
          </w:p>
        </w:tc>
        <w:tc>
          <w:tcPr>
            <w:tcW w:w="3747" w:type="dxa"/>
            <w:tcBorders>
              <w:top w:val="nil"/>
              <w:left w:val="nil"/>
              <w:bottom w:val="single" w:sz="4" w:space="0" w:color="D3D3D3"/>
              <w:right w:val="single" w:sz="4" w:space="0" w:color="D3D3D3"/>
            </w:tcBorders>
            <w:shd w:val="clear" w:color="auto" w:fill="auto"/>
            <w:noWrap/>
          </w:tcPr>
          <w:p w:rsidR="00DE2860" w:rsidRPr="00B32DD7" w:rsidRDefault="00DE2860" w:rsidP="00FF24CA">
            <w:pPr>
              <w:spacing w:after="0" w:line="240" w:lineRule="auto"/>
              <w:jc w:val="center"/>
              <w:rPr>
                <w:rFonts w:eastAsia="Times New Roman" w:cstheme="minorHAnsi"/>
                <w:color w:val="000000"/>
                <w:lang w:eastAsia="tr-TR"/>
              </w:rPr>
            </w:pPr>
            <w:r>
              <w:rPr>
                <w:rFonts w:ascii="Tahoma" w:hAnsi="Tahoma" w:cs="Tahoma"/>
                <w:color w:val="000000"/>
                <w:sz w:val="20"/>
                <w:szCs w:val="20"/>
              </w:rPr>
              <w:t>0,3</w:t>
            </w:r>
            <w:r w:rsidR="00CB73EB">
              <w:rPr>
                <w:rFonts w:ascii="Tahoma" w:hAnsi="Tahoma" w:cs="Tahoma"/>
                <w:color w:val="000000"/>
                <w:sz w:val="20"/>
                <w:szCs w:val="20"/>
              </w:rPr>
              <w:t>3</w:t>
            </w:r>
          </w:p>
        </w:tc>
      </w:tr>
      <w:tr w:rsidR="00DE2860" w:rsidRPr="00B32DD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rsidR="00DE2860" w:rsidRPr="00B32DD7" w:rsidRDefault="00DE2860" w:rsidP="00FF24CA">
            <w:pPr>
              <w:spacing w:after="0" w:line="240" w:lineRule="auto"/>
              <w:rPr>
                <w:rFonts w:eastAsia="Times New Roman" w:cstheme="minorHAnsi"/>
                <w:color w:val="000000"/>
                <w:lang w:eastAsia="tr-TR"/>
              </w:rPr>
            </w:pPr>
            <w:r>
              <w:rPr>
                <w:rFonts w:ascii="Tahoma" w:hAnsi="Tahoma" w:cs="Tahoma"/>
                <w:color w:val="000000"/>
                <w:sz w:val="20"/>
                <w:szCs w:val="20"/>
              </w:rPr>
              <w:t>ELAZIĞ</w:t>
            </w:r>
          </w:p>
        </w:tc>
        <w:tc>
          <w:tcPr>
            <w:tcW w:w="2130" w:type="dxa"/>
            <w:tcBorders>
              <w:top w:val="nil"/>
              <w:left w:val="nil"/>
              <w:bottom w:val="single" w:sz="4" w:space="0" w:color="D3D3D3"/>
              <w:right w:val="single" w:sz="4" w:space="0" w:color="D3D3D3"/>
            </w:tcBorders>
            <w:shd w:val="clear" w:color="auto" w:fill="auto"/>
            <w:noWrap/>
          </w:tcPr>
          <w:p w:rsidR="00DE2860" w:rsidRPr="00B32DD7" w:rsidRDefault="00DE2860" w:rsidP="00FF24CA">
            <w:pPr>
              <w:spacing w:after="0" w:line="240" w:lineRule="auto"/>
              <w:jc w:val="right"/>
              <w:rPr>
                <w:rFonts w:eastAsia="Times New Roman" w:cstheme="minorHAnsi"/>
                <w:color w:val="000000"/>
                <w:lang w:eastAsia="tr-TR"/>
              </w:rPr>
            </w:pPr>
            <w:r>
              <w:rPr>
                <w:rFonts w:ascii="Tahoma" w:hAnsi="Tahoma" w:cs="Tahoma"/>
                <w:color w:val="000000"/>
                <w:sz w:val="20"/>
                <w:szCs w:val="20"/>
              </w:rPr>
              <w:t>575,00</w:t>
            </w:r>
          </w:p>
        </w:tc>
        <w:tc>
          <w:tcPr>
            <w:tcW w:w="3747" w:type="dxa"/>
            <w:tcBorders>
              <w:top w:val="nil"/>
              <w:left w:val="nil"/>
              <w:bottom w:val="single" w:sz="4" w:space="0" w:color="D3D3D3"/>
              <w:right w:val="single" w:sz="4" w:space="0" w:color="D3D3D3"/>
            </w:tcBorders>
            <w:shd w:val="clear" w:color="auto" w:fill="auto"/>
            <w:noWrap/>
          </w:tcPr>
          <w:p w:rsidR="00DE2860" w:rsidRPr="00B32DD7" w:rsidRDefault="00DE2860" w:rsidP="00FF24CA">
            <w:pPr>
              <w:spacing w:after="0" w:line="240" w:lineRule="auto"/>
              <w:jc w:val="center"/>
              <w:rPr>
                <w:rFonts w:eastAsia="Times New Roman" w:cstheme="minorHAnsi"/>
                <w:color w:val="000000"/>
                <w:lang w:eastAsia="tr-TR"/>
              </w:rPr>
            </w:pPr>
            <w:r>
              <w:rPr>
                <w:rFonts w:ascii="Tahoma" w:hAnsi="Tahoma" w:cs="Tahoma"/>
                <w:color w:val="000000"/>
                <w:sz w:val="20"/>
                <w:szCs w:val="20"/>
              </w:rPr>
              <w:t>0,08</w:t>
            </w:r>
          </w:p>
        </w:tc>
      </w:tr>
      <w:tr w:rsidR="00DE2860" w:rsidRPr="00B32DD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rsidR="00DE2860" w:rsidRPr="00B32DD7" w:rsidRDefault="00DE2860" w:rsidP="00FF24CA">
            <w:pPr>
              <w:spacing w:after="0" w:line="240" w:lineRule="auto"/>
              <w:rPr>
                <w:rFonts w:eastAsia="Times New Roman" w:cstheme="minorHAnsi"/>
                <w:color w:val="000000"/>
                <w:lang w:eastAsia="tr-TR"/>
              </w:rPr>
            </w:pPr>
            <w:r>
              <w:rPr>
                <w:rFonts w:ascii="Tahoma" w:hAnsi="Tahoma" w:cs="Tahoma"/>
                <w:color w:val="000000"/>
                <w:sz w:val="20"/>
                <w:szCs w:val="20"/>
              </w:rPr>
              <w:t>ERZURUM</w:t>
            </w:r>
          </w:p>
        </w:tc>
        <w:tc>
          <w:tcPr>
            <w:tcW w:w="2130" w:type="dxa"/>
            <w:tcBorders>
              <w:top w:val="nil"/>
              <w:left w:val="nil"/>
              <w:bottom w:val="single" w:sz="4" w:space="0" w:color="D3D3D3"/>
              <w:right w:val="single" w:sz="4" w:space="0" w:color="D3D3D3"/>
            </w:tcBorders>
            <w:shd w:val="clear" w:color="auto" w:fill="auto"/>
            <w:noWrap/>
          </w:tcPr>
          <w:p w:rsidR="00DE2860" w:rsidRPr="00B32DD7" w:rsidRDefault="00DE2860" w:rsidP="00FF24CA">
            <w:pPr>
              <w:spacing w:after="0" w:line="240" w:lineRule="auto"/>
              <w:jc w:val="right"/>
              <w:rPr>
                <w:rFonts w:eastAsia="Times New Roman" w:cstheme="minorHAnsi"/>
                <w:color w:val="000000"/>
                <w:lang w:eastAsia="tr-TR"/>
              </w:rPr>
            </w:pPr>
            <w:r>
              <w:rPr>
                <w:rFonts w:ascii="Tahoma" w:hAnsi="Tahoma" w:cs="Tahoma"/>
                <w:color w:val="000000"/>
                <w:sz w:val="20"/>
                <w:szCs w:val="20"/>
              </w:rPr>
              <w:t>4.035,00</w:t>
            </w:r>
          </w:p>
        </w:tc>
        <w:tc>
          <w:tcPr>
            <w:tcW w:w="3747" w:type="dxa"/>
            <w:tcBorders>
              <w:top w:val="nil"/>
              <w:left w:val="nil"/>
              <w:bottom w:val="single" w:sz="4" w:space="0" w:color="D3D3D3"/>
              <w:right w:val="single" w:sz="4" w:space="0" w:color="D3D3D3"/>
            </w:tcBorders>
            <w:shd w:val="clear" w:color="auto" w:fill="auto"/>
            <w:noWrap/>
          </w:tcPr>
          <w:p w:rsidR="00DE2860" w:rsidRPr="00E6446B" w:rsidRDefault="00DE2860" w:rsidP="00FF24CA">
            <w:pPr>
              <w:spacing w:after="0" w:line="240" w:lineRule="auto"/>
              <w:jc w:val="center"/>
              <w:rPr>
                <w:rFonts w:ascii="Tahoma" w:hAnsi="Tahoma" w:cs="Tahoma"/>
                <w:color w:val="000000"/>
                <w:sz w:val="20"/>
                <w:szCs w:val="20"/>
              </w:rPr>
            </w:pPr>
            <w:r>
              <w:rPr>
                <w:rFonts w:ascii="Tahoma" w:hAnsi="Tahoma" w:cs="Tahoma"/>
                <w:color w:val="000000"/>
                <w:sz w:val="20"/>
                <w:szCs w:val="20"/>
              </w:rPr>
              <w:t>0,53</w:t>
            </w:r>
          </w:p>
        </w:tc>
      </w:tr>
      <w:tr w:rsidR="00DE2860" w:rsidRPr="00B32DD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rsidR="00DE2860" w:rsidRPr="00B32DD7" w:rsidRDefault="00DE2860" w:rsidP="00FF24CA">
            <w:pPr>
              <w:spacing w:after="0" w:line="240" w:lineRule="auto"/>
              <w:rPr>
                <w:rFonts w:eastAsia="Times New Roman" w:cstheme="minorHAnsi"/>
                <w:color w:val="000000"/>
                <w:lang w:eastAsia="tr-TR"/>
              </w:rPr>
            </w:pPr>
            <w:r>
              <w:rPr>
                <w:rFonts w:ascii="Tahoma" w:hAnsi="Tahoma" w:cs="Tahoma"/>
                <w:color w:val="000000"/>
                <w:sz w:val="20"/>
                <w:szCs w:val="20"/>
              </w:rPr>
              <w:t>ESKİŞEHİR</w:t>
            </w:r>
          </w:p>
        </w:tc>
        <w:tc>
          <w:tcPr>
            <w:tcW w:w="2130" w:type="dxa"/>
            <w:tcBorders>
              <w:top w:val="nil"/>
              <w:left w:val="nil"/>
              <w:bottom w:val="single" w:sz="4" w:space="0" w:color="D3D3D3"/>
              <w:right w:val="single" w:sz="4" w:space="0" w:color="D3D3D3"/>
            </w:tcBorders>
            <w:shd w:val="clear" w:color="auto" w:fill="auto"/>
            <w:noWrap/>
          </w:tcPr>
          <w:p w:rsidR="00DE2860" w:rsidRPr="00B32DD7" w:rsidRDefault="00DE2860" w:rsidP="00FF24CA">
            <w:pPr>
              <w:spacing w:after="0" w:line="240" w:lineRule="auto"/>
              <w:jc w:val="right"/>
              <w:rPr>
                <w:rFonts w:eastAsia="Times New Roman" w:cstheme="minorHAnsi"/>
                <w:color w:val="000000"/>
                <w:lang w:eastAsia="tr-TR"/>
              </w:rPr>
            </w:pPr>
            <w:r>
              <w:rPr>
                <w:rFonts w:ascii="Tahoma" w:hAnsi="Tahoma" w:cs="Tahoma"/>
                <w:color w:val="000000"/>
                <w:sz w:val="20"/>
                <w:szCs w:val="20"/>
              </w:rPr>
              <w:t>476,00</w:t>
            </w:r>
          </w:p>
        </w:tc>
        <w:tc>
          <w:tcPr>
            <w:tcW w:w="3747" w:type="dxa"/>
            <w:tcBorders>
              <w:top w:val="nil"/>
              <w:left w:val="nil"/>
              <w:bottom w:val="single" w:sz="4" w:space="0" w:color="D3D3D3"/>
              <w:right w:val="single" w:sz="4" w:space="0" w:color="D3D3D3"/>
            </w:tcBorders>
            <w:shd w:val="clear" w:color="auto" w:fill="auto"/>
            <w:noWrap/>
          </w:tcPr>
          <w:p w:rsidR="00DE2860" w:rsidRPr="00B32DD7" w:rsidRDefault="00DE2860" w:rsidP="00FF24CA">
            <w:pPr>
              <w:spacing w:after="0" w:line="240" w:lineRule="auto"/>
              <w:jc w:val="center"/>
              <w:rPr>
                <w:rFonts w:eastAsia="Times New Roman" w:cstheme="minorHAnsi"/>
                <w:color w:val="000000"/>
                <w:lang w:eastAsia="tr-TR"/>
              </w:rPr>
            </w:pPr>
            <w:r>
              <w:rPr>
                <w:rFonts w:ascii="Tahoma" w:hAnsi="Tahoma" w:cs="Tahoma"/>
                <w:color w:val="000000"/>
                <w:sz w:val="20"/>
                <w:szCs w:val="20"/>
              </w:rPr>
              <w:t>0,06</w:t>
            </w:r>
          </w:p>
        </w:tc>
      </w:tr>
      <w:tr w:rsidR="00DE2860" w:rsidRPr="00B32DD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rsidR="00DE2860" w:rsidRPr="00B32DD7" w:rsidRDefault="00DE2860" w:rsidP="00FF24CA">
            <w:pPr>
              <w:spacing w:after="0" w:line="240" w:lineRule="auto"/>
              <w:rPr>
                <w:rFonts w:eastAsia="Times New Roman" w:cstheme="minorHAnsi"/>
                <w:color w:val="000000"/>
                <w:lang w:eastAsia="tr-TR"/>
              </w:rPr>
            </w:pPr>
            <w:r>
              <w:rPr>
                <w:rFonts w:ascii="Tahoma" w:hAnsi="Tahoma" w:cs="Tahoma"/>
                <w:color w:val="000000"/>
                <w:sz w:val="20"/>
                <w:szCs w:val="20"/>
              </w:rPr>
              <w:t>GAZİANTEP</w:t>
            </w:r>
          </w:p>
        </w:tc>
        <w:tc>
          <w:tcPr>
            <w:tcW w:w="2130" w:type="dxa"/>
            <w:tcBorders>
              <w:top w:val="nil"/>
              <w:left w:val="nil"/>
              <w:bottom w:val="single" w:sz="4" w:space="0" w:color="D3D3D3"/>
              <w:right w:val="single" w:sz="4" w:space="0" w:color="D3D3D3"/>
            </w:tcBorders>
            <w:shd w:val="clear" w:color="auto" w:fill="auto"/>
            <w:noWrap/>
          </w:tcPr>
          <w:p w:rsidR="00DE2860" w:rsidRPr="00B32DD7" w:rsidRDefault="00DE2860" w:rsidP="00FF24CA">
            <w:pPr>
              <w:spacing w:after="0" w:line="240" w:lineRule="auto"/>
              <w:jc w:val="right"/>
              <w:rPr>
                <w:rFonts w:eastAsia="Times New Roman" w:cstheme="minorHAnsi"/>
                <w:color w:val="000000"/>
                <w:lang w:eastAsia="tr-TR"/>
              </w:rPr>
            </w:pPr>
            <w:r>
              <w:rPr>
                <w:rFonts w:ascii="Tahoma" w:hAnsi="Tahoma" w:cs="Tahoma"/>
                <w:color w:val="000000"/>
                <w:sz w:val="20"/>
                <w:szCs w:val="20"/>
              </w:rPr>
              <w:t>460,00</w:t>
            </w:r>
          </w:p>
        </w:tc>
        <w:tc>
          <w:tcPr>
            <w:tcW w:w="3747" w:type="dxa"/>
            <w:tcBorders>
              <w:top w:val="nil"/>
              <w:left w:val="nil"/>
              <w:bottom w:val="single" w:sz="4" w:space="0" w:color="D3D3D3"/>
              <w:right w:val="single" w:sz="4" w:space="0" w:color="D3D3D3"/>
            </w:tcBorders>
            <w:shd w:val="clear" w:color="auto" w:fill="auto"/>
            <w:noWrap/>
          </w:tcPr>
          <w:p w:rsidR="00DE2860" w:rsidRPr="00B32DD7" w:rsidRDefault="00DE2860" w:rsidP="00FF24CA">
            <w:pPr>
              <w:spacing w:after="0" w:line="240" w:lineRule="auto"/>
              <w:jc w:val="center"/>
              <w:rPr>
                <w:rFonts w:eastAsia="Times New Roman" w:cstheme="minorHAnsi"/>
                <w:color w:val="000000"/>
                <w:lang w:eastAsia="tr-TR"/>
              </w:rPr>
            </w:pPr>
            <w:r>
              <w:rPr>
                <w:rFonts w:ascii="Tahoma" w:hAnsi="Tahoma" w:cs="Tahoma"/>
                <w:color w:val="000000"/>
                <w:sz w:val="20"/>
                <w:szCs w:val="20"/>
              </w:rPr>
              <w:t>0,06</w:t>
            </w:r>
          </w:p>
        </w:tc>
      </w:tr>
      <w:tr w:rsidR="00DE2860" w:rsidRPr="00B32DD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rsidR="00DE2860" w:rsidRPr="00B32DD7" w:rsidRDefault="00DE2860" w:rsidP="00FF24CA">
            <w:pPr>
              <w:spacing w:after="0" w:line="240" w:lineRule="auto"/>
              <w:rPr>
                <w:rFonts w:eastAsia="Times New Roman" w:cstheme="minorHAnsi"/>
                <w:color w:val="000000"/>
                <w:lang w:eastAsia="tr-TR"/>
              </w:rPr>
            </w:pPr>
            <w:r>
              <w:rPr>
                <w:rFonts w:ascii="Tahoma" w:hAnsi="Tahoma" w:cs="Tahoma"/>
                <w:color w:val="000000"/>
                <w:sz w:val="20"/>
                <w:szCs w:val="20"/>
              </w:rPr>
              <w:t>GİRESUN</w:t>
            </w:r>
          </w:p>
        </w:tc>
        <w:tc>
          <w:tcPr>
            <w:tcW w:w="2130" w:type="dxa"/>
            <w:tcBorders>
              <w:top w:val="nil"/>
              <w:left w:val="nil"/>
              <w:bottom w:val="single" w:sz="4" w:space="0" w:color="D3D3D3"/>
              <w:right w:val="single" w:sz="4" w:space="0" w:color="D3D3D3"/>
            </w:tcBorders>
            <w:shd w:val="clear" w:color="auto" w:fill="auto"/>
            <w:noWrap/>
          </w:tcPr>
          <w:p w:rsidR="00DE2860" w:rsidRPr="00B32DD7" w:rsidRDefault="00DE2860" w:rsidP="00FF24CA">
            <w:pPr>
              <w:spacing w:after="0" w:line="240" w:lineRule="auto"/>
              <w:jc w:val="right"/>
              <w:rPr>
                <w:rFonts w:eastAsia="Times New Roman" w:cstheme="minorHAnsi"/>
                <w:color w:val="000000"/>
                <w:lang w:eastAsia="tr-TR"/>
              </w:rPr>
            </w:pPr>
            <w:r>
              <w:rPr>
                <w:rFonts w:ascii="Tahoma" w:hAnsi="Tahoma" w:cs="Tahoma"/>
                <w:color w:val="000000"/>
                <w:sz w:val="20"/>
                <w:szCs w:val="20"/>
              </w:rPr>
              <w:t>6.139,00</w:t>
            </w:r>
          </w:p>
        </w:tc>
        <w:tc>
          <w:tcPr>
            <w:tcW w:w="3747" w:type="dxa"/>
            <w:tcBorders>
              <w:top w:val="nil"/>
              <w:left w:val="nil"/>
              <w:bottom w:val="single" w:sz="4" w:space="0" w:color="D3D3D3"/>
              <w:right w:val="single" w:sz="4" w:space="0" w:color="D3D3D3"/>
            </w:tcBorders>
            <w:shd w:val="clear" w:color="auto" w:fill="auto"/>
            <w:noWrap/>
          </w:tcPr>
          <w:p w:rsidR="00DE2860" w:rsidRPr="00B32DD7" w:rsidRDefault="00DE2860" w:rsidP="00FF24CA">
            <w:pPr>
              <w:spacing w:after="0" w:line="240" w:lineRule="auto"/>
              <w:jc w:val="center"/>
              <w:rPr>
                <w:rFonts w:eastAsia="Times New Roman" w:cstheme="minorHAnsi"/>
                <w:color w:val="000000"/>
                <w:lang w:eastAsia="tr-TR"/>
              </w:rPr>
            </w:pPr>
            <w:r>
              <w:rPr>
                <w:rFonts w:ascii="Tahoma" w:hAnsi="Tahoma" w:cs="Tahoma"/>
                <w:color w:val="000000"/>
                <w:sz w:val="20"/>
                <w:szCs w:val="20"/>
              </w:rPr>
              <w:t>0,81</w:t>
            </w:r>
          </w:p>
        </w:tc>
      </w:tr>
      <w:tr w:rsidR="00DE2860" w:rsidRPr="00B32DD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rsidR="00DE2860" w:rsidRPr="00B32DD7" w:rsidRDefault="00DE2860" w:rsidP="00FF24CA">
            <w:pPr>
              <w:spacing w:after="0" w:line="240" w:lineRule="auto"/>
              <w:rPr>
                <w:rFonts w:eastAsia="Times New Roman" w:cstheme="minorHAnsi"/>
                <w:color w:val="000000"/>
                <w:lang w:eastAsia="tr-TR"/>
              </w:rPr>
            </w:pPr>
            <w:r>
              <w:rPr>
                <w:rFonts w:ascii="Tahoma" w:hAnsi="Tahoma" w:cs="Tahoma"/>
                <w:color w:val="000000"/>
                <w:sz w:val="20"/>
                <w:szCs w:val="20"/>
              </w:rPr>
              <w:t>HATAY</w:t>
            </w:r>
          </w:p>
        </w:tc>
        <w:tc>
          <w:tcPr>
            <w:tcW w:w="2130" w:type="dxa"/>
            <w:tcBorders>
              <w:top w:val="nil"/>
              <w:left w:val="nil"/>
              <w:bottom w:val="single" w:sz="4" w:space="0" w:color="D3D3D3"/>
              <w:right w:val="single" w:sz="4" w:space="0" w:color="D3D3D3"/>
            </w:tcBorders>
            <w:shd w:val="clear" w:color="auto" w:fill="auto"/>
            <w:noWrap/>
          </w:tcPr>
          <w:p w:rsidR="00DE2860" w:rsidRPr="00B32DD7" w:rsidRDefault="00DE2860" w:rsidP="00FF24CA">
            <w:pPr>
              <w:spacing w:after="0" w:line="240" w:lineRule="auto"/>
              <w:jc w:val="right"/>
              <w:rPr>
                <w:rFonts w:eastAsia="Times New Roman" w:cstheme="minorHAnsi"/>
                <w:color w:val="000000"/>
                <w:lang w:eastAsia="tr-TR"/>
              </w:rPr>
            </w:pPr>
            <w:r>
              <w:rPr>
                <w:rFonts w:ascii="Tahoma" w:hAnsi="Tahoma" w:cs="Tahoma"/>
                <w:color w:val="000000"/>
                <w:sz w:val="20"/>
                <w:szCs w:val="20"/>
              </w:rPr>
              <w:t>219.800,00</w:t>
            </w:r>
          </w:p>
        </w:tc>
        <w:tc>
          <w:tcPr>
            <w:tcW w:w="3747" w:type="dxa"/>
            <w:tcBorders>
              <w:top w:val="nil"/>
              <w:left w:val="nil"/>
              <w:bottom w:val="single" w:sz="4" w:space="0" w:color="D3D3D3"/>
              <w:right w:val="single" w:sz="4" w:space="0" w:color="D3D3D3"/>
            </w:tcBorders>
            <w:shd w:val="clear" w:color="auto" w:fill="auto"/>
            <w:noWrap/>
          </w:tcPr>
          <w:p w:rsidR="00DE2860" w:rsidRPr="00B32DD7" w:rsidRDefault="00DE2860" w:rsidP="00FF24CA">
            <w:pPr>
              <w:spacing w:after="0" w:line="240" w:lineRule="auto"/>
              <w:jc w:val="center"/>
              <w:rPr>
                <w:rFonts w:eastAsia="Times New Roman" w:cstheme="minorHAnsi"/>
                <w:color w:val="000000"/>
                <w:lang w:eastAsia="tr-TR"/>
              </w:rPr>
            </w:pPr>
            <w:r>
              <w:rPr>
                <w:rFonts w:ascii="Tahoma" w:hAnsi="Tahoma" w:cs="Tahoma"/>
                <w:color w:val="000000"/>
                <w:sz w:val="20"/>
                <w:szCs w:val="20"/>
              </w:rPr>
              <w:t>28,91</w:t>
            </w:r>
          </w:p>
        </w:tc>
      </w:tr>
      <w:tr w:rsidR="00DE2860" w:rsidRPr="00B32DD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rsidR="00DE2860" w:rsidRPr="00B32DD7" w:rsidRDefault="00DE2860" w:rsidP="00FF24CA">
            <w:pPr>
              <w:spacing w:after="0" w:line="240" w:lineRule="auto"/>
              <w:rPr>
                <w:rFonts w:eastAsia="Times New Roman" w:cstheme="minorHAnsi"/>
                <w:color w:val="000000"/>
                <w:lang w:eastAsia="tr-TR"/>
              </w:rPr>
            </w:pPr>
            <w:r>
              <w:rPr>
                <w:rFonts w:ascii="Tahoma" w:hAnsi="Tahoma" w:cs="Tahoma"/>
                <w:color w:val="000000"/>
                <w:sz w:val="20"/>
                <w:szCs w:val="20"/>
              </w:rPr>
              <w:t>ISPARTA</w:t>
            </w:r>
          </w:p>
        </w:tc>
        <w:tc>
          <w:tcPr>
            <w:tcW w:w="2130" w:type="dxa"/>
            <w:tcBorders>
              <w:top w:val="nil"/>
              <w:left w:val="nil"/>
              <w:bottom w:val="single" w:sz="4" w:space="0" w:color="D3D3D3"/>
              <w:right w:val="single" w:sz="4" w:space="0" w:color="D3D3D3"/>
            </w:tcBorders>
            <w:shd w:val="clear" w:color="auto" w:fill="auto"/>
            <w:noWrap/>
          </w:tcPr>
          <w:p w:rsidR="00DE2860" w:rsidRPr="00B32DD7" w:rsidRDefault="00DE2860" w:rsidP="00FF24CA">
            <w:pPr>
              <w:spacing w:after="0" w:line="240" w:lineRule="auto"/>
              <w:jc w:val="right"/>
              <w:rPr>
                <w:rFonts w:eastAsia="Times New Roman" w:cstheme="minorHAnsi"/>
                <w:color w:val="000000"/>
                <w:lang w:eastAsia="tr-TR"/>
              </w:rPr>
            </w:pPr>
            <w:r>
              <w:rPr>
                <w:rFonts w:ascii="Tahoma" w:hAnsi="Tahoma" w:cs="Tahoma"/>
                <w:color w:val="000000"/>
                <w:sz w:val="20"/>
                <w:szCs w:val="20"/>
              </w:rPr>
              <w:t>1.755,00</w:t>
            </w:r>
          </w:p>
        </w:tc>
        <w:tc>
          <w:tcPr>
            <w:tcW w:w="3747" w:type="dxa"/>
            <w:tcBorders>
              <w:top w:val="nil"/>
              <w:left w:val="nil"/>
              <w:bottom w:val="single" w:sz="4" w:space="0" w:color="D3D3D3"/>
              <w:right w:val="single" w:sz="4" w:space="0" w:color="D3D3D3"/>
            </w:tcBorders>
            <w:shd w:val="clear" w:color="auto" w:fill="auto"/>
            <w:noWrap/>
          </w:tcPr>
          <w:p w:rsidR="00DE2860" w:rsidRPr="00B32DD7" w:rsidRDefault="00DE2860" w:rsidP="00FF24CA">
            <w:pPr>
              <w:spacing w:after="0" w:line="240" w:lineRule="auto"/>
              <w:jc w:val="center"/>
              <w:rPr>
                <w:rFonts w:eastAsia="Times New Roman" w:cstheme="minorHAnsi"/>
                <w:color w:val="000000"/>
                <w:lang w:eastAsia="tr-TR"/>
              </w:rPr>
            </w:pPr>
            <w:r>
              <w:rPr>
                <w:rFonts w:ascii="Tahoma" w:hAnsi="Tahoma" w:cs="Tahoma"/>
                <w:color w:val="000000"/>
                <w:sz w:val="20"/>
                <w:szCs w:val="20"/>
              </w:rPr>
              <w:t>0,23</w:t>
            </w:r>
          </w:p>
        </w:tc>
      </w:tr>
      <w:tr w:rsidR="00DE2860" w:rsidRPr="00B32DD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rsidR="00DE2860" w:rsidRPr="00B32DD7" w:rsidRDefault="00DE2860" w:rsidP="00FF24CA">
            <w:pPr>
              <w:spacing w:after="0" w:line="240" w:lineRule="auto"/>
              <w:rPr>
                <w:rFonts w:eastAsia="Times New Roman" w:cstheme="minorHAnsi"/>
                <w:color w:val="000000"/>
                <w:lang w:eastAsia="tr-TR"/>
              </w:rPr>
            </w:pPr>
            <w:r>
              <w:rPr>
                <w:rFonts w:ascii="Tahoma" w:hAnsi="Tahoma" w:cs="Tahoma"/>
                <w:color w:val="000000"/>
                <w:sz w:val="20"/>
                <w:szCs w:val="20"/>
              </w:rPr>
              <w:t>İSTANBUL</w:t>
            </w:r>
          </w:p>
        </w:tc>
        <w:tc>
          <w:tcPr>
            <w:tcW w:w="2130" w:type="dxa"/>
            <w:tcBorders>
              <w:top w:val="nil"/>
              <w:left w:val="nil"/>
              <w:bottom w:val="single" w:sz="4" w:space="0" w:color="D3D3D3"/>
              <w:right w:val="single" w:sz="4" w:space="0" w:color="D3D3D3"/>
            </w:tcBorders>
            <w:shd w:val="clear" w:color="auto" w:fill="auto"/>
            <w:noWrap/>
          </w:tcPr>
          <w:p w:rsidR="00DE2860" w:rsidRPr="00B32DD7" w:rsidRDefault="00DE2860" w:rsidP="00FF24CA">
            <w:pPr>
              <w:spacing w:after="0" w:line="240" w:lineRule="auto"/>
              <w:jc w:val="right"/>
              <w:rPr>
                <w:rFonts w:eastAsia="Times New Roman" w:cstheme="minorHAnsi"/>
                <w:color w:val="000000"/>
                <w:lang w:eastAsia="tr-TR"/>
              </w:rPr>
            </w:pPr>
            <w:r>
              <w:rPr>
                <w:rFonts w:ascii="Tahoma" w:hAnsi="Tahoma" w:cs="Tahoma"/>
                <w:color w:val="000000"/>
                <w:sz w:val="20"/>
                <w:szCs w:val="20"/>
              </w:rPr>
              <w:t>15.180,00</w:t>
            </w:r>
          </w:p>
        </w:tc>
        <w:tc>
          <w:tcPr>
            <w:tcW w:w="3747" w:type="dxa"/>
            <w:tcBorders>
              <w:top w:val="nil"/>
              <w:left w:val="nil"/>
              <w:bottom w:val="single" w:sz="4" w:space="0" w:color="D3D3D3"/>
              <w:right w:val="single" w:sz="4" w:space="0" w:color="D3D3D3"/>
            </w:tcBorders>
            <w:shd w:val="clear" w:color="auto" w:fill="auto"/>
            <w:noWrap/>
          </w:tcPr>
          <w:p w:rsidR="00DE2860" w:rsidRPr="00B32DD7" w:rsidRDefault="00DE2860" w:rsidP="00FF24CA">
            <w:pPr>
              <w:spacing w:after="0" w:line="240" w:lineRule="auto"/>
              <w:jc w:val="center"/>
              <w:rPr>
                <w:rFonts w:eastAsia="Times New Roman" w:cstheme="minorHAnsi"/>
                <w:color w:val="000000"/>
                <w:lang w:eastAsia="tr-TR"/>
              </w:rPr>
            </w:pPr>
            <w:r>
              <w:rPr>
                <w:rFonts w:ascii="Tahoma" w:hAnsi="Tahoma" w:cs="Tahoma"/>
                <w:color w:val="000000"/>
                <w:sz w:val="20"/>
                <w:szCs w:val="20"/>
              </w:rPr>
              <w:t>2,00</w:t>
            </w:r>
          </w:p>
        </w:tc>
      </w:tr>
      <w:tr w:rsidR="00DE2860" w:rsidRPr="00B32DD7" w:rsidTr="00FF24CA">
        <w:trPr>
          <w:trHeight w:val="207"/>
          <w:jc w:val="center"/>
        </w:trPr>
        <w:tc>
          <w:tcPr>
            <w:tcW w:w="2569" w:type="dxa"/>
            <w:tcBorders>
              <w:top w:val="nil"/>
              <w:left w:val="single" w:sz="4" w:space="0" w:color="D3D3D3"/>
              <w:bottom w:val="single" w:sz="4" w:space="0" w:color="D3D3D3"/>
              <w:right w:val="single" w:sz="4" w:space="0" w:color="D3D3D3"/>
            </w:tcBorders>
            <w:shd w:val="clear" w:color="auto" w:fill="auto"/>
            <w:hideMark/>
          </w:tcPr>
          <w:p w:rsidR="00DE2860" w:rsidRPr="00B32DD7" w:rsidRDefault="00DE2860" w:rsidP="00FF24CA">
            <w:pPr>
              <w:spacing w:after="0" w:line="240" w:lineRule="auto"/>
              <w:rPr>
                <w:rFonts w:eastAsia="Times New Roman" w:cstheme="minorHAnsi"/>
                <w:color w:val="000000"/>
                <w:lang w:eastAsia="tr-TR"/>
              </w:rPr>
            </w:pPr>
            <w:r>
              <w:rPr>
                <w:rFonts w:ascii="Tahoma" w:hAnsi="Tahoma" w:cs="Tahoma"/>
                <w:color w:val="000000"/>
                <w:sz w:val="20"/>
                <w:szCs w:val="20"/>
              </w:rPr>
              <w:t>İZMİR</w:t>
            </w:r>
          </w:p>
        </w:tc>
        <w:tc>
          <w:tcPr>
            <w:tcW w:w="2130" w:type="dxa"/>
            <w:tcBorders>
              <w:top w:val="nil"/>
              <w:left w:val="nil"/>
              <w:bottom w:val="single" w:sz="4" w:space="0" w:color="D3D3D3"/>
              <w:right w:val="single" w:sz="4" w:space="0" w:color="D3D3D3"/>
            </w:tcBorders>
            <w:shd w:val="clear" w:color="auto" w:fill="auto"/>
            <w:noWrap/>
          </w:tcPr>
          <w:p w:rsidR="00DE2860" w:rsidRPr="00B32DD7" w:rsidRDefault="00DE2860" w:rsidP="00FF24CA">
            <w:pPr>
              <w:spacing w:after="0" w:line="240" w:lineRule="auto"/>
              <w:jc w:val="right"/>
              <w:rPr>
                <w:rFonts w:eastAsia="Times New Roman" w:cstheme="minorHAnsi"/>
                <w:color w:val="000000"/>
                <w:lang w:eastAsia="tr-TR"/>
              </w:rPr>
            </w:pPr>
            <w:r>
              <w:rPr>
                <w:rFonts w:ascii="Tahoma" w:hAnsi="Tahoma" w:cs="Tahoma"/>
                <w:color w:val="000000"/>
                <w:sz w:val="20"/>
                <w:szCs w:val="20"/>
              </w:rPr>
              <w:t>124.009,00</w:t>
            </w:r>
          </w:p>
        </w:tc>
        <w:tc>
          <w:tcPr>
            <w:tcW w:w="3747" w:type="dxa"/>
            <w:tcBorders>
              <w:top w:val="nil"/>
              <w:left w:val="nil"/>
              <w:bottom w:val="single" w:sz="4" w:space="0" w:color="D3D3D3"/>
              <w:right w:val="single" w:sz="4" w:space="0" w:color="D3D3D3"/>
            </w:tcBorders>
            <w:shd w:val="clear" w:color="auto" w:fill="auto"/>
            <w:noWrap/>
          </w:tcPr>
          <w:p w:rsidR="00DE2860" w:rsidRPr="00B32DD7" w:rsidRDefault="00DE2860" w:rsidP="00FF24CA">
            <w:pPr>
              <w:spacing w:after="0" w:line="240" w:lineRule="auto"/>
              <w:jc w:val="center"/>
              <w:rPr>
                <w:rFonts w:eastAsia="Times New Roman" w:cstheme="minorHAnsi"/>
                <w:color w:val="000000"/>
                <w:lang w:eastAsia="tr-TR"/>
              </w:rPr>
            </w:pPr>
            <w:r>
              <w:rPr>
                <w:rFonts w:ascii="Tahoma" w:hAnsi="Tahoma" w:cs="Tahoma"/>
                <w:color w:val="000000"/>
                <w:sz w:val="20"/>
                <w:szCs w:val="20"/>
              </w:rPr>
              <w:t>16,31</w:t>
            </w:r>
          </w:p>
        </w:tc>
      </w:tr>
      <w:tr w:rsidR="00DE2860" w:rsidRPr="00B32DD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rsidR="00DE2860" w:rsidRPr="00B32DD7" w:rsidRDefault="00DE2860" w:rsidP="00FF24CA">
            <w:pPr>
              <w:spacing w:after="0" w:line="240" w:lineRule="auto"/>
              <w:rPr>
                <w:rFonts w:eastAsia="Times New Roman" w:cstheme="minorHAnsi"/>
                <w:color w:val="000000"/>
                <w:lang w:eastAsia="tr-TR"/>
              </w:rPr>
            </w:pPr>
            <w:r>
              <w:rPr>
                <w:rFonts w:ascii="Tahoma" w:hAnsi="Tahoma" w:cs="Tahoma"/>
                <w:color w:val="000000"/>
                <w:sz w:val="20"/>
                <w:szCs w:val="20"/>
              </w:rPr>
              <w:t>KAHRAMANMARAŞ</w:t>
            </w:r>
          </w:p>
        </w:tc>
        <w:tc>
          <w:tcPr>
            <w:tcW w:w="2130" w:type="dxa"/>
            <w:tcBorders>
              <w:top w:val="nil"/>
              <w:left w:val="nil"/>
              <w:bottom w:val="single" w:sz="4" w:space="0" w:color="D3D3D3"/>
              <w:right w:val="single" w:sz="4" w:space="0" w:color="D3D3D3"/>
            </w:tcBorders>
            <w:shd w:val="clear" w:color="auto" w:fill="auto"/>
            <w:noWrap/>
          </w:tcPr>
          <w:p w:rsidR="00DE2860" w:rsidRPr="00B32DD7" w:rsidRDefault="00DE2860" w:rsidP="00FF24CA">
            <w:pPr>
              <w:spacing w:after="0" w:line="240" w:lineRule="auto"/>
              <w:jc w:val="right"/>
              <w:rPr>
                <w:rFonts w:eastAsia="Times New Roman" w:cstheme="minorHAnsi"/>
                <w:color w:val="000000"/>
                <w:lang w:eastAsia="tr-TR"/>
              </w:rPr>
            </w:pPr>
            <w:r>
              <w:rPr>
                <w:rFonts w:ascii="Tahoma" w:hAnsi="Tahoma" w:cs="Tahoma"/>
                <w:color w:val="000000"/>
                <w:sz w:val="20"/>
                <w:szCs w:val="20"/>
              </w:rPr>
              <w:t>1.282,00</w:t>
            </w:r>
          </w:p>
        </w:tc>
        <w:tc>
          <w:tcPr>
            <w:tcW w:w="3747" w:type="dxa"/>
            <w:tcBorders>
              <w:top w:val="nil"/>
              <w:left w:val="nil"/>
              <w:bottom w:val="single" w:sz="4" w:space="0" w:color="D3D3D3"/>
              <w:right w:val="single" w:sz="4" w:space="0" w:color="D3D3D3"/>
            </w:tcBorders>
            <w:shd w:val="clear" w:color="auto" w:fill="auto"/>
            <w:noWrap/>
          </w:tcPr>
          <w:p w:rsidR="00DE2860" w:rsidRPr="00B32DD7" w:rsidRDefault="00DE2860" w:rsidP="00FF24CA">
            <w:pPr>
              <w:spacing w:after="0" w:line="240" w:lineRule="auto"/>
              <w:jc w:val="center"/>
              <w:rPr>
                <w:rFonts w:eastAsia="Times New Roman" w:cstheme="minorHAnsi"/>
                <w:color w:val="000000"/>
                <w:lang w:eastAsia="tr-TR"/>
              </w:rPr>
            </w:pPr>
            <w:r>
              <w:rPr>
                <w:rFonts w:ascii="Tahoma" w:hAnsi="Tahoma" w:cs="Tahoma"/>
                <w:color w:val="000000"/>
                <w:sz w:val="20"/>
                <w:szCs w:val="20"/>
              </w:rPr>
              <w:t>0,17</w:t>
            </w:r>
          </w:p>
        </w:tc>
      </w:tr>
      <w:tr w:rsidR="00DE2860" w:rsidRPr="00B32DD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tcPr>
          <w:p w:rsidR="00DE2860" w:rsidRDefault="00DE2860" w:rsidP="00FF24CA">
            <w:pPr>
              <w:spacing w:after="0" w:line="240" w:lineRule="auto"/>
              <w:rPr>
                <w:rFonts w:ascii="Tahoma" w:hAnsi="Tahoma" w:cs="Tahoma"/>
                <w:color w:val="000000"/>
                <w:sz w:val="20"/>
                <w:szCs w:val="20"/>
              </w:rPr>
            </w:pPr>
            <w:r>
              <w:rPr>
                <w:rFonts w:ascii="Tahoma" w:hAnsi="Tahoma" w:cs="Tahoma"/>
                <w:color w:val="000000"/>
                <w:sz w:val="20"/>
                <w:szCs w:val="20"/>
              </w:rPr>
              <w:t>KAYSERİ</w:t>
            </w:r>
          </w:p>
        </w:tc>
        <w:tc>
          <w:tcPr>
            <w:tcW w:w="2130" w:type="dxa"/>
            <w:tcBorders>
              <w:top w:val="nil"/>
              <w:left w:val="nil"/>
              <w:bottom w:val="single" w:sz="4" w:space="0" w:color="D3D3D3"/>
              <w:right w:val="single" w:sz="4" w:space="0" w:color="D3D3D3"/>
            </w:tcBorders>
            <w:shd w:val="clear" w:color="auto" w:fill="auto"/>
            <w:noWrap/>
          </w:tcPr>
          <w:p w:rsidR="00DE2860" w:rsidDel="000E59C1" w:rsidRDefault="00DE2860" w:rsidP="00FF24CA">
            <w:pPr>
              <w:spacing w:after="0" w:line="240" w:lineRule="auto"/>
              <w:jc w:val="right"/>
              <w:rPr>
                <w:rFonts w:ascii="Tahoma" w:hAnsi="Tahoma" w:cs="Tahoma"/>
                <w:color w:val="000000"/>
                <w:sz w:val="20"/>
                <w:szCs w:val="20"/>
              </w:rPr>
            </w:pPr>
            <w:r>
              <w:rPr>
                <w:rFonts w:ascii="Tahoma" w:hAnsi="Tahoma" w:cs="Tahoma"/>
                <w:color w:val="000000"/>
                <w:sz w:val="20"/>
                <w:szCs w:val="20"/>
              </w:rPr>
              <w:t>2.023,00</w:t>
            </w:r>
          </w:p>
        </w:tc>
        <w:tc>
          <w:tcPr>
            <w:tcW w:w="3747" w:type="dxa"/>
            <w:tcBorders>
              <w:top w:val="nil"/>
              <w:left w:val="nil"/>
              <w:bottom w:val="single" w:sz="4" w:space="0" w:color="D3D3D3"/>
              <w:right w:val="single" w:sz="4" w:space="0" w:color="D3D3D3"/>
            </w:tcBorders>
            <w:shd w:val="clear" w:color="auto" w:fill="auto"/>
            <w:noWrap/>
          </w:tcPr>
          <w:p w:rsidR="00DE2860" w:rsidDel="000E59C1" w:rsidRDefault="00DE2860" w:rsidP="00FF24CA">
            <w:pPr>
              <w:spacing w:after="0" w:line="240" w:lineRule="auto"/>
              <w:jc w:val="center"/>
              <w:rPr>
                <w:rFonts w:ascii="Tahoma" w:hAnsi="Tahoma" w:cs="Tahoma"/>
                <w:color w:val="000000"/>
                <w:sz w:val="20"/>
                <w:szCs w:val="20"/>
              </w:rPr>
            </w:pPr>
            <w:r>
              <w:rPr>
                <w:rFonts w:ascii="Tahoma" w:hAnsi="Tahoma" w:cs="Tahoma"/>
                <w:color w:val="000000"/>
                <w:sz w:val="20"/>
                <w:szCs w:val="20"/>
              </w:rPr>
              <w:t>0,27</w:t>
            </w:r>
          </w:p>
        </w:tc>
      </w:tr>
      <w:tr w:rsidR="00DE2860" w:rsidRPr="00B32DD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rsidR="00DE2860" w:rsidRPr="00B32DD7" w:rsidRDefault="00DE2860" w:rsidP="00FF24CA">
            <w:pPr>
              <w:spacing w:after="0" w:line="240" w:lineRule="auto"/>
              <w:rPr>
                <w:rFonts w:eastAsia="Times New Roman" w:cstheme="minorHAnsi"/>
                <w:color w:val="000000"/>
                <w:lang w:eastAsia="tr-TR"/>
              </w:rPr>
            </w:pPr>
            <w:r>
              <w:rPr>
                <w:rFonts w:ascii="Tahoma" w:hAnsi="Tahoma" w:cs="Tahoma"/>
                <w:color w:val="000000"/>
                <w:sz w:val="20"/>
                <w:szCs w:val="20"/>
              </w:rPr>
              <w:t>KIRIKKALE</w:t>
            </w:r>
          </w:p>
        </w:tc>
        <w:tc>
          <w:tcPr>
            <w:tcW w:w="2130" w:type="dxa"/>
            <w:tcBorders>
              <w:top w:val="nil"/>
              <w:left w:val="nil"/>
              <w:bottom w:val="single" w:sz="4" w:space="0" w:color="D3D3D3"/>
              <w:right w:val="single" w:sz="4" w:space="0" w:color="D3D3D3"/>
            </w:tcBorders>
            <w:shd w:val="clear" w:color="auto" w:fill="auto"/>
            <w:noWrap/>
          </w:tcPr>
          <w:p w:rsidR="00DE2860" w:rsidRPr="00B32DD7" w:rsidRDefault="00DE2860" w:rsidP="00FF24CA">
            <w:pPr>
              <w:spacing w:after="0" w:line="240" w:lineRule="auto"/>
              <w:jc w:val="right"/>
              <w:rPr>
                <w:rFonts w:eastAsia="Times New Roman" w:cstheme="minorHAnsi"/>
                <w:color w:val="000000"/>
                <w:lang w:eastAsia="tr-TR"/>
              </w:rPr>
            </w:pPr>
            <w:r>
              <w:rPr>
                <w:rFonts w:ascii="Tahoma" w:hAnsi="Tahoma" w:cs="Tahoma"/>
                <w:color w:val="000000"/>
                <w:sz w:val="20"/>
                <w:szCs w:val="20"/>
              </w:rPr>
              <w:t>10.509,00</w:t>
            </w:r>
          </w:p>
        </w:tc>
        <w:tc>
          <w:tcPr>
            <w:tcW w:w="3747" w:type="dxa"/>
            <w:tcBorders>
              <w:top w:val="nil"/>
              <w:left w:val="nil"/>
              <w:bottom w:val="single" w:sz="4" w:space="0" w:color="D3D3D3"/>
              <w:right w:val="single" w:sz="4" w:space="0" w:color="D3D3D3"/>
            </w:tcBorders>
            <w:shd w:val="clear" w:color="auto" w:fill="auto"/>
            <w:noWrap/>
          </w:tcPr>
          <w:p w:rsidR="00DE2860" w:rsidRPr="00B32DD7" w:rsidRDefault="00DE2860" w:rsidP="00FF24CA">
            <w:pPr>
              <w:spacing w:after="0" w:line="240" w:lineRule="auto"/>
              <w:jc w:val="center"/>
              <w:rPr>
                <w:rFonts w:eastAsia="Times New Roman" w:cstheme="minorHAnsi"/>
                <w:color w:val="000000"/>
                <w:lang w:eastAsia="tr-TR"/>
              </w:rPr>
            </w:pPr>
            <w:r>
              <w:rPr>
                <w:rFonts w:ascii="Tahoma" w:hAnsi="Tahoma" w:cs="Tahoma"/>
                <w:color w:val="000000"/>
                <w:sz w:val="20"/>
                <w:szCs w:val="20"/>
              </w:rPr>
              <w:t>1,38</w:t>
            </w:r>
          </w:p>
        </w:tc>
      </w:tr>
      <w:tr w:rsidR="00DE2860" w:rsidRPr="00B32DD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tcPr>
          <w:p w:rsidR="00DE2860" w:rsidRDefault="00DE2860" w:rsidP="00FF24CA">
            <w:pPr>
              <w:spacing w:after="0" w:line="240" w:lineRule="auto"/>
              <w:rPr>
                <w:rFonts w:ascii="Tahoma" w:hAnsi="Tahoma" w:cs="Tahoma"/>
                <w:color w:val="000000"/>
                <w:sz w:val="20"/>
                <w:szCs w:val="20"/>
              </w:rPr>
            </w:pPr>
            <w:r>
              <w:rPr>
                <w:rFonts w:ascii="Tahoma" w:hAnsi="Tahoma" w:cs="Tahoma"/>
                <w:color w:val="000000"/>
                <w:sz w:val="20"/>
                <w:szCs w:val="20"/>
              </w:rPr>
              <w:t>KİLİS</w:t>
            </w:r>
          </w:p>
        </w:tc>
        <w:tc>
          <w:tcPr>
            <w:tcW w:w="2130" w:type="dxa"/>
            <w:tcBorders>
              <w:top w:val="nil"/>
              <w:left w:val="nil"/>
              <w:bottom w:val="single" w:sz="4" w:space="0" w:color="D3D3D3"/>
              <w:right w:val="single" w:sz="4" w:space="0" w:color="D3D3D3"/>
            </w:tcBorders>
            <w:shd w:val="clear" w:color="auto" w:fill="auto"/>
            <w:noWrap/>
          </w:tcPr>
          <w:p w:rsidR="00DE2860" w:rsidDel="000E59C1" w:rsidRDefault="00DE2860" w:rsidP="00FF24CA">
            <w:pPr>
              <w:spacing w:after="0" w:line="240" w:lineRule="auto"/>
              <w:jc w:val="right"/>
              <w:rPr>
                <w:rFonts w:ascii="Tahoma" w:hAnsi="Tahoma" w:cs="Tahoma"/>
                <w:color w:val="000000"/>
                <w:sz w:val="20"/>
                <w:szCs w:val="20"/>
              </w:rPr>
            </w:pPr>
            <w:r>
              <w:rPr>
                <w:rFonts w:ascii="Tahoma" w:hAnsi="Tahoma" w:cs="Tahoma"/>
                <w:color w:val="000000"/>
                <w:sz w:val="20"/>
                <w:szCs w:val="20"/>
              </w:rPr>
              <w:t>165,00</w:t>
            </w:r>
          </w:p>
        </w:tc>
        <w:tc>
          <w:tcPr>
            <w:tcW w:w="3747" w:type="dxa"/>
            <w:tcBorders>
              <w:top w:val="nil"/>
              <w:left w:val="nil"/>
              <w:bottom w:val="single" w:sz="4" w:space="0" w:color="D3D3D3"/>
              <w:right w:val="single" w:sz="4" w:space="0" w:color="D3D3D3"/>
            </w:tcBorders>
            <w:shd w:val="clear" w:color="auto" w:fill="auto"/>
            <w:noWrap/>
          </w:tcPr>
          <w:p w:rsidR="00DE2860" w:rsidDel="000E59C1" w:rsidRDefault="00DE2860" w:rsidP="00FF24CA">
            <w:pPr>
              <w:spacing w:after="0" w:line="240" w:lineRule="auto"/>
              <w:jc w:val="center"/>
              <w:rPr>
                <w:rFonts w:ascii="Tahoma" w:hAnsi="Tahoma" w:cs="Tahoma"/>
                <w:color w:val="000000"/>
                <w:sz w:val="20"/>
                <w:szCs w:val="20"/>
              </w:rPr>
            </w:pPr>
            <w:r>
              <w:rPr>
                <w:rFonts w:ascii="Tahoma" w:hAnsi="Tahoma" w:cs="Tahoma"/>
                <w:color w:val="000000"/>
                <w:sz w:val="20"/>
                <w:szCs w:val="20"/>
              </w:rPr>
              <w:t>0,02</w:t>
            </w:r>
          </w:p>
        </w:tc>
      </w:tr>
      <w:tr w:rsidR="00DE2860" w:rsidRPr="00B32DD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rsidR="00DE2860" w:rsidRPr="00B32DD7" w:rsidRDefault="00DE2860" w:rsidP="00FF24CA">
            <w:pPr>
              <w:spacing w:after="0" w:line="240" w:lineRule="auto"/>
              <w:rPr>
                <w:rFonts w:eastAsia="Times New Roman" w:cstheme="minorHAnsi"/>
                <w:color w:val="000000"/>
                <w:lang w:eastAsia="tr-TR"/>
              </w:rPr>
            </w:pPr>
            <w:r>
              <w:rPr>
                <w:rFonts w:ascii="Tahoma" w:hAnsi="Tahoma" w:cs="Tahoma"/>
                <w:color w:val="000000"/>
                <w:sz w:val="20"/>
                <w:szCs w:val="20"/>
              </w:rPr>
              <w:t>KOCAELİ</w:t>
            </w:r>
          </w:p>
        </w:tc>
        <w:tc>
          <w:tcPr>
            <w:tcW w:w="2130" w:type="dxa"/>
            <w:tcBorders>
              <w:top w:val="nil"/>
              <w:left w:val="nil"/>
              <w:bottom w:val="single" w:sz="4" w:space="0" w:color="D3D3D3"/>
              <w:right w:val="single" w:sz="4" w:space="0" w:color="D3D3D3"/>
            </w:tcBorders>
            <w:shd w:val="clear" w:color="auto" w:fill="auto"/>
            <w:noWrap/>
          </w:tcPr>
          <w:p w:rsidR="00DE2860" w:rsidRPr="00B32DD7" w:rsidRDefault="00DE2860" w:rsidP="00FF24CA">
            <w:pPr>
              <w:spacing w:after="0" w:line="240" w:lineRule="auto"/>
              <w:jc w:val="right"/>
              <w:rPr>
                <w:rFonts w:eastAsia="Times New Roman" w:cstheme="minorHAnsi"/>
                <w:color w:val="000000"/>
                <w:lang w:eastAsia="tr-TR"/>
              </w:rPr>
            </w:pPr>
            <w:r>
              <w:rPr>
                <w:rFonts w:ascii="Tahoma" w:hAnsi="Tahoma" w:cs="Tahoma"/>
                <w:color w:val="000000"/>
                <w:sz w:val="20"/>
                <w:szCs w:val="20"/>
              </w:rPr>
              <w:t>190.178,00</w:t>
            </w:r>
          </w:p>
        </w:tc>
        <w:tc>
          <w:tcPr>
            <w:tcW w:w="3747" w:type="dxa"/>
            <w:tcBorders>
              <w:top w:val="nil"/>
              <w:left w:val="nil"/>
              <w:bottom w:val="single" w:sz="4" w:space="0" w:color="D3D3D3"/>
              <w:right w:val="single" w:sz="4" w:space="0" w:color="D3D3D3"/>
            </w:tcBorders>
            <w:shd w:val="clear" w:color="auto" w:fill="auto"/>
            <w:noWrap/>
          </w:tcPr>
          <w:p w:rsidR="00DE2860" w:rsidRPr="00B32DD7" w:rsidRDefault="00DE2860" w:rsidP="00FF24CA">
            <w:pPr>
              <w:spacing w:after="0" w:line="240" w:lineRule="auto"/>
              <w:jc w:val="center"/>
              <w:rPr>
                <w:rFonts w:eastAsia="Times New Roman" w:cstheme="minorHAnsi"/>
                <w:color w:val="000000"/>
                <w:lang w:eastAsia="tr-TR"/>
              </w:rPr>
            </w:pPr>
            <w:r>
              <w:rPr>
                <w:rFonts w:ascii="Tahoma" w:hAnsi="Tahoma" w:cs="Tahoma"/>
                <w:color w:val="000000"/>
                <w:sz w:val="20"/>
                <w:szCs w:val="20"/>
              </w:rPr>
              <w:t>25,02</w:t>
            </w:r>
          </w:p>
        </w:tc>
      </w:tr>
      <w:tr w:rsidR="00DE2860" w:rsidRPr="00B32DD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rsidR="00DE2860" w:rsidRPr="00B32DD7" w:rsidRDefault="00DE2860" w:rsidP="00FF24CA">
            <w:pPr>
              <w:spacing w:after="0" w:line="240" w:lineRule="auto"/>
              <w:rPr>
                <w:rFonts w:eastAsia="Times New Roman" w:cstheme="minorHAnsi"/>
                <w:color w:val="000000"/>
                <w:lang w:eastAsia="tr-TR"/>
              </w:rPr>
            </w:pPr>
            <w:r>
              <w:rPr>
                <w:rFonts w:ascii="Tahoma" w:hAnsi="Tahoma" w:cs="Tahoma"/>
                <w:color w:val="000000"/>
                <w:sz w:val="20"/>
                <w:szCs w:val="20"/>
              </w:rPr>
              <w:t>KONYA</w:t>
            </w:r>
          </w:p>
        </w:tc>
        <w:tc>
          <w:tcPr>
            <w:tcW w:w="2130" w:type="dxa"/>
            <w:tcBorders>
              <w:top w:val="nil"/>
              <w:left w:val="nil"/>
              <w:bottom w:val="single" w:sz="4" w:space="0" w:color="D3D3D3"/>
              <w:right w:val="single" w:sz="4" w:space="0" w:color="D3D3D3"/>
            </w:tcBorders>
            <w:shd w:val="clear" w:color="auto" w:fill="auto"/>
            <w:noWrap/>
          </w:tcPr>
          <w:p w:rsidR="00DE2860" w:rsidRPr="00B32DD7" w:rsidRDefault="00DE2860" w:rsidP="00FF24CA">
            <w:pPr>
              <w:spacing w:after="0" w:line="240" w:lineRule="auto"/>
              <w:jc w:val="right"/>
              <w:rPr>
                <w:rFonts w:eastAsia="Times New Roman" w:cstheme="minorHAnsi"/>
                <w:color w:val="000000"/>
                <w:lang w:eastAsia="tr-TR"/>
              </w:rPr>
            </w:pPr>
            <w:r>
              <w:rPr>
                <w:rFonts w:ascii="Tahoma" w:hAnsi="Tahoma" w:cs="Tahoma"/>
                <w:color w:val="000000"/>
                <w:sz w:val="20"/>
                <w:szCs w:val="20"/>
              </w:rPr>
              <w:t>3.228,00</w:t>
            </w:r>
          </w:p>
        </w:tc>
        <w:tc>
          <w:tcPr>
            <w:tcW w:w="3747" w:type="dxa"/>
            <w:tcBorders>
              <w:top w:val="nil"/>
              <w:left w:val="nil"/>
              <w:bottom w:val="single" w:sz="4" w:space="0" w:color="D3D3D3"/>
              <w:right w:val="single" w:sz="4" w:space="0" w:color="D3D3D3"/>
            </w:tcBorders>
            <w:shd w:val="clear" w:color="auto" w:fill="auto"/>
            <w:noWrap/>
          </w:tcPr>
          <w:p w:rsidR="00DE2860" w:rsidRPr="00B32DD7" w:rsidRDefault="00DE2860" w:rsidP="00FF24CA">
            <w:pPr>
              <w:spacing w:after="0" w:line="240" w:lineRule="auto"/>
              <w:jc w:val="center"/>
              <w:rPr>
                <w:rFonts w:eastAsia="Times New Roman" w:cstheme="minorHAnsi"/>
                <w:color w:val="000000"/>
                <w:lang w:eastAsia="tr-TR"/>
              </w:rPr>
            </w:pPr>
            <w:r>
              <w:rPr>
                <w:rFonts w:ascii="Tahoma" w:hAnsi="Tahoma" w:cs="Tahoma"/>
                <w:color w:val="000000"/>
                <w:sz w:val="20"/>
                <w:szCs w:val="20"/>
              </w:rPr>
              <w:t>0,42</w:t>
            </w:r>
          </w:p>
        </w:tc>
      </w:tr>
      <w:tr w:rsidR="00DE2860" w:rsidRPr="00B32DD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rsidR="00DE2860" w:rsidRPr="00B32DD7" w:rsidRDefault="00DE2860" w:rsidP="00FF24CA">
            <w:pPr>
              <w:spacing w:after="0" w:line="240" w:lineRule="auto"/>
              <w:rPr>
                <w:rFonts w:eastAsia="Times New Roman" w:cstheme="minorHAnsi"/>
                <w:color w:val="000000"/>
                <w:lang w:eastAsia="tr-TR"/>
              </w:rPr>
            </w:pPr>
            <w:r>
              <w:rPr>
                <w:rFonts w:ascii="Tahoma" w:hAnsi="Tahoma" w:cs="Tahoma"/>
                <w:color w:val="000000"/>
                <w:sz w:val="20"/>
                <w:szCs w:val="20"/>
              </w:rPr>
              <w:t>MALATYA</w:t>
            </w:r>
          </w:p>
        </w:tc>
        <w:tc>
          <w:tcPr>
            <w:tcW w:w="2130" w:type="dxa"/>
            <w:tcBorders>
              <w:top w:val="nil"/>
              <w:left w:val="nil"/>
              <w:bottom w:val="single" w:sz="4" w:space="0" w:color="D3D3D3"/>
              <w:right w:val="single" w:sz="4" w:space="0" w:color="D3D3D3"/>
            </w:tcBorders>
            <w:shd w:val="clear" w:color="auto" w:fill="auto"/>
            <w:noWrap/>
          </w:tcPr>
          <w:p w:rsidR="00DE2860" w:rsidRPr="00B32DD7" w:rsidRDefault="00DE2860" w:rsidP="00FF24CA">
            <w:pPr>
              <w:spacing w:after="0" w:line="240" w:lineRule="auto"/>
              <w:jc w:val="right"/>
              <w:rPr>
                <w:rFonts w:eastAsia="Times New Roman" w:cstheme="minorHAnsi"/>
                <w:color w:val="000000"/>
                <w:lang w:eastAsia="tr-TR"/>
              </w:rPr>
            </w:pPr>
            <w:r>
              <w:rPr>
                <w:rFonts w:ascii="Tahoma" w:hAnsi="Tahoma" w:cs="Tahoma"/>
                <w:color w:val="000000"/>
                <w:sz w:val="20"/>
                <w:szCs w:val="20"/>
              </w:rPr>
              <w:t>1.985,00</w:t>
            </w:r>
          </w:p>
        </w:tc>
        <w:tc>
          <w:tcPr>
            <w:tcW w:w="3747" w:type="dxa"/>
            <w:tcBorders>
              <w:top w:val="nil"/>
              <w:left w:val="nil"/>
              <w:bottom w:val="single" w:sz="4" w:space="0" w:color="D3D3D3"/>
              <w:right w:val="single" w:sz="4" w:space="0" w:color="D3D3D3"/>
            </w:tcBorders>
            <w:shd w:val="clear" w:color="auto" w:fill="auto"/>
            <w:noWrap/>
          </w:tcPr>
          <w:p w:rsidR="00DE2860" w:rsidRPr="00B32DD7" w:rsidRDefault="00DE2860" w:rsidP="00FF24CA">
            <w:pPr>
              <w:spacing w:after="0" w:line="240" w:lineRule="auto"/>
              <w:jc w:val="center"/>
              <w:rPr>
                <w:rFonts w:eastAsia="Times New Roman" w:cstheme="minorHAnsi"/>
                <w:color w:val="000000"/>
                <w:lang w:eastAsia="tr-TR"/>
              </w:rPr>
            </w:pPr>
            <w:r>
              <w:rPr>
                <w:rFonts w:ascii="Tahoma" w:hAnsi="Tahoma" w:cs="Tahoma"/>
                <w:color w:val="000000"/>
                <w:sz w:val="20"/>
                <w:szCs w:val="20"/>
              </w:rPr>
              <w:t>0,26</w:t>
            </w:r>
          </w:p>
        </w:tc>
      </w:tr>
      <w:tr w:rsidR="00DE2860" w:rsidRPr="00B32DD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rsidR="00DE2860" w:rsidRPr="00B32DD7" w:rsidRDefault="00DE2860" w:rsidP="00FF24CA">
            <w:pPr>
              <w:spacing w:after="0" w:line="240" w:lineRule="auto"/>
              <w:rPr>
                <w:rFonts w:eastAsia="Times New Roman" w:cstheme="minorHAnsi"/>
                <w:color w:val="000000"/>
                <w:lang w:eastAsia="tr-TR"/>
              </w:rPr>
            </w:pPr>
            <w:r>
              <w:rPr>
                <w:rFonts w:ascii="Tahoma" w:hAnsi="Tahoma" w:cs="Tahoma"/>
                <w:color w:val="000000"/>
                <w:sz w:val="20"/>
                <w:szCs w:val="20"/>
              </w:rPr>
              <w:t>MARDİN</w:t>
            </w:r>
          </w:p>
        </w:tc>
        <w:tc>
          <w:tcPr>
            <w:tcW w:w="2130" w:type="dxa"/>
            <w:tcBorders>
              <w:top w:val="nil"/>
              <w:left w:val="nil"/>
              <w:bottom w:val="single" w:sz="4" w:space="0" w:color="D3D3D3"/>
              <w:right w:val="single" w:sz="4" w:space="0" w:color="D3D3D3"/>
            </w:tcBorders>
            <w:shd w:val="clear" w:color="auto" w:fill="auto"/>
            <w:noWrap/>
          </w:tcPr>
          <w:p w:rsidR="00DE2860" w:rsidRPr="00B32DD7" w:rsidRDefault="00DE2860" w:rsidP="00FF24CA">
            <w:pPr>
              <w:spacing w:after="0" w:line="240" w:lineRule="auto"/>
              <w:jc w:val="right"/>
              <w:rPr>
                <w:rFonts w:eastAsia="Times New Roman" w:cstheme="minorHAnsi"/>
                <w:color w:val="000000"/>
                <w:lang w:eastAsia="tr-TR"/>
              </w:rPr>
            </w:pPr>
            <w:r>
              <w:rPr>
                <w:rFonts w:ascii="Tahoma" w:hAnsi="Tahoma" w:cs="Tahoma"/>
                <w:color w:val="000000"/>
                <w:sz w:val="20"/>
                <w:szCs w:val="20"/>
              </w:rPr>
              <w:t>1.595,00</w:t>
            </w:r>
          </w:p>
        </w:tc>
        <w:tc>
          <w:tcPr>
            <w:tcW w:w="3747" w:type="dxa"/>
            <w:tcBorders>
              <w:top w:val="nil"/>
              <w:left w:val="nil"/>
              <w:bottom w:val="single" w:sz="4" w:space="0" w:color="D3D3D3"/>
              <w:right w:val="single" w:sz="4" w:space="0" w:color="D3D3D3"/>
            </w:tcBorders>
            <w:shd w:val="clear" w:color="auto" w:fill="auto"/>
            <w:noWrap/>
          </w:tcPr>
          <w:p w:rsidR="00DE2860" w:rsidRPr="00B32DD7" w:rsidRDefault="00DE2860" w:rsidP="00FF24CA">
            <w:pPr>
              <w:spacing w:after="0" w:line="240" w:lineRule="auto"/>
              <w:jc w:val="center"/>
              <w:rPr>
                <w:rFonts w:eastAsia="Times New Roman" w:cstheme="minorHAnsi"/>
                <w:color w:val="000000"/>
                <w:lang w:eastAsia="tr-TR"/>
              </w:rPr>
            </w:pPr>
            <w:r>
              <w:rPr>
                <w:rFonts w:ascii="Tahoma" w:hAnsi="Tahoma" w:cs="Tahoma"/>
                <w:color w:val="000000"/>
                <w:sz w:val="20"/>
                <w:szCs w:val="20"/>
              </w:rPr>
              <w:t>0,21</w:t>
            </w:r>
          </w:p>
        </w:tc>
      </w:tr>
      <w:tr w:rsidR="00DE2860" w:rsidRPr="00B32DD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rsidR="00DE2860" w:rsidRPr="00B32DD7" w:rsidRDefault="00DE2860" w:rsidP="00FF24CA">
            <w:pPr>
              <w:spacing w:after="0" w:line="240" w:lineRule="auto"/>
              <w:rPr>
                <w:rFonts w:eastAsia="Times New Roman" w:cstheme="minorHAnsi"/>
                <w:color w:val="000000"/>
                <w:lang w:eastAsia="tr-TR"/>
              </w:rPr>
            </w:pPr>
            <w:r>
              <w:rPr>
                <w:rFonts w:ascii="Tahoma" w:hAnsi="Tahoma" w:cs="Tahoma"/>
                <w:color w:val="000000"/>
                <w:sz w:val="20"/>
                <w:szCs w:val="20"/>
              </w:rPr>
              <w:t>MERSİN</w:t>
            </w:r>
          </w:p>
        </w:tc>
        <w:tc>
          <w:tcPr>
            <w:tcW w:w="2130" w:type="dxa"/>
            <w:tcBorders>
              <w:top w:val="nil"/>
              <w:left w:val="nil"/>
              <w:bottom w:val="single" w:sz="4" w:space="0" w:color="D3D3D3"/>
              <w:right w:val="single" w:sz="4" w:space="0" w:color="D3D3D3"/>
            </w:tcBorders>
            <w:shd w:val="clear" w:color="auto" w:fill="auto"/>
            <w:noWrap/>
          </w:tcPr>
          <w:p w:rsidR="00DE2860" w:rsidRPr="00B32DD7" w:rsidRDefault="00DE2860" w:rsidP="00FF24CA">
            <w:pPr>
              <w:spacing w:after="0" w:line="240" w:lineRule="auto"/>
              <w:jc w:val="right"/>
              <w:rPr>
                <w:rFonts w:eastAsia="Times New Roman" w:cstheme="minorHAnsi"/>
                <w:color w:val="000000"/>
                <w:lang w:eastAsia="tr-TR"/>
              </w:rPr>
            </w:pPr>
            <w:r>
              <w:rPr>
                <w:rFonts w:ascii="Tahoma" w:hAnsi="Tahoma" w:cs="Tahoma"/>
                <w:color w:val="000000"/>
                <w:sz w:val="20"/>
                <w:szCs w:val="20"/>
              </w:rPr>
              <w:t>1.115,00</w:t>
            </w:r>
          </w:p>
        </w:tc>
        <w:tc>
          <w:tcPr>
            <w:tcW w:w="3747" w:type="dxa"/>
            <w:tcBorders>
              <w:top w:val="nil"/>
              <w:left w:val="nil"/>
              <w:bottom w:val="single" w:sz="4" w:space="0" w:color="D3D3D3"/>
              <w:right w:val="single" w:sz="4" w:space="0" w:color="D3D3D3"/>
            </w:tcBorders>
            <w:shd w:val="clear" w:color="auto" w:fill="auto"/>
            <w:noWrap/>
          </w:tcPr>
          <w:p w:rsidR="00DE2860" w:rsidRPr="00B32DD7" w:rsidRDefault="00DE2860" w:rsidP="00FF24CA">
            <w:pPr>
              <w:spacing w:after="0" w:line="240" w:lineRule="auto"/>
              <w:jc w:val="center"/>
              <w:rPr>
                <w:rFonts w:eastAsia="Times New Roman" w:cstheme="minorHAnsi"/>
                <w:color w:val="000000"/>
                <w:lang w:eastAsia="tr-TR"/>
              </w:rPr>
            </w:pPr>
            <w:r>
              <w:rPr>
                <w:rFonts w:ascii="Tahoma" w:hAnsi="Tahoma" w:cs="Tahoma"/>
                <w:color w:val="000000"/>
                <w:sz w:val="20"/>
                <w:szCs w:val="20"/>
              </w:rPr>
              <w:t>0,15</w:t>
            </w:r>
          </w:p>
        </w:tc>
      </w:tr>
      <w:tr w:rsidR="00DE2860" w:rsidRPr="00B32DD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rsidR="00DE2860" w:rsidRPr="00B32DD7" w:rsidRDefault="00DE2860" w:rsidP="00FF24CA">
            <w:pPr>
              <w:spacing w:after="0" w:line="240" w:lineRule="auto"/>
              <w:rPr>
                <w:rFonts w:eastAsia="Times New Roman" w:cstheme="minorHAnsi"/>
                <w:color w:val="000000"/>
                <w:lang w:eastAsia="tr-TR"/>
              </w:rPr>
            </w:pPr>
            <w:r>
              <w:rPr>
                <w:rFonts w:ascii="Tahoma" w:hAnsi="Tahoma" w:cs="Tahoma"/>
                <w:color w:val="000000"/>
                <w:sz w:val="20"/>
                <w:szCs w:val="20"/>
              </w:rPr>
              <w:t>NEVŞEHİR</w:t>
            </w:r>
          </w:p>
        </w:tc>
        <w:tc>
          <w:tcPr>
            <w:tcW w:w="2130" w:type="dxa"/>
            <w:tcBorders>
              <w:top w:val="nil"/>
              <w:left w:val="nil"/>
              <w:bottom w:val="single" w:sz="4" w:space="0" w:color="D3D3D3"/>
              <w:right w:val="single" w:sz="4" w:space="0" w:color="D3D3D3"/>
            </w:tcBorders>
            <w:shd w:val="clear" w:color="auto" w:fill="auto"/>
            <w:noWrap/>
          </w:tcPr>
          <w:p w:rsidR="00DE2860" w:rsidRPr="00B32DD7" w:rsidRDefault="00DE2860" w:rsidP="00FF24CA">
            <w:pPr>
              <w:spacing w:after="0" w:line="240" w:lineRule="auto"/>
              <w:jc w:val="right"/>
              <w:rPr>
                <w:rFonts w:eastAsia="Times New Roman" w:cstheme="minorHAnsi"/>
                <w:color w:val="000000"/>
                <w:lang w:eastAsia="tr-TR"/>
              </w:rPr>
            </w:pPr>
            <w:r>
              <w:rPr>
                <w:rFonts w:ascii="Tahoma" w:hAnsi="Tahoma" w:cs="Tahoma"/>
                <w:color w:val="000000"/>
                <w:sz w:val="20"/>
                <w:szCs w:val="20"/>
              </w:rPr>
              <w:t>230,00</w:t>
            </w:r>
          </w:p>
        </w:tc>
        <w:tc>
          <w:tcPr>
            <w:tcW w:w="3747" w:type="dxa"/>
            <w:tcBorders>
              <w:top w:val="nil"/>
              <w:left w:val="nil"/>
              <w:bottom w:val="single" w:sz="4" w:space="0" w:color="D3D3D3"/>
              <w:right w:val="single" w:sz="4" w:space="0" w:color="D3D3D3"/>
            </w:tcBorders>
            <w:shd w:val="clear" w:color="auto" w:fill="auto"/>
            <w:noWrap/>
          </w:tcPr>
          <w:p w:rsidR="00DE2860" w:rsidRPr="00B32DD7" w:rsidRDefault="00DE2860" w:rsidP="00FF24CA">
            <w:pPr>
              <w:spacing w:after="0" w:line="240" w:lineRule="auto"/>
              <w:jc w:val="center"/>
              <w:rPr>
                <w:rFonts w:eastAsia="Times New Roman" w:cstheme="minorHAnsi"/>
                <w:color w:val="000000"/>
                <w:lang w:eastAsia="tr-TR"/>
              </w:rPr>
            </w:pPr>
            <w:r>
              <w:rPr>
                <w:rFonts w:ascii="Tahoma" w:hAnsi="Tahoma" w:cs="Tahoma"/>
                <w:color w:val="000000"/>
                <w:sz w:val="20"/>
                <w:szCs w:val="20"/>
              </w:rPr>
              <w:t>0,03</w:t>
            </w:r>
          </w:p>
        </w:tc>
      </w:tr>
      <w:tr w:rsidR="00DE2860" w:rsidRPr="00B32DD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rsidR="00DE2860" w:rsidRPr="00B32DD7" w:rsidRDefault="00DE2860" w:rsidP="00FF24CA">
            <w:pPr>
              <w:spacing w:after="0" w:line="240" w:lineRule="auto"/>
              <w:rPr>
                <w:rFonts w:eastAsia="Times New Roman" w:cstheme="minorHAnsi"/>
                <w:color w:val="000000"/>
                <w:lang w:eastAsia="tr-TR"/>
              </w:rPr>
            </w:pPr>
            <w:r>
              <w:rPr>
                <w:rFonts w:ascii="Tahoma" w:hAnsi="Tahoma" w:cs="Tahoma"/>
                <w:color w:val="000000"/>
                <w:sz w:val="20"/>
                <w:szCs w:val="20"/>
              </w:rPr>
              <w:t>NİĞDE</w:t>
            </w:r>
          </w:p>
        </w:tc>
        <w:tc>
          <w:tcPr>
            <w:tcW w:w="2130" w:type="dxa"/>
            <w:tcBorders>
              <w:top w:val="nil"/>
              <w:left w:val="nil"/>
              <w:bottom w:val="single" w:sz="4" w:space="0" w:color="D3D3D3"/>
              <w:right w:val="single" w:sz="4" w:space="0" w:color="D3D3D3"/>
            </w:tcBorders>
            <w:shd w:val="clear" w:color="auto" w:fill="auto"/>
            <w:noWrap/>
          </w:tcPr>
          <w:p w:rsidR="00DE2860" w:rsidRPr="00B32DD7" w:rsidRDefault="00DE2860" w:rsidP="00FF24CA">
            <w:pPr>
              <w:spacing w:after="0" w:line="240" w:lineRule="auto"/>
              <w:jc w:val="right"/>
              <w:rPr>
                <w:rFonts w:eastAsia="Times New Roman" w:cstheme="minorHAnsi"/>
                <w:color w:val="000000"/>
                <w:lang w:eastAsia="tr-TR"/>
              </w:rPr>
            </w:pPr>
            <w:r>
              <w:rPr>
                <w:rFonts w:ascii="Tahoma" w:hAnsi="Tahoma" w:cs="Tahoma"/>
                <w:color w:val="000000"/>
                <w:sz w:val="20"/>
                <w:szCs w:val="20"/>
              </w:rPr>
              <w:t>1.148,00</w:t>
            </w:r>
          </w:p>
        </w:tc>
        <w:tc>
          <w:tcPr>
            <w:tcW w:w="3747" w:type="dxa"/>
            <w:tcBorders>
              <w:top w:val="nil"/>
              <w:left w:val="nil"/>
              <w:bottom w:val="single" w:sz="4" w:space="0" w:color="D3D3D3"/>
              <w:right w:val="single" w:sz="4" w:space="0" w:color="D3D3D3"/>
            </w:tcBorders>
            <w:shd w:val="clear" w:color="auto" w:fill="auto"/>
            <w:noWrap/>
          </w:tcPr>
          <w:p w:rsidR="00DE2860" w:rsidRPr="00B32DD7" w:rsidRDefault="00DE2860" w:rsidP="00FF24CA">
            <w:pPr>
              <w:spacing w:after="0" w:line="240" w:lineRule="auto"/>
              <w:jc w:val="center"/>
              <w:rPr>
                <w:rFonts w:eastAsia="Times New Roman" w:cstheme="minorHAnsi"/>
                <w:color w:val="000000"/>
                <w:lang w:eastAsia="tr-TR"/>
              </w:rPr>
            </w:pPr>
            <w:r>
              <w:rPr>
                <w:rFonts w:ascii="Tahoma" w:hAnsi="Tahoma" w:cs="Tahoma"/>
                <w:color w:val="000000"/>
                <w:sz w:val="20"/>
                <w:szCs w:val="20"/>
              </w:rPr>
              <w:t>0,15</w:t>
            </w:r>
          </w:p>
        </w:tc>
      </w:tr>
      <w:tr w:rsidR="00DE2860" w:rsidRPr="00B32DD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rsidR="00DE2860" w:rsidRPr="00B32DD7" w:rsidRDefault="00DE2860" w:rsidP="00FF24CA">
            <w:pPr>
              <w:spacing w:after="0" w:line="240" w:lineRule="auto"/>
              <w:rPr>
                <w:rFonts w:eastAsia="Times New Roman" w:cstheme="minorHAnsi"/>
                <w:color w:val="000000"/>
                <w:lang w:eastAsia="tr-TR"/>
              </w:rPr>
            </w:pPr>
            <w:r>
              <w:rPr>
                <w:rFonts w:ascii="Tahoma" w:hAnsi="Tahoma" w:cs="Tahoma"/>
                <w:color w:val="000000"/>
                <w:sz w:val="20"/>
                <w:szCs w:val="20"/>
              </w:rPr>
              <w:t>ORDU</w:t>
            </w:r>
          </w:p>
        </w:tc>
        <w:tc>
          <w:tcPr>
            <w:tcW w:w="2130" w:type="dxa"/>
            <w:tcBorders>
              <w:top w:val="nil"/>
              <w:left w:val="nil"/>
              <w:bottom w:val="single" w:sz="4" w:space="0" w:color="D3D3D3"/>
              <w:right w:val="single" w:sz="4" w:space="0" w:color="D3D3D3"/>
            </w:tcBorders>
            <w:shd w:val="clear" w:color="auto" w:fill="auto"/>
            <w:noWrap/>
          </w:tcPr>
          <w:p w:rsidR="00DE2860" w:rsidRPr="00B32DD7" w:rsidRDefault="00DE2860" w:rsidP="00FF24CA">
            <w:pPr>
              <w:spacing w:after="0" w:line="240" w:lineRule="auto"/>
              <w:jc w:val="right"/>
              <w:rPr>
                <w:rFonts w:eastAsia="Times New Roman" w:cstheme="minorHAnsi"/>
                <w:color w:val="000000"/>
                <w:lang w:eastAsia="tr-TR"/>
              </w:rPr>
            </w:pPr>
            <w:r>
              <w:rPr>
                <w:rFonts w:ascii="Tahoma" w:hAnsi="Tahoma" w:cs="Tahoma"/>
                <w:color w:val="000000"/>
                <w:sz w:val="20"/>
                <w:szCs w:val="20"/>
              </w:rPr>
              <w:t>345,00</w:t>
            </w:r>
          </w:p>
        </w:tc>
        <w:tc>
          <w:tcPr>
            <w:tcW w:w="3747" w:type="dxa"/>
            <w:tcBorders>
              <w:top w:val="nil"/>
              <w:left w:val="nil"/>
              <w:bottom w:val="single" w:sz="4" w:space="0" w:color="D3D3D3"/>
              <w:right w:val="single" w:sz="4" w:space="0" w:color="D3D3D3"/>
            </w:tcBorders>
            <w:shd w:val="clear" w:color="auto" w:fill="auto"/>
            <w:noWrap/>
          </w:tcPr>
          <w:p w:rsidR="00DE2860" w:rsidRPr="00B32DD7" w:rsidRDefault="00DE2860" w:rsidP="00FF24CA">
            <w:pPr>
              <w:spacing w:after="0" w:line="240" w:lineRule="auto"/>
              <w:jc w:val="center"/>
              <w:rPr>
                <w:rFonts w:eastAsia="Times New Roman" w:cstheme="minorHAnsi"/>
                <w:color w:val="000000"/>
                <w:lang w:eastAsia="tr-TR"/>
              </w:rPr>
            </w:pPr>
            <w:r>
              <w:rPr>
                <w:rFonts w:ascii="Tahoma" w:hAnsi="Tahoma" w:cs="Tahoma"/>
                <w:color w:val="000000"/>
                <w:sz w:val="20"/>
                <w:szCs w:val="20"/>
              </w:rPr>
              <w:t>0,05</w:t>
            </w:r>
          </w:p>
        </w:tc>
      </w:tr>
      <w:tr w:rsidR="00DE2860" w:rsidRPr="00B32DD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tcPr>
          <w:p w:rsidR="00DE2860" w:rsidRDefault="00DE2860" w:rsidP="00FF24CA">
            <w:pPr>
              <w:spacing w:after="0" w:line="240" w:lineRule="auto"/>
              <w:rPr>
                <w:rFonts w:ascii="Tahoma" w:hAnsi="Tahoma" w:cs="Tahoma"/>
                <w:color w:val="000000"/>
                <w:sz w:val="20"/>
                <w:szCs w:val="20"/>
              </w:rPr>
            </w:pPr>
            <w:r>
              <w:rPr>
                <w:rFonts w:ascii="Tahoma" w:hAnsi="Tahoma" w:cs="Tahoma"/>
                <w:color w:val="000000"/>
                <w:sz w:val="20"/>
                <w:szCs w:val="20"/>
              </w:rPr>
              <w:t>OSMANİYE</w:t>
            </w:r>
          </w:p>
        </w:tc>
        <w:tc>
          <w:tcPr>
            <w:tcW w:w="2130" w:type="dxa"/>
            <w:tcBorders>
              <w:top w:val="nil"/>
              <w:left w:val="nil"/>
              <w:bottom w:val="single" w:sz="4" w:space="0" w:color="D3D3D3"/>
              <w:right w:val="single" w:sz="4" w:space="0" w:color="D3D3D3"/>
            </w:tcBorders>
            <w:shd w:val="clear" w:color="auto" w:fill="auto"/>
            <w:noWrap/>
          </w:tcPr>
          <w:p w:rsidR="00DE2860" w:rsidDel="000E59C1" w:rsidRDefault="00DE2860" w:rsidP="00FF24CA">
            <w:pPr>
              <w:spacing w:after="0" w:line="240" w:lineRule="auto"/>
              <w:jc w:val="right"/>
              <w:rPr>
                <w:rFonts w:ascii="Tahoma" w:hAnsi="Tahoma" w:cs="Tahoma"/>
                <w:color w:val="000000"/>
                <w:sz w:val="20"/>
                <w:szCs w:val="20"/>
              </w:rPr>
            </w:pPr>
            <w:r>
              <w:rPr>
                <w:rFonts w:ascii="Tahoma" w:hAnsi="Tahoma" w:cs="Tahoma"/>
                <w:color w:val="000000"/>
                <w:sz w:val="20"/>
                <w:szCs w:val="20"/>
              </w:rPr>
              <w:t>5.491,00</w:t>
            </w:r>
          </w:p>
        </w:tc>
        <w:tc>
          <w:tcPr>
            <w:tcW w:w="3747" w:type="dxa"/>
            <w:tcBorders>
              <w:top w:val="nil"/>
              <w:left w:val="nil"/>
              <w:bottom w:val="single" w:sz="4" w:space="0" w:color="D3D3D3"/>
              <w:right w:val="single" w:sz="4" w:space="0" w:color="D3D3D3"/>
            </w:tcBorders>
            <w:shd w:val="clear" w:color="auto" w:fill="auto"/>
            <w:noWrap/>
          </w:tcPr>
          <w:p w:rsidR="00DE2860" w:rsidDel="000E59C1" w:rsidRDefault="00DE2860" w:rsidP="00FF24CA">
            <w:pPr>
              <w:spacing w:after="0" w:line="240" w:lineRule="auto"/>
              <w:jc w:val="center"/>
              <w:rPr>
                <w:rFonts w:ascii="Tahoma" w:hAnsi="Tahoma" w:cs="Tahoma"/>
                <w:color w:val="000000"/>
                <w:sz w:val="20"/>
                <w:szCs w:val="20"/>
              </w:rPr>
            </w:pPr>
            <w:r>
              <w:rPr>
                <w:rFonts w:ascii="Tahoma" w:hAnsi="Tahoma" w:cs="Tahoma"/>
                <w:color w:val="000000"/>
                <w:sz w:val="20"/>
                <w:szCs w:val="20"/>
              </w:rPr>
              <w:t>0,72</w:t>
            </w:r>
          </w:p>
        </w:tc>
      </w:tr>
      <w:tr w:rsidR="00DE2860" w:rsidRPr="00B32DD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rsidR="00DE2860" w:rsidRPr="00B32DD7" w:rsidRDefault="00DE2860" w:rsidP="00FF24CA">
            <w:pPr>
              <w:spacing w:after="0" w:line="240" w:lineRule="auto"/>
              <w:rPr>
                <w:rFonts w:eastAsia="Times New Roman" w:cstheme="minorHAnsi"/>
                <w:color w:val="000000"/>
                <w:lang w:eastAsia="tr-TR"/>
              </w:rPr>
            </w:pPr>
            <w:r>
              <w:rPr>
                <w:rFonts w:ascii="Tahoma" w:hAnsi="Tahoma" w:cs="Tahoma"/>
                <w:color w:val="000000"/>
                <w:sz w:val="20"/>
                <w:szCs w:val="20"/>
              </w:rPr>
              <w:t>SAMSUN</w:t>
            </w:r>
          </w:p>
        </w:tc>
        <w:tc>
          <w:tcPr>
            <w:tcW w:w="2130" w:type="dxa"/>
            <w:tcBorders>
              <w:top w:val="nil"/>
              <w:left w:val="nil"/>
              <w:bottom w:val="single" w:sz="4" w:space="0" w:color="D3D3D3"/>
              <w:right w:val="single" w:sz="4" w:space="0" w:color="D3D3D3"/>
            </w:tcBorders>
            <w:shd w:val="clear" w:color="auto" w:fill="auto"/>
            <w:noWrap/>
          </w:tcPr>
          <w:p w:rsidR="00DE2860" w:rsidRPr="00B32DD7" w:rsidRDefault="00DE2860" w:rsidP="00FF24CA">
            <w:pPr>
              <w:spacing w:after="0" w:line="240" w:lineRule="auto"/>
              <w:jc w:val="right"/>
              <w:rPr>
                <w:rFonts w:eastAsia="Times New Roman" w:cstheme="minorHAnsi"/>
                <w:color w:val="000000"/>
                <w:lang w:eastAsia="tr-TR"/>
              </w:rPr>
            </w:pPr>
            <w:r>
              <w:rPr>
                <w:rFonts w:ascii="Tahoma" w:hAnsi="Tahoma" w:cs="Tahoma"/>
                <w:color w:val="000000"/>
                <w:sz w:val="20"/>
                <w:szCs w:val="20"/>
              </w:rPr>
              <w:t>28,351,00</w:t>
            </w:r>
          </w:p>
        </w:tc>
        <w:tc>
          <w:tcPr>
            <w:tcW w:w="3747" w:type="dxa"/>
            <w:tcBorders>
              <w:top w:val="nil"/>
              <w:left w:val="nil"/>
              <w:bottom w:val="single" w:sz="4" w:space="0" w:color="D3D3D3"/>
              <w:right w:val="single" w:sz="4" w:space="0" w:color="D3D3D3"/>
            </w:tcBorders>
            <w:shd w:val="clear" w:color="auto" w:fill="auto"/>
            <w:noWrap/>
          </w:tcPr>
          <w:p w:rsidR="00DE2860" w:rsidRPr="00B32DD7" w:rsidRDefault="00DE2860" w:rsidP="00FF24CA">
            <w:pPr>
              <w:spacing w:after="0" w:line="240" w:lineRule="auto"/>
              <w:jc w:val="center"/>
              <w:rPr>
                <w:rFonts w:eastAsia="Times New Roman" w:cstheme="minorHAnsi"/>
                <w:color w:val="000000"/>
                <w:lang w:eastAsia="tr-TR"/>
              </w:rPr>
            </w:pPr>
            <w:r>
              <w:rPr>
                <w:rFonts w:ascii="Tahoma" w:hAnsi="Tahoma" w:cs="Tahoma"/>
                <w:color w:val="000000"/>
                <w:sz w:val="20"/>
                <w:szCs w:val="20"/>
              </w:rPr>
              <w:t>3,73</w:t>
            </w:r>
          </w:p>
        </w:tc>
      </w:tr>
      <w:tr w:rsidR="00DE2860" w:rsidRPr="00B32DD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rsidR="00DE2860" w:rsidRPr="00B32DD7" w:rsidRDefault="00DE2860" w:rsidP="00FF24CA">
            <w:pPr>
              <w:spacing w:after="0" w:line="240" w:lineRule="auto"/>
              <w:rPr>
                <w:rFonts w:eastAsia="Times New Roman" w:cstheme="minorHAnsi"/>
                <w:color w:val="000000"/>
                <w:lang w:eastAsia="tr-TR"/>
              </w:rPr>
            </w:pPr>
            <w:r>
              <w:rPr>
                <w:rFonts w:ascii="Tahoma" w:hAnsi="Tahoma" w:cs="Tahoma"/>
                <w:color w:val="000000"/>
                <w:sz w:val="20"/>
                <w:szCs w:val="20"/>
              </w:rPr>
              <w:t>TEKİRDAĞ</w:t>
            </w:r>
          </w:p>
        </w:tc>
        <w:tc>
          <w:tcPr>
            <w:tcW w:w="2130" w:type="dxa"/>
            <w:tcBorders>
              <w:top w:val="nil"/>
              <w:left w:val="nil"/>
              <w:bottom w:val="single" w:sz="4" w:space="0" w:color="D3D3D3"/>
              <w:right w:val="single" w:sz="4" w:space="0" w:color="D3D3D3"/>
            </w:tcBorders>
            <w:shd w:val="clear" w:color="auto" w:fill="auto"/>
            <w:noWrap/>
          </w:tcPr>
          <w:p w:rsidR="00DE2860" w:rsidRPr="00B32DD7" w:rsidRDefault="00DE2860" w:rsidP="00FF24CA">
            <w:pPr>
              <w:spacing w:after="0" w:line="240" w:lineRule="auto"/>
              <w:jc w:val="right"/>
              <w:rPr>
                <w:rFonts w:eastAsia="Times New Roman" w:cstheme="minorHAnsi"/>
                <w:color w:val="000000"/>
                <w:lang w:eastAsia="tr-TR"/>
              </w:rPr>
            </w:pPr>
            <w:r>
              <w:rPr>
                <w:rFonts w:ascii="Tahoma" w:hAnsi="Tahoma" w:cs="Tahoma"/>
                <w:color w:val="000000"/>
                <w:sz w:val="20"/>
                <w:szCs w:val="20"/>
              </w:rPr>
              <w:t>53.864,00</w:t>
            </w:r>
          </w:p>
        </w:tc>
        <w:tc>
          <w:tcPr>
            <w:tcW w:w="3747" w:type="dxa"/>
            <w:tcBorders>
              <w:top w:val="nil"/>
              <w:left w:val="nil"/>
              <w:bottom w:val="single" w:sz="4" w:space="0" w:color="D3D3D3"/>
              <w:right w:val="single" w:sz="4" w:space="0" w:color="D3D3D3"/>
            </w:tcBorders>
            <w:shd w:val="clear" w:color="auto" w:fill="auto"/>
            <w:noWrap/>
          </w:tcPr>
          <w:p w:rsidR="00DE2860" w:rsidRPr="00B32DD7" w:rsidRDefault="00DE2860" w:rsidP="00FF24CA">
            <w:pPr>
              <w:spacing w:after="0" w:line="240" w:lineRule="auto"/>
              <w:jc w:val="center"/>
              <w:rPr>
                <w:rFonts w:eastAsia="Times New Roman" w:cstheme="minorHAnsi"/>
                <w:color w:val="000000"/>
                <w:lang w:eastAsia="tr-TR"/>
              </w:rPr>
            </w:pPr>
            <w:r>
              <w:rPr>
                <w:rFonts w:ascii="Tahoma" w:hAnsi="Tahoma" w:cs="Tahoma"/>
                <w:color w:val="000000"/>
                <w:sz w:val="20"/>
                <w:szCs w:val="20"/>
              </w:rPr>
              <w:t>7,09</w:t>
            </w:r>
          </w:p>
        </w:tc>
      </w:tr>
      <w:tr w:rsidR="00DE2860" w:rsidRPr="00B32DD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rsidR="00DE2860" w:rsidRPr="00B32DD7" w:rsidRDefault="00DE2860" w:rsidP="00FF24CA">
            <w:pPr>
              <w:spacing w:after="0" w:line="240" w:lineRule="auto"/>
              <w:rPr>
                <w:rFonts w:eastAsia="Times New Roman" w:cstheme="minorHAnsi"/>
                <w:color w:val="000000"/>
                <w:lang w:eastAsia="tr-TR"/>
              </w:rPr>
            </w:pPr>
            <w:r>
              <w:rPr>
                <w:rFonts w:ascii="Tahoma" w:hAnsi="Tahoma" w:cs="Tahoma"/>
                <w:color w:val="000000"/>
                <w:sz w:val="20"/>
                <w:szCs w:val="20"/>
              </w:rPr>
              <w:t>TOKAT</w:t>
            </w:r>
          </w:p>
        </w:tc>
        <w:tc>
          <w:tcPr>
            <w:tcW w:w="2130" w:type="dxa"/>
            <w:tcBorders>
              <w:top w:val="nil"/>
              <w:left w:val="nil"/>
              <w:bottom w:val="single" w:sz="4" w:space="0" w:color="D3D3D3"/>
              <w:right w:val="single" w:sz="4" w:space="0" w:color="D3D3D3"/>
            </w:tcBorders>
            <w:shd w:val="clear" w:color="auto" w:fill="auto"/>
            <w:noWrap/>
          </w:tcPr>
          <w:p w:rsidR="00DE2860" w:rsidRPr="00B32DD7" w:rsidRDefault="00DE2860" w:rsidP="00FF24CA">
            <w:pPr>
              <w:spacing w:after="0" w:line="240" w:lineRule="auto"/>
              <w:jc w:val="right"/>
              <w:rPr>
                <w:rFonts w:eastAsia="Times New Roman" w:cstheme="minorHAnsi"/>
                <w:color w:val="000000"/>
                <w:lang w:eastAsia="tr-TR"/>
              </w:rPr>
            </w:pPr>
            <w:r>
              <w:rPr>
                <w:rFonts w:ascii="Tahoma" w:hAnsi="Tahoma" w:cs="Tahoma"/>
                <w:color w:val="000000"/>
                <w:sz w:val="20"/>
                <w:szCs w:val="20"/>
              </w:rPr>
              <w:t>935,00</w:t>
            </w:r>
          </w:p>
        </w:tc>
        <w:tc>
          <w:tcPr>
            <w:tcW w:w="3747" w:type="dxa"/>
            <w:tcBorders>
              <w:top w:val="nil"/>
              <w:left w:val="nil"/>
              <w:bottom w:val="single" w:sz="4" w:space="0" w:color="D3D3D3"/>
              <w:right w:val="single" w:sz="4" w:space="0" w:color="D3D3D3"/>
            </w:tcBorders>
            <w:shd w:val="clear" w:color="auto" w:fill="auto"/>
            <w:noWrap/>
          </w:tcPr>
          <w:p w:rsidR="00DE2860" w:rsidRPr="00B32DD7" w:rsidRDefault="00DE2860" w:rsidP="00FF24CA">
            <w:pPr>
              <w:spacing w:after="0" w:line="240" w:lineRule="auto"/>
              <w:jc w:val="center"/>
              <w:rPr>
                <w:rFonts w:eastAsia="Times New Roman" w:cstheme="minorHAnsi"/>
                <w:color w:val="000000"/>
                <w:lang w:eastAsia="tr-TR"/>
              </w:rPr>
            </w:pPr>
            <w:r>
              <w:rPr>
                <w:rFonts w:ascii="Tahoma" w:hAnsi="Tahoma" w:cs="Tahoma"/>
                <w:color w:val="000000"/>
                <w:sz w:val="20"/>
                <w:szCs w:val="20"/>
              </w:rPr>
              <w:t>0,12</w:t>
            </w:r>
          </w:p>
        </w:tc>
      </w:tr>
      <w:tr w:rsidR="00DE2860" w:rsidRPr="00B32DD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rsidR="00DE2860" w:rsidRPr="00B32DD7" w:rsidRDefault="00DE2860" w:rsidP="00FF24CA">
            <w:pPr>
              <w:spacing w:after="0" w:line="240" w:lineRule="auto"/>
              <w:rPr>
                <w:rFonts w:eastAsia="Times New Roman" w:cstheme="minorHAnsi"/>
                <w:color w:val="000000"/>
                <w:lang w:eastAsia="tr-TR"/>
              </w:rPr>
            </w:pPr>
            <w:r>
              <w:rPr>
                <w:rFonts w:ascii="Tahoma" w:hAnsi="Tahoma" w:cs="Tahoma"/>
                <w:color w:val="000000"/>
                <w:sz w:val="20"/>
                <w:szCs w:val="20"/>
              </w:rPr>
              <w:t>TRABZON</w:t>
            </w:r>
          </w:p>
        </w:tc>
        <w:tc>
          <w:tcPr>
            <w:tcW w:w="2130" w:type="dxa"/>
            <w:tcBorders>
              <w:top w:val="nil"/>
              <w:left w:val="nil"/>
              <w:bottom w:val="single" w:sz="4" w:space="0" w:color="D3D3D3"/>
              <w:right w:val="single" w:sz="4" w:space="0" w:color="D3D3D3"/>
            </w:tcBorders>
            <w:shd w:val="clear" w:color="auto" w:fill="auto"/>
            <w:noWrap/>
          </w:tcPr>
          <w:p w:rsidR="00DE2860" w:rsidRPr="00B32DD7" w:rsidRDefault="00DE2860" w:rsidP="00FF24CA">
            <w:pPr>
              <w:spacing w:after="0" w:line="240" w:lineRule="auto"/>
              <w:jc w:val="right"/>
              <w:rPr>
                <w:rFonts w:eastAsia="Times New Roman" w:cstheme="minorHAnsi"/>
                <w:color w:val="000000"/>
                <w:lang w:eastAsia="tr-TR"/>
              </w:rPr>
            </w:pPr>
            <w:r>
              <w:rPr>
                <w:rFonts w:ascii="Tahoma" w:hAnsi="Tahoma" w:cs="Tahoma"/>
                <w:color w:val="000000"/>
                <w:sz w:val="20"/>
                <w:szCs w:val="20"/>
              </w:rPr>
              <w:t>21.633,00</w:t>
            </w:r>
          </w:p>
        </w:tc>
        <w:tc>
          <w:tcPr>
            <w:tcW w:w="3747" w:type="dxa"/>
            <w:tcBorders>
              <w:top w:val="nil"/>
              <w:left w:val="nil"/>
              <w:bottom w:val="single" w:sz="4" w:space="0" w:color="D3D3D3"/>
              <w:right w:val="single" w:sz="4" w:space="0" w:color="D3D3D3"/>
            </w:tcBorders>
            <w:shd w:val="clear" w:color="auto" w:fill="auto"/>
            <w:noWrap/>
          </w:tcPr>
          <w:p w:rsidR="00DE2860" w:rsidRPr="00B32DD7" w:rsidRDefault="00DE2860" w:rsidP="00FF24CA">
            <w:pPr>
              <w:spacing w:after="0" w:line="240" w:lineRule="auto"/>
              <w:jc w:val="center"/>
              <w:rPr>
                <w:rFonts w:eastAsia="Times New Roman" w:cstheme="minorHAnsi"/>
                <w:color w:val="000000"/>
                <w:lang w:eastAsia="tr-TR"/>
              </w:rPr>
            </w:pPr>
            <w:r>
              <w:rPr>
                <w:rFonts w:ascii="Tahoma" w:hAnsi="Tahoma" w:cs="Tahoma"/>
                <w:color w:val="000000"/>
                <w:sz w:val="20"/>
                <w:szCs w:val="20"/>
              </w:rPr>
              <w:t>2,85</w:t>
            </w:r>
          </w:p>
        </w:tc>
      </w:tr>
      <w:tr w:rsidR="00DE2860" w:rsidRPr="00B32DD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tcPr>
          <w:p w:rsidR="00DE2860" w:rsidRPr="00B32DD7" w:rsidRDefault="00DE2860" w:rsidP="00FF24CA">
            <w:pPr>
              <w:spacing w:after="0" w:line="240" w:lineRule="auto"/>
              <w:rPr>
                <w:rFonts w:ascii="Calibri" w:hAnsi="Calibri" w:cs="Calibri"/>
                <w:color w:val="000000"/>
              </w:rPr>
            </w:pPr>
            <w:r>
              <w:rPr>
                <w:rFonts w:ascii="Tahoma" w:hAnsi="Tahoma" w:cs="Tahoma"/>
                <w:color w:val="000000"/>
                <w:sz w:val="20"/>
                <w:szCs w:val="20"/>
              </w:rPr>
              <w:t>VAN</w:t>
            </w:r>
          </w:p>
        </w:tc>
        <w:tc>
          <w:tcPr>
            <w:tcW w:w="2130" w:type="dxa"/>
            <w:tcBorders>
              <w:top w:val="nil"/>
              <w:left w:val="nil"/>
              <w:bottom w:val="single" w:sz="4" w:space="0" w:color="D3D3D3"/>
              <w:right w:val="single" w:sz="4" w:space="0" w:color="D3D3D3"/>
            </w:tcBorders>
            <w:shd w:val="clear" w:color="auto" w:fill="auto"/>
            <w:noWrap/>
          </w:tcPr>
          <w:p w:rsidR="00DE2860" w:rsidRPr="00B32DD7" w:rsidRDefault="00DE2860" w:rsidP="00FF24CA">
            <w:pPr>
              <w:spacing w:after="0" w:line="240" w:lineRule="auto"/>
              <w:jc w:val="right"/>
              <w:rPr>
                <w:rFonts w:ascii="Calibri" w:hAnsi="Calibri" w:cs="Calibri"/>
                <w:color w:val="000000"/>
              </w:rPr>
            </w:pPr>
            <w:r>
              <w:rPr>
                <w:rFonts w:ascii="Tahoma" w:hAnsi="Tahoma" w:cs="Tahoma"/>
                <w:color w:val="000000"/>
                <w:sz w:val="20"/>
                <w:szCs w:val="20"/>
              </w:rPr>
              <w:t>575,00</w:t>
            </w:r>
          </w:p>
        </w:tc>
        <w:tc>
          <w:tcPr>
            <w:tcW w:w="3747" w:type="dxa"/>
            <w:tcBorders>
              <w:top w:val="nil"/>
              <w:left w:val="nil"/>
              <w:bottom w:val="single" w:sz="4" w:space="0" w:color="D3D3D3"/>
              <w:right w:val="single" w:sz="4" w:space="0" w:color="D3D3D3"/>
            </w:tcBorders>
            <w:shd w:val="clear" w:color="auto" w:fill="auto"/>
            <w:noWrap/>
          </w:tcPr>
          <w:p w:rsidR="00DE2860" w:rsidRPr="00B32DD7" w:rsidRDefault="00DE2860" w:rsidP="00FF24CA">
            <w:pPr>
              <w:spacing w:after="0" w:line="240" w:lineRule="auto"/>
              <w:jc w:val="center"/>
              <w:rPr>
                <w:rFonts w:ascii="Calibri" w:hAnsi="Calibri" w:cs="Calibri"/>
                <w:color w:val="000000"/>
              </w:rPr>
            </w:pPr>
            <w:r>
              <w:rPr>
                <w:rFonts w:ascii="Tahoma" w:hAnsi="Tahoma" w:cs="Tahoma"/>
                <w:color w:val="000000"/>
                <w:sz w:val="20"/>
                <w:szCs w:val="20"/>
              </w:rPr>
              <w:t>0,08</w:t>
            </w:r>
          </w:p>
        </w:tc>
      </w:tr>
      <w:tr w:rsidR="00DE2860" w:rsidRPr="00B32DD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tcPr>
          <w:p w:rsidR="00DE2860" w:rsidRPr="00B32DD7" w:rsidRDefault="00DE2860" w:rsidP="00FF24CA">
            <w:pPr>
              <w:spacing w:after="0" w:line="240" w:lineRule="auto"/>
              <w:rPr>
                <w:rFonts w:ascii="Calibri" w:hAnsi="Calibri" w:cs="Calibri"/>
                <w:color w:val="000000"/>
              </w:rPr>
            </w:pPr>
            <w:r>
              <w:rPr>
                <w:rFonts w:ascii="Tahoma" w:hAnsi="Tahoma" w:cs="Tahoma"/>
                <w:color w:val="000000"/>
                <w:sz w:val="20"/>
                <w:szCs w:val="20"/>
              </w:rPr>
              <w:t>YOZGAT</w:t>
            </w:r>
          </w:p>
        </w:tc>
        <w:tc>
          <w:tcPr>
            <w:tcW w:w="2130" w:type="dxa"/>
            <w:tcBorders>
              <w:top w:val="nil"/>
              <w:left w:val="nil"/>
              <w:bottom w:val="single" w:sz="4" w:space="0" w:color="D3D3D3"/>
              <w:right w:val="single" w:sz="4" w:space="0" w:color="D3D3D3"/>
            </w:tcBorders>
            <w:shd w:val="clear" w:color="auto" w:fill="auto"/>
            <w:noWrap/>
          </w:tcPr>
          <w:p w:rsidR="00DE2860" w:rsidRPr="00B32DD7" w:rsidRDefault="00DE2860" w:rsidP="00FF24CA">
            <w:pPr>
              <w:spacing w:after="0" w:line="240" w:lineRule="auto"/>
              <w:jc w:val="right"/>
              <w:rPr>
                <w:rFonts w:ascii="Calibri" w:hAnsi="Calibri" w:cs="Calibri"/>
                <w:color w:val="000000"/>
              </w:rPr>
            </w:pPr>
            <w:r>
              <w:rPr>
                <w:rFonts w:ascii="Tahoma" w:hAnsi="Tahoma" w:cs="Tahoma"/>
                <w:color w:val="000000"/>
                <w:sz w:val="20"/>
                <w:szCs w:val="20"/>
              </w:rPr>
              <w:t>645,00</w:t>
            </w:r>
          </w:p>
        </w:tc>
        <w:tc>
          <w:tcPr>
            <w:tcW w:w="3747" w:type="dxa"/>
            <w:tcBorders>
              <w:top w:val="nil"/>
              <w:left w:val="nil"/>
              <w:bottom w:val="single" w:sz="4" w:space="0" w:color="D3D3D3"/>
              <w:right w:val="single" w:sz="4" w:space="0" w:color="D3D3D3"/>
            </w:tcBorders>
            <w:shd w:val="clear" w:color="auto" w:fill="auto"/>
            <w:noWrap/>
          </w:tcPr>
          <w:p w:rsidR="00DE2860" w:rsidRPr="00B32DD7" w:rsidRDefault="00DE2860" w:rsidP="00FF24CA">
            <w:pPr>
              <w:spacing w:after="0" w:line="240" w:lineRule="auto"/>
              <w:jc w:val="center"/>
              <w:rPr>
                <w:rFonts w:ascii="Calibri" w:hAnsi="Calibri" w:cs="Calibri"/>
                <w:color w:val="000000"/>
              </w:rPr>
            </w:pPr>
            <w:r>
              <w:rPr>
                <w:rFonts w:ascii="Tahoma" w:hAnsi="Tahoma" w:cs="Tahoma"/>
                <w:color w:val="000000"/>
                <w:sz w:val="20"/>
                <w:szCs w:val="20"/>
              </w:rPr>
              <w:t>0,08</w:t>
            </w:r>
          </w:p>
        </w:tc>
      </w:tr>
      <w:tr w:rsidR="00DE2860" w:rsidRPr="00B32DD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tcPr>
          <w:p w:rsidR="00DE2860" w:rsidRDefault="00DE2860" w:rsidP="00FF24CA">
            <w:pPr>
              <w:spacing w:after="0" w:line="240" w:lineRule="auto"/>
              <w:rPr>
                <w:rFonts w:ascii="Tahoma" w:hAnsi="Tahoma" w:cs="Tahoma"/>
                <w:color w:val="000000"/>
                <w:sz w:val="20"/>
                <w:szCs w:val="20"/>
              </w:rPr>
            </w:pPr>
            <w:r>
              <w:rPr>
                <w:rFonts w:ascii="Tahoma" w:hAnsi="Tahoma" w:cs="Tahoma"/>
                <w:color w:val="000000"/>
                <w:sz w:val="20"/>
                <w:szCs w:val="20"/>
              </w:rPr>
              <w:t>ZONGULDAK</w:t>
            </w:r>
          </w:p>
        </w:tc>
        <w:tc>
          <w:tcPr>
            <w:tcW w:w="2130" w:type="dxa"/>
            <w:tcBorders>
              <w:top w:val="nil"/>
              <w:left w:val="nil"/>
              <w:bottom w:val="single" w:sz="4" w:space="0" w:color="D3D3D3"/>
              <w:right w:val="single" w:sz="4" w:space="0" w:color="D3D3D3"/>
            </w:tcBorders>
            <w:shd w:val="clear" w:color="auto" w:fill="auto"/>
            <w:noWrap/>
          </w:tcPr>
          <w:p w:rsidR="00DE2860" w:rsidRDefault="00DE2860" w:rsidP="00FF24CA">
            <w:pPr>
              <w:spacing w:after="0" w:line="240" w:lineRule="auto"/>
              <w:jc w:val="right"/>
              <w:rPr>
                <w:rFonts w:ascii="Tahoma" w:hAnsi="Tahoma" w:cs="Tahoma"/>
                <w:color w:val="000000"/>
                <w:sz w:val="20"/>
                <w:szCs w:val="20"/>
              </w:rPr>
            </w:pPr>
            <w:r>
              <w:rPr>
                <w:rFonts w:ascii="Tahoma" w:hAnsi="Tahoma" w:cs="Tahoma"/>
                <w:color w:val="000000"/>
                <w:sz w:val="20"/>
                <w:szCs w:val="20"/>
              </w:rPr>
              <w:t>365,00</w:t>
            </w:r>
          </w:p>
        </w:tc>
        <w:tc>
          <w:tcPr>
            <w:tcW w:w="3747" w:type="dxa"/>
            <w:tcBorders>
              <w:top w:val="nil"/>
              <w:left w:val="nil"/>
              <w:bottom w:val="single" w:sz="4" w:space="0" w:color="D3D3D3"/>
              <w:right w:val="single" w:sz="4" w:space="0" w:color="D3D3D3"/>
            </w:tcBorders>
            <w:shd w:val="clear" w:color="auto" w:fill="auto"/>
            <w:noWrap/>
          </w:tcPr>
          <w:p w:rsidR="00DE2860" w:rsidRDefault="00DE2860" w:rsidP="00FF24CA">
            <w:pPr>
              <w:spacing w:after="0" w:line="240" w:lineRule="auto"/>
              <w:jc w:val="center"/>
              <w:rPr>
                <w:rFonts w:ascii="Tahoma" w:hAnsi="Tahoma" w:cs="Tahoma"/>
                <w:color w:val="000000"/>
                <w:sz w:val="20"/>
                <w:szCs w:val="20"/>
              </w:rPr>
            </w:pPr>
            <w:r>
              <w:rPr>
                <w:rFonts w:ascii="Tahoma" w:hAnsi="Tahoma" w:cs="Tahoma"/>
                <w:color w:val="000000"/>
                <w:sz w:val="20"/>
                <w:szCs w:val="20"/>
              </w:rPr>
              <w:t>0,05</w:t>
            </w:r>
          </w:p>
        </w:tc>
      </w:tr>
      <w:tr w:rsidR="00DE2860" w:rsidRPr="00B32DD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rsidR="00DE2860" w:rsidRPr="00B32DD7" w:rsidRDefault="00DE2860" w:rsidP="00FF24CA">
            <w:pPr>
              <w:spacing w:after="0" w:line="240" w:lineRule="auto"/>
              <w:rPr>
                <w:rFonts w:eastAsia="Times New Roman" w:cstheme="minorHAnsi"/>
                <w:color w:val="000000"/>
                <w:lang w:eastAsia="tr-TR"/>
              </w:rPr>
            </w:pPr>
            <w:r w:rsidRPr="00B32DD7">
              <w:rPr>
                <w:rFonts w:ascii="Calibri" w:hAnsi="Calibri" w:cs="Calibri"/>
                <w:b/>
                <w:bCs/>
                <w:color w:val="000000"/>
              </w:rPr>
              <w:t>Toplam</w:t>
            </w:r>
          </w:p>
        </w:tc>
        <w:tc>
          <w:tcPr>
            <w:tcW w:w="2130" w:type="dxa"/>
            <w:tcBorders>
              <w:top w:val="nil"/>
              <w:left w:val="nil"/>
              <w:bottom w:val="single" w:sz="4" w:space="0" w:color="D3D3D3"/>
              <w:right w:val="single" w:sz="4" w:space="0" w:color="D3D3D3"/>
            </w:tcBorders>
            <w:shd w:val="clear" w:color="auto" w:fill="auto"/>
            <w:noWrap/>
          </w:tcPr>
          <w:p w:rsidR="00DE2860" w:rsidRPr="00B32DD7" w:rsidRDefault="00DE2860" w:rsidP="00FF24CA">
            <w:pPr>
              <w:spacing w:after="0" w:line="240" w:lineRule="auto"/>
              <w:jc w:val="right"/>
              <w:rPr>
                <w:rFonts w:eastAsia="Times New Roman" w:cstheme="minorHAnsi"/>
                <w:b/>
                <w:color w:val="000000"/>
                <w:lang w:eastAsia="tr-TR"/>
              </w:rPr>
            </w:pPr>
            <w:r>
              <w:rPr>
                <w:rFonts w:ascii="Calibri" w:hAnsi="Calibri" w:cs="Calibri"/>
                <w:b/>
                <w:color w:val="000000"/>
              </w:rPr>
              <w:t>760.247,190</w:t>
            </w:r>
          </w:p>
        </w:tc>
        <w:tc>
          <w:tcPr>
            <w:tcW w:w="3747" w:type="dxa"/>
            <w:tcBorders>
              <w:top w:val="nil"/>
              <w:left w:val="nil"/>
              <w:bottom w:val="single" w:sz="4" w:space="0" w:color="D3D3D3"/>
              <w:right w:val="single" w:sz="4" w:space="0" w:color="D3D3D3"/>
            </w:tcBorders>
            <w:shd w:val="clear" w:color="auto" w:fill="auto"/>
            <w:noWrap/>
          </w:tcPr>
          <w:p w:rsidR="00DE2860" w:rsidRPr="00B32DD7" w:rsidRDefault="00DE2860" w:rsidP="00FF24CA">
            <w:pPr>
              <w:spacing w:after="0" w:line="240" w:lineRule="auto"/>
              <w:jc w:val="center"/>
              <w:rPr>
                <w:rFonts w:eastAsia="Times New Roman" w:cstheme="minorHAnsi"/>
                <w:color w:val="000000"/>
                <w:lang w:eastAsia="tr-TR"/>
              </w:rPr>
            </w:pPr>
            <w:r>
              <w:rPr>
                <w:rFonts w:ascii="Calibri" w:hAnsi="Calibri" w:cs="Calibri"/>
                <w:b/>
                <w:bCs/>
                <w:color w:val="000000"/>
              </w:rPr>
              <w:t>100</w:t>
            </w:r>
          </w:p>
        </w:tc>
      </w:tr>
      <w:bookmarkEnd w:id="205"/>
    </w:tbl>
    <w:p w:rsidR="00DE2860" w:rsidRDefault="00DE2860" w:rsidP="0017770B"/>
    <w:p w:rsidR="0017770B" w:rsidRDefault="0017770B" w:rsidP="0017770B"/>
    <w:p w:rsidR="0017770B" w:rsidRDefault="0017770B" w:rsidP="0017770B"/>
    <w:p w:rsidR="0017770B" w:rsidRDefault="0017770B" w:rsidP="00DE2860"/>
    <w:p w:rsidR="00D3422D" w:rsidRDefault="009F5F1A" w:rsidP="000A5A56">
      <w:pPr>
        <w:pStyle w:val="Balk1"/>
        <w:numPr>
          <w:ilvl w:val="0"/>
          <w:numId w:val="11"/>
        </w:numPr>
        <w:spacing w:before="0"/>
        <w:rPr>
          <w:rFonts w:asciiTheme="minorHAnsi" w:hAnsiTheme="minorHAnsi"/>
          <w:color w:val="auto"/>
          <w:sz w:val="22"/>
          <w:szCs w:val="22"/>
        </w:rPr>
      </w:pPr>
      <w:bookmarkStart w:id="206" w:name="_Toc442431264"/>
      <w:bookmarkStart w:id="207" w:name="_Toc132713798"/>
      <w:r w:rsidRPr="00E9291A">
        <w:rPr>
          <w:rFonts w:asciiTheme="minorHAnsi" w:hAnsiTheme="minorHAnsi"/>
          <w:color w:val="auto"/>
          <w:sz w:val="22"/>
          <w:szCs w:val="22"/>
        </w:rPr>
        <w:lastRenderedPageBreak/>
        <w:t>FİYAT OLUŞUMU ve TARİFELENDİRME FAALİYETLERİ</w:t>
      </w:r>
      <w:bookmarkEnd w:id="206"/>
      <w:bookmarkEnd w:id="207"/>
    </w:p>
    <w:p w:rsidR="00DC783D" w:rsidRPr="00DC783D" w:rsidRDefault="00DC783D" w:rsidP="00DC783D"/>
    <w:p w:rsidR="002C3099" w:rsidRPr="00E9291A" w:rsidRDefault="002C3099" w:rsidP="002C3099">
      <w:pPr>
        <w:spacing w:after="240"/>
      </w:pPr>
      <w:r w:rsidRPr="002C3099">
        <w:t xml:space="preserve">Bu bölümde elektrik, doğal gaz, petrol ve LPG piyasalarına ilişkin </w:t>
      </w:r>
      <w:r w:rsidR="007A6CDB">
        <w:t>2022</w:t>
      </w:r>
      <w:r w:rsidR="007A6CDB" w:rsidRPr="002C3099">
        <w:t xml:space="preserve"> </w:t>
      </w:r>
      <w:r w:rsidRPr="002C3099">
        <w:t>yılı içerisinde yürütülen tarifelendirme ile fiyat oluşumuna ilişkin faaliyetler yer almaktadır.</w:t>
      </w:r>
    </w:p>
    <w:p w:rsidR="002C3099" w:rsidRPr="00E9291A" w:rsidRDefault="002C3099" w:rsidP="000A5A56">
      <w:pPr>
        <w:pStyle w:val="Balk2"/>
        <w:numPr>
          <w:ilvl w:val="1"/>
          <w:numId w:val="11"/>
        </w:numPr>
        <w:spacing w:after="240"/>
        <w:rPr>
          <w:rFonts w:asciiTheme="minorHAnsi" w:hAnsiTheme="minorHAnsi"/>
          <w:color w:val="auto"/>
          <w:sz w:val="22"/>
          <w:szCs w:val="22"/>
        </w:rPr>
      </w:pPr>
      <w:bookmarkStart w:id="208" w:name="_Toc66267370"/>
      <w:bookmarkStart w:id="209" w:name="_Toc132713799"/>
      <w:r w:rsidRPr="00E9291A">
        <w:rPr>
          <w:rFonts w:asciiTheme="minorHAnsi" w:hAnsiTheme="minorHAnsi"/>
          <w:color w:val="auto"/>
          <w:sz w:val="22"/>
          <w:szCs w:val="22"/>
        </w:rPr>
        <w:t>Elektrik Piyasası Tarifeleri</w:t>
      </w:r>
      <w:bookmarkEnd w:id="208"/>
      <w:bookmarkEnd w:id="209"/>
    </w:p>
    <w:p w:rsidR="002C3099" w:rsidRPr="00E9291A" w:rsidRDefault="002C3099" w:rsidP="002C3099">
      <w:pPr>
        <w:spacing w:after="240"/>
      </w:pPr>
      <w:r w:rsidRPr="002C3099">
        <w:t xml:space="preserve">Elektrik piyasasında düzenlemeye tabi tarifelerin hazırlanmasına, incelenmesine, değerlendirilmesine, değiştirilmesine ve onaylanmasına ilişkin usul ve esaslar Elektrik Piyasası Tarifeler Yönetmeliği ve ilgili tebliğlerinde düzenlenmiştir. </w:t>
      </w:r>
      <w:r w:rsidR="007A6CDB" w:rsidRPr="002C3099">
        <w:t>202</w:t>
      </w:r>
      <w:r w:rsidR="007A6CDB">
        <w:t>2</w:t>
      </w:r>
      <w:r w:rsidR="007A6CDB" w:rsidRPr="002C3099">
        <w:t xml:space="preserve"> </w:t>
      </w:r>
      <w:r w:rsidRPr="002C3099">
        <w:t>yılında tarife uygulamalarına dair alınan Kurul Kararları ve yapılan işlemlere dair önemli bilgiler aşağıda verilmektedir.</w:t>
      </w:r>
    </w:p>
    <w:p w:rsidR="00C839EE" w:rsidRPr="00D3422D" w:rsidRDefault="002C3099" w:rsidP="000A5A56">
      <w:pPr>
        <w:pStyle w:val="Balk3"/>
        <w:numPr>
          <w:ilvl w:val="2"/>
          <w:numId w:val="11"/>
        </w:numPr>
        <w:spacing w:after="240"/>
        <w:rPr>
          <w:rFonts w:asciiTheme="minorHAnsi" w:hAnsiTheme="minorHAnsi"/>
          <w:color w:val="auto"/>
        </w:rPr>
      </w:pPr>
      <w:bookmarkStart w:id="210" w:name="_Toc66267371"/>
      <w:bookmarkStart w:id="211" w:name="_Toc132713800"/>
      <w:r w:rsidRPr="00FA1354">
        <w:rPr>
          <w:rFonts w:asciiTheme="minorHAnsi" w:hAnsiTheme="minorHAnsi"/>
          <w:color w:val="auto"/>
        </w:rPr>
        <w:t>İletim Tarifesi</w:t>
      </w:r>
      <w:bookmarkEnd w:id="210"/>
      <w:bookmarkEnd w:id="211"/>
    </w:p>
    <w:p w:rsidR="002C3099" w:rsidRPr="00FA1354" w:rsidRDefault="007A6CDB" w:rsidP="002C3099">
      <w:pPr>
        <w:spacing w:after="0"/>
        <w:rPr>
          <w:color w:val="000000" w:themeColor="text1"/>
        </w:rPr>
      </w:pPr>
      <w:r w:rsidRPr="00FA1354">
        <w:rPr>
          <w:color w:val="000000" w:themeColor="text1"/>
        </w:rPr>
        <w:t>3</w:t>
      </w:r>
      <w:r>
        <w:rPr>
          <w:color w:val="000000" w:themeColor="text1"/>
        </w:rPr>
        <w:t>0</w:t>
      </w:r>
      <w:r w:rsidRPr="00FA1354">
        <w:rPr>
          <w:color w:val="000000" w:themeColor="text1"/>
        </w:rPr>
        <w:t>.12.202</w:t>
      </w:r>
      <w:r>
        <w:rPr>
          <w:color w:val="000000" w:themeColor="text1"/>
        </w:rPr>
        <w:t>2</w:t>
      </w:r>
      <w:r w:rsidRPr="00FA1354">
        <w:rPr>
          <w:color w:val="000000" w:themeColor="text1"/>
        </w:rPr>
        <w:t xml:space="preserve"> tarihli ve </w:t>
      </w:r>
      <w:r>
        <w:rPr>
          <w:color w:val="000000" w:themeColor="text1"/>
        </w:rPr>
        <w:t xml:space="preserve">32059 </w:t>
      </w:r>
      <w:r w:rsidRPr="00FA1354">
        <w:rPr>
          <w:color w:val="000000" w:themeColor="text1"/>
        </w:rPr>
        <w:t>(</w:t>
      </w:r>
      <w:r>
        <w:rPr>
          <w:color w:val="000000" w:themeColor="text1"/>
        </w:rPr>
        <w:t>2</w:t>
      </w:r>
      <w:r w:rsidRPr="00FA1354">
        <w:rPr>
          <w:color w:val="000000" w:themeColor="text1"/>
        </w:rPr>
        <w:t xml:space="preserve">.Mükerrer) sayılı Resmî </w:t>
      </w:r>
      <w:r w:rsidR="00274939">
        <w:rPr>
          <w:color w:val="000000" w:themeColor="text1"/>
        </w:rPr>
        <w:t>Gazetede</w:t>
      </w:r>
      <w:r w:rsidRPr="00FA1354">
        <w:rPr>
          <w:color w:val="000000" w:themeColor="text1"/>
        </w:rPr>
        <w:t xml:space="preserve"> yayımlanan </w:t>
      </w:r>
      <w:r>
        <w:rPr>
          <w:color w:val="000000" w:themeColor="text1"/>
        </w:rPr>
        <w:t>29</w:t>
      </w:r>
      <w:r w:rsidRPr="00FA1354">
        <w:rPr>
          <w:color w:val="000000" w:themeColor="text1"/>
        </w:rPr>
        <w:t>.12.202</w:t>
      </w:r>
      <w:r>
        <w:rPr>
          <w:color w:val="000000" w:themeColor="text1"/>
        </w:rPr>
        <w:t>2</w:t>
      </w:r>
      <w:r w:rsidRPr="00FA1354">
        <w:rPr>
          <w:color w:val="000000" w:themeColor="text1"/>
        </w:rPr>
        <w:t xml:space="preserve"> tarihli ve </w:t>
      </w:r>
      <w:r>
        <w:rPr>
          <w:color w:val="000000" w:themeColor="text1"/>
        </w:rPr>
        <w:t xml:space="preserve">11531 </w:t>
      </w:r>
      <w:r w:rsidRPr="00FA1354">
        <w:rPr>
          <w:color w:val="000000" w:themeColor="text1"/>
        </w:rPr>
        <w:t>sayılı Kurul Kararı ile TEİAŞ’ın 202</w:t>
      </w:r>
      <w:r>
        <w:rPr>
          <w:color w:val="000000" w:themeColor="text1"/>
        </w:rPr>
        <w:t>3</w:t>
      </w:r>
      <w:r w:rsidRPr="00FA1354">
        <w:rPr>
          <w:color w:val="000000" w:themeColor="text1"/>
        </w:rPr>
        <w:t xml:space="preserve"> yılı sistem kullanım ve sistem işletim gelir tavanları Tablo 4.1’de yer aldığı şekliyle onaylanmıştır.</w:t>
      </w:r>
    </w:p>
    <w:p w:rsidR="002C3099" w:rsidRPr="0027766B" w:rsidRDefault="002C3099" w:rsidP="002C3099">
      <w:pPr>
        <w:pStyle w:val="Balk5"/>
        <w:jc w:val="center"/>
        <w:rPr>
          <w:rStyle w:val="Gl"/>
          <w:color w:val="auto"/>
        </w:rPr>
      </w:pPr>
      <w:bookmarkStart w:id="212" w:name="_Toc66267467"/>
      <w:bookmarkStart w:id="213" w:name="_Toc132713904"/>
      <w:r w:rsidRPr="00FA1354">
        <w:rPr>
          <w:rStyle w:val="Gl"/>
          <w:color w:val="auto"/>
        </w:rPr>
        <w:t>Tablo 4.</w:t>
      </w:r>
      <w:r w:rsidRPr="00FA1354">
        <w:rPr>
          <w:rStyle w:val="Gl"/>
          <w:color w:val="auto"/>
        </w:rPr>
        <w:fldChar w:fldCharType="begin"/>
      </w:r>
      <w:r w:rsidRPr="00FA1354">
        <w:rPr>
          <w:rStyle w:val="Gl"/>
          <w:color w:val="auto"/>
        </w:rPr>
        <w:instrText xml:space="preserve"> SEQ Tablo \* ARABIC </w:instrText>
      </w:r>
      <w:r w:rsidRPr="00FA1354">
        <w:rPr>
          <w:rStyle w:val="Gl"/>
          <w:color w:val="auto"/>
        </w:rPr>
        <w:fldChar w:fldCharType="separate"/>
      </w:r>
      <w:r w:rsidRPr="00FA1354">
        <w:rPr>
          <w:rStyle w:val="Gl"/>
          <w:noProof/>
          <w:color w:val="auto"/>
        </w:rPr>
        <w:t>1</w:t>
      </w:r>
      <w:r w:rsidRPr="00FA1354">
        <w:rPr>
          <w:rStyle w:val="Gl"/>
          <w:color w:val="auto"/>
        </w:rPr>
        <w:fldChar w:fldCharType="end"/>
      </w:r>
      <w:r w:rsidRPr="00FA1354">
        <w:rPr>
          <w:rStyle w:val="Gl"/>
          <w:color w:val="auto"/>
        </w:rPr>
        <w:t xml:space="preserve">: TEİAŞ’ın </w:t>
      </w:r>
      <w:r w:rsidR="007A6CDB" w:rsidRPr="00FA1354">
        <w:rPr>
          <w:rStyle w:val="Gl"/>
          <w:color w:val="auto"/>
        </w:rPr>
        <w:t>202</w:t>
      </w:r>
      <w:r w:rsidR="007A6CDB">
        <w:rPr>
          <w:rStyle w:val="Gl"/>
          <w:color w:val="auto"/>
        </w:rPr>
        <w:t>3</w:t>
      </w:r>
      <w:r w:rsidR="007A6CDB" w:rsidRPr="00FA1354">
        <w:rPr>
          <w:rStyle w:val="Gl"/>
          <w:color w:val="auto"/>
        </w:rPr>
        <w:t xml:space="preserve"> </w:t>
      </w:r>
      <w:r w:rsidR="003237E9" w:rsidRPr="00FA1354">
        <w:rPr>
          <w:rStyle w:val="Gl"/>
          <w:color w:val="auto"/>
        </w:rPr>
        <w:t>Y</w:t>
      </w:r>
      <w:r w:rsidRPr="00FA1354">
        <w:rPr>
          <w:rStyle w:val="Gl"/>
          <w:color w:val="auto"/>
        </w:rPr>
        <w:t xml:space="preserve">ılı </w:t>
      </w:r>
      <w:r w:rsidR="003237E9" w:rsidRPr="00FA1354">
        <w:rPr>
          <w:rStyle w:val="Gl"/>
          <w:color w:val="auto"/>
        </w:rPr>
        <w:t>S</w:t>
      </w:r>
      <w:r w:rsidRPr="00FA1354">
        <w:rPr>
          <w:rStyle w:val="Gl"/>
          <w:color w:val="auto"/>
        </w:rPr>
        <w:t xml:space="preserve">istem </w:t>
      </w:r>
      <w:r w:rsidR="003237E9" w:rsidRPr="00FA1354">
        <w:rPr>
          <w:rStyle w:val="Gl"/>
          <w:color w:val="auto"/>
        </w:rPr>
        <w:t>K</w:t>
      </w:r>
      <w:r w:rsidRPr="00FA1354">
        <w:rPr>
          <w:rStyle w:val="Gl"/>
          <w:color w:val="auto"/>
        </w:rPr>
        <w:t xml:space="preserve">ullanım ve </w:t>
      </w:r>
      <w:r w:rsidR="003237E9" w:rsidRPr="00FA1354">
        <w:rPr>
          <w:rStyle w:val="Gl"/>
          <w:color w:val="auto"/>
        </w:rPr>
        <w:t>S</w:t>
      </w:r>
      <w:r w:rsidRPr="00FA1354">
        <w:rPr>
          <w:rStyle w:val="Gl"/>
          <w:color w:val="auto"/>
        </w:rPr>
        <w:t xml:space="preserve">istem </w:t>
      </w:r>
      <w:r w:rsidR="003237E9" w:rsidRPr="00FA1354">
        <w:rPr>
          <w:rStyle w:val="Gl"/>
          <w:color w:val="auto"/>
        </w:rPr>
        <w:t>İ</w:t>
      </w:r>
      <w:r w:rsidRPr="00FA1354">
        <w:rPr>
          <w:rStyle w:val="Gl"/>
          <w:color w:val="auto"/>
        </w:rPr>
        <w:t xml:space="preserve">şletim </w:t>
      </w:r>
      <w:r w:rsidR="003237E9" w:rsidRPr="00FA1354">
        <w:rPr>
          <w:rStyle w:val="Gl"/>
          <w:color w:val="auto"/>
        </w:rPr>
        <w:t>G</w:t>
      </w:r>
      <w:r w:rsidRPr="00FA1354">
        <w:rPr>
          <w:rStyle w:val="Gl"/>
          <w:color w:val="auto"/>
        </w:rPr>
        <w:t xml:space="preserve">elir </w:t>
      </w:r>
      <w:r w:rsidR="003237E9" w:rsidRPr="00FA1354">
        <w:rPr>
          <w:rStyle w:val="Gl"/>
          <w:color w:val="auto"/>
        </w:rPr>
        <w:t>T</w:t>
      </w:r>
      <w:r w:rsidRPr="00FA1354">
        <w:rPr>
          <w:rStyle w:val="Gl"/>
          <w:color w:val="auto"/>
        </w:rPr>
        <w:t>avanları</w:t>
      </w:r>
      <w:bookmarkEnd w:id="212"/>
      <w:bookmarkEnd w:id="213"/>
    </w:p>
    <w:tbl>
      <w:tblPr>
        <w:tblW w:w="4226" w:type="pct"/>
        <w:jc w:val="center"/>
        <w:tblCellMar>
          <w:left w:w="70" w:type="dxa"/>
          <w:right w:w="70" w:type="dxa"/>
        </w:tblCellMar>
        <w:tblLook w:val="04A0" w:firstRow="1" w:lastRow="0" w:firstColumn="1" w:lastColumn="0" w:noHBand="0" w:noVBand="1"/>
      </w:tblPr>
      <w:tblGrid>
        <w:gridCol w:w="2794"/>
        <w:gridCol w:w="2795"/>
        <w:gridCol w:w="2793"/>
      </w:tblGrid>
      <w:tr w:rsidR="002C3099" w:rsidRPr="00AC1680" w:rsidTr="007A6CDB">
        <w:trPr>
          <w:trHeight w:val="20"/>
          <w:jc w:val="center"/>
        </w:trPr>
        <w:tc>
          <w:tcPr>
            <w:tcW w:w="1667" w:type="pct"/>
            <w:tcBorders>
              <w:top w:val="nil"/>
              <w:left w:val="nil"/>
              <w:bottom w:val="single" w:sz="4" w:space="0" w:color="D9D9D9" w:themeColor="background1" w:themeShade="D9"/>
              <w:right w:val="single" w:sz="4" w:space="0" w:color="D9D9D9" w:themeColor="background1" w:themeShade="D9"/>
            </w:tcBorders>
            <w:shd w:val="clear" w:color="auto" w:fill="auto"/>
            <w:noWrap/>
            <w:vAlign w:val="center"/>
            <w:hideMark/>
          </w:tcPr>
          <w:p w:rsidR="002C3099" w:rsidRPr="001D2EE6" w:rsidRDefault="002C3099" w:rsidP="002C3099">
            <w:pPr>
              <w:spacing w:after="0" w:line="240" w:lineRule="auto"/>
              <w:rPr>
                <w:rFonts w:eastAsia="Times New Roman" w:cstheme="minorHAnsi"/>
                <w:szCs w:val="24"/>
                <w:lang w:eastAsia="tr-TR"/>
              </w:rPr>
            </w:pPr>
          </w:p>
        </w:tc>
        <w:tc>
          <w:tcPr>
            <w:tcW w:w="166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rsidR="002C3099" w:rsidRPr="00C466F8" w:rsidRDefault="002C3099" w:rsidP="002C3099">
            <w:pPr>
              <w:spacing w:after="0" w:line="240" w:lineRule="auto"/>
              <w:jc w:val="center"/>
              <w:rPr>
                <w:rFonts w:eastAsia="Times New Roman" w:cstheme="minorHAnsi"/>
                <w:b/>
                <w:bCs/>
                <w:color w:val="FFFFFF" w:themeColor="background1"/>
                <w:szCs w:val="24"/>
                <w:lang w:eastAsia="tr-TR"/>
              </w:rPr>
            </w:pPr>
            <w:r w:rsidRPr="00C466F8">
              <w:rPr>
                <w:rFonts w:eastAsia="Times New Roman" w:cstheme="minorHAnsi"/>
                <w:b/>
                <w:bCs/>
                <w:color w:val="FFFFFF" w:themeColor="background1"/>
                <w:szCs w:val="24"/>
                <w:lang w:eastAsia="tr-TR"/>
              </w:rPr>
              <w:t>Sistem Kullanım</w:t>
            </w:r>
          </w:p>
        </w:tc>
        <w:tc>
          <w:tcPr>
            <w:tcW w:w="166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rsidR="002C3099" w:rsidRPr="00C466F8" w:rsidRDefault="002C3099" w:rsidP="002C3099">
            <w:pPr>
              <w:spacing w:after="0" w:line="240" w:lineRule="auto"/>
              <w:jc w:val="center"/>
              <w:rPr>
                <w:rFonts w:eastAsia="Times New Roman" w:cstheme="minorHAnsi"/>
                <w:b/>
                <w:bCs/>
                <w:color w:val="FFFFFF" w:themeColor="background1"/>
                <w:szCs w:val="24"/>
                <w:lang w:eastAsia="tr-TR"/>
              </w:rPr>
            </w:pPr>
            <w:r w:rsidRPr="00C466F8">
              <w:rPr>
                <w:rFonts w:eastAsia="Times New Roman" w:cstheme="minorHAnsi"/>
                <w:b/>
                <w:bCs/>
                <w:color w:val="FFFFFF" w:themeColor="background1"/>
                <w:szCs w:val="24"/>
                <w:lang w:eastAsia="tr-TR"/>
              </w:rPr>
              <w:t>Sistem İşletim</w:t>
            </w:r>
          </w:p>
        </w:tc>
      </w:tr>
      <w:tr w:rsidR="007A6CDB" w:rsidRPr="00AC1680" w:rsidTr="007A6CDB">
        <w:trPr>
          <w:trHeight w:val="20"/>
          <w:jc w:val="center"/>
        </w:trPr>
        <w:tc>
          <w:tcPr>
            <w:tcW w:w="166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vAlign w:val="center"/>
            <w:hideMark/>
          </w:tcPr>
          <w:p w:rsidR="007A6CDB" w:rsidRPr="001D2EE6" w:rsidRDefault="007A6CDB" w:rsidP="007A6CDB">
            <w:pPr>
              <w:spacing w:after="0" w:line="240" w:lineRule="auto"/>
              <w:jc w:val="center"/>
              <w:rPr>
                <w:rFonts w:eastAsia="Times New Roman" w:cstheme="minorHAnsi"/>
                <w:b/>
                <w:bCs/>
                <w:szCs w:val="24"/>
                <w:lang w:eastAsia="tr-TR"/>
              </w:rPr>
            </w:pPr>
            <w:r>
              <w:rPr>
                <w:rFonts w:eastAsia="Times New Roman" w:cstheme="minorHAnsi"/>
                <w:b/>
                <w:bCs/>
                <w:szCs w:val="24"/>
                <w:lang w:eastAsia="tr-TR"/>
              </w:rPr>
              <w:t>2023 Gelir Tavanı</w:t>
            </w:r>
            <w:r>
              <w:rPr>
                <w:rFonts w:eastAsia="Times New Roman" w:cstheme="minorHAnsi"/>
                <w:b/>
                <w:bCs/>
                <w:szCs w:val="24"/>
                <w:lang w:eastAsia="tr-TR"/>
              </w:rPr>
              <w:br/>
              <w:t xml:space="preserve">(TÜFE=1353,61 </w:t>
            </w:r>
            <w:r w:rsidRPr="001D2EE6">
              <w:rPr>
                <w:rFonts w:eastAsia="Times New Roman" w:cstheme="minorHAnsi"/>
                <w:b/>
                <w:bCs/>
                <w:szCs w:val="24"/>
                <w:lang w:eastAsia="tr-TR"/>
              </w:rPr>
              <w:t>TL)</w:t>
            </w:r>
          </w:p>
        </w:tc>
        <w:tc>
          <w:tcPr>
            <w:tcW w:w="166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noWrap/>
            <w:vAlign w:val="center"/>
            <w:hideMark/>
          </w:tcPr>
          <w:p w:rsidR="007A6CDB" w:rsidRPr="001D2EE6" w:rsidRDefault="007A6CDB" w:rsidP="007A6CDB">
            <w:pPr>
              <w:spacing w:after="0" w:line="240" w:lineRule="auto"/>
              <w:jc w:val="center"/>
              <w:rPr>
                <w:rFonts w:eastAsia="Times New Roman" w:cstheme="minorHAnsi"/>
                <w:szCs w:val="24"/>
                <w:lang w:eastAsia="tr-TR"/>
              </w:rPr>
            </w:pPr>
            <w:r>
              <w:rPr>
                <w:rFonts w:eastAsia="Times New Roman" w:cstheme="minorHAnsi"/>
                <w:szCs w:val="24"/>
                <w:lang w:eastAsia="tr-TR"/>
              </w:rPr>
              <w:t>53.788.127.863</w:t>
            </w:r>
          </w:p>
        </w:tc>
        <w:tc>
          <w:tcPr>
            <w:tcW w:w="166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noWrap/>
            <w:vAlign w:val="center"/>
            <w:hideMark/>
          </w:tcPr>
          <w:p w:rsidR="007A6CDB" w:rsidRPr="001D2EE6" w:rsidRDefault="007A6CDB" w:rsidP="007A6CDB">
            <w:pPr>
              <w:spacing w:after="0" w:line="240" w:lineRule="auto"/>
              <w:jc w:val="center"/>
              <w:rPr>
                <w:rFonts w:eastAsia="Times New Roman" w:cstheme="minorHAnsi"/>
                <w:szCs w:val="24"/>
                <w:lang w:eastAsia="tr-TR"/>
              </w:rPr>
            </w:pPr>
            <w:r>
              <w:rPr>
                <w:rFonts w:eastAsia="Times New Roman" w:cstheme="minorHAnsi"/>
                <w:szCs w:val="24"/>
                <w:lang w:eastAsia="tr-TR"/>
              </w:rPr>
              <w:t>17.857.951.227</w:t>
            </w:r>
          </w:p>
        </w:tc>
      </w:tr>
    </w:tbl>
    <w:p w:rsidR="002C3099" w:rsidRPr="00490984" w:rsidRDefault="002C3099" w:rsidP="002C3099">
      <w:pPr>
        <w:spacing w:after="0"/>
        <w:rPr>
          <w:color w:val="000000" w:themeColor="text1"/>
          <w:highlight w:val="yellow"/>
        </w:rPr>
      </w:pPr>
    </w:p>
    <w:p w:rsidR="00961767" w:rsidRPr="002C3099" w:rsidRDefault="007A6CDB" w:rsidP="002C3099">
      <w:pPr>
        <w:spacing w:after="0"/>
      </w:pPr>
      <w:r w:rsidRPr="00FA1354">
        <w:rPr>
          <w:color w:val="000000" w:themeColor="text1"/>
        </w:rPr>
        <w:t>3</w:t>
      </w:r>
      <w:r>
        <w:rPr>
          <w:color w:val="000000" w:themeColor="text1"/>
        </w:rPr>
        <w:t>0</w:t>
      </w:r>
      <w:r w:rsidRPr="00FA1354">
        <w:rPr>
          <w:color w:val="000000" w:themeColor="text1"/>
        </w:rPr>
        <w:t>.12.202</w:t>
      </w:r>
      <w:r>
        <w:rPr>
          <w:color w:val="000000" w:themeColor="text1"/>
        </w:rPr>
        <w:t>2</w:t>
      </w:r>
      <w:r w:rsidRPr="00FA1354">
        <w:rPr>
          <w:color w:val="000000" w:themeColor="text1"/>
        </w:rPr>
        <w:t xml:space="preserve"> </w:t>
      </w:r>
      <w:r w:rsidRPr="00FA1354">
        <w:rPr>
          <w:color w:val="000000"/>
        </w:rPr>
        <w:t>tarih</w:t>
      </w:r>
      <w:r w:rsidRPr="00FA1354">
        <w:rPr>
          <w:color w:val="000000" w:themeColor="text1"/>
        </w:rPr>
        <w:t>li</w:t>
      </w:r>
      <w:r w:rsidRPr="00FA1354">
        <w:rPr>
          <w:color w:val="000000"/>
        </w:rPr>
        <w:t xml:space="preserve"> ve </w:t>
      </w:r>
      <w:r>
        <w:rPr>
          <w:color w:val="000000"/>
        </w:rPr>
        <w:t xml:space="preserve">32059 </w:t>
      </w:r>
      <w:r w:rsidRPr="00FA1354">
        <w:rPr>
          <w:color w:val="000000"/>
        </w:rPr>
        <w:t>(</w:t>
      </w:r>
      <w:r>
        <w:rPr>
          <w:color w:val="000000"/>
        </w:rPr>
        <w:t>2</w:t>
      </w:r>
      <w:r w:rsidRPr="00FA1354">
        <w:rPr>
          <w:color w:val="000000"/>
        </w:rPr>
        <w:t xml:space="preserve">.Mükerrer) sayılı Resmî </w:t>
      </w:r>
      <w:r w:rsidR="00274939">
        <w:rPr>
          <w:color w:val="000000"/>
        </w:rPr>
        <w:t>Gazetede</w:t>
      </w:r>
      <w:r w:rsidRPr="00FA1354">
        <w:rPr>
          <w:color w:val="000000"/>
        </w:rPr>
        <w:t xml:space="preserve"> yayımlan</w:t>
      </w:r>
      <w:r w:rsidRPr="00FA1354">
        <w:rPr>
          <w:color w:val="000000" w:themeColor="text1"/>
        </w:rPr>
        <w:t xml:space="preserve">an </w:t>
      </w:r>
      <w:r>
        <w:rPr>
          <w:color w:val="000000"/>
        </w:rPr>
        <w:t>29</w:t>
      </w:r>
      <w:r w:rsidRPr="00FA1354">
        <w:rPr>
          <w:color w:val="000000"/>
        </w:rPr>
        <w:t>.12.202</w:t>
      </w:r>
      <w:r>
        <w:rPr>
          <w:color w:val="000000"/>
        </w:rPr>
        <w:t>2</w:t>
      </w:r>
      <w:r w:rsidRPr="00FA1354">
        <w:rPr>
          <w:color w:val="000000" w:themeColor="text1"/>
        </w:rPr>
        <w:t xml:space="preserve"> tarihli ve </w:t>
      </w:r>
      <w:r>
        <w:rPr>
          <w:color w:val="000000"/>
        </w:rPr>
        <w:t xml:space="preserve">11532 </w:t>
      </w:r>
      <w:r w:rsidRPr="00FA1354">
        <w:rPr>
          <w:color w:val="000000" w:themeColor="text1"/>
        </w:rPr>
        <w:t>sayılı Kurul</w:t>
      </w:r>
      <w:r w:rsidRPr="00FA1354">
        <w:t xml:space="preserve"> Kararı ile 01.01.202</w:t>
      </w:r>
      <w:r>
        <w:t>3</w:t>
      </w:r>
      <w:r w:rsidRPr="00FA1354">
        <w:t xml:space="preserve"> tarihinden itibaren TEİAŞ iletim sistemi sistem kullanım ve sistem işletim tarifeleri, 15 bölge bazında üreticiler ve tüketiciler için İletim Sistemi Sistem Kullanım ve Sistem İşletim Tarifelerini Hesaplama ve Uygulama Yöntem Bildirimi çerçevesinde Tablo 4.2’deki gibi belirlenmiştir.</w:t>
      </w:r>
    </w:p>
    <w:p w:rsidR="007A6CDB" w:rsidRPr="00E9291A" w:rsidRDefault="007A6CDB" w:rsidP="007A6CDB">
      <w:pPr>
        <w:pStyle w:val="Balk5"/>
        <w:jc w:val="center"/>
        <w:rPr>
          <w:rStyle w:val="Gl"/>
          <w:color w:val="000000" w:themeColor="text1"/>
        </w:rPr>
      </w:pPr>
      <w:bookmarkStart w:id="214" w:name="_Toc132713905"/>
      <w:bookmarkStart w:id="215" w:name="_Toc66267468"/>
      <w:r w:rsidRPr="00FA1354">
        <w:rPr>
          <w:rStyle w:val="Gl"/>
          <w:color w:val="000000" w:themeColor="text1"/>
        </w:rPr>
        <w:t>Tablo 4.2: İletim Sistemi Sistem Kullanım ve Sistem İşletim Tarifeleri</w:t>
      </w:r>
      <w:bookmarkEnd w:id="214"/>
    </w:p>
    <w:tbl>
      <w:tblPr>
        <w:tblW w:w="5000" w:type="pct"/>
        <w:jc w:val="center"/>
        <w:tblCellMar>
          <w:left w:w="70" w:type="dxa"/>
          <w:right w:w="70" w:type="dxa"/>
        </w:tblCellMar>
        <w:tblLook w:val="04A0" w:firstRow="1" w:lastRow="0" w:firstColumn="1" w:lastColumn="0" w:noHBand="0" w:noVBand="1"/>
      </w:tblPr>
      <w:tblGrid>
        <w:gridCol w:w="794"/>
        <w:gridCol w:w="1889"/>
        <w:gridCol w:w="1135"/>
        <w:gridCol w:w="1505"/>
        <w:gridCol w:w="1755"/>
        <w:gridCol w:w="1275"/>
        <w:gridCol w:w="1549"/>
      </w:tblGrid>
      <w:tr w:rsidR="007A6CDB" w:rsidRPr="003B4CBD" w:rsidTr="00DC783D">
        <w:trPr>
          <w:trHeight w:val="20"/>
          <w:jc w:val="center"/>
        </w:trPr>
        <w:tc>
          <w:tcPr>
            <w:tcW w:w="401" w:type="pct"/>
            <w:vMerge w:val="restart"/>
            <w:tcBorders>
              <w:top w:val="single" w:sz="8" w:space="0" w:color="BFBFBF"/>
              <w:left w:val="single" w:sz="8" w:space="0" w:color="BFBFBF"/>
              <w:bottom w:val="single" w:sz="8" w:space="0" w:color="BFBFBF"/>
              <w:right w:val="single" w:sz="8" w:space="0" w:color="BFBFBF"/>
            </w:tcBorders>
            <w:shd w:val="clear" w:color="000000" w:fill="6E9ECA"/>
            <w:vAlign w:val="center"/>
            <w:hideMark/>
          </w:tcPr>
          <w:p w:rsidR="007A6CDB" w:rsidRPr="003B4CBD" w:rsidRDefault="007A6CDB" w:rsidP="00FE2FC0">
            <w:pPr>
              <w:spacing w:after="0" w:line="240" w:lineRule="auto"/>
              <w:jc w:val="center"/>
              <w:rPr>
                <w:rFonts w:ascii="Calibri" w:eastAsia="Times New Roman" w:hAnsi="Calibri" w:cs="Calibri"/>
                <w:b/>
                <w:bCs/>
                <w:color w:val="FFFFFF"/>
                <w:lang w:eastAsia="tr-TR"/>
              </w:rPr>
            </w:pPr>
            <w:r w:rsidRPr="003B4CBD">
              <w:rPr>
                <w:rFonts w:ascii="Calibri" w:eastAsia="Times New Roman" w:hAnsi="Calibri" w:cs="Calibri"/>
                <w:b/>
                <w:bCs/>
                <w:color w:val="FFFFFF"/>
                <w:lang w:eastAsia="tr-TR"/>
              </w:rPr>
              <w:t>Tarife Bölgesi</w:t>
            </w:r>
          </w:p>
        </w:tc>
        <w:tc>
          <w:tcPr>
            <w:tcW w:w="2287" w:type="pct"/>
            <w:gridSpan w:val="3"/>
            <w:tcBorders>
              <w:top w:val="single" w:sz="8" w:space="0" w:color="BFBFBF"/>
              <w:left w:val="nil"/>
              <w:bottom w:val="single" w:sz="8" w:space="0" w:color="BFBFBF"/>
              <w:right w:val="single" w:sz="8" w:space="0" w:color="BFBFBF"/>
            </w:tcBorders>
            <w:shd w:val="clear" w:color="000000" w:fill="6E9ECA"/>
            <w:vAlign w:val="center"/>
            <w:hideMark/>
          </w:tcPr>
          <w:p w:rsidR="007A6CDB" w:rsidRPr="003B4CBD" w:rsidRDefault="007A6CDB" w:rsidP="00FE2FC0">
            <w:pPr>
              <w:spacing w:after="0" w:line="240" w:lineRule="auto"/>
              <w:jc w:val="center"/>
              <w:rPr>
                <w:rFonts w:ascii="Calibri" w:eastAsia="Times New Roman" w:hAnsi="Calibri" w:cs="Calibri"/>
                <w:b/>
                <w:bCs/>
                <w:color w:val="FFFFFF"/>
                <w:lang w:eastAsia="tr-TR"/>
              </w:rPr>
            </w:pPr>
            <w:r w:rsidRPr="003B4CBD">
              <w:rPr>
                <w:rFonts w:ascii="Calibri" w:eastAsia="Times New Roman" w:hAnsi="Calibri" w:cs="Calibri"/>
                <w:b/>
                <w:bCs/>
                <w:color w:val="FFFFFF"/>
                <w:lang w:eastAsia="tr-TR"/>
              </w:rPr>
              <w:t>Üretim</w:t>
            </w:r>
            <w:r w:rsidRPr="003B4CBD">
              <w:rPr>
                <w:rFonts w:ascii="Calibri" w:eastAsia="Times New Roman" w:hAnsi="Calibri" w:cs="Calibri"/>
                <w:b/>
                <w:bCs/>
                <w:color w:val="FFFFFF"/>
                <w:vertAlign w:val="superscript"/>
                <w:lang w:eastAsia="tr-TR"/>
              </w:rPr>
              <w:t>(1)</w:t>
            </w:r>
          </w:p>
        </w:tc>
        <w:tc>
          <w:tcPr>
            <w:tcW w:w="2312" w:type="pct"/>
            <w:gridSpan w:val="3"/>
            <w:tcBorders>
              <w:top w:val="single" w:sz="8" w:space="0" w:color="BFBFBF"/>
              <w:left w:val="nil"/>
              <w:bottom w:val="single" w:sz="8" w:space="0" w:color="BFBFBF"/>
              <w:right w:val="single" w:sz="8" w:space="0" w:color="BFBFBF"/>
            </w:tcBorders>
            <w:shd w:val="clear" w:color="000000" w:fill="6E9ECA"/>
            <w:vAlign w:val="center"/>
            <w:hideMark/>
          </w:tcPr>
          <w:p w:rsidR="007A6CDB" w:rsidRPr="003B4CBD" w:rsidRDefault="007A6CDB" w:rsidP="00FE2FC0">
            <w:pPr>
              <w:spacing w:after="0" w:line="240" w:lineRule="auto"/>
              <w:jc w:val="center"/>
              <w:rPr>
                <w:rFonts w:ascii="Calibri" w:eastAsia="Times New Roman" w:hAnsi="Calibri" w:cs="Calibri"/>
                <w:b/>
                <w:bCs/>
                <w:color w:val="FFFFFF"/>
                <w:lang w:eastAsia="tr-TR"/>
              </w:rPr>
            </w:pPr>
            <w:r w:rsidRPr="003B4CBD">
              <w:rPr>
                <w:rFonts w:ascii="Calibri" w:eastAsia="Times New Roman" w:hAnsi="Calibri" w:cs="Calibri"/>
                <w:b/>
                <w:bCs/>
                <w:color w:val="FFFFFF"/>
                <w:lang w:eastAsia="tr-TR"/>
              </w:rPr>
              <w:t>Tüketim</w:t>
            </w:r>
            <w:r w:rsidRPr="003B4CBD">
              <w:rPr>
                <w:rFonts w:ascii="Calibri" w:eastAsia="Times New Roman" w:hAnsi="Calibri" w:cs="Calibri"/>
                <w:b/>
                <w:bCs/>
                <w:color w:val="FFFFFF"/>
                <w:vertAlign w:val="superscript"/>
                <w:lang w:eastAsia="tr-TR"/>
              </w:rPr>
              <w:t>(1)</w:t>
            </w:r>
          </w:p>
        </w:tc>
      </w:tr>
      <w:tr w:rsidR="007A6CDB" w:rsidRPr="003B4CBD" w:rsidTr="00DC783D">
        <w:trPr>
          <w:trHeight w:val="20"/>
          <w:jc w:val="center"/>
        </w:trPr>
        <w:tc>
          <w:tcPr>
            <w:tcW w:w="401" w:type="pct"/>
            <w:vMerge/>
            <w:tcBorders>
              <w:top w:val="single" w:sz="8" w:space="0" w:color="BFBFBF"/>
              <w:left w:val="single" w:sz="8" w:space="0" w:color="BFBFBF"/>
              <w:bottom w:val="single" w:sz="8" w:space="0" w:color="BFBFBF"/>
              <w:right w:val="single" w:sz="8" w:space="0" w:color="BFBFBF"/>
            </w:tcBorders>
            <w:vAlign w:val="center"/>
            <w:hideMark/>
          </w:tcPr>
          <w:p w:rsidR="007A6CDB" w:rsidRPr="003B4CBD" w:rsidRDefault="007A6CDB" w:rsidP="00FE2FC0">
            <w:pPr>
              <w:spacing w:after="0" w:line="240" w:lineRule="auto"/>
              <w:jc w:val="left"/>
              <w:rPr>
                <w:rFonts w:ascii="Calibri" w:eastAsia="Times New Roman" w:hAnsi="Calibri" w:cs="Calibri"/>
                <w:b/>
                <w:bCs/>
                <w:color w:val="FFFFFF"/>
                <w:lang w:eastAsia="tr-TR"/>
              </w:rPr>
            </w:pPr>
          </w:p>
        </w:tc>
        <w:tc>
          <w:tcPr>
            <w:tcW w:w="1527" w:type="pct"/>
            <w:gridSpan w:val="2"/>
            <w:tcBorders>
              <w:top w:val="single" w:sz="8" w:space="0" w:color="BFBFBF"/>
              <w:left w:val="nil"/>
              <w:bottom w:val="single" w:sz="8" w:space="0" w:color="BFBFBF"/>
              <w:right w:val="single" w:sz="8" w:space="0" w:color="BFBFBF"/>
            </w:tcBorders>
            <w:shd w:val="clear" w:color="000000" w:fill="6E9ECA"/>
            <w:vAlign w:val="center"/>
            <w:hideMark/>
          </w:tcPr>
          <w:p w:rsidR="007A6CDB" w:rsidRPr="003B4CBD" w:rsidRDefault="007A6CDB" w:rsidP="00FE2FC0">
            <w:pPr>
              <w:spacing w:after="0" w:line="240" w:lineRule="auto"/>
              <w:jc w:val="center"/>
              <w:rPr>
                <w:rFonts w:ascii="Calibri" w:eastAsia="Times New Roman" w:hAnsi="Calibri" w:cs="Calibri"/>
                <w:b/>
                <w:bCs/>
                <w:color w:val="FFFFFF"/>
                <w:lang w:eastAsia="tr-TR"/>
              </w:rPr>
            </w:pPr>
            <w:r w:rsidRPr="003B4CBD">
              <w:rPr>
                <w:rFonts w:ascii="Calibri" w:eastAsia="Times New Roman" w:hAnsi="Calibri" w:cs="Calibri"/>
                <w:b/>
                <w:bCs/>
                <w:color w:val="FFFFFF"/>
                <w:lang w:eastAsia="tr-TR"/>
              </w:rPr>
              <w:t>Sistem Kullanım</w:t>
            </w:r>
          </w:p>
        </w:tc>
        <w:tc>
          <w:tcPr>
            <w:tcW w:w="760" w:type="pct"/>
            <w:tcBorders>
              <w:top w:val="nil"/>
              <w:left w:val="nil"/>
              <w:bottom w:val="single" w:sz="8" w:space="0" w:color="BFBFBF"/>
              <w:right w:val="single" w:sz="8" w:space="0" w:color="BFBFBF"/>
            </w:tcBorders>
            <w:shd w:val="clear" w:color="000000" w:fill="6E9ECA"/>
            <w:vAlign w:val="center"/>
            <w:hideMark/>
          </w:tcPr>
          <w:p w:rsidR="007A6CDB" w:rsidRPr="003B4CBD" w:rsidRDefault="007A6CDB" w:rsidP="00FE2FC0">
            <w:pPr>
              <w:spacing w:after="0" w:line="240" w:lineRule="auto"/>
              <w:jc w:val="center"/>
              <w:rPr>
                <w:rFonts w:ascii="Calibri" w:eastAsia="Times New Roman" w:hAnsi="Calibri" w:cs="Calibri"/>
                <w:b/>
                <w:bCs/>
                <w:color w:val="FFFFFF"/>
                <w:lang w:eastAsia="tr-TR"/>
              </w:rPr>
            </w:pPr>
            <w:r w:rsidRPr="003B4CBD">
              <w:rPr>
                <w:rFonts w:ascii="Calibri" w:eastAsia="Times New Roman" w:hAnsi="Calibri" w:cs="Calibri"/>
                <w:b/>
                <w:bCs/>
                <w:color w:val="FFFFFF"/>
                <w:lang w:eastAsia="tr-TR"/>
              </w:rPr>
              <w:t>Sistem İşletim</w:t>
            </w:r>
          </w:p>
        </w:tc>
        <w:tc>
          <w:tcPr>
            <w:tcW w:w="1530" w:type="pct"/>
            <w:gridSpan w:val="2"/>
            <w:tcBorders>
              <w:top w:val="single" w:sz="8" w:space="0" w:color="BFBFBF"/>
              <w:left w:val="nil"/>
              <w:bottom w:val="single" w:sz="8" w:space="0" w:color="BFBFBF"/>
              <w:right w:val="single" w:sz="8" w:space="0" w:color="BFBFBF"/>
            </w:tcBorders>
            <w:shd w:val="clear" w:color="000000" w:fill="6E9ECA"/>
            <w:vAlign w:val="center"/>
            <w:hideMark/>
          </w:tcPr>
          <w:p w:rsidR="007A6CDB" w:rsidRPr="003B4CBD" w:rsidRDefault="007A6CDB" w:rsidP="00FE2FC0">
            <w:pPr>
              <w:spacing w:after="0" w:line="240" w:lineRule="auto"/>
              <w:jc w:val="center"/>
              <w:rPr>
                <w:rFonts w:ascii="Calibri" w:eastAsia="Times New Roman" w:hAnsi="Calibri" w:cs="Calibri"/>
                <w:b/>
                <w:bCs/>
                <w:color w:val="FFFFFF"/>
                <w:lang w:eastAsia="tr-TR"/>
              </w:rPr>
            </w:pPr>
            <w:r w:rsidRPr="003B4CBD">
              <w:rPr>
                <w:rFonts w:ascii="Calibri" w:eastAsia="Times New Roman" w:hAnsi="Calibri" w:cs="Calibri"/>
                <w:b/>
                <w:bCs/>
                <w:color w:val="FFFFFF"/>
                <w:lang w:eastAsia="tr-TR"/>
              </w:rPr>
              <w:t>Sistem Kullanım</w:t>
            </w:r>
          </w:p>
        </w:tc>
        <w:tc>
          <w:tcPr>
            <w:tcW w:w="782" w:type="pct"/>
            <w:tcBorders>
              <w:top w:val="nil"/>
              <w:left w:val="nil"/>
              <w:bottom w:val="single" w:sz="8" w:space="0" w:color="BFBFBF"/>
              <w:right w:val="single" w:sz="8" w:space="0" w:color="BFBFBF"/>
            </w:tcBorders>
            <w:shd w:val="clear" w:color="000000" w:fill="6E9ECA"/>
            <w:vAlign w:val="center"/>
            <w:hideMark/>
          </w:tcPr>
          <w:p w:rsidR="007A6CDB" w:rsidRPr="003B4CBD" w:rsidRDefault="007A6CDB" w:rsidP="00FE2FC0">
            <w:pPr>
              <w:spacing w:after="0" w:line="240" w:lineRule="auto"/>
              <w:jc w:val="center"/>
              <w:rPr>
                <w:rFonts w:ascii="Calibri" w:eastAsia="Times New Roman" w:hAnsi="Calibri" w:cs="Calibri"/>
                <w:b/>
                <w:bCs/>
                <w:color w:val="FFFFFF"/>
                <w:lang w:eastAsia="tr-TR"/>
              </w:rPr>
            </w:pPr>
            <w:r w:rsidRPr="003B4CBD">
              <w:rPr>
                <w:rFonts w:ascii="Calibri" w:eastAsia="Times New Roman" w:hAnsi="Calibri" w:cs="Calibri"/>
                <w:b/>
                <w:bCs/>
                <w:color w:val="FFFFFF"/>
                <w:lang w:eastAsia="tr-TR"/>
              </w:rPr>
              <w:t>Sistem İşletim</w:t>
            </w:r>
          </w:p>
        </w:tc>
      </w:tr>
      <w:tr w:rsidR="007A6CDB" w:rsidRPr="003B4CBD" w:rsidTr="00DC783D">
        <w:trPr>
          <w:trHeight w:val="20"/>
          <w:jc w:val="center"/>
        </w:trPr>
        <w:tc>
          <w:tcPr>
            <w:tcW w:w="401" w:type="pct"/>
            <w:vMerge/>
            <w:tcBorders>
              <w:top w:val="single" w:sz="8" w:space="0" w:color="BFBFBF"/>
              <w:left w:val="single" w:sz="8" w:space="0" w:color="BFBFBF"/>
              <w:bottom w:val="single" w:sz="4" w:space="0" w:color="auto"/>
              <w:right w:val="single" w:sz="8" w:space="0" w:color="BFBFBF"/>
            </w:tcBorders>
            <w:vAlign w:val="center"/>
            <w:hideMark/>
          </w:tcPr>
          <w:p w:rsidR="007A6CDB" w:rsidRPr="003B4CBD" w:rsidRDefault="007A6CDB" w:rsidP="00FE2FC0">
            <w:pPr>
              <w:spacing w:after="0" w:line="240" w:lineRule="auto"/>
              <w:jc w:val="left"/>
              <w:rPr>
                <w:rFonts w:ascii="Calibri" w:eastAsia="Times New Roman" w:hAnsi="Calibri" w:cs="Calibri"/>
                <w:b/>
                <w:bCs/>
                <w:color w:val="FFFFFF"/>
                <w:lang w:eastAsia="tr-TR"/>
              </w:rPr>
            </w:pPr>
          </w:p>
        </w:tc>
        <w:tc>
          <w:tcPr>
            <w:tcW w:w="954" w:type="pct"/>
            <w:tcBorders>
              <w:top w:val="nil"/>
              <w:left w:val="nil"/>
              <w:bottom w:val="single" w:sz="8" w:space="0" w:color="BFBFBF"/>
              <w:right w:val="single" w:sz="8" w:space="0" w:color="BFBFBF"/>
            </w:tcBorders>
            <w:shd w:val="clear" w:color="000000" w:fill="6E9ECA"/>
            <w:vAlign w:val="center"/>
            <w:hideMark/>
          </w:tcPr>
          <w:p w:rsidR="007A6CDB" w:rsidRPr="003B4CBD" w:rsidRDefault="007A6CDB" w:rsidP="00FE2FC0">
            <w:pPr>
              <w:spacing w:after="0" w:line="240" w:lineRule="auto"/>
              <w:jc w:val="center"/>
              <w:rPr>
                <w:rFonts w:ascii="Calibri" w:eastAsia="Times New Roman" w:hAnsi="Calibri" w:cs="Calibri"/>
                <w:b/>
                <w:bCs/>
                <w:color w:val="FFFFFF"/>
                <w:lang w:eastAsia="tr-TR"/>
              </w:rPr>
            </w:pPr>
            <w:r w:rsidRPr="003B4CBD">
              <w:rPr>
                <w:rFonts w:ascii="Calibri" w:eastAsia="Times New Roman" w:hAnsi="Calibri" w:cs="Calibri"/>
                <w:b/>
                <w:bCs/>
                <w:color w:val="FFFFFF"/>
                <w:lang w:eastAsia="tr-TR"/>
              </w:rPr>
              <w:t>(TL/MW-Yıl)</w:t>
            </w:r>
          </w:p>
        </w:tc>
        <w:tc>
          <w:tcPr>
            <w:tcW w:w="573" w:type="pct"/>
            <w:tcBorders>
              <w:top w:val="nil"/>
              <w:left w:val="nil"/>
              <w:bottom w:val="single" w:sz="8" w:space="0" w:color="BFBFBF"/>
              <w:right w:val="single" w:sz="8" w:space="0" w:color="BFBFBF"/>
            </w:tcBorders>
            <w:shd w:val="clear" w:color="000000" w:fill="6E9ECA"/>
            <w:vAlign w:val="center"/>
            <w:hideMark/>
          </w:tcPr>
          <w:p w:rsidR="007A6CDB" w:rsidRPr="003B4CBD" w:rsidRDefault="007A6CDB" w:rsidP="00FE2FC0">
            <w:pPr>
              <w:spacing w:after="0" w:line="240" w:lineRule="auto"/>
              <w:jc w:val="center"/>
              <w:rPr>
                <w:rFonts w:ascii="Calibri" w:eastAsia="Times New Roman" w:hAnsi="Calibri" w:cs="Calibri"/>
                <w:b/>
                <w:bCs/>
                <w:color w:val="FFFFFF"/>
                <w:lang w:eastAsia="tr-TR"/>
              </w:rPr>
            </w:pPr>
            <w:r w:rsidRPr="003B4CBD">
              <w:rPr>
                <w:rFonts w:ascii="Calibri" w:eastAsia="Times New Roman" w:hAnsi="Calibri" w:cs="Calibri"/>
                <w:b/>
                <w:bCs/>
                <w:color w:val="FFFFFF"/>
                <w:lang w:eastAsia="tr-TR"/>
              </w:rPr>
              <w:t>(TL/MWh)</w:t>
            </w:r>
          </w:p>
        </w:tc>
        <w:tc>
          <w:tcPr>
            <w:tcW w:w="760" w:type="pct"/>
            <w:tcBorders>
              <w:top w:val="nil"/>
              <w:left w:val="nil"/>
              <w:bottom w:val="single" w:sz="8" w:space="0" w:color="BFBFBF"/>
              <w:right w:val="single" w:sz="8" w:space="0" w:color="BFBFBF"/>
            </w:tcBorders>
            <w:shd w:val="clear" w:color="000000" w:fill="6E9ECA"/>
            <w:vAlign w:val="center"/>
            <w:hideMark/>
          </w:tcPr>
          <w:p w:rsidR="007A6CDB" w:rsidRPr="003B4CBD" w:rsidRDefault="007A6CDB" w:rsidP="00FE2FC0">
            <w:pPr>
              <w:spacing w:after="0" w:line="240" w:lineRule="auto"/>
              <w:jc w:val="center"/>
              <w:rPr>
                <w:rFonts w:ascii="Calibri" w:eastAsia="Times New Roman" w:hAnsi="Calibri" w:cs="Calibri"/>
                <w:b/>
                <w:bCs/>
                <w:color w:val="FFFFFF"/>
                <w:lang w:eastAsia="tr-TR"/>
              </w:rPr>
            </w:pPr>
            <w:r w:rsidRPr="003B4CBD">
              <w:rPr>
                <w:rFonts w:ascii="Calibri" w:eastAsia="Times New Roman" w:hAnsi="Calibri" w:cs="Calibri"/>
                <w:b/>
                <w:bCs/>
                <w:color w:val="FFFFFF"/>
                <w:lang w:eastAsia="tr-TR"/>
              </w:rPr>
              <w:t>(TL/MWh)</w:t>
            </w:r>
          </w:p>
        </w:tc>
        <w:tc>
          <w:tcPr>
            <w:tcW w:w="886" w:type="pct"/>
            <w:tcBorders>
              <w:top w:val="nil"/>
              <w:left w:val="nil"/>
              <w:bottom w:val="single" w:sz="8" w:space="0" w:color="BFBFBF"/>
              <w:right w:val="single" w:sz="8" w:space="0" w:color="BFBFBF"/>
            </w:tcBorders>
            <w:shd w:val="clear" w:color="000000" w:fill="6E9ECA"/>
            <w:vAlign w:val="center"/>
            <w:hideMark/>
          </w:tcPr>
          <w:p w:rsidR="007A6CDB" w:rsidRPr="003B4CBD" w:rsidRDefault="007A6CDB" w:rsidP="00FE2FC0">
            <w:pPr>
              <w:spacing w:after="0" w:line="240" w:lineRule="auto"/>
              <w:jc w:val="center"/>
              <w:rPr>
                <w:rFonts w:ascii="Calibri" w:eastAsia="Times New Roman" w:hAnsi="Calibri" w:cs="Calibri"/>
                <w:b/>
                <w:bCs/>
                <w:color w:val="FFFFFF"/>
                <w:lang w:eastAsia="tr-TR"/>
              </w:rPr>
            </w:pPr>
            <w:r w:rsidRPr="003B4CBD">
              <w:rPr>
                <w:rFonts w:ascii="Calibri" w:eastAsia="Times New Roman" w:hAnsi="Calibri" w:cs="Calibri"/>
                <w:b/>
                <w:bCs/>
                <w:color w:val="FFFFFF"/>
                <w:lang w:eastAsia="tr-TR"/>
              </w:rPr>
              <w:t>(TL/MW-Yıl)</w:t>
            </w:r>
          </w:p>
        </w:tc>
        <w:tc>
          <w:tcPr>
            <w:tcW w:w="644" w:type="pct"/>
            <w:tcBorders>
              <w:top w:val="nil"/>
              <w:left w:val="nil"/>
              <w:bottom w:val="single" w:sz="8" w:space="0" w:color="BFBFBF"/>
              <w:right w:val="single" w:sz="8" w:space="0" w:color="BFBFBF"/>
            </w:tcBorders>
            <w:shd w:val="clear" w:color="000000" w:fill="6E9ECA"/>
            <w:vAlign w:val="center"/>
            <w:hideMark/>
          </w:tcPr>
          <w:p w:rsidR="007A6CDB" w:rsidRPr="003B4CBD" w:rsidRDefault="007A6CDB" w:rsidP="00FE2FC0">
            <w:pPr>
              <w:spacing w:after="0" w:line="240" w:lineRule="auto"/>
              <w:jc w:val="center"/>
              <w:rPr>
                <w:rFonts w:ascii="Calibri" w:eastAsia="Times New Roman" w:hAnsi="Calibri" w:cs="Calibri"/>
                <w:b/>
                <w:bCs/>
                <w:color w:val="FFFFFF"/>
                <w:lang w:eastAsia="tr-TR"/>
              </w:rPr>
            </w:pPr>
            <w:r w:rsidRPr="003B4CBD">
              <w:rPr>
                <w:rFonts w:ascii="Calibri" w:eastAsia="Times New Roman" w:hAnsi="Calibri" w:cs="Calibri"/>
                <w:b/>
                <w:bCs/>
                <w:color w:val="FFFFFF"/>
                <w:lang w:eastAsia="tr-TR"/>
              </w:rPr>
              <w:t>(TL/MWh)</w:t>
            </w:r>
          </w:p>
        </w:tc>
        <w:tc>
          <w:tcPr>
            <w:tcW w:w="782" w:type="pct"/>
            <w:tcBorders>
              <w:top w:val="nil"/>
              <w:left w:val="nil"/>
              <w:bottom w:val="single" w:sz="8" w:space="0" w:color="BFBFBF"/>
              <w:right w:val="single" w:sz="8" w:space="0" w:color="BFBFBF"/>
            </w:tcBorders>
            <w:shd w:val="clear" w:color="000000" w:fill="6E9ECA"/>
            <w:vAlign w:val="center"/>
            <w:hideMark/>
          </w:tcPr>
          <w:p w:rsidR="007A6CDB" w:rsidRPr="003B4CBD" w:rsidRDefault="007A6CDB" w:rsidP="00FE2FC0">
            <w:pPr>
              <w:spacing w:after="0" w:line="240" w:lineRule="auto"/>
              <w:jc w:val="center"/>
              <w:rPr>
                <w:rFonts w:ascii="Calibri" w:eastAsia="Times New Roman" w:hAnsi="Calibri" w:cs="Calibri"/>
                <w:b/>
                <w:bCs/>
                <w:color w:val="FFFFFF"/>
                <w:lang w:eastAsia="tr-TR"/>
              </w:rPr>
            </w:pPr>
            <w:r w:rsidRPr="003B4CBD">
              <w:rPr>
                <w:rFonts w:ascii="Calibri" w:eastAsia="Times New Roman" w:hAnsi="Calibri" w:cs="Calibri"/>
                <w:b/>
                <w:bCs/>
                <w:color w:val="FFFFFF"/>
                <w:lang w:eastAsia="tr-TR"/>
              </w:rPr>
              <w:t>(TL/MWh)</w:t>
            </w:r>
          </w:p>
        </w:tc>
      </w:tr>
      <w:tr w:rsidR="007A6CDB" w:rsidRPr="003B4CBD" w:rsidTr="00DC783D">
        <w:trPr>
          <w:trHeight w:val="20"/>
          <w:jc w:val="center"/>
        </w:trPr>
        <w:tc>
          <w:tcPr>
            <w:tcW w:w="40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b/>
                <w:bCs/>
                <w:color w:val="000000"/>
                <w:lang w:eastAsia="tr-TR"/>
              </w:rPr>
            </w:pPr>
            <w:r w:rsidRPr="003B4CBD">
              <w:rPr>
                <w:rFonts w:ascii="Calibri" w:eastAsia="Times New Roman" w:hAnsi="Calibri" w:cs="Calibri"/>
                <w:b/>
                <w:bCs/>
                <w:color w:val="000000"/>
                <w:lang w:eastAsia="tr-TR"/>
              </w:rPr>
              <w:t>1</w:t>
            </w:r>
          </w:p>
        </w:tc>
        <w:tc>
          <w:tcPr>
            <w:tcW w:w="954" w:type="pct"/>
            <w:tcBorders>
              <w:top w:val="single" w:sz="8" w:space="0" w:color="auto"/>
              <w:left w:val="single" w:sz="4" w:space="0" w:color="auto"/>
              <w:bottom w:val="single" w:sz="4" w:space="0" w:color="auto"/>
              <w:right w:val="single" w:sz="4"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85.198,34</w:t>
            </w:r>
          </w:p>
        </w:tc>
        <w:tc>
          <w:tcPr>
            <w:tcW w:w="573" w:type="pct"/>
            <w:tcBorders>
              <w:top w:val="single" w:sz="8" w:space="0" w:color="auto"/>
              <w:left w:val="nil"/>
              <w:bottom w:val="single" w:sz="4" w:space="0" w:color="auto"/>
              <w:right w:val="single" w:sz="4"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59,92</w:t>
            </w:r>
          </w:p>
        </w:tc>
        <w:tc>
          <w:tcPr>
            <w:tcW w:w="760" w:type="pct"/>
            <w:tcBorders>
              <w:top w:val="single" w:sz="8" w:space="0" w:color="auto"/>
              <w:left w:val="nil"/>
              <w:bottom w:val="single" w:sz="4" w:space="0" w:color="auto"/>
              <w:right w:val="single" w:sz="8"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33,33</w:t>
            </w:r>
          </w:p>
        </w:tc>
        <w:tc>
          <w:tcPr>
            <w:tcW w:w="886" w:type="pct"/>
            <w:tcBorders>
              <w:top w:val="single" w:sz="8" w:space="0" w:color="auto"/>
              <w:left w:val="nil"/>
              <w:bottom w:val="single" w:sz="4" w:space="0" w:color="auto"/>
              <w:right w:val="single" w:sz="4"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185.597,28</w:t>
            </w:r>
          </w:p>
        </w:tc>
        <w:tc>
          <w:tcPr>
            <w:tcW w:w="644" w:type="pct"/>
            <w:tcBorders>
              <w:top w:val="single" w:sz="8" w:space="0" w:color="auto"/>
              <w:left w:val="nil"/>
              <w:bottom w:val="single" w:sz="4" w:space="0" w:color="auto"/>
              <w:right w:val="single" w:sz="4"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58,22</w:t>
            </w:r>
          </w:p>
        </w:tc>
        <w:tc>
          <w:tcPr>
            <w:tcW w:w="782" w:type="pct"/>
            <w:tcBorders>
              <w:top w:val="single" w:sz="8" w:space="0" w:color="auto"/>
              <w:left w:val="nil"/>
              <w:bottom w:val="single" w:sz="4" w:space="0" w:color="auto"/>
              <w:right w:val="single" w:sz="8"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34,06</w:t>
            </w:r>
          </w:p>
        </w:tc>
      </w:tr>
      <w:tr w:rsidR="007A6CDB" w:rsidRPr="003B4CBD" w:rsidTr="00DC783D">
        <w:trPr>
          <w:trHeight w:val="20"/>
          <w:jc w:val="center"/>
        </w:trPr>
        <w:tc>
          <w:tcPr>
            <w:tcW w:w="40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b/>
                <w:bCs/>
                <w:color w:val="000000"/>
                <w:lang w:eastAsia="tr-TR"/>
              </w:rPr>
            </w:pPr>
            <w:r w:rsidRPr="003B4CBD">
              <w:rPr>
                <w:rFonts w:ascii="Calibri" w:eastAsia="Times New Roman" w:hAnsi="Calibri" w:cs="Calibri"/>
                <w:b/>
                <w:bCs/>
                <w:color w:val="000000"/>
                <w:lang w:eastAsia="tr-TR"/>
              </w:rPr>
              <w:t>2</w:t>
            </w:r>
          </w:p>
        </w:tc>
        <w:tc>
          <w:tcPr>
            <w:tcW w:w="954" w:type="pct"/>
            <w:tcBorders>
              <w:top w:val="nil"/>
              <w:left w:val="single" w:sz="4" w:space="0" w:color="auto"/>
              <w:bottom w:val="single" w:sz="4" w:space="0" w:color="auto"/>
              <w:right w:val="single" w:sz="4"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105.272,27</w:t>
            </w:r>
          </w:p>
        </w:tc>
        <w:tc>
          <w:tcPr>
            <w:tcW w:w="573" w:type="pct"/>
            <w:tcBorders>
              <w:top w:val="nil"/>
              <w:left w:val="nil"/>
              <w:bottom w:val="single" w:sz="4" w:space="0" w:color="auto"/>
              <w:right w:val="single" w:sz="4"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59,92</w:t>
            </w:r>
          </w:p>
        </w:tc>
        <w:tc>
          <w:tcPr>
            <w:tcW w:w="760" w:type="pct"/>
            <w:tcBorders>
              <w:top w:val="nil"/>
              <w:left w:val="nil"/>
              <w:bottom w:val="single" w:sz="4" w:space="0" w:color="auto"/>
              <w:right w:val="single" w:sz="8"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33,33</w:t>
            </w:r>
          </w:p>
        </w:tc>
        <w:tc>
          <w:tcPr>
            <w:tcW w:w="886" w:type="pct"/>
            <w:tcBorders>
              <w:top w:val="nil"/>
              <w:left w:val="nil"/>
              <w:bottom w:val="single" w:sz="4" w:space="0" w:color="auto"/>
              <w:right w:val="single" w:sz="4"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163.958.,92</w:t>
            </w:r>
          </w:p>
        </w:tc>
        <w:tc>
          <w:tcPr>
            <w:tcW w:w="644" w:type="pct"/>
            <w:tcBorders>
              <w:top w:val="nil"/>
              <w:left w:val="nil"/>
              <w:bottom w:val="single" w:sz="4" w:space="0" w:color="auto"/>
              <w:right w:val="single" w:sz="4"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58,22</w:t>
            </w:r>
          </w:p>
        </w:tc>
        <w:tc>
          <w:tcPr>
            <w:tcW w:w="782" w:type="pct"/>
            <w:tcBorders>
              <w:top w:val="nil"/>
              <w:left w:val="nil"/>
              <w:bottom w:val="single" w:sz="4" w:space="0" w:color="auto"/>
              <w:right w:val="single" w:sz="8"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34,06</w:t>
            </w:r>
          </w:p>
        </w:tc>
      </w:tr>
      <w:tr w:rsidR="007A6CDB" w:rsidRPr="003B4CBD" w:rsidTr="00DC783D">
        <w:trPr>
          <w:trHeight w:val="20"/>
          <w:jc w:val="center"/>
        </w:trPr>
        <w:tc>
          <w:tcPr>
            <w:tcW w:w="40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b/>
                <w:bCs/>
                <w:color w:val="000000"/>
                <w:lang w:eastAsia="tr-TR"/>
              </w:rPr>
            </w:pPr>
            <w:r w:rsidRPr="003B4CBD">
              <w:rPr>
                <w:rFonts w:ascii="Calibri" w:eastAsia="Times New Roman" w:hAnsi="Calibri" w:cs="Calibri"/>
                <w:b/>
                <w:bCs/>
                <w:color w:val="000000"/>
                <w:lang w:eastAsia="tr-TR"/>
              </w:rPr>
              <w:t>3</w:t>
            </w:r>
          </w:p>
        </w:tc>
        <w:tc>
          <w:tcPr>
            <w:tcW w:w="954" w:type="pct"/>
            <w:tcBorders>
              <w:top w:val="nil"/>
              <w:left w:val="single" w:sz="4" w:space="0" w:color="auto"/>
              <w:bottom w:val="single" w:sz="4" w:space="0" w:color="auto"/>
              <w:right w:val="single" w:sz="4"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99.715,10</w:t>
            </w:r>
          </w:p>
        </w:tc>
        <w:tc>
          <w:tcPr>
            <w:tcW w:w="573" w:type="pct"/>
            <w:tcBorders>
              <w:top w:val="nil"/>
              <w:left w:val="nil"/>
              <w:bottom w:val="single" w:sz="4" w:space="0" w:color="auto"/>
              <w:right w:val="single" w:sz="4"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59,92</w:t>
            </w:r>
          </w:p>
        </w:tc>
        <w:tc>
          <w:tcPr>
            <w:tcW w:w="760" w:type="pct"/>
            <w:tcBorders>
              <w:top w:val="nil"/>
              <w:left w:val="nil"/>
              <w:bottom w:val="single" w:sz="4" w:space="0" w:color="auto"/>
              <w:right w:val="single" w:sz="8"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33,33</w:t>
            </w:r>
          </w:p>
        </w:tc>
        <w:tc>
          <w:tcPr>
            <w:tcW w:w="886" w:type="pct"/>
            <w:tcBorders>
              <w:top w:val="nil"/>
              <w:left w:val="nil"/>
              <w:bottom w:val="single" w:sz="4" w:space="0" w:color="auto"/>
              <w:right w:val="single" w:sz="4"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172.646,97</w:t>
            </w:r>
          </w:p>
        </w:tc>
        <w:tc>
          <w:tcPr>
            <w:tcW w:w="644" w:type="pct"/>
            <w:tcBorders>
              <w:top w:val="nil"/>
              <w:left w:val="nil"/>
              <w:bottom w:val="single" w:sz="4" w:space="0" w:color="auto"/>
              <w:right w:val="single" w:sz="4"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58,22</w:t>
            </w:r>
          </w:p>
        </w:tc>
        <w:tc>
          <w:tcPr>
            <w:tcW w:w="782" w:type="pct"/>
            <w:tcBorders>
              <w:top w:val="nil"/>
              <w:left w:val="nil"/>
              <w:bottom w:val="single" w:sz="4" w:space="0" w:color="auto"/>
              <w:right w:val="single" w:sz="8"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34,06</w:t>
            </w:r>
          </w:p>
        </w:tc>
      </w:tr>
      <w:tr w:rsidR="007A6CDB" w:rsidRPr="003B4CBD" w:rsidTr="00DC783D">
        <w:trPr>
          <w:trHeight w:val="20"/>
          <w:jc w:val="center"/>
        </w:trPr>
        <w:tc>
          <w:tcPr>
            <w:tcW w:w="40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b/>
                <w:bCs/>
                <w:color w:val="000000"/>
                <w:lang w:eastAsia="tr-TR"/>
              </w:rPr>
            </w:pPr>
            <w:r w:rsidRPr="003B4CBD">
              <w:rPr>
                <w:rFonts w:ascii="Calibri" w:eastAsia="Times New Roman" w:hAnsi="Calibri" w:cs="Calibri"/>
                <w:b/>
                <w:bCs/>
                <w:color w:val="000000"/>
                <w:lang w:eastAsia="tr-TR"/>
              </w:rPr>
              <w:t>4</w:t>
            </w:r>
          </w:p>
        </w:tc>
        <w:tc>
          <w:tcPr>
            <w:tcW w:w="954" w:type="pct"/>
            <w:tcBorders>
              <w:top w:val="nil"/>
              <w:left w:val="single" w:sz="4" w:space="0" w:color="auto"/>
              <w:bottom w:val="single" w:sz="4" w:space="0" w:color="auto"/>
              <w:right w:val="single" w:sz="4"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103.454,60</w:t>
            </w:r>
          </w:p>
        </w:tc>
        <w:tc>
          <w:tcPr>
            <w:tcW w:w="573" w:type="pct"/>
            <w:tcBorders>
              <w:top w:val="nil"/>
              <w:left w:val="nil"/>
              <w:bottom w:val="single" w:sz="4" w:space="0" w:color="auto"/>
              <w:right w:val="single" w:sz="4"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59,92</w:t>
            </w:r>
          </w:p>
        </w:tc>
        <w:tc>
          <w:tcPr>
            <w:tcW w:w="760" w:type="pct"/>
            <w:tcBorders>
              <w:top w:val="nil"/>
              <w:left w:val="nil"/>
              <w:bottom w:val="single" w:sz="4" w:space="0" w:color="auto"/>
              <w:right w:val="single" w:sz="8"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33,33</w:t>
            </w:r>
          </w:p>
        </w:tc>
        <w:tc>
          <w:tcPr>
            <w:tcW w:w="886" w:type="pct"/>
            <w:tcBorders>
              <w:top w:val="nil"/>
              <w:left w:val="nil"/>
              <w:bottom w:val="single" w:sz="4" w:space="0" w:color="auto"/>
              <w:right w:val="single" w:sz="4"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164.601,05</w:t>
            </w:r>
          </w:p>
        </w:tc>
        <w:tc>
          <w:tcPr>
            <w:tcW w:w="644" w:type="pct"/>
            <w:tcBorders>
              <w:top w:val="nil"/>
              <w:left w:val="nil"/>
              <w:bottom w:val="single" w:sz="4" w:space="0" w:color="auto"/>
              <w:right w:val="single" w:sz="4"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58,22</w:t>
            </w:r>
          </w:p>
        </w:tc>
        <w:tc>
          <w:tcPr>
            <w:tcW w:w="782" w:type="pct"/>
            <w:tcBorders>
              <w:top w:val="nil"/>
              <w:left w:val="nil"/>
              <w:bottom w:val="single" w:sz="4" w:space="0" w:color="auto"/>
              <w:right w:val="single" w:sz="8"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34,06</w:t>
            </w:r>
          </w:p>
        </w:tc>
      </w:tr>
      <w:tr w:rsidR="007A6CDB" w:rsidRPr="003B4CBD" w:rsidTr="00DC783D">
        <w:trPr>
          <w:trHeight w:val="20"/>
          <w:jc w:val="center"/>
        </w:trPr>
        <w:tc>
          <w:tcPr>
            <w:tcW w:w="40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b/>
                <w:bCs/>
                <w:color w:val="000000"/>
                <w:lang w:eastAsia="tr-TR"/>
              </w:rPr>
            </w:pPr>
            <w:r w:rsidRPr="003B4CBD">
              <w:rPr>
                <w:rFonts w:ascii="Calibri" w:eastAsia="Times New Roman" w:hAnsi="Calibri" w:cs="Calibri"/>
                <w:b/>
                <w:bCs/>
                <w:color w:val="000000"/>
                <w:lang w:eastAsia="tr-TR"/>
              </w:rPr>
              <w:t>5</w:t>
            </w:r>
          </w:p>
        </w:tc>
        <w:tc>
          <w:tcPr>
            <w:tcW w:w="954" w:type="pct"/>
            <w:tcBorders>
              <w:top w:val="nil"/>
              <w:left w:val="single" w:sz="4" w:space="0" w:color="auto"/>
              <w:bottom w:val="single" w:sz="4" w:space="0" w:color="auto"/>
              <w:right w:val="single" w:sz="4"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108.868,93</w:t>
            </w:r>
          </w:p>
        </w:tc>
        <w:tc>
          <w:tcPr>
            <w:tcW w:w="573" w:type="pct"/>
            <w:tcBorders>
              <w:top w:val="nil"/>
              <w:left w:val="nil"/>
              <w:bottom w:val="single" w:sz="4" w:space="0" w:color="auto"/>
              <w:right w:val="single" w:sz="4"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59,92</w:t>
            </w:r>
          </w:p>
        </w:tc>
        <w:tc>
          <w:tcPr>
            <w:tcW w:w="760" w:type="pct"/>
            <w:tcBorders>
              <w:top w:val="nil"/>
              <w:left w:val="nil"/>
              <w:bottom w:val="single" w:sz="4" w:space="0" w:color="auto"/>
              <w:right w:val="single" w:sz="8"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33,33</w:t>
            </w:r>
          </w:p>
        </w:tc>
        <w:tc>
          <w:tcPr>
            <w:tcW w:w="886" w:type="pct"/>
            <w:tcBorders>
              <w:top w:val="nil"/>
              <w:left w:val="nil"/>
              <w:bottom w:val="single" w:sz="4" w:space="0" w:color="auto"/>
              <w:right w:val="single" w:sz="4"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161.209,78</w:t>
            </w:r>
          </w:p>
        </w:tc>
        <w:tc>
          <w:tcPr>
            <w:tcW w:w="644" w:type="pct"/>
            <w:tcBorders>
              <w:top w:val="nil"/>
              <w:left w:val="nil"/>
              <w:bottom w:val="single" w:sz="4" w:space="0" w:color="auto"/>
              <w:right w:val="single" w:sz="4"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58,22</w:t>
            </w:r>
          </w:p>
        </w:tc>
        <w:tc>
          <w:tcPr>
            <w:tcW w:w="782" w:type="pct"/>
            <w:tcBorders>
              <w:top w:val="nil"/>
              <w:left w:val="nil"/>
              <w:bottom w:val="single" w:sz="4" w:space="0" w:color="auto"/>
              <w:right w:val="single" w:sz="8"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34,06</w:t>
            </w:r>
          </w:p>
        </w:tc>
      </w:tr>
      <w:tr w:rsidR="007A6CDB" w:rsidRPr="003B4CBD" w:rsidTr="00DC783D">
        <w:trPr>
          <w:trHeight w:val="20"/>
          <w:jc w:val="center"/>
        </w:trPr>
        <w:tc>
          <w:tcPr>
            <w:tcW w:w="40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b/>
                <w:bCs/>
                <w:color w:val="000000"/>
                <w:lang w:eastAsia="tr-TR"/>
              </w:rPr>
            </w:pPr>
            <w:r w:rsidRPr="003B4CBD">
              <w:rPr>
                <w:rFonts w:ascii="Calibri" w:eastAsia="Times New Roman" w:hAnsi="Calibri" w:cs="Calibri"/>
                <w:b/>
                <w:bCs/>
                <w:color w:val="000000"/>
                <w:lang w:eastAsia="tr-TR"/>
              </w:rPr>
              <w:t>6</w:t>
            </w:r>
          </w:p>
        </w:tc>
        <w:tc>
          <w:tcPr>
            <w:tcW w:w="954" w:type="pct"/>
            <w:tcBorders>
              <w:top w:val="nil"/>
              <w:left w:val="single" w:sz="4" w:space="0" w:color="auto"/>
              <w:bottom w:val="single" w:sz="4" w:space="0" w:color="auto"/>
              <w:right w:val="single" w:sz="4"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111.437,09</w:t>
            </w:r>
          </w:p>
        </w:tc>
        <w:tc>
          <w:tcPr>
            <w:tcW w:w="573" w:type="pct"/>
            <w:tcBorders>
              <w:top w:val="nil"/>
              <w:left w:val="nil"/>
              <w:bottom w:val="single" w:sz="4" w:space="0" w:color="auto"/>
              <w:right w:val="single" w:sz="4"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59,92</w:t>
            </w:r>
          </w:p>
        </w:tc>
        <w:tc>
          <w:tcPr>
            <w:tcW w:w="760" w:type="pct"/>
            <w:tcBorders>
              <w:top w:val="nil"/>
              <w:left w:val="nil"/>
              <w:bottom w:val="single" w:sz="4" w:space="0" w:color="auto"/>
              <w:right w:val="single" w:sz="8"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33,33</w:t>
            </w:r>
          </w:p>
        </w:tc>
        <w:tc>
          <w:tcPr>
            <w:tcW w:w="886" w:type="pct"/>
            <w:tcBorders>
              <w:top w:val="nil"/>
              <w:left w:val="nil"/>
              <w:bottom w:val="single" w:sz="4" w:space="0" w:color="auto"/>
              <w:right w:val="single" w:sz="4"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165.867,50</w:t>
            </w:r>
          </w:p>
        </w:tc>
        <w:tc>
          <w:tcPr>
            <w:tcW w:w="644" w:type="pct"/>
            <w:tcBorders>
              <w:top w:val="nil"/>
              <w:left w:val="nil"/>
              <w:bottom w:val="single" w:sz="4" w:space="0" w:color="auto"/>
              <w:right w:val="single" w:sz="4"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58,22</w:t>
            </w:r>
          </w:p>
        </w:tc>
        <w:tc>
          <w:tcPr>
            <w:tcW w:w="782" w:type="pct"/>
            <w:tcBorders>
              <w:top w:val="nil"/>
              <w:left w:val="nil"/>
              <w:bottom w:val="single" w:sz="4" w:space="0" w:color="auto"/>
              <w:right w:val="single" w:sz="8"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34,06</w:t>
            </w:r>
          </w:p>
        </w:tc>
      </w:tr>
      <w:tr w:rsidR="007A6CDB" w:rsidRPr="003B4CBD" w:rsidTr="00DC783D">
        <w:trPr>
          <w:trHeight w:val="20"/>
          <w:jc w:val="center"/>
        </w:trPr>
        <w:tc>
          <w:tcPr>
            <w:tcW w:w="40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b/>
                <w:bCs/>
                <w:color w:val="000000"/>
                <w:lang w:eastAsia="tr-TR"/>
              </w:rPr>
            </w:pPr>
            <w:r w:rsidRPr="003B4CBD">
              <w:rPr>
                <w:rFonts w:ascii="Calibri" w:eastAsia="Times New Roman" w:hAnsi="Calibri" w:cs="Calibri"/>
                <w:b/>
                <w:bCs/>
                <w:color w:val="000000"/>
                <w:lang w:eastAsia="tr-TR"/>
              </w:rPr>
              <w:t>7</w:t>
            </w:r>
          </w:p>
        </w:tc>
        <w:tc>
          <w:tcPr>
            <w:tcW w:w="954" w:type="pct"/>
            <w:tcBorders>
              <w:top w:val="nil"/>
              <w:left w:val="single" w:sz="4" w:space="0" w:color="auto"/>
              <w:bottom w:val="single" w:sz="4" w:space="0" w:color="auto"/>
              <w:right w:val="single" w:sz="4"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120.191,34</w:t>
            </w:r>
          </w:p>
        </w:tc>
        <w:tc>
          <w:tcPr>
            <w:tcW w:w="573" w:type="pct"/>
            <w:tcBorders>
              <w:top w:val="nil"/>
              <w:left w:val="nil"/>
              <w:bottom w:val="single" w:sz="4" w:space="0" w:color="auto"/>
              <w:right w:val="single" w:sz="4"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59,92</w:t>
            </w:r>
          </w:p>
        </w:tc>
        <w:tc>
          <w:tcPr>
            <w:tcW w:w="760" w:type="pct"/>
            <w:tcBorders>
              <w:top w:val="nil"/>
              <w:left w:val="nil"/>
              <w:bottom w:val="single" w:sz="4" w:space="0" w:color="auto"/>
              <w:right w:val="single" w:sz="8"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33,33</w:t>
            </w:r>
          </w:p>
        </w:tc>
        <w:tc>
          <w:tcPr>
            <w:tcW w:w="886" w:type="pct"/>
            <w:tcBorders>
              <w:top w:val="nil"/>
              <w:left w:val="nil"/>
              <w:bottom w:val="single" w:sz="4" w:space="0" w:color="auto"/>
              <w:right w:val="single" w:sz="4"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149.754,80</w:t>
            </w:r>
          </w:p>
        </w:tc>
        <w:tc>
          <w:tcPr>
            <w:tcW w:w="644" w:type="pct"/>
            <w:tcBorders>
              <w:top w:val="nil"/>
              <w:left w:val="nil"/>
              <w:bottom w:val="single" w:sz="4" w:space="0" w:color="auto"/>
              <w:right w:val="single" w:sz="4"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58,22</w:t>
            </w:r>
          </w:p>
        </w:tc>
        <w:tc>
          <w:tcPr>
            <w:tcW w:w="782" w:type="pct"/>
            <w:tcBorders>
              <w:top w:val="nil"/>
              <w:left w:val="nil"/>
              <w:bottom w:val="single" w:sz="4" w:space="0" w:color="auto"/>
              <w:right w:val="single" w:sz="8"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34,06</w:t>
            </w:r>
          </w:p>
        </w:tc>
      </w:tr>
      <w:tr w:rsidR="007A6CDB" w:rsidRPr="003B4CBD" w:rsidTr="00DC783D">
        <w:trPr>
          <w:trHeight w:val="20"/>
          <w:jc w:val="center"/>
        </w:trPr>
        <w:tc>
          <w:tcPr>
            <w:tcW w:w="40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b/>
                <w:bCs/>
                <w:color w:val="000000"/>
                <w:lang w:eastAsia="tr-TR"/>
              </w:rPr>
            </w:pPr>
            <w:r w:rsidRPr="003B4CBD">
              <w:rPr>
                <w:rFonts w:ascii="Calibri" w:eastAsia="Times New Roman" w:hAnsi="Calibri" w:cs="Calibri"/>
                <w:b/>
                <w:bCs/>
                <w:color w:val="000000"/>
                <w:lang w:eastAsia="tr-TR"/>
              </w:rPr>
              <w:t>8</w:t>
            </w:r>
          </w:p>
        </w:tc>
        <w:tc>
          <w:tcPr>
            <w:tcW w:w="954" w:type="pct"/>
            <w:tcBorders>
              <w:top w:val="nil"/>
              <w:left w:val="single" w:sz="4" w:space="0" w:color="auto"/>
              <w:bottom w:val="single" w:sz="4" w:space="0" w:color="auto"/>
              <w:right w:val="single" w:sz="4"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124.874,37</w:t>
            </w:r>
          </w:p>
        </w:tc>
        <w:tc>
          <w:tcPr>
            <w:tcW w:w="573" w:type="pct"/>
            <w:tcBorders>
              <w:top w:val="nil"/>
              <w:left w:val="nil"/>
              <w:bottom w:val="single" w:sz="4" w:space="0" w:color="auto"/>
              <w:right w:val="single" w:sz="4"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59,92</w:t>
            </w:r>
          </w:p>
        </w:tc>
        <w:tc>
          <w:tcPr>
            <w:tcW w:w="760" w:type="pct"/>
            <w:tcBorders>
              <w:top w:val="nil"/>
              <w:left w:val="nil"/>
              <w:bottom w:val="single" w:sz="4" w:space="0" w:color="auto"/>
              <w:right w:val="single" w:sz="8"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33,33</w:t>
            </w:r>
          </w:p>
        </w:tc>
        <w:tc>
          <w:tcPr>
            <w:tcW w:w="886" w:type="pct"/>
            <w:tcBorders>
              <w:top w:val="nil"/>
              <w:left w:val="nil"/>
              <w:bottom w:val="single" w:sz="4" w:space="0" w:color="auto"/>
              <w:right w:val="single" w:sz="4"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151.032,02</w:t>
            </w:r>
          </w:p>
        </w:tc>
        <w:tc>
          <w:tcPr>
            <w:tcW w:w="644" w:type="pct"/>
            <w:tcBorders>
              <w:top w:val="nil"/>
              <w:left w:val="nil"/>
              <w:bottom w:val="single" w:sz="4" w:space="0" w:color="auto"/>
              <w:right w:val="single" w:sz="4"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58,22</w:t>
            </w:r>
          </w:p>
        </w:tc>
        <w:tc>
          <w:tcPr>
            <w:tcW w:w="782" w:type="pct"/>
            <w:tcBorders>
              <w:top w:val="nil"/>
              <w:left w:val="nil"/>
              <w:bottom w:val="single" w:sz="4" w:space="0" w:color="auto"/>
              <w:right w:val="single" w:sz="8"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34,06</w:t>
            </w:r>
          </w:p>
        </w:tc>
      </w:tr>
      <w:tr w:rsidR="007A6CDB" w:rsidRPr="003B4CBD" w:rsidTr="00DC783D">
        <w:trPr>
          <w:trHeight w:val="20"/>
          <w:jc w:val="center"/>
        </w:trPr>
        <w:tc>
          <w:tcPr>
            <w:tcW w:w="40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b/>
                <w:bCs/>
                <w:color w:val="000000"/>
                <w:lang w:eastAsia="tr-TR"/>
              </w:rPr>
            </w:pPr>
            <w:r w:rsidRPr="003B4CBD">
              <w:rPr>
                <w:rFonts w:ascii="Calibri" w:eastAsia="Times New Roman" w:hAnsi="Calibri" w:cs="Calibri"/>
                <w:b/>
                <w:bCs/>
                <w:color w:val="000000"/>
                <w:lang w:eastAsia="tr-TR"/>
              </w:rPr>
              <w:t>9</w:t>
            </w:r>
          </w:p>
        </w:tc>
        <w:tc>
          <w:tcPr>
            <w:tcW w:w="954" w:type="pct"/>
            <w:tcBorders>
              <w:top w:val="nil"/>
              <w:left w:val="single" w:sz="4" w:space="0" w:color="auto"/>
              <w:bottom w:val="single" w:sz="4" w:space="0" w:color="auto"/>
              <w:right w:val="single" w:sz="4"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129.126,18</w:t>
            </w:r>
          </w:p>
        </w:tc>
        <w:tc>
          <w:tcPr>
            <w:tcW w:w="573" w:type="pct"/>
            <w:tcBorders>
              <w:top w:val="nil"/>
              <w:left w:val="nil"/>
              <w:bottom w:val="single" w:sz="4" w:space="0" w:color="auto"/>
              <w:right w:val="single" w:sz="4"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59,92</w:t>
            </w:r>
          </w:p>
        </w:tc>
        <w:tc>
          <w:tcPr>
            <w:tcW w:w="760" w:type="pct"/>
            <w:tcBorders>
              <w:top w:val="nil"/>
              <w:left w:val="nil"/>
              <w:bottom w:val="single" w:sz="4" w:space="0" w:color="auto"/>
              <w:right w:val="single" w:sz="8"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33,33</w:t>
            </w:r>
          </w:p>
        </w:tc>
        <w:tc>
          <w:tcPr>
            <w:tcW w:w="886" w:type="pct"/>
            <w:tcBorders>
              <w:top w:val="nil"/>
              <w:left w:val="nil"/>
              <w:bottom w:val="single" w:sz="4" w:space="0" w:color="auto"/>
              <w:right w:val="single" w:sz="4"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149.207,23</w:t>
            </w:r>
          </w:p>
        </w:tc>
        <w:tc>
          <w:tcPr>
            <w:tcW w:w="644" w:type="pct"/>
            <w:tcBorders>
              <w:top w:val="nil"/>
              <w:left w:val="nil"/>
              <w:bottom w:val="single" w:sz="4" w:space="0" w:color="auto"/>
              <w:right w:val="single" w:sz="4"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58,22</w:t>
            </w:r>
          </w:p>
        </w:tc>
        <w:tc>
          <w:tcPr>
            <w:tcW w:w="782" w:type="pct"/>
            <w:tcBorders>
              <w:top w:val="nil"/>
              <w:left w:val="nil"/>
              <w:bottom w:val="single" w:sz="4" w:space="0" w:color="auto"/>
              <w:right w:val="single" w:sz="8"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34,06</w:t>
            </w:r>
          </w:p>
        </w:tc>
      </w:tr>
      <w:tr w:rsidR="007A6CDB" w:rsidRPr="003B4CBD" w:rsidTr="00DC783D">
        <w:trPr>
          <w:trHeight w:val="20"/>
          <w:jc w:val="center"/>
        </w:trPr>
        <w:tc>
          <w:tcPr>
            <w:tcW w:w="40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b/>
                <w:bCs/>
                <w:color w:val="000000"/>
                <w:lang w:eastAsia="tr-TR"/>
              </w:rPr>
            </w:pPr>
            <w:r w:rsidRPr="003B4CBD">
              <w:rPr>
                <w:rFonts w:ascii="Calibri" w:eastAsia="Times New Roman" w:hAnsi="Calibri" w:cs="Calibri"/>
                <w:b/>
                <w:bCs/>
                <w:color w:val="000000"/>
                <w:lang w:eastAsia="tr-TR"/>
              </w:rPr>
              <w:t>10</w:t>
            </w:r>
          </w:p>
        </w:tc>
        <w:tc>
          <w:tcPr>
            <w:tcW w:w="954" w:type="pct"/>
            <w:tcBorders>
              <w:top w:val="nil"/>
              <w:left w:val="single" w:sz="4" w:space="0" w:color="auto"/>
              <w:bottom w:val="single" w:sz="4" w:space="0" w:color="auto"/>
              <w:right w:val="single" w:sz="4"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157.427,48</w:t>
            </w:r>
          </w:p>
        </w:tc>
        <w:tc>
          <w:tcPr>
            <w:tcW w:w="573" w:type="pct"/>
            <w:tcBorders>
              <w:top w:val="nil"/>
              <w:left w:val="nil"/>
              <w:bottom w:val="single" w:sz="4" w:space="0" w:color="auto"/>
              <w:right w:val="single" w:sz="4"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59,92</w:t>
            </w:r>
          </w:p>
        </w:tc>
        <w:tc>
          <w:tcPr>
            <w:tcW w:w="760" w:type="pct"/>
            <w:tcBorders>
              <w:top w:val="nil"/>
              <w:left w:val="nil"/>
              <w:bottom w:val="single" w:sz="4" w:space="0" w:color="auto"/>
              <w:right w:val="single" w:sz="8"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33,33</w:t>
            </w:r>
          </w:p>
        </w:tc>
        <w:tc>
          <w:tcPr>
            <w:tcW w:w="886" w:type="pct"/>
            <w:tcBorders>
              <w:top w:val="nil"/>
              <w:left w:val="nil"/>
              <w:bottom w:val="single" w:sz="4" w:space="0" w:color="auto"/>
              <w:right w:val="single" w:sz="4"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126.180,67</w:t>
            </w:r>
          </w:p>
        </w:tc>
        <w:tc>
          <w:tcPr>
            <w:tcW w:w="644" w:type="pct"/>
            <w:tcBorders>
              <w:top w:val="nil"/>
              <w:left w:val="nil"/>
              <w:bottom w:val="single" w:sz="4" w:space="0" w:color="auto"/>
              <w:right w:val="single" w:sz="4"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58,22</w:t>
            </w:r>
          </w:p>
        </w:tc>
        <w:tc>
          <w:tcPr>
            <w:tcW w:w="782" w:type="pct"/>
            <w:tcBorders>
              <w:top w:val="nil"/>
              <w:left w:val="nil"/>
              <w:bottom w:val="single" w:sz="4" w:space="0" w:color="auto"/>
              <w:right w:val="single" w:sz="8"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34,06</w:t>
            </w:r>
          </w:p>
        </w:tc>
      </w:tr>
      <w:tr w:rsidR="007A6CDB" w:rsidRPr="003B4CBD" w:rsidTr="00DC783D">
        <w:trPr>
          <w:trHeight w:val="20"/>
          <w:jc w:val="center"/>
        </w:trPr>
        <w:tc>
          <w:tcPr>
            <w:tcW w:w="40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b/>
                <w:bCs/>
                <w:color w:val="000000"/>
                <w:lang w:eastAsia="tr-TR"/>
              </w:rPr>
            </w:pPr>
            <w:r w:rsidRPr="003B4CBD">
              <w:rPr>
                <w:rFonts w:ascii="Calibri" w:eastAsia="Times New Roman" w:hAnsi="Calibri" w:cs="Calibri"/>
                <w:b/>
                <w:bCs/>
                <w:color w:val="000000"/>
                <w:lang w:eastAsia="tr-TR"/>
              </w:rPr>
              <w:t>11</w:t>
            </w:r>
          </w:p>
        </w:tc>
        <w:tc>
          <w:tcPr>
            <w:tcW w:w="954" w:type="pct"/>
            <w:tcBorders>
              <w:top w:val="nil"/>
              <w:left w:val="single" w:sz="4" w:space="0" w:color="auto"/>
              <w:bottom w:val="single" w:sz="4" w:space="0" w:color="auto"/>
              <w:right w:val="single" w:sz="4"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160.463,64</w:t>
            </w:r>
          </w:p>
        </w:tc>
        <w:tc>
          <w:tcPr>
            <w:tcW w:w="573" w:type="pct"/>
            <w:tcBorders>
              <w:top w:val="nil"/>
              <w:left w:val="nil"/>
              <w:bottom w:val="single" w:sz="4" w:space="0" w:color="auto"/>
              <w:right w:val="single" w:sz="4"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59,92</w:t>
            </w:r>
          </w:p>
        </w:tc>
        <w:tc>
          <w:tcPr>
            <w:tcW w:w="760" w:type="pct"/>
            <w:tcBorders>
              <w:top w:val="nil"/>
              <w:left w:val="nil"/>
              <w:bottom w:val="single" w:sz="4" w:space="0" w:color="auto"/>
              <w:right w:val="single" w:sz="8"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33,33</w:t>
            </w:r>
          </w:p>
        </w:tc>
        <w:tc>
          <w:tcPr>
            <w:tcW w:w="886" w:type="pct"/>
            <w:tcBorders>
              <w:top w:val="nil"/>
              <w:left w:val="nil"/>
              <w:bottom w:val="single" w:sz="4" w:space="0" w:color="auto"/>
              <w:right w:val="single" w:sz="4"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130.244,16</w:t>
            </w:r>
          </w:p>
        </w:tc>
        <w:tc>
          <w:tcPr>
            <w:tcW w:w="644" w:type="pct"/>
            <w:tcBorders>
              <w:top w:val="nil"/>
              <w:left w:val="nil"/>
              <w:bottom w:val="single" w:sz="4" w:space="0" w:color="auto"/>
              <w:right w:val="single" w:sz="4"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58,22</w:t>
            </w:r>
          </w:p>
        </w:tc>
        <w:tc>
          <w:tcPr>
            <w:tcW w:w="782" w:type="pct"/>
            <w:tcBorders>
              <w:top w:val="nil"/>
              <w:left w:val="nil"/>
              <w:bottom w:val="single" w:sz="4" w:space="0" w:color="auto"/>
              <w:right w:val="single" w:sz="8"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34,06</w:t>
            </w:r>
          </w:p>
        </w:tc>
      </w:tr>
      <w:tr w:rsidR="007A6CDB" w:rsidRPr="003B4CBD" w:rsidTr="00DC783D">
        <w:trPr>
          <w:trHeight w:val="20"/>
          <w:jc w:val="center"/>
        </w:trPr>
        <w:tc>
          <w:tcPr>
            <w:tcW w:w="40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b/>
                <w:bCs/>
                <w:color w:val="000000"/>
                <w:lang w:eastAsia="tr-TR"/>
              </w:rPr>
            </w:pPr>
            <w:r w:rsidRPr="003B4CBD">
              <w:rPr>
                <w:rFonts w:ascii="Calibri" w:eastAsia="Times New Roman" w:hAnsi="Calibri" w:cs="Calibri"/>
                <w:b/>
                <w:bCs/>
                <w:color w:val="000000"/>
                <w:lang w:eastAsia="tr-TR"/>
              </w:rPr>
              <w:t>12</w:t>
            </w:r>
          </w:p>
        </w:tc>
        <w:tc>
          <w:tcPr>
            <w:tcW w:w="954" w:type="pct"/>
            <w:tcBorders>
              <w:top w:val="nil"/>
              <w:left w:val="single" w:sz="4" w:space="0" w:color="auto"/>
              <w:bottom w:val="single" w:sz="4" w:space="0" w:color="auto"/>
              <w:right w:val="single" w:sz="4"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163.200,02</w:t>
            </w:r>
          </w:p>
        </w:tc>
        <w:tc>
          <w:tcPr>
            <w:tcW w:w="573" w:type="pct"/>
            <w:tcBorders>
              <w:top w:val="nil"/>
              <w:left w:val="nil"/>
              <w:bottom w:val="single" w:sz="4" w:space="0" w:color="auto"/>
              <w:right w:val="single" w:sz="4"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59,92</w:t>
            </w:r>
          </w:p>
        </w:tc>
        <w:tc>
          <w:tcPr>
            <w:tcW w:w="760" w:type="pct"/>
            <w:tcBorders>
              <w:top w:val="nil"/>
              <w:left w:val="nil"/>
              <w:bottom w:val="single" w:sz="4" w:space="0" w:color="auto"/>
              <w:right w:val="single" w:sz="8"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33,33</w:t>
            </w:r>
          </w:p>
        </w:tc>
        <w:tc>
          <w:tcPr>
            <w:tcW w:w="886" w:type="pct"/>
            <w:tcBorders>
              <w:top w:val="nil"/>
              <w:left w:val="nil"/>
              <w:bottom w:val="single" w:sz="4" w:space="0" w:color="auto"/>
              <w:right w:val="single" w:sz="4"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126.271,85</w:t>
            </w:r>
          </w:p>
        </w:tc>
        <w:tc>
          <w:tcPr>
            <w:tcW w:w="644" w:type="pct"/>
            <w:tcBorders>
              <w:top w:val="nil"/>
              <w:left w:val="nil"/>
              <w:bottom w:val="single" w:sz="4" w:space="0" w:color="auto"/>
              <w:right w:val="single" w:sz="4"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58,22</w:t>
            </w:r>
          </w:p>
        </w:tc>
        <w:tc>
          <w:tcPr>
            <w:tcW w:w="782" w:type="pct"/>
            <w:tcBorders>
              <w:top w:val="nil"/>
              <w:left w:val="nil"/>
              <w:bottom w:val="single" w:sz="4" w:space="0" w:color="auto"/>
              <w:right w:val="single" w:sz="8"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34,06</w:t>
            </w:r>
          </w:p>
        </w:tc>
      </w:tr>
      <w:tr w:rsidR="007A6CDB" w:rsidRPr="003B4CBD" w:rsidTr="00DC783D">
        <w:trPr>
          <w:trHeight w:val="20"/>
          <w:jc w:val="center"/>
        </w:trPr>
        <w:tc>
          <w:tcPr>
            <w:tcW w:w="40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b/>
                <w:bCs/>
                <w:color w:val="000000"/>
                <w:lang w:eastAsia="tr-TR"/>
              </w:rPr>
            </w:pPr>
            <w:r w:rsidRPr="003B4CBD">
              <w:rPr>
                <w:rFonts w:ascii="Calibri" w:eastAsia="Times New Roman" w:hAnsi="Calibri" w:cs="Calibri"/>
                <w:b/>
                <w:bCs/>
                <w:color w:val="000000"/>
                <w:lang w:eastAsia="tr-TR"/>
              </w:rPr>
              <w:t>13</w:t>
            </w:r>
          </w:p>
        </w:tc>
        <w:tc>
          <w:tcPr>
            <w:tcW w:w="954" w:type="pct"/>
            <w:tcBorders>
              <w:top w:val="nil"/>
              <w:left w:val="single" w:sz="4" w:space="0" w:color="auto"/>
              <w:bottom w:val="single" w:sz="4" w:space="0" w:color="auto"/>
              <w:right w:val="single" w:sz="4"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163.934,29</w:t>
            </w:r>
          </w:p>
        </w:tc>
        <w:tc>
          <w:tcPr>
            <w:tcW w:w="573" w:type="pct"/>
            <w:tcBorders>
              <w:top w:val="nil"/>
              <w:left w:val="nil"/>
              <w:bottom w:val="single" w:sz="4" w:space="0" w:color="auto"/>
              <w:right w:val="single" w:sz="4"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59,92</w:t>
            </w:r>
          </w:p>
        </w:tc>
        <w:tc>
          <w:tcPr>
            <w:tcW w:w="760" w:type="pct"/>
            <w:tcBorders>
              <w:top w:val="nil"/>
              <w:left w:val="nil"/>
              <w:bottom w:val="single" w:sz="4" w:space="0" w:color="auto"/>
              <w:right w:val="single" w:sz="8"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33,33</w:t>
            </w:r>
          </w:p>
        </w:tc>
        <w:tc>
          <w:tcPr>
            <w:tcW w:w="886" w:type="pct"/>
            <w:tcBorders>
              <w:top w:val="nil"/>
              <w:left w:val="nil"/>
              <w:bottom w:val="single" w:sz="4" w:space="0" w:color="auto"/>
              <w:right w:val="single" w:sz="4"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129.493,08</w:t>
            </w:r>
          </w:p>
        </w:tc>
        <w:tc>
          <w:tcPr>
            <w:tcW w:w="644" w:type="pct"/>
            <w:tcBorders>
              <w:top w:val="nil"/>
              <w:left w:val="nil"/>
              <w:bottom w:val="single" w:sz="4" w:space="0" w:color="auto"/>
              <w:right w:val="single" w:sz="4"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58,22</w:t>
            </w:r>
          </w:p>
        </w:tc>
        <w:tc>
          <w:tcPr>
            <w:tcW w:w="782" w:type="pct"/>
            <w:tcBorders>
              <w:top w:val="nil"/>
              <w:left w:val="nil"/>
              <w:bottom w:val="single" w:sz="4" w:space="0" w:color="auto"/>
              <w:right w:val="single" w:sz="8"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34,06</w:t>
            </w:r>
          </w:p>
        </w:tc>
      </w:tr>
      <w:tr w:rsidR="007A6CDB" w:rsidRPr="003B4CBD" w:rsidTr="00DC783D">
        <w:trPr>
          <w:trHeight w:val="20"/>
          <w:jc w:val="center"/>
        </w:trPr>
        <w:tc>
          <w:tcPr>
            <w:tcW w:w="40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b/>
                <w:bCs/>
                <w:color w:val="000000"/>
                <w:lang w:eastAsia="tr-TR"/>
              </w:rPr>
            </w:pPr>
            <w:r w:rsidRPr="003B4CBD">
              <w:rPr>
                <w:rFonts w:ascii="Calibri" w:eastAsia="Times New Roman" w:hAnsi="Calibri" w:cs="Calibri"/>
                <w:b/>
                <w:bCs/>
                <w:color w:val="000000"/>
                <w:lang w:eastAsia="tr-TR"/>
              </w:rPr>
              <w:t>14</w:t>
            </w:r>
          </w:p>
        </w:tc>
        <w:tc>
          <w:tcPr>
            <w:tcW w:w="954" w:type="pct"/>
            <w:tcBorders>
              <w:top w:val="nil"/>
              <w:left w:val="single" w:sz="4" w:space="0" w:color="auto"/>
              <w:bottom w:val="single" w:sz="4" w:space="0" w:color="auto"/>
              <w:right w:val="single" w:sz="4"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177.575,83</w:t>
            </w:r>
          </w:p>
        </w:tc>
        <w:tc>
          <w:tcPr>
            <w:tcW w:w="573" w:type="pct"/>
            <w:tcBorders>
              <w:top w:val="nil"/>
              <w:left w:val="nil"/>
              <w:bottom w:val="single" w:sz="4" w:space="0" w:color="auto"/>
              <w:right w:val="single" w:sz="4"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59,92</w:t>
            </w:r>
          </w:p>
        </w:tc>
        <w:tc>
          <w:tcPr>
            <w:tcW w:w="760" w:type="pct"/>
            <w:tcBorders>
              <w:top w:val="nil"/>
              <w:left w:val="nil"/>
              <w:bottom w:val="single" w:sz="4" w:space="0" w:color="auto"/>
              <w:right w:val="single" w:sz="8"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33,33</w:t>
            </w:r>
          </w:p>
        </w:tc>
        <w:tc>
          <w:tcPr>
            <w:tcW w:w="886" w:type="pct"/>
            <w:tcBorders>
              <w:top w:val="nil"/>
              <w:left w:val="nil"/>
              <w:bottom w:val="single" w:sz="4" w:space="0" w:color="auto"/>
              <w:right w:val="single" w:sz="4"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114.564,77</w:t>
            </w:r>
          </w:p>
        </w:tc>
        <w:tc>
          <w:tcPr>
            <w:tcW w:w="644" w:type="pct"/>
            <w:tcBorders>
              <w:top w:val="nil"/>
              <w:left w:val="nil"/>
              <w:bottom w:val="single" w:sz="4" w:space="0" w:color="auto"/>
              <w:right w:val="single" w:sz="4"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58,22</w:t>
            </w:r>
          </w:p>
        </w:tc>
        <w:tc>
          <w:tcPr>
            <w:tcW w:w="782" w:type="pct"/>
            <w:tcBorders>
              <w:top w:val="nil"/>
              <w:left w:val="nil"/>
              <w:bottom w:val="single" w:sz="4" w:space="0" w:color="auto"/>
              <w:right w:val="single" w:sz="8"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34,06</w:t>
            </w:r>
          </w:p>
        </w:tc>
      </w:tr>
      <w:tr w:rsidR="007A6CDB" w:rsidRPr="003B4CBD" w:rsidTr="00DC783D">
        <w:trPr>
          <w:trHeight w:val="20"/>
          <w:jc w:val="center"/>
        </w:trPr>
        <w:tc>
          <w:tcPr>
            <w:tcW w:w="40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b/>
                <w:bCs/>
                <w:color w:val="000000"/>
                <w:lang w:eastAsia="tr-TR"/>
              </w:rPr>
            </w:pPr>
            <w:r w:rsidRPr="003B4CBD">
              <w:rPr>
                <w:rFonts w:ascii="Calibri" w:eastAsia="Times New Roman" w:hAnsi="Calibri" w:cs="Calibri"/>
                <w:b/>
                <w:bCs/>
                <w:color w:val="000000"/>
                <w:lang w:eastAsia="tr-TR"/>
              </w:rPr>
              <w:t>15</w:t>
            </w:r>
          </w:p>
        </w:tc>
        <w:tc>
          <w:tcPr>
            <w:tcW w:w="954" w:type="pct"/>
            <w:tcBorders>
              <w:top w:val="nil"/>
              <w:left w:val="single" w:sz="4" w:space="0" w:color="auto"/>
              <w:bottom w:val="single" w:sz="8" w:space="0" w:color="auto"/>
              <w:right w:val="single" w:sz="4"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186.759,42</w:t>
            </w:r>
          </w:p>
        </w:tc>
        <w:tc>
          <w:tcPr>
            <w:tcW w:w="573" w:type="pct"/>
            <w:tcBorders>
              <w:top w:val="nil"/>
              <w:left w:val="nil"/>
              <w:bottom w:val="single" w:sz="8" w:space="0" w:color="auto"/>
              <w:right w:val="single" w:sz="4"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59,92</w:t>
            </w:r>
          </w:p>
        </w:tc>
        <w:tc>
          <w:tcPr>
            <w:tcW w:w="760" w:type="pct"/>
            <w:tcBorders>
              <w:top w:val="nil"/>
              <w:left w:val="nil"/>
              <w:bottom w:val="single" w:sz="8" w:space="0" w:color="auto"/>
              <w:right w:val="single" w:sz="8"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33,33</w:t>
            </w:r>
          </w:p>
        </w:tc>
        <w:tc>
          <w:tcPr>
            <w:tcW w:w="886" w:type="pct"/>
            <w:tcBorders>
              <w:top w:val="nil"/>
              <w:left w:val="nil"/>
              <w:bottom w:val="single" w:sz="8" w:space="0" w:color="auto"/>
              <w:right w:val="single" w:sz="4"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110.738,28</w:t>
            </w:r>
          </w:p>
        </w:tc>
        <w:tc>
          <w:tcPr>
            <w:tcW w:w="644" w:type="pct"/>
            <w:tcBorders>
              <w:top w:val="nil"/>
              <w:left w:val="nil"/>
              <w:bottom w:val="single" w:sz="8" w:space="0" w:color="auto"/>
              <w:right w:val="single" w:sz="4"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58,22</w:t>
            </w:r>
          </w:p>
        </w:tc>
        <w:tc>
          <w:tcPr>
            <w:tcW w:w="782" w:type="pct"/>
            <w:tcBorders>
              <w:top w:val="nil"/>
              <w:left w:val="nil"/>
              <w:bottom w:val="single" w:sz="8" w:space="0" w:color="auto"/>
              <w:right w:val="single" w:sz="8" w:space="0" w:color="auto"/>
            </w:tcBorders>
            <w:shd w:val="clear" w:color="auto" w:fill="auto"/>
            <w:vAlign w:val="center"/>
            <w:hideMark/>
          </w:tcPr>
          <w:p w:rsidR="007A6CDB" w:rsidRPr="003B4CBD" w:rsidRDefault="007A6CDB" w:rsidP="00FE2FC0">
            <w:pPr>
              <w:spacing w:after="0" w:line="240" w:lineRule="auto"/>
              <w:jc w:val="center"/>
              <w:rPr>
                <w:rFonts w:ascii="Calibri" w:eastAsia="Times New Roman" w:hAnsi="Calibri" w:cs="Calibri"/>
                <w:color w:val="000000"/>
                <w:lang w:eastAsia="tr-TR"/>
              </w:rPr>
            </w:pPr>
            <w:r>
              <w:rPr>
                <w:color w:val="000000"/>
              </w:rPr>
              <w:t>34,06</w:t>
            </w:r>
          </w:p>
        </w:tc>
      </w:tr>
    </w:tbl>
    <w:p w:rsidR="002C3099" w:rsidRPr="00935BE8" w:rsidRDefault="007A6CDB" w:rsidP="002C3099">
      <w:pPr>
        <w:spacing w:after="0"/>
        <w:rPr>
          <w:sz w:val="16"/>
          <w:szCs w:val="16"/>
        </w:rPr>
      </w:pPr>
      <w:r w:rsidRPr="00935BE8">
        <w:rPr>
          <w:sz w:val="16"/>
          <w:szCs w:val="16"/>
        </w:rPr>
        <w:t>1)</w:t>
      </w:r>
      <w:r w:rsidRPr="00A449EE">
        <w:rPr>
          <w:i/>
          <w:sz w:val="16"/>
          <w:szCs w:val="16"/>
        </w:rPr>
        <w:t>İletim ek ücreti dâhil edilmemiştir</w:t>
      </w:r>
      <w:r w:rsidRPr="00935BE8">
        <w:rPr>
          <w:sz w:val="16"/>
          <w:szCs w:val="16"/>
        </w:rPr>
        <w:t>.</w:t>
      </w:r>
      <w:bookmarkEnd w:id="215"/>
    </w:p>
    <w:p w:rsidR="00DC783D" w:rsidRPr="00DC783D" w:rsidRDefault="002C3099" w:rsidP="00DC783D">
      <w:pPr>
        <w:pStyle w:val="Balk4"/>
        <w:numPr>
          <w:ilvl w:val="3"/>
          <w:numId w:val="11"/>
        </w:numPr>
        <w:spacing w:after="240"/>
        <w:rPr>
          <w:rFonts w:asciiTheme="minorHAnsi" w:hAnsiTheme="minorHAnsi"/>
          <w:i w:val="0"/>
          <w:color w:val="000000" w:themeColor="text1"/>
        </w:rPr>
      </w:pPr>
      <w:bookmarkStart w:id="216" w:name="_Toc66267372"/>
      <w:bookmarkStart w:id="217" w:name="_Toc132713801"/>
      <w:r w:rsidRPr="00FA1354">
        <w:rPr>
          <w:rFonts w:asciiTheme="minorHAnsi" w:hAnsiTheme="minorHAnsi"/>
          <w:i w:val="0"/>
          <w:color w:val="000000" w:themeColor="text1"/>
        </w:rPr>
        <w:lastRenderedPageBreak/>
        <w:t>İletim Ek Ücret</w:t>
      </w:r>
      <w:bookmarkEnd w:id="216"/>
      <w:r w:rsidR="003C6441">
        <w:rPr>
          <w:rFonts w:asciiTheme="minorHAnsi" w:hAnsiTheme="minorHAnsi"/>
          <w:i w:val="0"/>
          <w:color w:val="000000" w:themeColor="text1"/>
        </w:rPr>
        <w:t>i</w:t>
      </w:r>
      <w:bookmarkEnd w:id="217"/>
    </w:p>
    <w:p w:rsidR="00801036" w:rsidRPr="002C3099" w:rsidRDefault="007A6CDB" w:rsidP="00304AD6">
      <w:pPr>
        <w:pStyle w:val="stBilgi"/>
        <w:spacing w:after="240" w:line="276" w:lineRule="auto"/>
      </w:pPr>
      <w:r w:rsidRPr="00FA1354">
        <w:rPr>
          <w:rFonts w:cs="Arial"/>
        </w:rPr>
        <w:t>1</w:t>
      </w:r>
      <w:r>
        <w:rPr>
          <w:rFonts w:cs="Arial"/>
        </w:rPr>
        <w:t>7</w:t>
      </w:r>
      <w:r w:rsidRPr="00FA1354">
        <w:rPr>
          <w:rFonts w:cs="Arial"/>
        </w:rPr>
        <w:t>.09.202</w:t>
      </w:r>
      <w:r>
        <w:rPr>
          <w:rFonts w:cs="Arial"/>
        </w:rPr>
        <w:t>2</w:t>
      </w:r>
      <w:r w:rsidRPr="00FA1354">
        <w:rPr>
          <w:rFonts w:cs="Arial"/>
        </w:rPr>
        <w:t xml:space="preserve"> tarihli ve </w:t>
      </w:r>
      <w:r>
        <w:rPr>
          <w:rFonts w:cs="Arial"/>
        </w:rPr>
        <w:t xml:space="preserve">31956 </w:t>
      </w:r>
      <w:r w:rsidRPr="00FA1354">
        <w:rPr>
          <w:rFonts w:cs="Arial"/>
        </w:rPr>
        <w:t xml:space="preserve">sayılı Resmî </w:t>
      </w:r>
      <w:r w:rsidR="00274939">
        <w:rPr>
          <w:rFonts w:cs="Arial"/>
        </w:rPr>
        <w:t>Gazetede</w:t>
      </w:r>
      <w:r w:rsidRPr="00FA1354">
        <w:rPr>
          <w:rFonts w:cs="Arial"/>
        </w:rPr>
        <w:t xml:space="preserve"> yayımlanan </w:t>
      </w:r>
      <w:r w:rsidRPr="00FA1354">
        <w:t>1</w:t>
      </w:r>
      <w:r>
        <w:t>5</w:t>
      </w:r>
      <w:r w:rsidRPr="00FA1354">
        <w:t>.09.202</w:t>
      </w:r>
      <w:r>
        <w:t>2</w:t>
      </w:r>
      <w:r w:rsidRPr="00FA1354">
        <w:t xml:space="preserve"> tarihli ve </w:t>
      </w:r>
      <w:r>
        <w:t xml:space="preserve">11228 </w:t>
      </w:r>
      <w:r w:rsidRPr="00FA1354">
        <w:t>sayılı Kurul Kararıyla, 4628 sayılı Kanunun 5 inci maddesinin yedinci fıkrasının (h) bendi ve aynı Kanunun 10 uncu maddesinin (1-A) fıkrasının (e) bendi uyarınca 202</w:t>
      </w:r>
      <w:r>
        <w:t>3</w:t>
      </w:r>
      <w:r w:rsidRPr="00FA1354">
        <w:t xml:space="preserve"> yılında uygulanacak iletim ek ücreti, TEİAŞ’ın iletim tarifesinin %0,5’i (binde beşi) oranında belirlenmiştir.</w:t>
      </w:r>
      <w:r w:rsidR="002C3099" w:rsidRPr="002C3099">
        <w:t xml:space="preserve"> </w:t>
      </w:r>
    </w:p>
    <w:p w:rsidR="00BA13C3" w:rsidRPr="00801036" w:rsidRDefault="002C3099" w:rsidP="000A5A56">
      <w:pPr>
        <w:pStyle w:val="Balk3"/>
        <w:numPr>
          <w:ilvl w:val="2"/>
          <w:numId w:val="11"/>
        </w:numPr>
        <w:spacing w:before="0" w:after="240"/>
        <w:rPr>
          <w:rFonts w:asciiTheme="minorHAnsi" w:hAnsiTheme="minorHAnsi"/>
          <w:color w:val="000000" w:themeColor="text1"/>
        </w:rPr>
      </w:pPr>
      <w:bookmarkStart w:id="218" w:name="_Toc66267373"/>
      <w:bookmarkStart w:id="219" w:name="_Toc132713802"/>
      <w:r w:rsidRPr="00E9291A">
        <w:rPr>
          <w:rFonts w:asciiTheme="minorHAnsi" w:hAnsiTheme="minorHAnsi"/>
          <w:color w:val="000000" w:themeColor="text1"/>
        </w:rPr>
        <w:t>Dağıtım ve Perakende Satış Tarifeleri</w:t>
      </w:r>
      <w:bookmarkEnd w:id="218"/>
      <w:bookmarkEnd w:id="219"/>
    </w:p>
    <w:p w:rsidR="002C3099" w:rsidRPr="00D92D87" w:rsidRDefault="002C3099" w:rsidP="002C3099">
      <w:r w:rsidRPr="00E068BB">
        <w:t xml:space="preserve">27.07.2019 tarihli ve 30844 sayılı </w:t>
      </w:r>
      <w:r w:rsidR="00C839EE" w:rsidRPr="00E068BB">
        <w:t>Resmî</w:t>
      </w:r>
      <w:r w:rsidRPr="00E068BB">
        <w:t xml:space="preserve"> </w:t>
      </w:r>
      <w:r w:rsidR="00274939">
        <w:t>Gazetede</w:t>
      </w:r>
      <w:r w:rsidRPr="00E068BB">
        <w:t xml:space="preserve"> yayımlanan 25.07.2019 tarih ve 8750 sayılı Kurul Kararı ile Elektrik piyasasında faaliyet gösteren dağıtım şirketleri ve görevli tedarik şirketlerinin gelir/tarife düzenlemelerine esas parametrelerin geçerli olacağı dördüncü uygulama dönemi 01.01.2021(dâhil)-31.12.2025(dâhil) olarak belirlenmiştir.</w:t>
      </w:r>
    </w:p>
    <w:p w:rsidR="00BA13C3" w:rsidRPr="00540D59" w:rsidRDefault="002C3099" w:rsidP="002C3099">
      <w:r w:rsidRPr="00540D59">
        <w:rPr>
          <w:bCs/>
          <w:spacing w:val="4"/>
        </w:rPr>
        <w:t>Dağıtım şirketleri</w:t>
      </w:r>
      <w:r w:rsidRPr="00540D59">
        <w:rPr>
          <w:spacing w:val="4"/>
        </w:rPr>
        <w:t xml:space="preserve"> tarafından, dağıtım sistemi kullanıcılarına ve </w:t>
      </w:r>
      <w:r w:rsidRPr="00540D59">
        <w:t xml:space="preserve">genel aydınlatma alt abone grubundaki tüketicilere; görevli tedarik şirketleri tarafından, serbest olmayan tüketiciler ile serbest tüketici olmasına rağmen tedarikçisini seçmeyen ve 20.01.2018 tarihli ve 30307 sayılı Resmî </w:t>
      </w:r>
      <w:r w:rsidR="00274939">
        <w:t>Gazetede</w:t>
      </w:r>
      <w:r w:rsidRPr="00540D59">
        <w:t xml:space="preserve"> yayımlanan Son Kaynak Tedarik Tarifesinin Düzenlenmesi Hakkında Tebliğ kapsamında tanımlanan d</w:t>
      </w:r>
      <w:r>
        <w:t xml:space="preserve">üşük tüketimli tüketicilere </w:t>
      </w:r>
      <w:r w:rsidR="007A6CDB">
        <w:t>2022</w:t>
      </w:r>
      <w:r w:rsidR="007A6CDB" w:rsidRPr="00540D59">
        <w:t xml:space="preserve"> yılının </w:t>
      </w:r>
      <w:r w:rsidR="007A6CDB">
        <w:t>tamamı</w:t>
      </w:r>
      <w:r w:rsidR="007A6CDB" w:rsidRPr="00540D59">
        <w:t xml:space="preserve"> </w:t>
      </w:r>
      <w:r w:rsidR="007A6CDB">
        <w:t>ile 2023</w:t>
      </w:r>
      <w:r w:rsidR="007A6CDB" w:rsidRPr="00540D59">
        <w:t xml:space="preserve"> yılının ilk tarife dönemi için uygulanan tarife tablolarının onaylanmasına dair </w:t>
      </w:r>
      <w:r w:rsidR="007A6CDB">
        <w:t>alınan Kurul Kararları Tablo 4.3</w:t>
      </w:r>
      <w:r w:rsidR="007A6CDB" w:rsidRPr="00540D59">
        <w:t>’te gösterilmektedir.</w:t>
      </w:r>
    </w:p>
    <w:p w:rsidR="007A6CDB" w:rsidRPr="00540D59" w:rsidRDefault="007A6CDB" w:rsidP="007A6CDB">
      <w:pPr>
        <w:pStyle w:val="Balk5"/>
        <w:jc w:val="center"/>
        <w:rPr>
          <w:rStyle w:val="Gl"/>
          <w:color w:val="000000" w:themeColor="text1"/>
        </w:rPr>
      </w:pPr>
      <w:bookmarkStart w:id="220" w:name="_Toc66267469"/>
      <w:bookmarkStart w:id="221" w:name="_Toc132713906"/>
      <w:r w:rsidRPr="00FA1354">
        <w:rPr>
          <w:rStyle w:val="Gl"/>
          <w:color w:val="000000" w:themeColor="text1"/>
        </w:rPr>
        <w:t>Tablo 4.3: Dağıtım ve Görevli Tedarik Şirketleri Tarife Tablolarına Dair Kurul Kararları</w:t>
      </w:r>
      <w:bookmarkEnd w:id="220"/>
      <w:bookmarkEnd w:id="221"/>
    </w:p>
    <w:tbl>
      <w:tblPr>
        <w:tblStyle w:val="TableNormal"/>
        <w:tblW w:w="0" w:type="auto"/>
        <w:jc w:val="center"/>
        <w:tblLook w:val="01E0" w:firstRow="1" w:lastRow="1" w:firstColumn="1" w:lastColumn="1" w:noHBand="0" w:noVBand="0"/>
      </w:tblPr>
      <w:tblGrid>
        <w:gridCol w:w="2690"/>
        <w:gridCol w:w="1520"/>
        <w:gridCol w:w="1910"/>
        <w:gridCol w:w="2829"/>
      </w:tblGrid>
      <w:tr w:rsidR="007A6CDB" w:rsidRPr="00B32DD7" w:rsidTr="00FE2FC0">
        <w:trPr>
          <w:trHeight w:hRule="exact" w:val="624"/>
          <w:jc w:val="center"/>
        </w:trPr>
        <w:tc>
          <w:tcPr>
            <w:tcW w:w="2690" w:type="dxa"/>
            <w:tcBorders>
              <w:top w:val="single" w:sz="4" w:space="0" w:color="BFBFBF"/>
              <w:left w:val="single" w:sz="4" w:space="0" w:color="BFBFBF"/>
              <w:bottom w:val="single" w:sz="4" w:space="0" w:color="BFBFBF"/>
              <w:right w:val="single" w:sz="4" w:space="0" w:color="BFBFBF"/>
            </w:tcBorders>
            <w:shd w:val="clear" w:color="auto" w:fill="6E9ECA"/>
          </w:tcPr>
          <w:p w:rsidR="007A6CDB" w:rsidRPr="00B32DD7" w:rsidRDefault="007A6CDB" w:rsidP="00FE2FC0">
            <w:pPr>
              <w:pStyle w:val="TableParagraph"/>
              <w:spacing w:before="2"/>
              <w:rPr>
                <w:rFonts w:ascii="Calibri" w:eastAsia="Calibri" w:hAnsi="Calibri" w:cs="Calibri"/>
                <w:b/>
                <w:bCs/>
              </w:rPr>
            </w:pPr>
          </w:p>
          <w:p w:rsidR="007A6CDB" w:rsidRPr="00B32DD7" w:rsidRDefault="007A6CDB" w:rsidP="00FE2FC0">
            <w:pPr>
              <w:jc w:val="center"/>
              <w:rPr>
                <w:rFonts w:ascii="Calibri" w:hAnsi="Calibri" w:cs="Calibri"/>
              </w:rPr>
            </w:pPr>
            <w:r w:rsidRPr="00B32DD7">
              <w:rPr>
                <w:rFonts w:cstheme="minorHAnsi"/>
                <w:b/>
                <w:bCs/>
                <w:color w:val="FFFFFF" w:themeColor="background1"/>
              </w:rPr>
              <w:t>Kurul Karar Tarihi</w:t>
            </w:r>
          </w:p>
        </w:tc>
        <w:tc>
          <w:tcPr>
            <w:tcW w:w="1520" w:type="dxa"/>
            <w:tcBorders>
              <w:top w:val="single" w:sz="4" w:space="0" w:color="BFBFBF"/>
              <w:left w:val="single" w:sz="4" w:space="0" w:color="BFBFBF"/>
              <w:bottom w:val="single" w:sz="4" w:space="0" w:color="BFBFBF"/>
              <w:right w:val="single" w:sz="4" w:space="0" w:color="BFBFBF"/>
            </w:tcBorders>
            <w:shd w:val="clear" w:color="auto" w:fill="6E9ECA"/>
          </w:tcPr>
          <w:p w:rsidR="007A6CDB" w:rsidRPr="00B32DD7" w:rsidRDefault="007A6CDB" w:rsidP="00FE2FC0">
            <w:pPr>
              <w:jc w:val="center"/>
              <w:rPr>
                <w:rFonts w:cstheme="minorHAnsi"/>
                <w:b/>
                <w:bCs/>
                <w:color w:val="FFFFFF" w:themeColor="background1"/>
              </w:rPr>
            </w:pPr>
            <w:r w:rsidRPr="00B32DD7">
              <w:rPr>
                <w:rFonts w:cstheme="minorHAnsi"/>
                <w:b/>
                <w:bCs/>
                <w:color w:val="FFFFFF" w:themeColor="background1"/>
              </w:rPr>
              <w:t xml:space="preserve">Kurul Karar </w:t>
            </w:r>
            <w:r>
              <w:rPr>
                <w:rFonts w:cstheme="minorHAnsi"/>
                <w:b/>
                <w:bCs/>
                <w:color w:val="FFFFFF" w:themeColor="background1"/>
              </w:rPr>
              <w:t>S</w:t>
            </w:r>
            <w:r w:rsidRPr="00B32DD7">
              <w:rPr>
                <w:rFonts w:cstheme="minorHAnsi"/>
                <w:b/>
                <w:bCs/>
                <w:color w:val="FFFFFF" w:themeColor="background1"/>
              </w:rPr>
              <w:t>ayısı</w:t>
            </w:r>
          </w:p>
        </w:tc>
        <w:tc>
          <w:tcPr>
            <w:tcW w:w="1910" w:type="dxa"/>
            <w:tcBorders>
              <w:top w:val="single" w:sz="4" w:space="0" w:color="BFBFBF"/>
              <w:left w:val="single" w:sz="4" w:space="0" w:color="BFBFBF"/>
              <w:bottom w:val="single" w:sz="4" w:space="0" w:color="BFBFBF"/>
              <w:right w:val="single" w:sz="4" w:space="0" w:color="BFBFBF"/>
            </w:tcBorders>
            <w:shd w:val="clear" w:color="auto" w:fill="6E9ECA"/>
          </w:tcPr>
          <w:p w:rsidR="007A6CDB" w:rsidRPr="00B32DD7" w:rsidRDefault="007A6CDB" w:rsidP="00FE2FC0">
            <w:pPr>
              <w:pStyle w:val="TableParagraph"/>
              <w:spacing w:before="2"/>
              <w:rPr>
                <w:rFonts w:eastAsia="Calibri" w:cstheme="minorHAnsi"/>
                <w:b/>
                <w:bCs/>
                <w:color w:val="FFFFFF" w:themeColor="background1"/>
                <w:lang w:val="tr-TR"/>
              </w:rPr>
            </w:pPr>
          </w:p>
          <w:p w:rsidR="007A6CDB" w:rsidRPr="00B32DD7" w:rsidRDefault="007A6CDB" w:rsidP="00FE2FC0">
            <w:pPr>
              <w:pStyle w:val="TableParagraph"/>
              <w:ind w:left="353"/>
              <w:rPr>
                <w:rFonts w:eastAsia="Calibri" w:cstheme="minorHAnsi"/>
                <w:b/>
                <w:bCs/>
                <w:color w:val="FFFFFF" w:themeColor="background1"/>
                <w:lang w:val="tr-TR"/>
              </w:rPr>
            </w:pPr>
            <w:r w:rsidRPr="00B32DD7">
              <w:rPr>
                <w:rFonts w:eastAsia="Calibri" w:cstheme="minorHAnsi"/>
                <w:b/>
                <w:bCs/>
                <w:color w:val="FFFFFF" w:themeColor="background1"/>
                <w:lang w:val="tr-TR"/>
              </w:rPr>
              <w:t>Yürürlük Tarihi</w:t>
            </w:r>
          </w:p>
        </w:tc>
        <w:tc>
          <w:tcPr>
            <w:tcW w:w="2829" w:type="dxa"/>
            <w:tcBorders>
              <w:top w:val="single" w:sz="4" w:space="0" w:color="BFBFBF"/>
              <w:left w:val="single" w:sz="4" w:space="0" w:color="BFBFBF"/>
              <w:bottom w:val="single" w:sz="4" w:space="0" w:color="BFBFBF"/>
              <w:right w:val="single" w:sz="4" w:space="0" w:color="BFBFBF"/>
            </w:tcBorders>
            <w:shd w:val="clear" w:color="auto" w:fill="6E9ECA"/>
          </w:tcPr>
          <w:p w:rsidR="007A6CDB" w:rsidRPr="00B32DD7" w:rsidRDefault="007A6CDB" w:rsidP="00FE2FC0">
            <w:pPr>
              <w:pStyle w:val="TableParagraph"/>
              <w:ind w:left="139"/>
              <w:jc w:val="center"/>
              <w:rPr>
                <w:rFonts w:eastAsia="Calibri" w:cstheme="minorHAnsi"/>
                <w:b/>
                <w:bCs/>
                <w:color w:val="FFFFFF" w:themeColor="background1"/>
                <w:lang w:val="tr-TR"/>
              </w:rPr>
            </w:pPr>
            <w:r w:rsidRPr="00B32DD7">
              <w:rPr>
                <w:rFonts w:eastAsia="Calibri" w:cstheme="minorHAnsi"/>
                <w:b/>
                <w:bCs/>
                <w:color w:val="FFFFFF" w:themeColor="background1"/>
                <w:lang w:val="tr-TR"/>
              </w:rPr>
              <w:t>Yayımlandığı Resmî Gazete</w:t>
            </w:r>
            <w:r>
              <w:rPr>
                <w:rFonts w:eastAsia="Calibri" w:cstheme="minorHAnsi"/>
                <w:b/>
                <w:bCs/>
                <w:color w:val="FFFFFF" w:themeColor="background1"/>
                <w:lang w:val="tr-TR"/>
              </w:rPr>
              <w:t>’</w:t>
            </w:r>
            <w:r w:rsidRPr="00B32DD7">
              <w:rPr>
                <w:rFonts w:eastAsia="Calibri" w:cstheme="minorHAnsi"/>
                <w:b/>
                <w:bCs/>
                <w:color w:val="FFFFFF" w:themeColor="background1"/>
                <w:lang w:val="tr-TR"/>
              </w:rPr>
              <w:t>nin Tarih ve Sayısı</w:t>
            </w:r>
          </w:p>
        </w:tc>
      </w:tr>
      <w:tr w:rsidR="007A6CDB" w:rsidRPr="00B32DD7" w:rsidTr="00FE2FC0">
        <w:trPr>
          <w:trHeight w:hRule="exact" w:val="364"/>
          <w:jc w:val="center"/>
        </w:trPr>
        <w:tc>
          <w:tcPr>
            <w:tcW w:w="2690" w:type="dxa"/>
            <w:tcBorders>
              <w:top w:val="single" w:sz="4" w:space="0" w:color="BFBFBF"/>
              <w:left w:val="single" w:sz="4" w:space="0" w:color="BFBFBF"/>
              <w:bottom w:val="single" w:sz="4" w:space="0" w:color="BFBFBF"/>
              <w:right w:val="single" w:sz="4" w:space="0" w:color="BFBFBF"/>
            </w:tcBorders>
            <w:vAlign w:val="center"/>
          </w:tcPr>
          <w:p w:rsidR="007A6CDB" w:rsidRPr="00B32DD7" w:rsidRDefault="007A6CDB" w:rsidP="00FE2FC0">
            <w:pPr>
              <w:jc w:val="center"/>
            </w:pPr>
            <w:r w:rsidRPr="00B32DD7">
              <w:t>3</w:t>
            </w:r>
            <w:r>
              <w:t>1</w:t>
            </w:r>
            <w:r w:rsidRPr="00B32DD7">
              <w:t>.12.202</w:t>
            </w:r>
            <w:r>
              <w:t>1</w:t>
            </w:r>
          </w:p>
        </w:tc>
        <w:tc>
          <w:tcPr>
            <w:tcW w:w="1520" w:type="dxa"/>
            <w:tcBorders>
              <w:top w:val="single" w:sz="4" w:space="0" w:color="BFBFBF"/>
              <w:left w:val="single" w:sz="4" w:space="0" w:color="BFBFBF"/>
              <w:bottom w:val="single" w:sz="4" w:space="0" w:color="BFBFBF"/>
              <w:right w:val="single" w:sz="4" w:space="0" w:color="BFBFBF"/>
            </w:tcBorders>
            <w:vAlign w:val="center"/>
          </w:tcPr>
          <w:p w:rsidR="007A6CDB" w:rsidRPr="00B32DD7" w:rsidRDefault="007A6CDB" w:rsidP="00FE2FC0">
            <w:pPr>
              <w:jc w:val="center"/>
            </w:pPr>
            <w:r>
              <w:t>10708</w:t>
            </w:r>
          </w:p>
        </w:tc>
        <w:tc>
          <w:tcPr>
            <w:tcW w:w="1910" w:type="dxa"/>
            <w:tcBorders>
              <w:top w:val="single" w:sz="4" w:space="0" w:color="BFBFBF"/>
              <w:left w:val="single" w:sz="4" w:space="0" w:color="BFBFBF"/>
              <w:bottom w:val="single" w:sz="4" w:space="0" w:color="BFBFBF"/>
              <w:right w:val="single" w:sz="4" w:space="0" w:color="BFBFBF"/>
            </w:tcBorders>
            <w:vAlign w:val="center"/>
          </w:tcPr>
          <w:p w:rsidR="007A6CDB" w:rsidRPr="00B32DD7" w:rsidRDefault="007A6CDB" w:rsidP="00FE2FC0">
            <w:pPr>
              <w:jc w:val="center"/>
            </w:pPr>
            <w:r w:rsidRPr="00B32DD7">
              <w:t>01.01.202</w:t>
            </w:r>
            <w:r>
              <w:t>2</w:t>
            </w:r>
          </w:p>
        </w:tc>
        <w:tc>
          <w:tcPr>
            <w:tcW w:w="2829" w:type="dxa"/>
            <w:tcBorders>
              <w:top w:val="single" w:sz="4" w:space="0" w:color="BFBFBF"/>
              <w:left w:val="single" w:sz="4" w:space="0" w:color="BFBFBF"/>
              <w:bottom w:val="single" w:sz="4" w:space="0" w:color="BFBFBF"/>
              <w:right w:val="single" w:sz="4" w:space="0" w:color="BFBFBF"/>
            </w:tcBorders>
            <w:vAlign w:val="center"/>
          </w:tcPr>
          <w:p w:rsidR="007A6CDB" w:rsidRPr="00B32DD7" w:rsidRDefault="007A6CDB" w:rsidP="00FE2FC0">
            <w:pPr>
              <w:jc w:val="center"/>
            </w:pPr>
            <w:r w:rsidRPr="00B32DD7">
              <w:t>31.12.202</w:t>
            </w:r>
            <w:r>
              <w:t>1</w:t>
            </w:r>
            <w:r w:rsidRPr="00B32DD7">
              <w:t>-</w:t>
            </w:r>
            <w:r>
              <w:t>31706</w:t>
            </w:r>
          </w:p>
        </w:tc>
      </w:tr>
      <w:tr w:rsidR="007A6CDB" w:rsidRPr="00B32DD7" w:rsidTr="00FE2FC0">
        <w:trPr>
          <w:trHeight w:hRule="exact" w:val="364"/>
          <w:jc w:val="center"/>
        </w:trPr>
        <w:tc>
          <w:tcPr>
            <w:tcW w:w="2690" w:type="dxa"/>
            <w:tcBorders>
              <w:top w:val="single" w:sz="4" w:space="0" w:color="BFBFBF"/>
              <w:left w:val="single" w:sz="4" w:space="0" w:color="BFBFBF"/>
              <w:bottom w:val="single" w:sz="4" w:space="0" w:color="BFBFBF"/>
              <w:right w:val="single" w:sz="4" w:space="0" w:color="BFBFBF"/>
            </w:tcBorders>
            <w:vAlign w:val="center"/>
          </w:tcPr>
          <w:p w:rsidR="007A6CDB" w:rsidRPr="00B32DD7" w:rsidRDefault="007A6CDB" w:rsidP="00FE2FC0">
            <w:pPr>
              <w:jc w:val="center"/>
            </w:pPr>
            <w:r>
              <w:t>31.01.2022</w:t>
            </w:r>
          </w:p>
        </w:tc>
        <w:tc>
          <w:tcPr>
            <w:tcW w:w="1520" w:type="dxa"/>
            <w:tcBorders>
              <w:top w:val="single" w:sz="4" w:space="0" w:color="BFBFBF"/>
              <w:left w:val="single" w:sz="4" w:space="0" w:color="BFBFBF"/>
              <w:bottom w:val="single" w:sz="4" w:space="0" w:color="BFBFBF"/>
              <w:right w:val="single" w:sz="4" w:space="0" w:color="BFBFBF"/>
            </w:tcBorders>
            <w:vAlign w:val="center"/>
          </w:tcPr>
          <w:p w:rsidR="007A6CDB" w:rsidRPr="00B32DD7" w:rsidDel="001078E5" w:rsidRDefault="007A6CDB" w:rsidP="00FE2FC0">
            <w:pPr>
              <w:jc w:val="center"/>
            </w:pPr>
            <w:r>
              <w:t>10757</w:t>
            </w:r>
          </w:p>
        </w:tc>
        <w:tc>
          <w:tcPr>
            <w:tcW w:w="1910" w:type="dxa"/>
            <w:tcBorders>
              <w:top w:val="single" w:sz="4" w:space="0" w:color="BFBFBF"/>
              <w:left w:val="single" w:sz="4" w:space="0" w:color="BFBFBF"/>
              <w:bottom w:val="single" w:sz="4" w:space="0" w:color="BFBFBF"/>
              <w:right w:val="single" w:sz="4" w:space="0" w:color="BFBFBF"/>
            </w:tcBorders>
            <w:vAlign w:val="center"/>
          </w:tcPr>
          <w:p w:rsidR="007A6CDB" w:rsidRPr="00B32DD7" w:rsidRDefault="007A6CDB" w:rsidP="00FE2FC0">
            <w:pPr>
              <w:jc w:val="center"/>
            </w:pPr>
            <w:r>
              <w:t>01.02.2022</w:t>
            </w:r>
          </w:p>
        </w:tc>
        <w:tc>
          <w:tcPr>
            <w:tcW w:w="2829" w:type="dxa"/>
            <w:tcBorders>
              <w:top w:val="single" w:sz="4" w:space="0" w:color="BFBFBF"/>
              <w:left w:val="single" w:sz="4" w:space="0" w:color="BFBFBF"/>
              <w:bottom w:val="single" w:sz="4" w:space="0" w:color="BFBFBF"/>
              <w:right w:val="single" w:sz="4" w:space="0" w:color="BFBFBF"/>
            </w:tcBorders>
            <w:vAlign w:val="center"/>
          </w:tcPr>
          <w:p w:rsidR="007A6CDB" w:rsidRPr="00B32DD7" w:rsidRDefault="007A6CDB" w:rsidP="00FE2FC0">
            <w:pPr>
              <w:jc w:val="center"/>
            </w:pPr>
            <w:r>
              <w:t>01.02.2022-31737</w:t>
            </w:r>
          </w:p>
        </w:tc>
      </w:tr>
      <w:tr w:rsidR="007A6CDB" w:rsidRPr="00B32DD7" w:rsidTr="00FE2FC0">
        <w:trPr>
          <w:trHeight w:hRule="exact" w:val="364"/>
          <w:jc w:val="center"/>
        </w:trPr>
        <w:tc>
          <w:tcPr>
            <w:tcW w:w="2690" w:type="dxa"/>
            <w:tcBorders>
              <w:top w:val="single" w:sz="4" w:space="0" w:color="BFBFBF"/>
              <w:left w:val="single" w:sz="4" w:space="0" w:color="BFBFBF"/>
              <w:bottom w:val="single" w:sz="4" w:space="0" w:color="BFBFBF"/>
              <w:right w:val="single" w:sz="4" w:space="0" w:color="BFBFBF"/>
            </w:tcBorders>
            <w:vAlign w:val="center"/>
          </w:tcPr>
          <w:p w:rsidR="007A6CDB" w:rsidRPr="00B32DD7" w:rsidRDefault="007A6CDB" w:rsidP="00FE2FC0">
            <w:pPr>
              <w:jc w:val="center"/>
            </w:pPr>
            <w:r>
              <w:t>31</w:t>
            </w:r>
            <w:r w:rsidRPr="00B32DD7">
              <w:t>.03.</w:t>
            </w:r>
            <w:r>
              <w:t>2022</w:t>
            </w:r>
          </w:p>
        </w:tc>
        <w:tc>
          <w:tcPr>
            <w:tcW w:w="1520" w:type="dxa"/>
            <w:tcBorders>
              <w:top w:val="single" w:sz="4" w:space="0" w:color="BFBFBF"/>
              <w:left w:val="single" w:sz="4" w:space="0" w:color="BFBFBF"/>
              <w:bottom w:val="single" w:sz="4" w:space="0" w:color="BFBFBF"/>
              <w:right w:val="single" w:sz="4" w:space="0" w:color="BFBFBF"/>
            </w:tcBorders>
            <w:vAlign w:val="center"/>
          </w:tcPr>
          <w:p w:rsidR="007A6CDB" w:rsidRPr="00B32DD7" w:rsidRDefault="007A6CDB" w:rsidP="00FE2FC0">
            <w:pPr>
              <w:jc w:val="center"/>
            </w:pPr>
            <w:r>
              <w:t>10909</w:t>
            </w:r>
          </w:p>
        </w:tc>
        <w:tc>
          <w:tcPr>
            <w:tcW w:w="1910" w:type="dxa"/>
            <w:tcBorders>
              <w:top w:val="single" w:sz="4" w:space="0" w:color="BFBFBF"/>
              <w:left w:val="single" w:sz="4" w:space="0" w:color="BFBFBF"/>
              <w:bottom w:val="single" w:sz="4" w:space="0" w:color="BFBFBF"/>
              <w:right w:val="single" w:sz="4" w:space="0" w:color="BFBFBF"/>
            </w:tcBorders>
            <w:vAlign w:val="center"/>
          </w:tcPr>
          <w:p w:rsidR="007A6CDB" w:rsidRPr="00B32DD7" w:rsidRDefault="007A6CDB" w:rsidP="00FE2FC0">
            <w:pPr>
              <w:jc w:val="center"/>
            </w:pPr>
            <w:r w:rsidRPr="00B32DD7">
              <w:t>01.04.</w:t>
            </w:r>
            <w:r>
              <w:t>2022</w:t>
            </w:r>
          </w:p>
        </w:tc>
        <w:tc>
          <w:tcPr>
            <w:tcW w:w="2829" w:type="dxa"/>
            <w:tcBorders>
              <w:top w:val="single" w:sz="4" w:space="0" w:color="BFBFBF"/>
              <w:left w:val="single" w:sz="4" w:space="0" w:color="BFBFBF"/>
              <w:bottom w:val="single" w:sz="4" w:space="0" w:color="BFBFBF"/>
              <w:right w:val="single" w:sz="4" w:space="0" w:color="BFBFBF"/>
            </w:tcBorders>
            <w:vAlign w:val="center"/>
          </w:tcPr>
          <w:p w:rsidR="007A6CDB" w:rsidRPr="00B32DD7" w:rsidRDefault="007A6CDB" w:rsidP="00FE2FC0">
            <w:pPr>
              <w:jc w:val="center"/>
            </w:pPr>
            <w:r>
              <w:t>01.04.2022-31796</w:t>
            </w:r>
          </w:p>
        </w:tc>
      </w:tr>
      <w:tr w:rsidR="007A6CDB" w:rsidRPr="00B32DD7" w:rsidTr="00FE2FC0">
        <w:trPr>
          <w:trHeight w:hRule="exact" w:val="364"/>
          <w:jc w:val="center"/>
        </w:trPr>
        <w:tc>
          <w:tcPr>
            <w:tcW w:w="2690" w:type="dxa"/>
            <w:tcBorders>
              <w:top w:val="single" w:sz="4" w:space="0" w:color="BFBFBF"/>
              <w:left w:val="single" w:sz="4" w:space="0" w:color="BFBFBF"/>
              <w:bottom w:val="single" w:sz="4" w:space="0" w:color="BFBFBF"/>
              <w:right w:val="single" w:sz="4" w:space="0" w:color="BFBFBF"/>
            </w:tcBorders>
            <w:vAlign w:val="center"/>
          </w:tcPr>
          <w:p w:rsidR="007A6CDB" w:rsidRPr="00B32DD7" w:rsidRDefault="007A6CDB" w:rsidP="00FE2FC0">
            <w:pPr>
              <w:jc w:val="center"/>
            </w:pPr>
            <w:r>
              <w:t>31</w:t>
            </w:r>
            <w:r w:rsidRPr="00B32DD7">
              <w:t>.0</w:t>
            </w:r>
            <w:r>
              <w:t>5</w:t>
            </w:r>
            <w:r w:rsidRPr="00B32DD7">
              <w:t>.202</w:t>
            </w:r>
            <w:r>
              <w:t>2</w:t>
            </w:r>
          </w:p>
        </w:tc>
        <w:tc>
          <w:tcPr>
            <w:tcW w:w="1520" w:type="dxa"/>
            <w:tcBorders>
              <w:top w:val="single" w:sz="4" w:space="0" w:color="BFBFBF"/>
              <w:left w:val="single" w:sz="4" w:space="0" w:color="BFBFBF"/>
              <w:bottom w:val="single" w:sz="4" w:space="0" w:color="BFBFBF"/>
              <w:right w:val="single" w:sz="4" w:space="0" w:color="BFBFBF"/>
            </w:tcBorders>
            <w:vAlign w:val="center"/>
          </w:tcPr>
          <w:p w:rsidR="007A6CDB" w:rsidRPr="00B32DD7" w:rsidRDefault="007A6CDB" w:rsidP="00FE2FC0">
            <w:pPr>
              <w:jc w:val="center"/>
            </w:pPr>
            <w:r>
              <w:t>10997</w:t>
            </w:r>
          </w:p>
        </w:tc>
        <w:tc>
          <w:tcPr>
            <w:tcW w:w="1910" w:type="dxa"/>
            <w:tcBorders>
              <w:top w:val="single" w:sz="4" w:space="0" w:color="BFBFBF"/>
              <w:left w:val="single" w:sz="4" w:space="0" w:color="BFBFBF"/>
              <w:bottom w:val="single" w:sz="4" w:space="0" w:color="BFBFBF"/>
              <w:right w:val="single" w:sz="4" w:space="0" w:color="BFBFBF"/>
            </w:tcBorders>
            <w:vAlign w:val="center"/>
          </w:tcPr>
          <w:p w:rsidR="007A6CDB" w:rsidRPr="00B32DD7" w:rsidRDefault="007A6CDB" w:rsidP="00FE2FC0">
            <w:pPr>
              <w:jc w:val="center"/>
            </w:pPr>
            <w:r w:rsidRPr="00B32DD7">
              <w:t>01.0</w:t>
            </w:r>
            <w:r>
              <w:t>6</w:t>
            </w:r>
            <w:r w:rsidRPr="00B32DD7">
              <w:t>.202</w:t>
            </w:r>
            <w:r>
              <w:t>2</w:t>
            </w:r>
          </w:p>
        </w:tc>
        <w:tc>
          <w:tcPr>
            <w:tcW w:w="2829" w:type="dxa"/>
            <w:tcBorders>
              <w:top w:val="single" w:sz="4" w:space="0" w:color="BFBFBF"/>
              <w:left w:val="single" w:sz="4" w:space="0" w:color="BFBFBF"/>
              <w:bottom w:val="single" w:sz="4" w:space="0" w:color="BFBFBF"/>
              <w:right w:val="single" w:sz="4" w:space="0" w:color="BFBFBF"/>
            </w:tcBorders>
            <w:vAlign w:val="center"/>
          </w:tcPr>
          <w:p w:rsidR="007A6CDB" w:rsidRPr="00B32DD7" w:rsidRDefault="007A6CDB" w:rsidP="00FE2FC0">
            <w:pPr>
              <w:jc w:val="center"/>
            </w:pPr>
            <w:r w:rsidRPr="00B32DD7">
              <w:t>01.0</w:t>
            </w:r>
            <w:r>
              <w:t>6</w:t>
            </w:r>
            <w:r w:rsidRPr="00B32DD7">
              <w:t>.202</w:t>
            </w:r>
            <w:r>
              <w:t>2</w:t>
            </w:r>
            <w:r w:rsidRPr="00B32DD7">
              <w:t>-</w:t>
            </w:r>
            <w:r>
              <w:t>31853</w:t>
            </w:r>
          </w:p>
        </w:tc>
      </w:tr>
      <w:tr w:rsidR="007A6CDB" w:rsidRPr="00B32DD7" w:rsidTr="00FE2FC0">
        <w:trPr>
          <w:trHeight w:hRule="exact" w:val="364"/>
          <w:jc w:val="center"/>
        </w:trPr>
        <w:tc>
          <w:tcPr>
            <w:tcW w:w="2690" w:type="dxa"/>
            <w:tcBorders>
              <w:top w:val="single" w:sz="4" w:space="0" w:color="BFBFBF"/>
              <w:left w:val="single" w:sz="4" w:space="0" w:color="BFBFBF"/>
              <w:bottom w:val="single" w:sz="4" w:space="0" w:color="BFBFBF"/>
              <w:right w:val="single" w:sz="4" w:space="0" w:color="BFBFBF"/>
            </w:tcBorders>
            <w:vAlign w:val="center"/>
          </w:tcPr>
          <w:p w:rsidR="007A6CDB" w:rsidRPr="00B32DD7" w:rsidRDefault="007A6CDB" w:rsidP="00FE2FC0">
            <w:pPr>
              <w:jc w:val="center"/>
            </w:pPr>
            <w:r>
              <w:t>31.08.2022</w:t>
            </w:r>
          </w:p>
        </w:tc>
        <w:tc>
          <w:tcPr>
            <w:tcW w:w="1520" w:type="dxa"/>
            <w:tcBorders>
              <w:top w:val="single" w:sz="4" w:space="0" w:color="BFBFBF"/>
              <w:left w:val="single" w:sz="4" w:space="0" w:color="BFBFBF"/>
              <w:bottom w:val="single" w:sz="4" w:space="0" w:color="BFBFBF"/>
              <w:right w:val="single" w:sz="4" w:space="0" w:color="BFBFBF"/>
            </w:tcBorders>
            <w:vAlign w:val="center"/>
          </w:tcPr>
          <w:p w:rsidR="007A6CDB" w:rsidRPr="00B32DD7" w:rsidRDefault="007A6CDB" w:rsidP="00FE2FC0">
            <w:pPr>
              <w:jc w:val="center"/>
            </w:pPr>
            <w:r>
              <w:t>11158</w:t>
            </w:r>
          </w:p>
        </w:tc>
        <w:tc>
          <w:tcPr>
            <w:tcW w:w="1910" w:type="dxa"/>
            <w:tcBorders>
              <w:top w:val="single" w:sz="4" w:space="0" w:color="BFBFBF"/>
              <w:left w:val="single" w:sz="4" w:space="0" w:color="BFBFBF"/>
              <w:bottom w:val="single" w:sz="4" w:space="0" w:color="BFBFBF"/>
              <w:right w:val="single" w:sz="4" w:space="0" w:color="BFBFBF"/>
            </w:tcBorders>
            <w:vAlign w:val="center"/>
          </w:tcPr>
          <w:p w:rsidR="007A6CDB" w:rsidRPr="00B32DD7" w:rsidRDefault="007A6CDB" w:rsidP="00FE2FC0">
            <w:pPr>
              <w:jc w:val="center"/>
            </w:pPr>
            <w:r>
              <w:t>01.09.2022</w:t>
            </w:r>
          </w:p>
        </w:tc>
        <w:tc>
          <w:tcPr>
            <w:tcW w:w="2829" w:type="dxa"/>
            <w:tcBorders>
              <w:top w:val="single" w:sz="4" w:space="0" w:color="BFBFBF"/>
              <w:left w:val="single" w:sz="4" w:space="0" w:color="BFBFBF"/>
              <w:bottom w:val="single" w:sz="4" w:space="0" w:color="BFBFBF"/>
              <w:right w:val="single" w:sz="4" w:space="0" w:color="BFBFBF"/>
            </w:tcBorders>
            <w:vAlign w:val="center"/>
          </w:tcPr>
          <w:p w:rsidR="007A6CDB" w:rsidRDefault="007A6CDB" w:rsidP="00FE2FC0">
            <w:pPr>
              <w:jc w:val="center"/>
            </w:pPr>
            <w:r>
              <w:t>01.09.2022-31940</w:t>
            </w:r>
          </w:p>
        </w:tc>
      </w:tr>
      <w:tr w:rsidR="007A6CDB" w:rsidRPr="00B32DD7" w:rsidTr="00FE2FC0">
        <w:trPr>
          <w:trHeight w:hRule="exact" w:val="364"/>
          <w:jc w:val="center"/>
        </w:trPr>
        <w:tc>
          <w:tcPr>
            <w:tcW w:w="2690" w:type="dxa"/>
            <w:tcBorders>
              <w:top w:val="single" w:sz="4" w:space="0" w:color="BFBFBF"/>
              <w:left w:val="single" w:sz="4" w:space="0" w:color="BFBFBF"/>
              <w:bottom w:val="single" w:sz="4" w:space="0" w:color="BFBFBF"/>
              <w:right w:val="single" w:sz="4" w:space="0" w:color="BFBFBF"/>
            </w:tcBorders>
            <w:vAlign w:val="center"/>
          </w:tcPr>
          <w:p w:rsidR="007A6CDB" w:rsidRDefault="007A6CDB" w:rsidP="00FE2FC0">
            <w:pPr>
              <w:jc w:val="center"/>
            </w:pPr>
            <w:r>
              <w:t>29.09.2022</w:t>
            </w:r>
          </w:p>
        </w:tc>
        <w:tc>
          <w:tcPr>
            <w:tcW w:w="1520" w:type="dxa"/>
            <w:tcBorders>
              <w:top w:val="single" w:sz="4" w:space="0" w:color="BFBFBF"/>
              <w:left w:val="single" w:sz="4" w:space="0" w:color="BFBFBF"/>
              <w:bottom w:val="single" w:sz="4" w:space="0" w:color="BFBFBF"/>
              <w:right w:val="single" w:sz="4" w:space="0" w:color="BFBFBF"/>
            </w:tcBorders>
            <w:vAlign w:val="center"/>
          </w:tcPr>
          <w:p w:rsidR="007A6CDB" w:rsidRDefault="007A6CDB" w:rsidP="00FE2FC0">
            <w:pPr>
              <w:jc w:val="center"/>
            </w:pPr>
            <w:r>
              <w:t>11272</w:t>
            </w:r>
          </w:p>
        </w:tc>
        <w:tc>
          <w:tcPr>
            <w:tcW w:w="1910" w:type="dxa"/>
            <w:tcBorders>
              <w:top w:val="single" w:sz="4" w:space="0" w:color="BFBFBF"/>
              <w:left w:val="single" w:sz="4" w:space="0" w:color="BFBFBF"/>
              <w:bottom w:val="single" w:sz="4" w:space="0" w:color="BFBFBF"/>
              <w:right w:val="single" w:sz="4" w:space="0" w:color="BFBFBF"/>
            </w:tcBorders>
            <w:vAlign w:val="center"/>
          </w:tcPr>
          <w:p w:rsidR="007A6CDB" w:rsidRDefault="007A6CDB" w:rsidP="00FE2FC0">
            <w:pPr>
              <w:jc w:val="center"/>
            </w:pPr>
            <w:r>
              <w:t>01.10.2022</w:t>
            </w:r>
          </w:p>
        </w:tc>
        <w:tc>
          <w:tcPr>
            <w:tcW w:w="2829" w:type="dxa"/>
            <w:tcBorders>
              <w:top w:val="single" w:sz="4" w:space="0" w:color="BFBFBF"/>
              <w:left w:val="single" w:sz="4" w:space="0" w:color="BFBFBF"/>
              <w:bottom w:val="single" w:sz="4" w:space="0" w:color="BFBFBF"/>
              <w:right w:val="single" w:sz="4" w:space="0" w:color="BFBFBF"/>
            </w:tcBorders>
            <w:vAlign w:val="center"/>
          </w:tcPr>
          <w:p w:rsidR="007A6CDB" w:rsidRDefault="007A6CDB" w:rsidP="00FE2FC0">
            <w:pPr>
              <w:jc w:val="center"/>
            </w:pPr>
            <w:r>
              <w:t>30.09.2022-31969</w:t>
            </w:r>
          </w:p>
        </w:tc>
      </w:tr>
      <w:tr w:rsidR="007A6CDB" w:rsidRPr="00B32DD7" w:rsidTr="00FE2FC0">
        <w:trPr>
          <w:trHeight w:hRule="exact" w:val="364"/>
          <w:jc w:val="center"/>
        </w:trPr>
        <w:tc>
          <w:tcPr>
            <w:tcW w:w="2690" w:type="dxa"/>
            <w:tcBorders>
              <w:top w:val="single" w:sz="4" w:space="0" w:color="BFBFBF"/>
              <w:left w:val="single" w:sz="4" w:space="0" w:color="BFBFBF"/>
              <w:bottom w:val="single" w:sz="4" w:space="0" w:color="BFBFBF"/>
              <w:right w:val="single" w:sz="4" w:space="0" w:color="BFBFBF"/>
            </w:tcBorders>
            <w:vAlign w:val="center"/>
          </w:tcPr>
          <w:p w:rsidR="007A6CDB" w:rsidRPr="00B32DD7" w:rsidRDefault="007A6CDB" w:rsidP="00FE2FC0">
            <w:pPr>
              <w:jc w:val="center"/>
            </w:pPr>
            <w:r>
              <w:t>29</w:t>
            </w:r>
            <w:r w:rsidRPr="00B32DD7">
              <w:t>.12.</w:t>
            </w:r>
            <w:r>
              <w:t>2022</w:t>
            </w:r>
          </w:p>
        </w:tc>
        <w:tc>
          <w:tcPr>
            <w:tcW w:w="1520" w:type="dxa"/>
            <w:tcBorders>
              <w:top w:val="single" w:sz="4" w:space="0" w:color="BFBFBF"/>
              <w:left w:val="single" w:sz="4" w:space="0" w:color="BFBFBF"/>
              <w:bottom w:val="single" w:sz="4" w:space="0" w:color="BFBFBF"/>
              <w:right w:val="single" w:sz="4" w:space="0" w:color="BFBFBF"/>
            </w:tcBorders>
            <w:vAlign w:val="center"/>
          </w:tcPr>
          <w:p w:rsidR="007A6CDB" w:rsidRPr="00B32DD7" w:rsidRDefault="007A6CDB" w:rsidP="00FE2FC0">
            <w:pPr>
              <w:jc w:val="center"/>
            </w:pPr>
            <w:r>
              <w:t>11537</w:t>
            </w:r>
          </w:p>
        </w:tc>
        <w:tc>
          <w:tcPr>
            <w:tcW w:w="1910" w:type="dxa"/>
            <w:tcBorders>
              <w:top w:val="single" w:sz="4" w:space="0" w:color="BFBFBF"/>
              <w:left w:val="single" w:sz="4" w:space="0" w:color="BFBFBF"/>
              <w:bottom w:val="single" w:sz="4" w:space="0" w:color="BFBFBF"/>
              <w:right w:val="single" w:sz="4" w:space="0" w:color="BFBFBF"/>
            </w:tcBorders>
            <w:vAlign w:val="center"/>
          </w:tcPr>
          <w:p w:rsidR="007A6CDB" w:rsidRPr="00B32DD7" w:rsidRDefault="007A6CDB" w:rsidP="00FE2FC0">
            <w:pPr>
              <w:jc w:val="center"/>
            </w:pPr>
            <w:r w:rsidRPr="00B32DD7">
              <w:t>01.01.</w:t>
            </w:r>
            <w:r>
              <w:t>2023</w:t>
            </w:r>
          </w:p>
        </w:tc>
        <w:tc>
          <w:tcPr>
            <w:tcW w:w="2829" w:type="dxa"/>
            <w:tcBorders>
              <w:top w:val="single" w:sz="4" w:space="0" w:color="BFBFBF"/>
              <w:left w:val="single" w:sz="4" w:space="0" w:color="BFBFBF"/>
              <w:bottom w:val="single" w:sz="4" w:space="0" w:color="BFBFBF"/>
              <w:right w:val="single" w:sz="4" w:space="0" w:color="BFBFBF"/>
            </w:tcBorders>
            <w:vAlign w:val="center"/>
          </w:tcPr>
          <w:p w:rsidR="007A6CDB" w:rsidRPr="00B32DD7" w:rsidRDefault="007A6CDB" w:rsidP="00FE2FC0">
            <w:pPr>
              <w:jc w:val="center"/>
            </w:pPr>
            <w:r>
              <w:t>30</w:t>
            </w:r>
            <w:r w:rsidRPr="00B32DD7">
              <w:t>.12.</w:t>
            </w:r>
            <w:r>
              <w:t>2022-32059</w:t>
            </w:r>
          </w:p>
        </w:tc>
      </w:tr>
    </w:tbl>
    <w:p w:rsidR="007A6CDB" w:rsidRPr="00E068BB" w:rsidRDefault="007A6CDB" w:rsidP="007A6CDB">
      <w:pPr>
        <w:spacing w:after="120"/>
        <w:rPr>
          <w:highlight w:val="yellow"/>
        </w:rPr>
      </w:pPr>
    </w:p>
    <w:p w:rsidR="00FE2FC0" w:rsidRPr="00540D59" w:rsidRDefault="00FE2FC0" w:rsidP="00FE2FC0">
      <w:pPr>
        <w:rPr>
          <w:rStyle w:val="Gl"/>
          <w:rFonts w:eastAsiaTheme="majorEastAsia" w:cstheme="majorBidi"/>
          <w:color w:val="000000" w:themeColor="text1"/>
        </w:rPr>
      </w:pPr>
      <w:r>
        <w:rPr>
          <w:color w:val="000000" w:themeColor="text1"/>
        </w:rPr>
        <w:t>T</w:t>
      </w:r>
      <w:r w:rsidRPr="00FA1354">
        <w:rPr>
          <w:color w:val="000000" w:themeColor="text1"/>
        </w:rPr>
        <w:t>ablo</w:t>
      </w:r>
      <w:r>
        <w:rPr>
          <w:color w:val="000000" w:themeColor="text1"/>
        </w:rPr>
        <w:t xml:space="preserve"> 4.4’te</w:t>
      </w:r>
      <w:r w:rsidRPr="00FA1354">
        <w:rPr>
          <w:color w:val="000000" w:themeColor="text1"/>
        </w:rPr>
        <w:t xml:space="preserve"> belirtilen Kurul Kararları ile dağıtım şirketlerinin 202</w:t>
      </w:r>
      <w:r>
        <w:rPr>
          <w:color w:val="000000" w:themeColor="text1"/>
        </w:rPr>
        <w:t>3</w:t>
      </w:r>
      <w:r w:rsidRPr="00FA1354">
        <w:rPr>
          <w:color w:val="000000" w:themeColor="text1"/>
        </w:rPr>
        <w:t xml:space="preserve"> yılı </w:t>
      </w:r>
      <w:r w:rsidRPr="00FA1354">
        <w:t xml:space="preserve">sistem işletim </w:t>
      </w:r>
      <w:r w:rsidRPr="00FA1354">
        <w:rPr>
          <w:color w:val="000000" w:themeColor="text1"/>
        </w:rPr>
        <w:t>gelir tavanları onaylanmıştır.</w:t>
      </w:r>
    </w:p>
    <w:p w:rsidR="00FE2FC0" w:rsidRPr="00540D59" w:rsidRDefault="00FE2FC0" w:rsidP="00FE2FC0">
      <w:pPr>
        <w:pStyle w:val="Balk5"/>
        <w:spacing w:before="0" w:line="269" w:lineRule="auto"/>
        <w:jc w:val="center"/>
        <w:rPr>
          <w:rStyle w:val="Gl"/>
          <w:color w:val="auto"/>
        </w:rPr>
      </w:pPr>
      <w:bookmarkStart w:id="222" w:name="_Toc132713907"/>
      <w:r w:rsidRPr="00FA1354">
        <w:rPr>
          <w:rStyle w:val="Gl"/>
          <w:color w:val="auto"/>
        </w:rPr>
        <w:t>Tablo 4.</w:t>
      </w:r>
      <w:r>
        <w:rPr>
          <w:rStyle w:val="Gl"/>
          <w:color w:val="auto"/>
        </w:rPr>
        <w:t>4</w:t>
      </w:r>
      <w:r w:rsidRPr="00FA1354">
        <w:rPr>
          <w:rStyle w:val="Gl"/>
          <w:color w:val="auto"/>
        </w:rPr>
        <w:t>: Dağıtım Şirketlerinin 202</w:t>
      </w:r>
      <w:r>
        <w:rPr>
          <w:rStyle w:val="Gl"/>
          <w:color w:val="auto"/>
        </w:rPr>
        <w:t>3</w:t>
      </w:r>
      <w:r w:rsidRPr="00FA1354">
        <w:rPr>
          <w:rStyle w:val="Gl"/>
          <w:color w:val="auto"/>
        </w:rPr>
        <w:t xml:space="preserve"> Yılı Sistem İşletim Gelir Tavanlarının Onaylanmasına İlişkin</w:t>
      </w:r>
      <w:r w:rsidRPr="00FA1354">
        <w:rPr>
          <w:rStyle w:val="Gl"/>
          <w:color w:val="auto"/>
        </w:rPr>
        <w:br/>
        <w:t>Kurul Kararları</w:t>
      </w:r>
      <w:bookmarkEnd w:id="222"/>
    </w:p>
    <w:tbl>
      <w:tblPr>
        <w:tblStyle w:val="TableNormal"/>
        <w:tblW w:w="0" w:type="auto"/>
        <w:jc w:val="center"/>
        <w:tblLook w:val="01E0" w:firstRow="1" w:lastRow="1" w:firstColumn="1" w:lastColumn="1" w:noHBand="0" w:noVBand="0"/>
      </w:tblPr>
      <w:tblGrid>
        <w:gridCol w:w="4430"/>
        <w:gridCol w:w="2487"/>
        <w:gridCol w:w="2009"/>
      </w:tblGrid>
      <w:tr w:rsidR="00FE2FC0" w:rsidRPr="00B32DD7" w:rsidTr="00FE2FC0">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shd w:val="clear" w:color="auto" w:fill="6E9ECA"/>
          </w:tcPr>
          <w:p w:rsidR="00FE2FC0" w:rsidRPr="00B32DD7" w:rsidRDefault="00FE2FC0" w:rsidP="00FE2FC0">
            <w:pPr>
              <w:pStyle w:val="TableParagraph"/>
              <w:spacing w:before="152"/>
              <w:rPr>
                <w:rFonts w:ascii="Calibri" w:eastAsia="Calibri" w:hAnsi="Calibri" w:cs="Calibri"/>
              </w:rPr>
            </w:pPr>
            <w:r w:rsidRPr="00B32DD7">
              <w:rPr>
                <w:rFonts w:ascii="Calibri" w:hAnsi="Calibri"/>
                <w:b/>
                <w:color w:val="FFFFFF"/>
                <w:spacing w:val="-1"/>
              </w:rPr>
              <w:t>Dağıtım</w:t>
            </w:r>
            <w:r w:rsidRPr="00B32DD7">
              <w:rPr>
                <w:rFonts w:ascii="Calibri" w:hAnsi="Calibri"/>
                <w:b/>
                <w:color w:val="FFFFFF"/>
              </w:rPr>
              <w:t xml:space="preserve"> </w:t>
            </w:r>
            <w:r w:rsidRPr="00B32DD7">
              <w:rPr>
                <w:rFonts w:ascii="Calibri" w:hAnsi="Calibri"/>
                <w:b/>
                <w:color w:val="FFFFFF"/>
                <w:spacing w:val="-1"/>
              </w:rPr>
              <w:t>Şirketi</w:t>
            </w:r>
            <w:r w:rsidRPr="00B32DD7">
              <w:rPr>
                <w:rFonts w:ascii="Calibri" w:hAnsi="Calibri"/>
                <w:b/>
                <w:color w:val="FFFFFF"/>
              </w:rPr>
              <w:t xml:space="preserve"> </w:t>
            </w:r>
            <w:r w:rsidRPr="00B32DD7">
              <w:rPr>
                <w:rFonts w:ascii="Calibri" w:hAnsi="Calibri"/>
                <w:b/>
                <w:color w:val="FFFFFF"/>
                <w:spacing w:val="-1"/>
              </w:rPr>
              <w:t>Unvanı</w:t>
            </w:r>
          </w:p>
        </w:tc>
        <w:tc>
          <w:tcPr>
            <w:tcW w:w="2487" w:type="dxa"/>
            <w:tcBorders>
              <w:top w:val="single" w:sz="4" w:space="0" w:color="BFBFBF"/>
              <w:left w:val="single" w:sz="4" w:space="0" w:color="BFBFBF"/>
              <w:bottom w:val="single" w:sz="4" w:space="0" w:color="BFBFBF"/>
              <w:right w:val="single" w:sz="4" w:space="0" w:color="BFBFBF"/>
            </w:tcBorders>
            <w:shd w:val="clear" w:color="auto" w:fill="6E9ECA"/>
          </w:tcPr>
          <w:p w:rsidR="00FE2FC0" w:rsidRPr="00B32DD7" w:rsidRDefault="00FE2FC0" w:rsidP="00FE2FC0">
            <w:pPr>
              <w:pStyle w:val="TableParagraph"/>
              <w:spacing w:before="152"/>
              <w:ind w:left="379"/>
              <w:rPr>
                <w:rFonts w:ascii="Calibri" w:eastAsia="Calibri" w:hAnsi="Calibri" w:cs="Calibri"/>
              </w:rPr>
            </w:pPr>
            <w:r w:rsidRPr="00B32DD7">
              <w:rPr>
                <w:rFonts w:ascii="Calibri"/>
                <w:b/>
                <w:color w:val="FFFFFF"/>
                <w:spacing w:val="-1"/>
              </w:rPr>
              <w:t>Kurul</w:t>
            </w:r>
            <w:r w:rsidRPr="00B32DD7">
              <w:rPr>
                <w:rFonts w:ascii="Calibri"/>
                <w:b/>
                <w:color w:val="FFFFFF"/>
                <w:spacing w:val="-5"/>
              </w:rPr>
              <w:t xml:space="preserve"> </w:t>
            </w:r>
            <w:r w:rsidRPr="00B32DD7">
              <w:rPr>
                <w:rFonts w:ascii="Calibri"/>
                <w:b/>
                <w:color w:val="FFFFFF"/>
              </w:rPr>
              <w:t>Karar</w:t>
            </w:r>
            <w:r w:rsidRPr="00B32DD7">
              <w:rPr>
                <w:rFonts w:ascii="Calibri"/>
                <w:b/>
                <w:color w:val="FFFFFF"/>
                <w:spacing w:val="-5"/>
              </w:rPr>
              <w:t xml:space="preserve"> </w:t>
            </w:r>
            <w:r w:rsidRPr="00B32DD7">
              <w:rPr>
                <w:rFonts w:ascii="Calibri"/>
                <w:b/>
                <w:color w:val="FFFFFF"/>
                <w:spacing w:val="-1"/>
              </w:rPr>
              <w:t>Tarihi</w:t>
            </w:r>
          </w:p>
        </w:tc>
        <w:tc>
          <w:tcPr>
            <w:tcW w:w="2009" w:type="dxa"/>
            <w:tcBorders>
              <w:top w:val="single" w:sz="4" w:space="0" w:color="BFBFBF"/>
              <w:left w:val="single" w:sz="4" w:space="0" w:color="BFBFBF"/>
              <w:bottom w:val="single" w:sz="4" w:space="0" w:color="BFBFBF"/>
              <w:right w:val="single" w:sz="4" w:space="0" w:color="BFBFBF"/>
            </w:tcBorders>
            <w:shd w:val="clear" w:color="auto" w:fill="6E9ECA"/>
          </w:tcPr>
          <w:p w:rsidR="00FE2FC0" w:rsidRPr="00B32DD7" w:rsidRDefault="00FE2FC0" w:rsidP="00FE2FC0">
            <w:pPr>
              <w:pStyle w:val="TableParagraph"/>
              <w:spacing w:before="152"/>
              <w:ind w:left="119"/>
              <w:rPr>
                <w:rFonts w:ascii="Calibri" w:eastAsia="Calibri" w:hAnsi="Calibri" w:cs="Calibri"/>
              </w:rPr>
            </w:pPr>
            <w:r w:rsidRPr="00B32DD7">
              <w:rPr>
                <w:rFonts w:ascii="Calibri" w:hAnsi="Calibri"/>
                <w:b/>
                <w:color w:val="FFFFFF"/>
                <w:spacing w:val="-1"/>
              </w:rPr>
              <w:t>Kurul</w:t>
            </w:r>
            <w:r w:rsidRPr="00B32DD7">
              <w:rPr>
                <w:rFonts w:ascii="Calibri" w:hAnsi="Calibri"/>
                <w:b/>
                <w:color w:val="FFFFFF"/>
                <w:spacing w:val="-3"/>
              </w:rPr>
              <w:t xml:space="preserve"> </w:t>
            </w:r>
            <w:r w:rsidRPr="00B32DD7">
              <w:rPr>
                <w:rFonts w:ascii="Calibri" w:hAnsi="Calibri"/>
                <w:b/>
                <w:color w:val="FFFFFF"/>
              </w:rPr>
              <w:t>Karar</w:t>
            </w:r>
            <w:r w:rsidRPr="00B32DD7">
              <w:rPr>
                <w:rFonts w:ascii="Calibri" w:hAnsi="Calibri"/>
                <w:b/>
                <w:color w:val="FFFFFF"/>
                <w:spacing w:val="-3"/>
              </w:rPr>
              <w:t xml:space="preserve"> </w:t>
            </w:r>
            <w:r w:rsidRPr="00B32DD7">
              <w:rPr>
                <w:rFonts w:ascii="Calibri" w:hAnsi="Calibri"/>
                <w:b/>
                <w:color w:val="FFFFFF"/>
                <w:spacing w:val="-1"/>
              </w:rPr>
              <w:t>Sayısı</w:t>
            </w:r>
          </w:p>
        </w:tc>
      </w:tr>
      <w:tr w:rsidR="00FE2FC0" w:rsidRPr="00B32DD7" w:rsidTr="00FE2FC0">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ind w:left="65"/>
              <w:rPr>
                <w:rFonts w:eastAsia="Calibri" w:cs="Times New Roman"/>
                <w:lang w:val="tr-TR"/>
              </w:rPr>
            </w:pPr>
            <w:r w:rsidRPr="00B32DD7">
              <w:rPr>
                <w:rFonts w:eastAsia="Calibri" w:cs="Times New Roman"/>
                <w:lang w:val="tr-TR"/>
              </w:rPr>
              <w:t>ADM Elektrik Dağıtım A.Ş.</w:t>
            </w:r>
          </w:p>
        </w:tc>
        <w:tc>
          <w:tcPr>
            <w:tcW w:w="2487" w:type="dxa"/>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40"/>
              <w:ind w:left="653"/>
              <w:rPr>
                <w:rFonts w:eastAsia="Calibri" w:cs="Times New Roman"/>
                <w:lang w:val="tr-TR"/>
              </w:rPr>
            </w:pPr>
            <w:r>
              <w:rPr>
                <w:rFonts w:eastAsia="Calibri" w:cs="Times New Roman"/>
                <w:lang w:val="tr-TR"/>
              </w:rPr>
              <w:t>29</w:t>
            </w:r>
            <w:r w:rsidRPr="00B32DD7">
              <w:rPr>
                <w:rFonts w:eastAsia="Calibri" w:cs="Times New Roman"/>
                <w:lang w:val="tr-TR"/>
              </w:rPr>
              <w:t>.12.202</w:t>
            </w:r>
            <w:r>
              <w:rPr>
                <w:rFonts w:eastAsia="Calibri" w:cs="Times New Roman"/>
                <w:lang w:val="tr-TR"/>
              </w:rPr>
              <w:t>2</w:t>
            </w:r>
          </w:p>
        </w:tc>
        <w:tc>
          <w:tcPr>
            <w:tcW w:w="2009" w:type="dxa"/>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40"/>
              <w:ind w:left="560"/>
              <w:rPr>
                <w:rFonts w:eastAsia="Calibri" w:cs="Times New Roman"/>
                <w:lang w:val="tr-TR"/>
              </w:rPr>
            </w:pPr>
            <w:r>
              <w:rPr>
                <w:rFonts w:eastAsia="Calibri" w:cs="Times New Roman"/>
                <w:lang w:val="tr-TR"/>
              </w:rPr>
              <w:t>11536</w:t>
            </w:r>
            <w:r w:rsidRPr="00B32DD7">
              <w:rPr>
                <w:rFonts w:eastAsia="Calibri" w:cs="Times New Roman"/>
                <w:lang w:val="tr-TR"/>
              </w:rPr>
              <w:t>-1</w:t>
            </w:r>
          </w:p>
        </w:tc>
      </w:tr>
      <w:tr w:rsidR="00FE2FC0" w:rsidRPr="00B32DD7" w:rsidTr="00FE2FC0">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ind w:left="65"/>
              <w:rPr>
                <w:rFonts w:eastAsia="Calibri" w:cs="Times New Roman"/>
                <w:lang w:val="tr-TR"/>
              </w:rPr>
            </w:pPr>
            <w:r w:rsidRPr="00B32DD7">
              <w:rPr>
                <w:rFonts w:eastAsia="Calibri" w:cs="Times New Roman"/>
                <w:lang w:val="tr-TR"/>
              </w:rPr>
              <w:t>Akdeniz Elektrik Dağıtım A.Ş.</w:t>
            </w:r>
          </w:p>
        </w:tc>
        <w:tc>
          <w:tcPr>
            <w:tcW w:w="2487" w:type="dxa"/>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ind w:left="653"/>
              <w:rPr>
                <w:rFonts w:eastAsia="Calibri" w:cs="Times New Roman"/>
                <w:lang w:val="tr-TR"/>
              </w:rPr>
            </w:pPr>
            <w:r w:rsidRPr="00BE0253">
              <w:rPr>
                <w:rFonts w:eastAsia="Calibri" w:cs="Times New Roman"/>
                <w:lang w:val="tr-TR"/>
              </w:rPr>
              <w:t>29.12.2022</w:t>
            </w:r>
          </w:p>
        </w:tc>
        <w:tc>
          <w:tcPr>
            <w:tcW w:w="2009" w:type="dxa"/>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40"/>
              <w:ind w:left="560"/>
              <w:rPr>
                <w:rFonts w:eastAsia="Calibri" w:cs="Times New Roman"/>
                <w:lang w:val="tr-TR"/>
              </w:rPr>
            </w:pPr>
            <w:r>
              <w:rPr>
                <w:rFonts w:eastAsia="Calibri" w:cs="Times New Roman"/>
                <w:lang w:val="tr-TR"/>
              </w:rPr>
              <w:t>11536</w:t>
            </w:r>
            <w:r w:rsidRPr="00B32DD7">
              <w:rPr>
                <w:rFonts w:eastAsia="Calibri" w:cs="Times New Roman"/>
                <w:lang w:val="tr-TR"/>
              </w:rPr>
              <w:t>-2</w:t>
            </w:r>
          </w:p>
        </w:tc>
      </w:tr>
      <w:tr w:rsidR="00FE2FC0" w:rsidRPr="00B32DD7" w:rsidTr="00FE2FC0">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ind w:left="65"/>
              <w:rPr>
                <w:rFonts w:eastAsia="Calibri" w:cs="Times New Roman"/>
                <w:lang w:val="tr-TR"/>
              </w:rPr>
            </w:pPr>
            <w:r w:rsidRPr="00B32DD7">
              <w:rPr>
                <w:rFonts w:eastAsia="Calibri" w:cs="Times New Roman"/>
                <w:lang w:val="tr-TR"/>
              </w:rPr>
              <w:t>Akedaş Elektrik Dağıtım A.Ş.</w:t>
            </w:r>
          </w:p>
        </w:tc>
        <w:tc>
          <w:tcPr>
            <w:tcW w:w="2487" w:type="dxa"/>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ind w:left="653"/>
              <w:rPr>
                <w:rFonts w:eastAsia="Calibri" w:cs="Times New Roman"/>
                <w:lang w:val="tr-TR"/>
              </w:rPr>
            </w:pPr>
            <w:r w:rsidRPr="00BE0253">
              <w:rPr>
                <w:rFonts w:eastAsia="Calibri" w:cs="Times New Roman"/>
                <w:lang w:val="tr-TR"/>
              </w:rPr>
              <w:t>29.12.2022</w:t>
            </w:r>
          </w:p>
        </w:tc>
        <w:tc>
          <w:tcPr>
            <w:tcW w:w="2009" w:type="dxa"/>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40"/>
              <w:ind w:left="560"/>
              <w:rPr>
                <w:rFonts w:eastAsia="Calibri" w:cs="Times New Roman"/>
                <w:lang w:val="tr-TR"/>
              </w:rPr>
            </w:pPr>
            <w:r>
              <w:rPr>
                <w:rFonts w:eastAsia="Calibri" w:cs="Times New Roman"/>
                <w:lang w:val="tr-TR"/>
              </w:rPr>
              <w:t>11536</w:t>
            </w:r>
            <w:r w:rsidRPr="00B32DD7">
              <w:rPr>
                <w:rFonts w:eastAsia="Calibri" w:cs="Times New Roman"/>
                <w:lang w:val="tr-TR"/>
              </w:rPr>
              <w:t>-3</w:t>
            </w:r>
          </w:p>
        </w:tc>
      </w:tr>
      <w:tr w:rsidR="00FE2FC0" w:rsidRPr="00B32DD7" w:rsidTr="00FE2FC0">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ind w:left="65"/>
              <w:rPr>
                <w:rFonts w:eastAsia="Calibri" w:cs="Times New Roman"/>
                <w:lang w:val="tr-TR"/>
              </w:rPr>
            </w:pPr>
            <w:r w:rsidRPr="00B32DD7">
              <w:rPr>
                <w:rFonts w:eastAsia="Calibri" w:cs="Times New Roman"/>
                <w:lang w:val="tr-TR"/>
              </w:rPr>
              <w:t>Aras Elektrik Dağıtım A.Ş.</w:t>
            </w:r>
          </w:p>
        </w:tc>
        <w:tc>
          <w:tcPr>
            <w:tcW w:w="2487" w:type="dxa"/>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ind w:left="653"/>
              <w:rPr>
                <w:rFonts w:eastAsia="Calibri" w:cs="Times New Roman"/>
                <w:lang w:val="tr-TR"/>
              </w:rPr>
            </w:pPr>
            <w:r w:rsidRPr="00BE0253">
              <w:rPr>
                <w:rFonts w:eastAsia="Calibri" w:cs="Times New Roman"/>
                <w:lang w:val="tr-TR"/>
              </w:rPr>
              <w:t>29.12.2022</w:t>
            </w:r>
          </w:p>
        </w:tc>
        <w:tc>
          <w:tcPr>
            <w:tcW w:w="2009" w:type="dxa"/>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40"/>
              <w:ind w:left="560"/>
              <w:rPr>
                <w:rFonts w:eastAsia="Calibri" w:cs="Times New Roman"/>
                <w:lang w:val="tr-TR"/>
              </w:rPr>
            </w:pPr>
            <w:r>
              <w:rPr>
                <w:rFonts w:eastAsia="Calibri" w:cs="Times New Roman"/>
                <w:lang w:val="tr-TR"/>
              </w:rPr>
              <w:t>11536</w:t>
            </w:r>
            <w:r w:rsidRPr="00B32DD7">
              <w:rPr>
                <w:rFonts w:eastAsia="Calibri" w:cs="Times New Roman"/>
                <w:lang w:val="tr-TR"/>
              </w:rPr>
              <w:t>-4</w:t>
            </w:r>
          </w:p>
        </w:tc>
      </w:tr>
      <w:tr w:rsidR="00FE2FC0" w:rsidRPr="00B32DD7" w:rsidTr="00FE2FC0">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ind w:left="65"/>
              <w:rPr>
                <w:rFonts w:eastAsia="Calibri" w:cs="Times New Roman"/>
                <w:lang w:val="tr-TR"/>
              </w:rPr>
            </w:pPr>
            <w:r w:rsidRPr="00B32DD7">
              <w:rPr>
                <w:rFonts w:eastAsia="Calibri" w:cs="Times New Roman"/>
                <w:lang w:val="tr-TR"/>
              </w:rPr>
              <w:t>Başkent Elektrik Dağıtım A.Ş.</w:t>
            </w:r>
          </w:p>
        </w:tc>
        <w:tc>
          <w:tcPr>
            <w:tcW w:w="2487" w:type="dxa"/>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ind w:left="653"/>
              <w:rPr>
                <w:rFonts w:eastAsia="Calibri" w:cs="Times New Roman"/>
                <w:lang w:val="tr-TR"/>
              </w:rPr>
            </w:pPr>
            <w:r w:rsidRPr="00BE0253">
              <w:rPr>
                <w:rFonts w:eastAsia="Calibri" w:cs="Times New Roman"/>
                <w:lang w:val="tr-TR"/>
              </w:rPr>
              <w:t>29.12.2022</w:t>
            </w:r>
          </w:p>
        </w:tc>
        <w:tc>
          <w:tcPr>
            <w:tcW w:w="2009" w:type="dxa"/>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40"/>
              <w:ind w:left="560"/>
              <w:rPr>
                <w:rFonts w:eastAsia="Calibri" w:cs="Times New Roman"/>
                <w:lang w:val="tr-TR"/>
              </w:rPr>
            </w:pPr>
            <w:r>
              <w:rPr>
                <w:rFonts w:eastAsia="Calibri" w:cs="Times New Roman"/>
                <w:lang w:val="tr-TR"/>
              </w:rPr>
              <w:t>11536</w:t>
            </w:r>
            <w:r w:rsidRPr="00B32DD7">
              <w:rPr>
                <w:rFonts w:eastAsia="Calibri" w:cs="Times New Roman"/>
                <w:lang w:val="tr-TR"/>
              </w:rPr>
              <w:t>-5</w:t>
            </w:r>
          </w:p>
        </w:tc>
      </w:tr>
      <w:tr w:rsidR="00FE2FC0" w:rsidRPr="00B32DD7" w:rsidTr="00FE2FC0">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ind w:left="65"/>
              <w:rPr>
                <w:rFonts w:eastAsia="Calibri" w:cs="Times New Roman"/>
                <w:lang w:val="tr-TR"/>
              </w:rPr>
            </w:pPr>
            <w:r w:rsidRPr="00B32DD7">
              <w:rPr>
                <w:rFonts w:eastAsia="Calibri" w:cs="Times New Roman"/>
                <w:lang w:val="tr-TR"/>
              </w:rPr>
              <w:lastRenderedPageBreak/>
              <w:t>Boğaziçi Elektrik Dağıtım A.Ş.</w:t>
            </w:r>
          </w:p>
        </w:tc>
        <w:tc>
          <w:tcPr>
            <w:tcW w:w="2487" w:type="dxa"/>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ind w:left="653"/>
              <w:rPr>
                <w:rFonts w:eastAsia="Calibri" w:cs="Times New Roman"/>
                <w:lang w:val="tr-TR"/>
              </w:rPr>
            </w:pPr>
            <w:r w:rsidRPr="00BE0253">
              <w:rPr>
                <w:rFonts w:eastAsia="Calibri" w:cs="Times New Roman"/>
                <w:lang w:val="tr-TR"/>
              </w:rPr>
              <w:t>29.12.2022</w:t>
            </w:r>
          </w:p>
        </w:tc>
        <w:tc>
          <w:tcPr>
            <w:tcW w:w="2009" w:type="dxa"/>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40"/>
              <w:ind w:left="560"/>
              <w:rPr>
                <w:rFonts w:eastAsia="Calibri" w:cs="Times New Roman"/>
                <w:lang w:val="tr-TR"/>
              </w:rPr>
            </w:pPr>
            <w:r>
              <w:rPr>
                <w:rFonts w:eastAsia="Calibri" w:cs="Times New Roman"/>
                <w:lang w:val="tr-TR"/>
              </w:rPr>
              <w:t>11536</w:t>
            </w:r>
            <w:r w:rsidRPr="00B32DD7">
              <w:rPr>
                <w:rFonts w:eastAsia="Calibri" w:cs="Times New Roman"/>
                <w:lang w:val="tr-TR"/>
              </w:rPr>
              <w:t>-6</w:t>
            </w:r>
          </w:p>
        </w:tc>
      </w:tr>
      <w:tr w:rsidR="00FE2FC0" w:rsidRPr="00B32DD7" w:rsidTr="00FE2FC0">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ind w:left="65"/>
              <w:rPr>
                <w:rFonts w:eastAsia="Calibri" w:cs="Times New Roman"/>
                <w:lang w:val="tr-TR"/>
              </w:rPr>
            </w:pPr>
            <w:r w:rsidRPr="00B32DD7">
              <w:rPr>
                <w:rFonts w:eastAsia="Calibri" w:cs="Times New Roman"/>
                <w:lang w:val="tr-TR"/>
              </w:rPr>
              <w:t>Çamlıbel Elektrik Dağıtım A.Ş.</w:t>
            </w:r>
          </w:p>
        </w:tc>
        <w:tc>
          <w:tcPr>
            <w:tcW w:w="2487" w:type="dxa"/>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ind w:left="653"/>
              <w:rPr>
                <w:rFonts w:eastAsia="Calibri" w:cs="Times New Roman"/>
                <w:lang w:val="tr-TR"/>
              </w:rPr>
            </w:pPr>
            <w:r w:rsidRPr="00BE0253">
              <w:rPr>
                <w:rFonts w:eastAsia="Calibri" w:cs="Times New Roman"/>
                <w:lang w:val="tr-TR"/>
              </w:rPr>
              <w:t>29.12.2022</w:t>
            </w:r>
          </w:p>
        </w:tc>
        <w:tc>
          <w:tcPr>
            <w:tcW w:w="2009" w:type="dxa"/>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40"/>
              <w:ind w:left="560"/>
              <w:rPr>
                <w:rFonts w:eastAsia="Calibri" w:cs="Times New Roman"/>
                <w:lang w:val="tr-TR"/>
              </w:rPr>
            </w:pPr>
            <w:r>
              <w:rPr>
                <w:rFonts w:eastAsia="Calibri" w:cs="Times New Roman"/>
                <w:lang w:val="tr-TR"/>
              </w:rPr>
              <w:t>11536</w:t>
            </w:r>
            <w:r w:rsidRPr="00B32DD7">
              <w:rPr>
                <w:rFonts w:eastAsia="Calibri" w:cs="Times New Roman"/>
                <w:lang w:val="tr-TR"/>
              </w:rPr>
              <w:t>-7</w:t>
            </w:r>
          </w:p>
        </w:tc>
      </w:tr>
      <w:tr w:rsidR="00FE2FC0" w:rsidRPr="00B32DD7" w:rsidTr="00FE2FC0">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ind w:left="65"/>
              <w:rPr>
                <w:rFonts w:eastAsia="Calibri" w:cs="Times New Roman"/>
                <w:lang w:val="tr-TR"/>
              </w:rPr>
            </w:pPr>
            <w:r w:rsidRPr="00B32DD7">
              <w:rPr>
                <w:rFonts w:eastAsia="Calibri" w:cs="Times New Roman"/>
                <w:lang w:val="tr-TR"/>
              </w:rPr>
              <w:t>Çoruh Elektrik Dağıtım A.Ş.</w:t>
            </w:r>
          </w:p>
        </w:tc>
        <w:tc>
          <w:tcPr>
            <w:tcW w:w="2487" w:type="dxa"/>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ind w:left="653"/>
              <w:rPr>
                <w:rFonts w:eastAsia="Calibri" w:cs="Times New Roman"/>
                <w:lang w:val="tr-TR"/>
              </w:rPr>
            </w:pPr>
            <w:r w:rsidRPr="00BE0253">
              <w:rPr>
                <w:rFonts w:eastAsia="Calibri" w:cs="Times New Roman"/>
                <w:lang w:val="tr-TR"/>
              </w:rPr>
              <w:t>29.12.2022</w:t>
            </w:r>
          </w:p>
        </w:tc>
        <w:tc>
          <w:tcPr>
            <w:tcW w:w="2009" w:type="dxa"/>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40"/>
              <w:ind w:left="560"/>
              <w:rPr>
                <w:rFonts w:eastAsia="Calibri" w:cs="Times New Roman"/>
                <w:lang w:val="tr-TR"/>
              </w:rPr>
            </w:pPr>
            <w:r>
              <w:rPr>
                <w:rFonts w:eastAsia="Calibri" w:cs="Times New Roman"/>
                <w:lang w:val="tr-TR"/>
              </w:rPr>
              <w:t>11536</w:t>
            </w:r>
            <w:r w:rsidRPr="00B32DD7">
              <w:rPr>
                <w:rFonts w:eastAsia="Calibri" w:cs="Times New Roman"/>
                <w:lang w:val="tr-TR"/>
              </w:rPr>
              <w:t>-8</w:t>
            </w:r>
          </w:p>
        </w:tc>
      </w:tr>
      <w:tr w:rsidR="00FE2FC0" w:rsidRPr="00B32DD7" w:rsidTr="00FE2FC0">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ind w:left="65"/>
              <w:rPr>
                <w:rFonts w:eastAsia="Calibri" w:cs="Times New Roman"/>
                <w:lang w:val="tr-TR"/>
              </w:rPr>
            </w:pPr>
            <w:r w:rsidRPr="00B32DD7">
              <w:rPr>
                <w:rFonts w:eastAsia="Calibri" w:cs="Times New Roman"/>
                <w:lang w:val="tr-TR"/>
              </w:rPr>
              <w:t>Dicle Elektrik Dağıtım A.Ş.</w:t>
            </w:r>
          </w:p>
        </w:tc>
        <w:tc>
          <w:tcPr>
            <w:tcW w:w="2487" w:type="dxa"/>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ind w:left="653"/>
              <w:rPr>
                <w:rFonts w:eastAsia="Calibri" w:cs="Times New Roman"/>
                <w:lang w:val="tr-TR"/>
              </w:rPr>
            </w:pPr>
            <w:r w:rsidRPr="00BE0253">
              <w:rPr>
                <w:rFonts w:eastAsia="Calibri" w:cs="Times New Roman"/>
                <w:lang w:val="tr-TR"/>
              </w:rPr>
              <w:t>29.12.2022</w:t>
            </w:r>
          </w:p>
        </w:tc>
        <w:tc>
          <w:tcPr>
            <w:tcW w:w="2009" w:type="dxa"/>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40"/>
              <w:ind w:left="560"/>
              <w:rPr>
                <w:rFonts w:eastAsia="Calibri" w:cs="Times New Roman"/>
                <w:lang w:val="tr-TR"/>
              </w:rPr>
            </w:pPr>
            <w:r>
              <w:rPr>
                <w:rFonts w:eastAsia="Calibri" w:cs="Times New Roman"/>
                <w:lang w:val="tr-TR"/>
              </w:rPr>
              <w:t>11536</w:t>
            </w:r>
            <w:r w:rsidRPr="00B32DD7">
              <w:rPr>
                <w:rFonts w:eastAsia="Calibri" w:cs="Times New Roman"/>
                <w:lang w:val="tr-TR"/>
              </w:rPr>
              <w:t>-9</w:t>
            </w:r>
          </w:p>
        </w:tc>
      </w:tr>
      <w:tr w:rsidR="00FE2FC0" w:rsidRPr="00B32DD7" w:rsidTr="00FE2FC0">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ind w:left="65"/>
              <w:rPr>
                <w:rFonts w:eastAsia="Calibri" w:cs="Times New Roman"/>
                <w:lang w:val="tr-TR"/>
              </w:rPr>
            </w:pPr>
            <w:r w:rsidRPr="00B32DD7">
              <w:rPr>
                <w:rFonts w:eastAsia="Calibri" w:cs="Times New Roman"/>
                <w:lang w:val="tr-TR"/>
              </w:rPr>
              <w:t>Fırat Elektrik Dağıtım A.Ş.</w:t>
            </w:r>
          </w:p>
        </w:tc>
        <w:tc>
          <w:tcPr>
            <w:tcW w:w="2487" w:type="dxa"/>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ind w:left="653"/>
              <w:rPr>
                <w:rFonts w:eastAsia="Calibri" w:cs="Times New Roman"/>
                <w:lang w:val="tr-TR"/>
              </w:rPr>
            </w:pPr>
            <w:r w:rsidRPr="00BE0253">
              <w:rPr>
                <w:rFonts w:eastAsia="Calibri" w:cs="Times New Roman"/>
                <w:lang w:val="tr-TR"/>
              </w:rPr>
              <w:t>29.12.2022</w:t>
            </w:r>
          </w:p>
        </w:tc>
        <w:tc>
          <w:tcPr>
            <w:tcW w:w="2009" w:type="dxa"/>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40"/>
              <w:ind w:left="560"/>
              <w:rPr>
                <w:rFonts w:eastAsia="Calibri" w:cs="Times New Roman"/>
                <w:lang w:val="tr-TR"/>
              </w:rPr>
            </w:pPr>
            <w:r>
              <w:rPr>
                <w:rFonts w:eastAsia="Calibri" w:cs="Times New Roman"/>
                <w:lang w:val="tr-TR"/>
              </w:rPr>
              <w:t>11536</w:t>
            </w:r>
            <w:r w:rsidRPr="00B32DD7">
              <w:rPr>
                <w:rFonts w:eastAsia="Calibri" w:cs="Times New Roman"/>
                <w:lang w:val="tr-TR"/>
              </w:rPr>
              <w:t>-10</w:t>
            </w:r>
          </w:p>
        </w:tc>
      </w:tr>
      <w:tr w:rsidR="00FE2FC0" w:rsidRPr="00B32DD7" w:rsidTr="00FE2FC0">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ind w:left="65"/>
              <w:rPr>
                <w:rFonts w:eastAsia="Calibri" w:cs="Times New Roman"/>
                <w:lang w:val="tr-TR"/>
              </w:rPr>
            </w:pPr>
            <w:r w:rsidRPr="00B32DD7">
              <w:rPr>
                <w:rFonts w:eastAsia="Calibri" w:cs="Times New Roman"/>
                <w:lang w:val="tr-TR"/>
              </w:rPr>
              <w:t>GDZ Elektrik Dağıtım A.Ş.</w:t>
            </w:r>
          </w:p>
        </w:tc>
        <w:tc>
          <w:tcPr>
            <w:tcW w:w="2487" w:type="dxa"/>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ind w:left="653"/>
              <w:rPr>
                <w:rFonts w:eastAsia="Calibri" w:cs="Times New Roman"/>
                <w:lang w:val="tr-TR"/>
              </w:rPr>
            </w:pPr>
            <w:r w:rsidRPr="00BE0253">
              <w:rPr>
                <w:rFonts w:eastAsia="Calibri" w:cs="Times New Roman"/>
                <w:lang w:val="tr-TR"/>
              </w:rPr>
              <w:t>29.12.2022</w:t>
            </w:r>
          </w:p>
        </w:tc>
        <w:tc>
          <w:tcPr>
            <w:tcW w:w="2009" w:type="dxa"/>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40"/>
              <w:ind w:left="560"/>
              <w:rPr>
                <w:rFonts w:eastAsia="Calibri" w:cs="Times New Roman"/>
                <w:lang w:val="tr-TR"/>
              </w:rPr>
            </w:pPr>
            <w:r>
              <w:rPr>
                <w:rFonts w:eastAsia="Calibri" w:cs="Times New Roman"/>
                <w:lang w:val="tr-TR"/>
              </w:rPr>
              <w:t>11536</w:t>
            </w:r>
            <w:r w:rsidRPr="00B32DD7">
              <w:rPr>
                <w:rFonts w:eastAsia="Calibri" w:cs="Times New Roman"/>
                <w:lang w:val="tr-TR"/>
              </w:rPr>
              <w:t>-11</w:t>
            </w:r>
          </w:p>
        </w:tc>
      </w:tr>
      <w:tr w:rsidR="00FE2FC0" w:rsidRPr="00B32DD7" w:rsidTr="00FE2FC0">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ind w:left="65"/>
              <w:rPr>
                <w:rFonts w:eastAsia="Calibri" w:cs="Times New Roman"/>
                <w:lang w:val="tr-TR"/>
              </w:rPr>
            </w:pPr>
            <w:r w:rsidRPr="00B32DD7">
              <w:rPr>
                <w:rFonts w:eastAsia="Calibri" w:cs="Times New Roman"/>
                <w:lang w:val="tr-TR"/>
              </w:rPr>
              <w:t>İstanbul Anadolu Yakası Elektrik Dağıtım A.Ş.</w:t>
            </w:r>
          </w:p>
        </w:tc>
        <w:tc>
          <w:tcPr>
            <w:tcW w:w="2487" w:type="dxa"/>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ind w:left="653"/>
              <w:rPr>
                <w:rFonts w:eastAsia="Calibri" w:cs="Times New Roman"/>
                <w:lang w:val="tr-TR"/>
              </w:rPr>
            </w:pPr>
            <w:r w:rsidRPr="00BE0253">
              <w:rPr>
                <w:rFonts w:eastAsia="Calibri" w:cs="Times New Roman"/>
                <w:lang w:val="tr-TR"/>
              </w:rPr>
              <w:t>29.12.2022</w:t>
            </w:r>
          </w:p>
        </w:tc>
        <w:tc>
          <w:tcPr>
            <w:tcW w:w="2009" w:type="dxa"/>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40"/>
              <w:ind w:left="560"/>
              <w:rPr>
                <w:rFonts w:eastAsia="Calibri" w:cs="Times New Roman"/>
                <w:lang w:val="tr-TR"/>
              </w:rPr>
            </w:pPr>
            <w:r>
              <w:rPr>
                <w:rFonts w:eastAsia="Calibri" w:cs="Times New Roman"/>
                <w:lang w:val="tr-TR"/>
              </w:rPr>
              <w:t>11536</w:t>
            </w:r>
            <w:r w:rsidRPr="00B32DD7">
              <w:rPr>
                <w:rFonts w:eastAsia="Calibri" w:cs="Times New Roman"/>
                <w:lang w:val="tr-TR"/>
              </w:rPr>
              <w:t>-12</w:t>
            </w:r>
          </w:p>
        </w:tc>
      </w:tr>
      <w:tr w:rsidR="00FE2FC0" w:rsidRPr="00B32DD7" w:rsidTr="00FE2FC0">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ind w:left="65"/>
              <w:rPr>
                <w:rFonts w:eastAsia="Calibri" w:cs="Times New Roman"/>
                <w:lang w:val="tr-TR"/>
              </w:rPr>
            </w:pPr>
            <w:r w:rsidRPr="00B32DD7">
              <w:rPr>
                <w:rFonts w:eastAsia="Calibri" w:cs="Times New Roman"/>
                <w:lang w:val="tr-TR"/>
              </w:rPr>
              <w:t>Kayseri ve Civarı Elektrik Türk A.Ş.</w:t>
            </w:r>
          </w:p>
        </w:tc>
        <w:tc>
          <w:tcPr>
            <w:tcW w:w="2487" w:type="dxa"/>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ind w:left="653"/>
              <w:rPr>
                <w:rFonts w:eastAsia="Calibri" w:cs="Times New Roman"/>
                <w:lang w:val="tr-TR"/>
              </w:rPr>
            </w:pPr>
            <w:r w:rsidRPr="00BE0253">
              <w:rPr>
                <w:rFonts w:eastAsia="Calibri" w:cs="Times New Roman"/>
                <w:lang w:val="tr-TR"/>
              </w:rPr>
              <w:t>29.12.2022</w:t>
            </w:r>
          </w:p>
        </w:tc>
        <w:tc>
          <w:tcPr>
            <w:tcW w:w="2009" w:type="dxa"/>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40"/>
              <w:ind w:left="560"/>
              <w:rPr>
                <w:rFonts w:eastAsia="Calibri" w:cs="Times New Roman"/>
                <w:lang w:val="tr-TR"/>
              </w:rPr>
            </w:pPr>
            <w:r>
              <w:rPr>
                <w:rFonts w:eastAsia="Calibri" w:cs="Times New Roman"/>
                <w:lang w:val="tr-TR"/>
              </w:rPr>
              <w:t>11536</w:t>
            </w:r>
            <w:r w:rsidRPr="00B32DD7">
              <w:rPr>
                <w:rFonts w:eastAsia="Calibri" w:cs="Times New Roman"/>
                <w:lang w:val="tr-TR"/>
              </w:rPr>
              <w:t>-13</w:t>
            </w:r>
          </w:p>
        </w:tc>
      </w:tr>
      <w:tr w:rsidR="00FE2FC0" w:rsidRPr="00B32DD7" w:rsidTr="00FE2FC0">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ind w:left="65"/>
              <w:rPr>
                <w:rFonts w:eastAsia="Calibri" w:cs="Times New Roman"/>
                <w:lang w:val="tr-TR"/>
              </w:rPr>
            </w:pPr>
            <w:r w:rsidRPr="00B32DD7">
              <w:rPr>
                <w:rFonts w:eastAsia="Calibri" w:cs="Times New Roman"/>
                <w:lang w:val="tr-TR"/>
              </w:rPr>
              <w:t>Meram Elektrik Dağıtım A.Ş.</w:t>
            </w:r>
          </w:p>
        </w:tc>
        <w:tc>
          <w:tcPr>
            <w:tcW w:w="2487" w:type="dxa"/>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ind w:left="653"/>
              <w:rPr>
                <w:rFonts w:eastAsia="Calibri" w:cs="Times New Roman"/>
                <w:lang w:val="tr-TR"/>
              </w:rPr>
            </w:pPr>
            <w:r w:rsidRPr="00BE0253">
              <w:rPr>
                <w:rFonts w:eastAsia="Calibri" w:cs="Times New Roman"/>
                <w:lang w:val="tr-TR"/>
              </w:rPr>
              <w:t>29.12.2022</w:t>
            </w:r>
          </w:p>
        </w:tc>
        <w:tc>
          <w:tcPr>
            <w:tcW w:w="2009" w:type="dxa"/>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40"/>
              <w:ind w:left="560"/>
              <w:rPr>
                <w:rFonts w:eastAsia="Calibri" w:cs="Times New Roman"/>
                <w:lang w:val="tr-TR"/>
              </w:rPr>
            </w:pPr>
            <w:r>
              <w:rPr>
                <w:rFonts w:eastAsia="Calibri" w:cs="Times New Roman"/>
                <w:lang w:val="tr-TR"/>
              </w:rPr>
              <w:t>11536</w:t>
            </w:r>
            <w:r w:rsidRPr="00B32DD7">
              <w:rPr>
                <w:rFonts w:eastAsia="Calibri" w:cs="Times New Roman"/>
                <w:lang w:val="tr-TR"/>
              </w:rPr>
              <w:t>-14</w:t>
            </w:r>
          </w:p>
        </w:tc>
      </w:tr>
      <w:tr w:rsidR="00FE2FC0" w:rsidRPr="00B32DD7" w:rsidTr="00FE2FC0">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ind w:left="65"/>
              <w:rPr>
                <w:rFonts w:eastAsia="Calibri" w:cs="Times New Roman"/>
                <w:lang w:val="tr-TR"/>
              </w:rPr>
            </w:pPr>
            <w:r w:rsidRPr="00B32DD7">
              <w:rPr>
                <w:rFonts w:eastAsia="Calibri" w:cs="Times New Roman"/>
                <w:lang w:val="tr-TR"/>
              </w:rPr>
              <w:t>Osmangazi Elektrik Dağıtım A.Ş.</w:t>
            </w:r>
          </w:p>
        </w:tc>
        <w:tc>
          <w:tcPr>
            <w:tcW w:w="2487" w:type="dxa"/>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ind w:left="653"/>
              <w:rPr>
                <w:rFonts w:eastAsia="Calibri" w:cs="Times New Roman"/>
                <w:lang w:val="tr-TR"/>
              </w:rPr>
            </w:pPr>
            <w:r w:rsidRPr="00BE0253">
              <w:rPr>
                <w:rFonts w:eastAsia="Calibri" w:cs="Times New Roman"/>
                <w:lang w:val="tr-TR"/>
              </w:rPr>
              <w:t>29.12.2022</w:t>
            </w:r>
          </w:p>
        </w:tc>
        <w:tc>
          <w:tcPr>
            <w:tcW w:w="2009" w:type="dxa"/>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40"/>
              <w:ind w:left="560"/>
              <w:rPr>
                <w:rFonts w:eastAsia="Calibri" w:cs="Times New Roman"/>
                <w:lang w:val="tr-TR"/>
              </w:rPr>
            </w:pPr>
            <w:r>
              <w:rPr>
                <w:rFonts w:eastAsia="Calibri" w:cs="Times New Roman"/>
                <w:lang w:val="tr-TR"/>
              </w:rPr>
              <w:t>11536</w:t>
            </w:r>
            <w:r w:rsidRPr="00B32DD7">
              <w:rPr>
                <w:rFonts w:eastAsia="Calibri" w:cs="Times New Roman"/>
                <w:lang w:val="tr-TR"/>
              </w:rPr>
              <w:t>-15</w:t>
            </w:r>
          </w:p>
        </w:tc>
      </w:tr>
      <w:tr w:rsidR="00FE2FC0" w:rsidRPr="00B32DD7" w:rsidTr="00FE2FC0">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ind w:left="65"/>
              <w:rPr>
                <w:rFonts w:eastAsia="Calibri" w:cs="Times New Roman"/>
                <w:lang w:val="tr-TR"/>
              </w:rPr>
            </w:pPr>
            <w:r w:rsidRPr="00B32DD7">
              <w:rPr>
                <w:rFonts w:eastAsia="Calibri" w:cs="Times New Roman"/>
                <w:lang w:val="tr-TR"/>
              </w:rPr>
              <w:t>Sakarya Elektrik Dağıtım A.Ş.</w:t>
            </w:r>
          </w:p>
        </w:tc>
        <w:tc>
          <w:tcPr>
            <w:tcW w:w="2487" w:type="dxa"/>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ind w:left="653"/>
              <w:rPr>
                <w:rFonts w:eastAsia="Calibri" w:cs="Times New Roman"/>
                <w:lang w:val="tr-TR"/>
              </w:rPr>
            </w:pPr>
            <w:r w:rsidRPr="00BE0253">
              <w:rPr>
                <w:rFonts w:eastAsia="Calibri" w:cs="Times New Roman"/>
                <w:lang w:val="tr-TR"/>
              </w:rPr>
              <w:t>29.12.2022</w:t>
            </w:r>
          </w:p>
        </w:tc>
        <w:tc>
          <w:tcPr>
            <w:tcW w:w="2009" w:type="dxa"/>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40"/>
              <w:ind w:left="560"/>
              <w:rPr>
                <w:rFonts w:eastAsia="Calibri" w:cs="Times New Roman"/>
                <w:lang w:val="tr-TR"/>
              </w:rPr>
            </w:pPr>
            <w:r>
              <w:rPr>
                <w:rFonts w:eastAsia="Calibri" w:cs="Times New Roman"/>
                <w:lang w:val="tr-TR"/>
              </w:rPr>
              <w:t>11536</w:t>
            </w:r>
            <w:r w:rsidRPr="00B32DD7">
              <w:rPr>
                <w:rFonts w:eastAsia="Calibri" w:cs="Times New Roman"/>
                <w:lang w:val="tr-TR"/>
              </w:rPr>
              <w:t>-16</w:t>
            </w:r>
          </w:p>
        </w:tc>
      </w:tr>
      <w:tr w:rsidR="00FE2FC0" w:rsidRPr="00B32DD7" w:rsidTr="00FE2FC0">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ind w:left="65"/>
              <w:rPr>
                <w:rFonts w:eastAsia="Calibri" w:cs="Times New Roman"/>
                <w:lang w:val="tr-TR"/>
              </w:rPr>
            </w:pPr>
            <w:r w:rsidRPr="00B32DD7">
              <w:rPr>
                <w:rFonts w:eastAsia="Calibri" w:cs="Times New Roman"/>
                <w:lang w:val="tr-TR"/>
              </w:rPr>
              <w:t>Toroslar Elektrik Dağıtım A.Ş.</w:t>
            </w:r>
          </w:p>
        </w:tc>
        <w:tc>
          <w:tcPr>
            <w:tcW w:w="2487" w:type="dxa"/>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ind w:left="653"/>
              <w:rPr>
                <w:rFonts w:eastAsia="Calibri" w:cs="Times New Roman"/>
                <w:lang w:val="tr-TR"/>
              </w:rPr>
            </w:pPr>
            <w:r w:rsidRPr="00BE0253">
              <w:rPr>
                <w:rFonts w:eastAsia="Calibri" w:cs="Times New Roman"/>
                <w:lang w:val="tr-TR"/>
              </w:rPr>
              <w:t>29.12.2022</w:t>
            </w:r>
          </w:p>
        </w:tc>
        <w:tc>
          <w:tcPr>
            <w:tcW w:w="2009" w:type="dxa"/>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40"/>
              <w:ind w:left="560"/>
              <w:rPr>
                <w:rFonts w:eastAsia="Calibri" w:cs="Times New Roman"/>
                <w:lang w:val="tr-TR"/>
              </w:rPr>
            </w:pPr>
            <w:r>
              <w:rPr>
                <w:rFonts w:eastAsia="Calibri" w:cs="Times New Roman"/>
                <w:lang w:val="tr-TR"/>
              </w:rPr>
              <w:t>11536</w:t>
            </w:r>
            <w:r w:rsidRPr="00B32DD7">
              <w:rPr>
                <w:rFonts w:eastAsia="Calibri" w:cs="Times New Roman"/>
                <w:lang w:val="tr-TR"/>
              </w:rPr>
              <w:t>-17</w:t>
            </w:r>
          </w:p>
        </w:tc>
      </w:tr>
      <w:tr w:rsidR="00FE2FC0" w:rsidRPr="00B32DD7" w:rsidTr="00FE2FC0">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ind w:left="65"/>
              <w:rPr>
                <w:rFonts w:eastAsia="Calibri" w:cs="Times New Roman"/>
                <w:lang w:val="tr-TR"/>
              </w:rPr>
            </w:pPr>
            <w:r w:rsidRPr="00B32DD7">
              <w:rPr>
                <w:rFonts w:eastAsia="Calibri" w:cs="Times New Roman"/>
                <w:lang w:val="tr-TR"/>
              </w:rPr>
              <w:t>Trakya Elektrik Dağıtım A.Ş.</w:t>
            </w:r>
          </w:p>
        </w:tc>
        <w:tc>
          <w:tcPr>
            <w:tcW w:w="2487" w:type="dxa"/>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ind w:left="653"/>
              <w:rPr>
                <w:rFonts w:eastAsia="Calibri" w:cs="Times New Roman"/>
                <w:lang w:val="tr-TR"/>
              </w:rPr>
            </w:pPr>
            <w:r w:rsidRPr="00BE0253">
              <w:rPr>
                <w:rFonts w:eastAsia="Calibri" w:cs="Times New Roman"/>
                <w:lang w:val="tr-TR"/>
              </w:rPr>
              <w:t>29.12.2022</w:t>
            </w:r>
          </w:p>
        </w:tc>
        <w:tc>
          <w:tcPr>
            <w:tcW w:w="2009" w:type="dxa"/>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40"/>
              <w:ind w:left="560"/>
              <w:rPr>
                <w:rFonts w:eastAsia="Calibri" w:cs="Times New Roman"/>
                <w:lang w:val="tr-TR"/>
              </w:rPr>
            </w:pPr>
            <w:r>
              <w:rPr>
                <w:rFonts w:eastAsia="Calibri" w:cs="Times New Roman"/>
                <w:lang w:val="tr-TR"/>
              </w:rPr>
              <w:t>11536</w:t>
            </w:r>
            <w:r w:rsidRPr="00B32DD7">
              <w:rPr>
                <w:rFonts w:eastAsia="Calibri" w:cs="Times New Roman"/>
                <w:lang w:val="tr-TR"/>
              </w:rPr>
              <w:t>-18</w:t>
            </w:r>
          </w:p>
        </w:tc>
      </w:tr>
      <w:tr w:rsidR="00FE2FC0" w:rsidRPr="00B32DD7" w:rsidTr="00FE2FC0">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ind w:left="65"/>
              <w:rPr>
                <w:rFonts w:eastAsia="Calibri" w:cs="Times New Roman"/>
                <w:lang w:val="tr-TR"/>
              </w:rPr>
            </w:pPr>
            <w:r w:rsidRPr="00B32DD7">
              <w:rPr>
                <w:rFonts w:eastAsia="Calibri" w:cs="Times New Roman"/>
                <w:lang w:val="tr-TR"/>
              </w:rPr>
              <w:t>Uludağ Elektrik Dağıtım A.Ş.</w:t>
            </w:r>
          </w:p>
        </w:tc>
        <w:tc>
          <w:tcPr>
            <w:tcW w:w="2487" w:type="dxa"/>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ind w:left="653"/>
              <w:rPr>
                <w:rFonts w:eastAsia="Calibri" w:cs="Times New Roman"/>
                <w:lang w:val="tr-TR"/>
              </w:rPr>
            </w:pPr>
            <w:r w:rsidRPr="00BE0253">
              <w:rPr>
                <w:rFonts w:eastAsia="Calibri" w:cs="Times New Roman"/>
                <w:lang w:val="tr-TR"/>
              </w:rPr>
              <w:t>29.12.2022</w:t>
            </w:r>
          </w:p>
        </w:tc>
        <w:tc>
          <w:tcPr>
            <w:tcW w:w="2009" w:type="dxa"/>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40"/>
              <w:ind w:left="560"/>
              <w:rPr>
                <w:rFonts w:eastAsia="Calibri" w:cs="Times New Roman"/>
                <w:lang w:val="tr-TR"/>
              </w:rPr>
            </w:pPr>
            <w:r>
              <w:rPr>
                <w:rFonts w:eastAsia="Calibri" w:cs="Times New Roman"/>
                <w:lang w:val="tr-TR"/>
              </w:rPr>
              <w:t>11536</w:t>
            </w:r>
            <w:r w:rsidRPr="00B32DD7">
              <w:rPr>
                <w:rFonts w:eastAsia="Calibri" w:cs="Times New Roman"/>
                <w:lang w:val="tr-TR"/>
              </w:rPr>
              <w:t>-19</w:t>
            </w:r>
          </w:p>
        </w:tc>
      </w:tr>
      <w:tr w:rsidR="00FE2FC0" w:rsidRPr="00B32DD7" w:rsidTr="00FE2FC0">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ind w:left="65"/>
              <w:rPr>
                <w:rFonts w:eastAsia="Calibri" w:cs="Times New Roman"/>
                <w:lang w:val="tr-TR"/>
              </w:rPr>
            </w:pPr>
            <w:r w:rsidRPr="00B32DD7">
              <w:rPr>
                <w:rFonts w:eastAsia="Calibri" w:cs="Times New Roman"/>
                <w:lang w:val="tr-TR"/>
              </w:rPr>
              <w:t>Vangölü Elektrik Dağıtım A.Ş.</w:t>
            </w:r>
          </w:p>
        </w:tc>
        <w:tc>
          <w:tcPr>
            <w:tcW w:w="2487" w:type="dxa"/>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ind w:left="653"/>
              <w:rPr>
                <w:rFonts w:eastAsia="Calibri" w:cs="Times New Roman"/>
                <w:lang w:val="tr-TR"/>
              </w:rPr>
            </w:pPr>
            <w:r w:rsidRPr="00BE0253">
              <w:rPr>
                <w:rFonts w:eastAsia="Calibri" w:cs="Times New Roman"/>
                <w:lang w:val="tr-TR"/>
              </w:rPr>
              <w:t>29.12.2022</w:t>
            </w:r>
          </w:p>
        </w:tc>
        <w:tc>
          <w:tcPr>
            <w:tcW w:w="2009" w:type="dxa"/>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40"/>
              <w:ind w:left="560"/>
              <w:rPr>
                <w:rFonts w:eastAsia="Calibri" w:cs="Times New Roman"/>
                <w:lang w:val="tr-TR"/>
              </w:rPr>
            </w:pPr>
            <w:r>
              <w:rPr>
                <w:rFonts w:eastAsia="Calibri" w:cs="Times New Roman"/>
                <w:lang w:val="tr-TR"/>
              </w:rPr>
              <w:t>11536</w:t>
            </w:r>
            <w:r w:rsidRPr="00B32DD7">
              <w:rPr>
                <w:rFonts w:eastAsia="Calibri" w:cs="Times New Roman"/>
                <w:lang w:val="tr-TR"/>
              </w:rPr>
              <w:t>-20</w:t>
            </w:r>
          </w:p>
        </w:tc>
      </w:tr>
      <w:tr w:rsidR="00FE2FC0" w:rsidRPr="00B32DD7" w:rsidTr="00FE2FC0">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ind w:left="65"/>
              <w:rPr>
                <w:rFonts w:eastAsia="Calibri" w:cs="Times New Roman"/>
                <w:lang w:val="tr-TR"/>
              </w:rPr>
            </w:pPr>
            <w:r w:rsidRPr="00B32DD7">
              <w:rPr>
                <w:rFonts w:eastAsia="Calibri" w:cs="Times New Roman"/>
                <w:lang w:val="tr-TR"/>
              </w:rPr>
              <w:t>Yeşilırmak Elektrik Dağıtım A.Ş.</w:t>
            </w:r>
          </w:p>
        </w:tc>
        <w:tc>
          <w:tcPr>
            <w:tcW w:w="2487" w:type="dxa"/>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ind w:left="653"/>
              <w:rPr>
                <w:rFonts w:eastAsia="Calibri" w:cs="Times New Roman"/>
                <w:lang w:val="tr-TR"/>
              </w:rPr>
            </w:pPr>
            <w:r w:rsidRPr="00BE0253">
              <w:rPr>
                <w:rFonts w:eastAsia="Calibri" w:cs="Times New Roman"/>
                <w:lang w:val="tr-TR"/>
              </w:rPr>
              <w:t>29.12.2022</w:t>
            </w:r>
          </w:p>
        </w:tc>
        <w:tc>
          <w:tcPr>
            <w:tcW w:w="2009" w:type="dxa"/>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40"/>
              <w:ind w:left="560"/>
              <w:rPr>
                <w:rFonts w:eastAsia="Calibri" w:cs="Times New Roman"/>
                <w:lang w:val="tr-TR"/>
              </w:rPr>
            </w:pPr>
            <w:r>
              <w:rPr>
                <w:rFonts w:eastAsia="Calibri" w:cs="Times New Roman"/>
                <w:lang w:val="tr-TR"/>
              </w:rPr>
              <w:t>11536</w:t>
            </w:r>
            <w:r w:rsidRPr="00B32DD7">
              <w:rPr>
                <w:rFonts w:eastAsia="Calibri" w:cs="Times New Roman"/>
                <w:lang w:val="tr-TR"/>
              </w:rPr>
              <w:t>-21</w:t>
            </w:r>
          </w:p>
        </w:tc>
      </w:tr>
    </w:tbl>
    <w:p w:rsidR="00FE2FC0" w:rsidRPr="00FA1354" w:rsidRDefault="00FE2FC0" w:rsidP="00FE2FC0">
      <w:pPr>
        <w:spacing w:before="120" w:after="0"/>
        <w:rPr>
          <w:color w:val="000000" w:themeColor="text1"/>
        </w:rPr>
      </w:pPr>
      <w:r>
        <w:rPr>
          <w:color w:val="000000" w:themeColor="text1"/>
        </w:rPr>
        <w:t>Tablo 4.5’te</w:t>
      </w:r>
      <w:r w:rsidRPr="00FA1354">
        <w:rPr>
          <w:color w:val="000000" w:themeColor="text1"/>
        </w:rPr>
        <w:t xml:space="preserve"> belirtilen Kurul Kararları ile görevli tedarik şirketlerinin 202</w:t>
      </w:r>
      <w:r>
        <w:rPr>
          <w:color w:val="000000" w:themeColor="text1"/>
        </w:rPr>
        <w:t>3</w:t>
      </w:r>
      <w:r w:rsidRPr="00FA1354">
        <w:rPr>
          <w:color w:val="000000" w:themeColor="text1"/>
        </w:rPr>
        <w:t xml:space="preserve"> yılı </w:t>
      </w:r>
      <w:r w:rsidRPr="00FA1354">
        <w:t>perakende satış</w:t>
      </w:r>
      <w:r w:rsidRPr="00FA1354">
        <w:rPr>
          <w:color w:val="000000" w:themeColor="text1"/>
        </w:rPr>
        <w:t xml:space="preserve"> gelir tavanları onaylanmıştır.</w:t>
      </w:r>
    </w:p>
    <w:p w:rsidR="00FE2FC0" w:rsidRPr="00FA1354" w:rsidRDefault="00FE2FC0" w:rsidP="00FE2FC0">
      <w:pPr>
        <w:pStyle w:val="AralkYok"/>
        <w:rPr>
          <w:rStyle w:val="Gl"/>
        </w:rPr>
      </w:pPr>
    </w:p>
    <w:p w:rsidR="00FE2FC0" w:rsidRDefault="00FE2FC0" w:rsidP="00FE2FC0">
      <w:pPr>
        <w:pStyle w:val="Balk5"/>
        <w:spacing w:before="0" w:line="269" w:lineRule="auto"/>
        <w:jc w:val="center"/>
        <w:rPr>
          <w:rStyle w:val="Gl"/>
          <w:color w:val="auto"/>
        </w:rPr>
      </w:pPr>
      <w:bookmarkStart w:id="223" w:name="_Toc132713908"/>
      <w:r w:rsidRPr="00FA1354">
        <w:rPr>
          <w:rStyle w:val="Gl"/>
          <w:color w:val="auto"/>
        </w:rPr>
        <w:t>Tablo 4.</w:t>
      </w:r>
      <w:r>
        <w:rPr>
          <w:rStyle w:val="Gl"/>
          <w:color w:val="auto"/>
        </w:rPr>
        <w:t>5</w:t>
      </w:r>
      <w:r w:rsidRPr="00FA1354">
        <w:rPr>
          <w:rStyle w:val="Gl"/>
          <w:color w:val="auto"/>
        </w:rPr>
        <w:t>: Görevli Tedarik Şirketlerinin 202</w:t>
      </w:r>
      <w:r>
        <w:rPr>
          <w:rStyle w:val="Gl"/>
          <w:color w:val="auto"/>
        </w:rPr>
        <w:t>3</w:t>
      </w:r>
      <w:r w:rsidRPr="00FA1354">
        <w:rPr>
          <w:rStyle w:val="Gl"/>
          <w:color w:val="auto"/>
        </w:rPr>
        <w:t xml:space="preserve"> Yılı Perakende Satış Gelir Tavanlarının Onaylanmasına İlişkin Kurul Kararları</w:t>
      </w:r>
      <w:bookmarkEnd w:id="223"/>
    </w:p>
    <w:tbl>
      <w:tblPr>
        <w:tblW w:w="0" w:type="auto"/>
        <w:jc w:val="center"/>
        <w:tblLook w:val="01E0" w:firstRow="1" w:lastRow="1" w:firstColumn="1" w:lastColumn="1" w:noHBand="0" w:noVBand="0"/>
      </w:tblPr>
      <w:tblGrid>
        <w:gridCol w:w="5731"/>
        <w:gridCol w:w="1810"/>
        <w:gridCol w:w="1918"/>
      </w:tblGrid>
      <w:tr w:rsidR="00FE2FC0" w:rsidRPr="00B32DD7" w:rsidTr="00FE2FC0">
        <w:trPr>
          <w:trHeight w:hRule="exact" w:val="654"/>
          <w:tblHeader/>
          <w:jc w:val="center"/>
        </w:trPr>
        <w:tc>
          <w:tcPr>
            <w:tcW w:w="0" w:type="auto"/>
            <w:tcBorders>
              <w:top w:val="single" w:sz="4" w:space="0" w:color="BFBFBF"/>
              <w:left w:val="single" w:sz="4" w:space="0" w:color="BFBFBF"/>
              <w:bottom w:val="single" w:sz="4" w:space="0" w:color="BFBFBF"/>
              <w:right w:val="single" w:sz="4" w:space="0" w:color="BFBFBF"/>
            </w:tcBorders>
            <w:shd w:val="clear" w:color="auto" w:fill="6E9ECA"/>
          </w:tcPr>
          <w:p w:rsidR="00FE2FC0" w:rsidRPr="00B32DD7" w:rsidRDefault="00FE2FC0" w:rsidP="00FE2FC0">
            <w:pPr>
              <w:pStyle w:val="TableParagraph"/>
              <w:spacing w:before="48"/>
              <w:ind w:left="22"/>
              <w:rPr>
                <w:rFonts w:ascii="Calibri" w:eastAsia="Calibri" w:hAnsi="Calibri" w:cs="Calibri"/>
              </w:rPr>
            </w:pPr>
            <w:r w:rsidRPr="00B32DD7">
              <w:rPr>
                <w:rFonts w:ascii="Calibri" w:hAnsi="Calibri"/>
                <w:b/>
                <w:color w:val="FFFFFF"/>
                <w:spacing w:val="-1"/>
              </w:rPr>
              <w:t xml:space="preserve"> Görevli</w:t>
            </w:r>
            <w:r w:rsidRPr="00B32DD7">
              <w:rPr>
                <w:rFonts w:ascii="Calibri" w:hAnsi="Calibri"/>
                <w:b/>
                <w:color w:val="FFFFFF"/>
                <w:spacing w:val="-3"/>
              </w:rPr>
              <w:t xml:space="preserve"> </w:t>
            </w:r>
            <w:r w:rsidRPr="00B32DD7">
              <w:rPr>
                <w:rFonts w:ascii="Calibri" w:hAnsi="Calibri"/>
                <w:b/>
                <w:color w:val="FFFFFF"/>
                <w:spacing w:val="-1"/>
              </w:rPr>
              <w:t>Tedarik</w:t>
            </w:r>
            <w:r w:rsidRPr="00B32DD7">
              <w:rPr>
                <w:rFonts w:ascii="Calibri" w:hAnsi="Calibri"/>
                <w:b/>
                <w:color w:val="FFFFFF"/>
                <w:spacing w:val="-3"/>
              </w:rPr>
              <w:t xml:space="preserve"> </w:t>
            </w:r>
            <w:r w:rsidRPr="00B32DD7">
              <w:rPr>
                <w:rFonts w:ascii="Calibri" w:hAnsi="Calibri"/>
                <w:b/>
                <w:color w:val="FFFFFF"/>
                <w:spacing w:val="-1"/>
              </w:rPr>
              <w:t>Şirketi</w:t>
            </w:r>
            <w:r w:rsidRPr="00B32DD7">
              <w:rPr>
                <w:rFonts w:ascii="Calibri" w:hAnsi="Calibri"/>
                <w:b/>
                <w:color w:val="FFFFFF"/>
                <w:spacing w:val="-2"/>
              </w:rPr>
              <w:t xml:space="preserve"> </w:t>
            </w:r>
            <w:r w:rsidRPr="00B32DD7">
              <w:rPr>
                <w:rFonts w:ascii="Calibri" w:hAnsi="Calibri"/>
                <w:b/>
                <w:color w:val="FFFFFF"/>
                <w:spacing w:val="-1"/>
              </w:rPr>
              <w:t>Unvanı</w:t>
            </w:r>
          </w:p>
        </w:tc>
        <w:tc>
          <w:tcPr>
            <w:tcW w:w="0" w:type="auto"/>
            <w:tcBorders>
              <w:top w:val="single" w:sz="4" w:space="0" w:color="BFBFBF"/>
              <w:left w:val="single" w:sz="4" w:space="0" w:color="BFBFBF"/>
              <w:bottom w:val="single" w:sz="4" w:space="0" w:color="BFBFBF"/>
              <w:right w:val="single" w:sz="4" w:space="0" w:color="BFBFBF"/>
            </w:tcBorders>
            <w:shd w:val="clear" w:color="auto" w:fill="6E9ECA"/>
          </w:tcPr>
          <w:p w:rsidR="00FE2FC0" w:rsidRPr="00B32DD7" w:rsidRDefault="00FE2FC0" w:rsidP="00FE2FC0">
            <w:pPr>
              <w:pStyle w:val="TableParagraph"/>
              <w:spacing w:before="48"/>
              <w:ind w:left="11"/>
              <w:rPr>
                <w:rFonts w:ascii="Calibri" w:eastAsia="Calibri" w:hAnsi="Calibri" w:cs="Calibri"/>
              </w:rPr>
            </w:pPr>
            <w:r w:rsidRPr="00B32DD7">
              <w:rPr>
                <w:rFonts w:ascii="Calibri"/>
                <w:b/>
                <w:color w:val="FFFFFF"/>
                <w:spacing w:val="-1"/>
              </w:rPr>
              <w:t>Kurul</w:t>
            </w:r>
            <w:r w:rsidRPr="00B32DD7">
              <w:rPr>
                <w:rFonts w:ascii="Calibri"/>
                <w:b/>
                <w:color w:val="FFFFFF"/>
                <w:spacing w:val="-5"/>
              </w:rPr>
              <w:t xml:space="preserve"> </w:t>
            </w:r>
            <w:r w:rsidRPr="00B32DD7">
              <w:rPr>
                <w:rFonts w:ascii="Calibri"/>
                <w:b/>
                <w:color w:val="FFFFFF"/>
              </w:rPr>
              <w:t>Karar</w:t>
            </w:r>
            <w:r w:rsidRPr="00B32DD7">
              <w:rPr>
                <w:rFonts w:ascii="Calibri"/>
                <w:b/>
                <w:color w:val="FFFFFF"/>
                <w:spacing w:val="-5"/>
              </w:rPr>
              <w:t xml:space="preserve"> </w:t>
            </w:r>
            <w:r w:rsidRPr="00B32DD7">
              <w:rPr>
                <w:rFonts w:ascii="Calibri"/>
                <w:b/>
                <w:color w:val="FFFFFF"/>
                <w:spacing w:val="-1"/>
              </w:rPr>
              <w:t>Tarihi</w:t>
            </w:r>
          </w:p>
        </w:tc>
        <w:tc>
          <w:tcPr>
            <w:tcW w:w="0" w:type="auto"/>
            <w:tcBorders>
              <w:top w:val="single" w:sz="4" w:space="0" w:color="BFBFBF"/>
              <w:left w:val="single" w:sz="4" w:space="0" w:color="BFBFBF"/>
              <w:bottom w:val="single" w:sz="4" w:space="0" w:color="BFBFBF"/>
              <w:right w:val="single" w:sz="4" w:space="0" w:color="BFBFBF"/>
            </w:tcBorders>
            <w:shd w:val="clear" w:color="auto" w:fill="6E9ECA"/>
          </w:tcPr>
          <w:p w:rsidR="00FE2FC0" w:rsidRPr="00B32DD7" w:rsidRDefault="00FE2FC0" w:rsidP="00FE2FC0">
            <w:pPr>
              <w:pStyle w:val="TableParagraph"/>
              <w:spacing w:before="48"/>
              <w:ind w:left="124"/>
              <w:rPr>
                <w:rFonts w:ascii="Calibri" w:eastAsia="Calibri" w:hAnsi="Calibri" w:cs="Calibri"/>
              </w:rPr>
            </w:pPr>
            <w:r w:rsidRPr="00B32DD7">
              <w:rPr>
                <w:rFonts w:ascii="Calibri" w:hAnsi="Calibri"/>
                <w:b/>
                <w:color w:val="FFFFFF"/>
                <w:spacing w:val="-1"/>
              </w:rPr>
              <w:t>Kurul</w:t>
            </w:r>
            <w:r w:rsidRPr="00B32DD7">
              <w:rPr>
                <w:rFonts w:ascii="Calibri" w:hAnsi="Calibri"/>
                <w:b/>
                <w:color w:val="FFFFFF"/>
                <w:spacing w:val="-3"/>
              </w:rPr>
              <w:t xml:space="preserve"> </w:t>
            </w:r>
            <w:r w:rsidRPr="00B32DD7">
              <w:rPr>
                <w:rFonts w:ascii="Calibri" w:hAnsi="Calibri"/>
                <w:b/>
                <w:color w:val="FFFFFF"/>
              </w:rPr>
              <w:t>Karar</w:t>
            </w:r>
            <w:r w:rsidRPr="00B32DD7">
              <w:rPr>
                <w:rFonts w:ascii="Calibri" w:hAnsi="Calibri"/>
                <w:b/>
                <w:color w:val="FFFFFF"/>
                <w:spacing w:val="-3"/>
              </w:rPr>
              <w:t xml:space="preserve"> </w:t>
            </w:r>
            <w:r w:rsidRPr="00B32DD7">
              <w:rPr>
                <w:rFonts w:ascii="Calibri" w:hAnsi="Calibri"/>
                <w:b/>
                <w:color w:val="FFFFFF"/>
                <w:spacing w:val="-1"/>
              </w:rPr>
              <w:t>Sayısı</w:t>
            </w:r>
          </w:p>
        </w:tc>
      </w:tr>
      <w:tr w:rsidR="00FE2FC0" w:rsidRPr="00B32DD7" w:rsidTr="00FE2FC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ind w:left="65"/>
              <w:rPr>
                <w:rFonts w:eastAsia="Calibri" w:cs="Times New Roman"/>
                <w:lang w:val="tr-TR"/>
              </w:rPr>
            </w:pPr>
            <w:r w:rsidRPr="00B32DD7">
              <w:rPr>
                <w:rFonts w:eastAsia="Calibri" w:cs="Times New Roman"/>
                <w:lang w:val="tr-TR"/>
              </w:rPr>
              <w:t>Akedaş Elektrik Perakende Satış A.Ş.</w:t>
            </w:r>
          </w:p>
        </w:tc>
        <w:tc>
          <w:tcPr>
            <w:tcW w:w="0" w:type="auto"/>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ind w:left="153"/>
              <w:jc w:val="center"/>
              <w:rPr>
                <w:rFonts w:eastAsia="Calibri" w:cs="Times New Roman"/>
                <w:lang w:val="tr-TR"/>
              </w:rPr>
            </w:pPr>
            <w:r>
              <w:rPr>
                <w:rFonts w:eastAsia="Calibri" w:cs="Times New Roman"/>
                <w:lang w:val="tr-TR"/>
              </w:rPr>
              <w:t>29</w:t>
            </w:r>
            <w:r w:rsidRPr="00B32DD7">
              <w:rPr>
                <w:rFonts w:eastAsia="Calibri" w:cs="Times New Roman"/>
                <w:lang w:val="tr-TR"/>
              </w:rPr>
              <w:t>.12.202</w:t>
            </w:r>
            <w:r>
              <w:rPr>
                <w:rFonts w:eastAsia="Calibri" w:cs="Times New Roman"/>
                <w:lang w:val="tr-TR"/>
              </w:rPr>
              <w:t>2</w:t>
            </w:r>
          </w:p>
        </w:tc>
        <w:tc>
          <w:tcPr>
            <w:tcW w:w="0" w:type="auto"/>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jc w:val="center"/>
              <w:rPr>
                <w:rFonts w:eastAsia="Calibri" w:cs="Times New Roman"/>
                <w:lang w:val="tr-TR"/>
              </w:rPr>
            </w:pPr>
            <w:r>
              <w:rPr>
                <w:rFonts w:eastAsia="Calibri" w:cs="Times New Roman"/>
                <w:lang w:val="tr-TR"/>
              </w:rPr>
              <w:t>11534</w:t>
            </w:r>
            <w:r w:rsidRPr="00B32DD7">
              <w:rPr>
                <w:rFonts w:eastAsia="Calibri" w:cs="Times New Roman"/>
                <w:lang w:val="tr-TR"/>
              </w:rPr>
              <w:t>-1</w:t>
            </w:r>
          </w:p>
        </w:tc>
      </w:tr>
      <w:tr w:rsidR="00FE2FC0" w:rsidRPr="00B32DD7" w:rsidTr="00FE2FC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ind w:left="65"/>
              <w:rPr>
                <w:rFonts w:eastAsia="Calibri" w:cs="Times New Roman"/>
                <w:lang w:val="tr-TR"/>
              </w:rPr>
            </w:pPr>
            <w:r>
              <w:rPr>
                <w:rFonts w:eastAsia="Calibri" w:cs="Times New Roman"/>
                <w:lang w:val="tr-TR"/>
              </w:rPr>
              <w:t xml:space="preserve">Aksa </w:t>
            </w:r>
            <w:r w:rsidRPr="00B32DD7">
              <w:rPr>
                <w:rFonts w:eastAsia="Calibri" w:cs="Times New Roman"/>
                <w:lang w:val="tr-TR"/>
              </w:rPr>
              <w:t>Çoruh Elektrik Perakende Satış A.Ş.</w:t>
            </w:r>
          </w:p>
        </w:tc>
        <w:tc>
          <w:tcPr>
            <w:tcW w:w="0" w:type="auto"/>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ind w:left="153"/>
              <w:jc w:val="center"/>
              <w:rPr>
                <w:rFonts w:eastAsia="Calibri" w:cs="Times New Roman"/>
                <w:lang w:val="tr-TR"/>
              </w:rPr>
            </w:pPr>
            <w:r w:rsidRPr="00AC166D">
              <w:rPr>
                <w:rFonts w:eastAsia="Calibri" w:cs="Times New Roman"/>
                <w:lang w:val="tr-TR"/>
              </w:rPr>
              <w:t>29.12.2022</w:t>
            </w:r>
          </w:p>
        </w:tc>
        <w:tc>
          <w:tcPr>
            <w:tcW w:w="0" w:type="auto"/>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jc w:val="center"/>
              <w:rPr>
                <w:rFonts w:eastAsia="Calibri" w:cs="Times New Roman"/>
                <w:lang w:val="tr-TR"/>
              </w:rPr>
            </w:pPr>
            <w:r>
              <w:rPr>
                <w:rFonts w:eastAsia="Calibri" w:cs="Times New Roman"/>
                <w:lang w:val="tr-TR"/>
              </w:rPr>
              <w:t>11534</w:t>
            </w:r>
            <w:r w:rsidRPr="00B32DD7">
              <w:rPr>
                <w:rFonts w:eastAsia="Calibri" w:cs="Times New Roman"/>
                <w:lang w:val="tr-TR"/>
              </w:rPr>
              <w:t>-2</w:t>
            </w:r>
          </w:p>
        </w:tc>
      </w:tr>
      <w:tr w:rsidR="00FE2FC0" w:rsidRPr="00B32DD7" w:rsidTr="00FE2FC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ind w:left="65"/>
              <w:rPr>
                <w:rFonts w:eastAsia="Calibri" w:cs="Times New Roman"/>
                <w:lang w:val="tr-TR"/>
              </w:rPr>
            </w:pPr>
            <w:r>
              <w:rPr>
                <w:rFonts w:eastAsia="Calibri" w:cs="Times New Roman"/>
                <w:lang w:val="tr-TR"/>
              </w:rPr>
              <w:t xml:space="preserve">Aksa </w:t>
            </w:r>
            <w:r w:rsidRPr="00B32DD7">
              <w:rPr>
                <w:rFonts w:eastAsia="Calibri" w:cs="Times New Roman"/>
                <w:lang w:val="tr-TR"/>
              </w:rPr>
              <w:t>Fırat Elektrik Perakende Satış A.Ş.</w:t>
            </w:r>
          </w:p>
        </w:tc>
        <w:tc>
          <w:tcPr>
            <w:tcW w:w="0" w:type="auto"/>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ind w:left="153"/>
              <w:jc w:val="center"/>
              <w:rPr>
                <w:rFonts w:eastAsia="Calibri" w:cs="Times New Roman"/>
                <w:lang w:val="tr-TR"/>
              </w:rPr>
            </w:pPr>
            <w:r w:rsidRPr="00AC166D">
              <w:rPr>
                <w:rFonts w:eastAsia="Calibri" w:cs="Times New Roman"/>
                <w:lang w:val="tr-TR"/>
              </w:rPr>
              <w:t>29.12.2022</w:t>
            </w:r>
          </w:p>
        </w:tc>
        <w:tc>
          <w:tcPr>
            <w:tcW w:w="0" w:type="auto"/>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jc w:val="center"/>
              <w:rPr>
                <w:rFonts w:eastAsia="Calibri" w:cs="Times New Roman"/>
                <w:lang w:val="tr-TR"/>
              </w:rPr>
            </w:pPr>
            <w:r>
              <w:rPr>
                <w:rFonts w:eastAsia="Calibri" w:cs="Times New Roman"/>
                <w:lang w:val="tr-TR"/>
              </w:rPr>
              <w:t>11534</w:t>
            </w:r>
            <w:r w:rsidRPr="00B32DD7">
              <w:rPr>
                <w:rFonts w:eastAsia="Calibri" w:cs="Times New Roman"/>
                <w:lang w:val="tr-TR"/>
              </w:rPr>
              <w:t>-3</w:t>
            </w:r>
          </w:p>
        </w:tc>
      </w:tr>
      <w:tr w:rsidR="00FE2FC0" w:rsidRPr="00B32DD7" w:rsidTr="00FE2FC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ind w:left="65"/>
              <w:rPr>
                <w:rFonts w:eastAsia="Calibri" w:cs="Times New Roman"/>
                <w:lang w:val="tr-TR"/>
              </w:rPr>
            </w:pPr>
            <w:r w:rsidRPr="00B32DD7">
              <w:rPr>
                <w:rFonts w:eastAsia="Calibri" w:cs="Times New Roman"/>
                <w:lang w:val="tr-TR"/>
              </w:rPr>
              <w:t>Aras Elektrik Perakende Satış A.Ş.</w:t>
            </w:r>
          </w:p>
        </w:tc>
        <w:tc>
          <w:tcPr>
            <w:tcW w:w="0" w:type="auto"/>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ind w:left="153"/>
              <w:jc w:val="center"/>
              <w:rPr>
                <w:rFonts w:eastAsia="Calibri" w:cs="Times New Roman"/>
                <w:lang w:val="tr-TR"/>
              </w:rPr>
            </w:pPr>
            <w:r w:rsidRPr="00AC166D">
              <w:rPr>
                <w:rFonts w:eastAsia="Calibri" w:cs="Times New Roman"/>
                <w:lang w:val="tr-TR"/>
              </w:rPr>
              <w:t>29.12.2022</w:t>
            </w:r>
          </w:p>
        </w:tc>
        <w:tc>
          <w:tcPr>
            <w:tcW w:w="0" w:type="auto"/>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jc w:val="center"/>
              <w:rPr>
                <w:rFonts w:eastAsia="Calibri" w:cs="Times New Roman"/>
                <w:lang w:val="tr-TR"/>
              </w:rPr>
            </w:pPr>
            <w:r>
              <w:rPr>
                <w:rFonts w:eastAsia="Calibri" w:cs="Times New Roman"/>
                <w:lang w:val="tr-TR"/>
              </w:rPr>
              <w:t>11534</w:t>
            </w:r>
            <w:r w:rsidRPr="00B32DD7">
              <w:rPr>
                <w:rFonts w:eastAsia="Calibri" w:cs="Times New Roman"/>
                <w:lang w:val="tr-TR"/>
              </w:rPr>
              <w:t>-4</w:t>
            </w:r>
          </w:p>
        </w:tc>
      </w:tr>
      <w:tr w:rsidR="00FE2FC0" w:rsidRPr="00B32DD7" w:rsidTr="00FE2FC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ind w:left="65"/>
              <w:rPr>
                <w:rFonts w:eastAsia="Calibri" w:cs="Times New Roman"/>
                <w:lang w:val="tr-TR"/>
              </w:rPr>
            </w:pPr>
            <w:r w:rsidRPr="00B32DD7">
              <w:rPr>
                <w:rFonts w:eastAsia="Calibri" w:cs="Times New Roman"/>
                <w:lang w:val="tr-TR"/>
              </w:rPr>
              <w:t>Aydem Elektrik Perakende Satış A.Ş.</w:t>
            </w:r>
          </w:p>
        </w:tc>
        <w:tc>
          <w:tcPr>
            <w:tcW w:w="0" w:type="auto"/>
            <w:tcBorders>
              <w:top w:val="single" w:sz="4" w:space="0" w:color="BFBFBF"/>
              <w:left w:val="single" w:sz="4" w:space="0" w:color="BFBFBF"/>
              <w:bottom w:val="single" w:sz="4" w:space="0" w:color="BFBFBF"/>
              <w:right w:val="single" w:sz="4" w:space="0" w:color="BFBFBF"/>
            </w:tcBorders>
          </w:tcPr>
          <w:p w:rsidR="00FE2FC0" w:rsidRPr="00AC166D" w:rsidRDefault="00FE2FC0" w:rsidP="00FE2FC0">
            <w:pPr>
              <w:pStyle w:val="TableParagraph"/>
              <w:spacing w:before="20"/>
              <w:ind w:left="153"/>
              <w:jc w:val="center"/>
              <w:rPr>
                <w:rFonts w:eastAsia="Calibri" w:cs="Times New Roman"/>
                <w:lang w:val="tr-TR"/>
              </w:rPr>
            </w:pPr>
            <w:r w:rsidRPr="00AC166D">
              <w:rPr>
                <w:rFonts w:eastAsia="Calibri" w:cs="Times New Roman"/>
                <w:lang w:val="tr-TR"/>
              </w:rPr>
              <w:t>29.12.2022</w:t>
            </w:r>
          </w:p>
        </w:tc>
        <w:tc>
          <w:tcPr>
            <w:tcW w:w="0" w:type="auto"/>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jc w:val="center"/>
              <w:rPr>
                <w:rFonts w:eastAsia="Calibri" w:cs="Times New Roman"/>
                <w:lang w:val="tr-TR"/>
              </w:rPr>
            </w:pPr>
            <w:r>
              <w:rPr>
                <w:rFonts w:eastAsia="Calibri" w:cs="Times New Roman"/>
                <w:lang w:val="tr-TR"/>
              </w:rPr>
              <w:t>11534</w:t>
            </w:r>
            <w:r w:rsidRPr="00B32DD7">
              <w:rPr>
                <w:rFonts w:eastAsia="Calibri" w:cs="Times New Roman"/>
                <w:lang w:val="tr-TR"/>
              </w:rPr>
              <w:t>-5</w:t>
            </w:r>
          </w:p>
        </w:tc>
      </w:tr>
      <w:tr w:rsidR="00FE2FC0" w:rsidRPr="00B32DD7" w:rsidTr="00FE2FC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ind w:left="65"/>
              <w:rPr>
                <w:rFonts w:eastAsia="Calibri" w:cs="Times New Roman"/>
                <w:lang w:val="tr-TR"/>
              </w:rPr>
            </w:pPr>
            <w:r w:rsidRPr="00B32DD7">
              <w:rPr>
                <w:rFonts w:eastAsia="Calibri" w:cs="Times New Roman"/>
                <w:lang w:val="tr-TR"/>
              </w:rPr>
              <w:t>CK Akdeniz Elektrik Perakende Satış A.Ş.</w:t>
            </w:r>
          </w:p>
        </w:tc>
        <w:tc>
          <w:tcPr>
            <w:tcW w:w="0" w:type="auto"/>
            <w:tcBorders>
              <w:top w:val="single" w:sz="4" w:space="0" w:color="BFBFBF"/>
              <w:left w:val="single" w:sz="4" w:space="0" w:color="BFBFBF"/>
              <w:bottom w:val="single" w:sz="4" w:space="0" w:color="BFBFBF"/>
              <w:right w:val="single" w:sz="4" w:space="0" w:color="BFBFBF"/>
            </w:tcBorders>
          </w:tcPr>
          <w:p w:rsidR="00FE2FC0" w:rsidRPr="00AC166D" w:rsidRDefault="00FE2FC0" w:rsidP="00FE2FC0">
            <w:pPr>
              <w:pStyle w:val="TableParagraph"/>
              <w:spacing w:before="20"/>
              <w:ind w:left="153"/>
              <w:jc w:val="center"/>
              <w:rPr>
                <w:rFonts w:eastAsia="Calibri" w:cs="Times New Roman"/>
                <w:lang w:val="tr-TR"/>
              </w:rPr>
            </w:pPr>
            <w:r w:rsidRPr="00AC166D">
              <w:rPr>
                <w:rFonts w:eastAsia="Calibri" w:cs="Times New Roman"/>
                <w:lang w:val="tr-TR"/>
              </w:rPr>
              <w:t>29.12.2022</w:t>
            </w:r>
          </w:p>
        </w:tc>
        <w:tc>
          <w:tcPr>
            <w:tcW w:w="0" w:type="auto"/>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jc w:val="center"/>
              <w:rPr>
                <w:rFonts w:eastAsia="Calibri" w:cs="Times New Roman"/>
                <w:lang w:val="tr-TR"/>
              </w:rPr>
            </w:pPr>
            <w:r>
              <w:rPr>
                <w:rFonts w:eastAsia="Calibri" w:cs="Times New Roman"/>
                <w:lang w:val="tr-TR"/>
              </w:rPr>
              <w:t>11534</w:t>
            </w:r>
            <w:r w:rsidRPr="00B32DD7">
              <w:rPr>
                <w:rFonts w:eastAsia="Calibri" w:cs="Times New Roman"/>
                <w:lang w:val="tr-TR"/>
              </w:rPr>
              <w:t>-6</w:t>
            </w:r>
          </w:p>
        </w:tc>
      </w:tr>
      <w:tr w:rsidR="00FE2FC0" w:rsidRPr="00B32DD7" w:rsidTr="00FE2FC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ind w:left="65"/>
              <w:rPr>
                <w:rFonts w:eastAsia="Calibri" w:cs="Times New Roman"/>
                <w:lang w:val="tr-TR"/>
              </w:rPr>
            </w:pPr>
            <w:r w:rsidRPr="00B32DD7">
              <w:rPr>
                <w:rFonts w:eastAsia="Calibri" w:cs="Times New Roman"/>
                <w:lang w:val="tr-TR"/>
              </w:rPr>
              <w:t>CK Boğaziçi Elektrik Perakende Satış A.Ş.</w:t>
            </w:r>
          </w:p>
        </w:tc>
        <w:tc>
          <w:tcPr>
            <w:tcW w:w="0" w:type="auto"/>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ind w:left="153"/>
              <w:jc w:val="center"/>
              <w:rPr>
                <w:rFonts w:eastAsia="Calibri" w:cs="Times New Roman"/>
                <w:lang w:val="tr-TR"/>
              </w:rPr>
            </w:pPr>
            <w:r w:rsidRPr="00AC166D">
              <w:rPr>
                <w:rFonts w:eastAsia="Calibri" w:cs="Times New Roman"/>
                <w:lang w:val="tr-TR"/>
              </w:rPr>
              <w:t>29.12.2022</w:t>
            </w:r>
          </w:p>
        </w:tc>
        <w:tc>
          <w:tcPr>
            <w:tcW w:w="0" w:type="auto"/>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jc w:val="center"/>
              <w:rPr>
                <w:rFonts w:eastAsia="Calibri" w:cs="Times New Roman"/>
                <w:lang w:val="tr-TR"/>
              </w:rPr>
            </w:pPr>
            <w:r>
              <w:rPr>
                <w:rFonts w:eastAsia="Calibri" w:cs="Times New Roman"/>
                <w:lang w:val="tr-TR"/>
              </w:rPr>
              <w:t>11534</w:t>
            </w:r>
            <w:r w:rsidRPr="00B32DD7">
              <w:rPr>
                <w:rFonts w:eastAsia="Calibri" w:cs="Times New Roman"/>
                <w:lang w:val="tr-TR"/>
              </w:rPr>
              <w:t>-7</w:t>
            </w:r>
          </w:p>
        </w:tc>
      </w:tr>
      <w:tr w:rsidR="00FE2FC0" w:rsidRPr="00B32DD7" w:rsidTr="00FE2FC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ind w:left="65"/>
              <w:rPr>
                <w:rFonts w:eastAsia="Calibri" w:cs="Times New Roman"/>
                <w:lang w:val="tr-TR"/>
              </w:rPr>
            </w:pPr>
            <w:r w:rsidRPr="00B32DD7">
              <w:rPr>
                <w:rFonts w:eastAsia="Calibri" w:cs="Times New Roman"/>
                <w:lang w:val="tr-TR"/>
              </w:rPr>
              <w:t>CK Çamlıbel Elektrik Perakende Satış A.Ş.</w:t>
            </w:r>
          </w:p>
        </w:tc>
        <w:tc>
          <w:tcPr>
            <w:tcW w:w="0" w:type="auto"/>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ind w:left="153"/>
              <w:jc w:val="center"/>
              <w:rPr>
                <w:rFonts w:eastAsia="Calibri" w:cs="Times New Roman"/>
                <w:lang w:val="tr-TR"/>
              </w:rPr>
            </w:pPr>
            <w:r w:rsidRPr="00AC166D">
              <w:rPr>
                <w:rFonts w:eastAsia="Calibri" w:cs="Times New Roman"/>
                <w:lang w:val="tr-TR"/>
              </w:rPr>
              <w:t>29.12.2022</w:t>
            </w:r>
          </w:p>
        </w:tc>
        <w:tc>
          <w:tcPr>
            <w:tcW w:w="0" w:type="auto"/>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jc w:val="center"/>
              <w:rPr>
                <w:rFonts w:eastAsia="Calibri" w:cs="Times New Roman"/>
                <w:lang w:val="tr-TR"/>
              </w:rPr>
            </w:pPr>
            <w:r>
              <w:rPr>
                <w:rFonts w:eastAsia="Calibri" w:cs="Times New Roman"/>
                <w:lang w:val="tr-TR"/>
              </w:rPr>
              <w:t>11534</w:t>
            </w:r>
            <w:r w:rsidRPr="00B32DD7">
              <w:rPr>
                <w:rFonts w:eastAsia="Calibri" w:cs="Times New Roman"/>
                <w:lang w:val="tr-TR"/>
              </w:rPr>
              <w:t>-8</w:t>
            </w:r>
          </w:p>
        </w:tc>
      </w:tr>
      <w:tr w:rsidR="00FE2FC0" w:rsidRPr="00B32DD7" w:rsidTr="00FE2FC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ind w:left="65"/>
              <w:rPr>
                <w:rFonts w:eastAsia="Calibri" w:cs="Times New Roman"/>
                <w:lang w:val="tr-TR"/>
              </w:rPr>
            </w:pPr>
            <w:r w:rsidRPr="00B32DD7">
              <w:rPr>
                <w:rFonts w:eastAsia="Calibri" w:cs="Times New Roman"/>
                <w:lang w:val="tr-TR"/>
              </w:rPr>
              <w:t>Dicle Elektrik Perakende Satış A.Ş.</w:t>
            </w:r>
          </w:p>
        </w:tc>
        <w:tc>
          <w:tcPr>
            <w:tcW w:w="0" w:type="auto"/>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ind w:left="153"/>
              <w:jc w:val="center"/>
              <w:rPr>
                <w:rFonts w:eastAsia="Calibri" w:cs="Times New Roman"/>
                <w:lang w:val="tr-TR"/>
              </w:rPr>
            </w:pPr>
            <w:r w:rsidRPr="00AC166D">
              <w:rPr>
                <w:rFonts w:eastAsia="Calibri" w:cs="Times New Roman"/>
                <w:lang w:val="tr-TR"/>
              </w:rPr>
              <w:t>29.12.2022</w:t>
            </w:r>
          </w:p>
        </w:tc>
        <w:tc>
          <w:tcPr>
            <w:tcW w:w="0" w:type="auto"/>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jc w:val="center"/>
              <w:rPr>
                <w:rFonts w:eastAsia="Calibri" w:cs="Times New Roman"/>
                <w:lang w:val="tr-TR"/>
              </w:rPr>
            </w:pPr>
            <w:r>
              <w:rPr>
                <w:rFonts w:eastAsia="Calibri" w:cs="Times New Roman"/>
                <w:lang w:val="tr-TR"/>
              </w:rPr>
              <w:t>11534</w:t>
            </w:r>
            <w:r w:rsidRPr="00B32DD7">
              <w:rPr>
                <w:rFonts w:eastAsia="Calibri" w:cs="Times New Roman"/>
                <w:lang w:val="tr-TR"/>
              </w:rPr>
              <w:t>-9</w:t>
            </w:r>
          </w:p>
        </w:tc>
      </w:tr>
      <w:tr w:rsidR="00FE2FC0" w:rsidRPr="00B32DD7" w:rsidTr="00FE2FC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ind w:left="65"/>
              <w:rPr>
                <w:rFonts w:eastAsia="Calibri" w:cs="Times New Roman"/>
                <w:lang w:val="tr-TR"/>
              </w:rPr>
            </w:pPr>
            <w:r w:rsidRPr="00B32DD7">
              <w:rPr>
                <w:rFonts w:eastAsia="Calibri" w:cs="Times New Roman"/>
                <w:lang w:val="tr-TR"/>
              </w:rPr>
              <w:t>Enerjisa Başkent Elektrik Perakende Satış A.Ş.</w:t>
            </w:r>
          </w:p>
        </w:tc>
        <w:tc>
          <w:tcPr>
            <w:tcW w:w="0" w:type="auto"/>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ind w:left="153"/>
              <w:jc w:val="center"/>
              <w:rPr>
                <w:rFonts w:eastAsia="Calibri" w:cs="Times New Roman"/>
                <w:lang w:val="tr-TR"/>
              </w:rPr>
            </w:pPr>
            <w:r w:rsidRPr="00AC166D">
              <w:rPr>
                <w:rFonts w:eastAsia="Calibri" w:cs="Times New Roman"/>
                <w:lang w:val="tr-TR"/>
              </w:rPr>
              <w:t>29.12.2022</w:t>
            </w:r>
          </w:p>
        </w:tc>
        <w:tc>
          <w:tcPr>
            <w:tcW w:w="0" w:type="auto"/>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jc w:val="center"/>
              <w:rPr>
                <w:rFonts w:eastAsia="Calibri" w:cs="Times New Roman"/>
                <w:lang w:val="tr-TR"/>
              </w:rPr>
            </w:pPr>
            <w:r>
              <w:rPr>
                <w:rFonts w:eastAsia="Calibri" w:cs="Times New Roman"/>
                <w:lang w:val="tr-TR"/>
              </w:rPr>
              <w:t>11534</w:t>
            </w:r>
            <w:r w:rsidRPr="00B32DD7">
              <w:rPr>
                <w:rFonts w:eastAsia="Calibri" w:cs="Times New Roman"/>
                <w:lang w:val="tr-TR"/>
              </w:rPr>
              <w:t>-10</w:t>
            </w:r>
          </w:p>
        </w:tc>
      </w:tr>
      <w:tr w:rsidR="00FE2FC0" w:rsidRPr="00B32DD7" w:rsidTr="00FE2FC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ind w:left="65"/>
              <w:rPr>
                <w:rFonts w:eastAsia="Calibri" w:cs="Times New Roman"/>
                <w:lang w:val="tr-TR"/>
              </w:rPr>
            </w:pPr>
            <w:r w:rsidRPr="00B32DD7">
              <w:rPr>
                <w:rFonts w:eastAsia="Calibri" w:cs="Times New Roman"/>
                <w:lang w:val="tr-TR"/>
              </w:rPr>
              <w:t>Enerjisa İstanbul Anadolu</w:t>
            </w:r>
            <w:r>
              <w:rPr>
                <w:rFonts w:eastAsia="Calibri" w:cs="Times New Roman"/>
                <w:lang w:val="tr-TR"/>
              </w:rPr>
              <w:t xml:space="preserve"> Yakası</w:t>
            </w:r>
            <w:r w:rsidRPr="00B32DD7">
              <w:rPr>
                <w:rFonts w:eastAsia="Calibri" w:cs="Times New Roman"/>
                <w:lang w:val="tr-TR"/>
              </w:rPr>
              <w:t xml:space="preserve"> Elektrik Perakende Satış A.Ş.</w:t>
            </w:r>
          </w:p>
        </w:tc>
        <w:tc>
          <w:tcPr>
            <w:tcW w:w="0" w:type="auto"/>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ind w:left="153"/>
              <w:jc w:val="center"/>
              <w:rPr>
                <w:rFonts w:eastAsia="Calibri" w:cs="Times New Roman"/>
                <w:lang w:val="tr-TR"/>
              </w:rPr>
            </w:pPr>
            <w:r w:rsidRPr="00AC166D">
              <w:rPr>
                <w:rFonts w:eastAsia="Calibri" w:cs="Times New Roman"/>
                <w:lang w:val="tr-TR"/>
              </w:rPr>
              <w:t>29.12.2022</w:t>
            </w:r>
          </w:p>
        </w:tc>
        <w:tc>
          <w:tcPr>
            <w:tcW w:w="0" w:type="auto"/>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jc w:val="center"/>
              <w:rPr>
                <w:rFonts w:eastAsia="Calibri" w:cs="Times New Roman"/>
                <w:lang w:val="tr-TR"/>
              </w:rPr>
            </w:pPr>
            <w:r>
              <w:rPr>
                <w:rFonts w:eastAsia="Calibri" w:cs="Times New Roman"/>
                <w:lang w:val="tr-TR"/>
              </w:rPr>
              <w:t>11534</w:t>
            </w:r>
            <w:r w:rsidRPr="00B32DD7">
              <w:rPr>
                <w:rFonts w:eastAsia="Calibri" w:cs="Times New Roman"/>
                <w:lang w:val="tr-TR"/>
              </w:rPr>
              <w:t>-11</w:t>
            </w:r>
          </w:p>
        </w:tc>
      </w:tr>
      <w:tr w:rsidR="00FE2FC0" w:rsidRPr="00B32DD7" w:rsidTr="00FE2FC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ind w:left="65"/>
              <w:rPr>
                <w:rFonts w:eastAsia="Calibri" w:cs="Times New Roman"/>
                <w:lang w:val="tr-TR"/>
              </w:rPr>
            </w:pPr>
            <w:r w:rsidRPr="00B32DD7">
              <w:rPr>
                <w:rFonts w:eastAsia="Calibri" w:cs="Times New Roman"/>
                <w:lang w:val="tr-TR"/>
              </w:rPr>
              <w:lastRenderedPageBreak/>
              <w:t>Enerjisa Toroslar Elektrik Perakende Satış A.Ş.</w:t>
            </w:r>
          </w:p>
        </w:tc>
        <w:tc>
          <w:tcPr>
            <w:tcW w:w="0" w:type="auto"/>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ind w:left="153"/>
              <w:jc w:val="center"/>
              <w:rPr>
                <w:rFonts w:eastAsia="Calibri" w:cs="Times New Roman"/>
                <w:lang w:val="tr-TR"/>
              </w:rPr>
            </w:pPr>
            <w:r w:rsidRPr="00AC166D">
              <w:rPr>
                <w:rFonts w:eastAsia="Calibri" w:cs="Times New Roman"/>
                <w:lang w:val="tr-TR"/>
              </w:rPr>
              <w:t>29.12.2022</w:t>
            </w:r>
          </w:p>
        </w:tc>
        <w:tc>
          <w:tcPr>
            <w:tcW w:w="0" w:type="auto"/>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jc w:val="center"/>
              <w:rPr>
                <w:rFonts w:eastAsia="Calibri" w:cs="Times New Roman"/>
                <w:lang w:val="tr-TR"/>
              </w:rPr>
            </w:pPr>
            <w:r>
              <w:rPr>
                <w:rFonts w:eastAsia="Calibri" w:cs="Times New Roman"/>
                <w:lang w:val="tr-TR"/>
              </w:rPr>
              <w:t>11534</w:t>
            </w:r>
            <w:r w:rsidRPr="00B32DD7">
              <w:rPr>
                <w:rFonts w:eastAsia="Calibri" w:cs="Times New Roman"/>
                <w:lang w:val="tr-TR"/>
              </w:rPr>
              <w:t>-12</w:t>
            </w:r>
          </w:p>
        </w:tc>
      </w:tr>
      <w:tr w:rsidR="00FE2FC0" w:rsidRPr="00B32DD7" w:rsidTr="00FE2FC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ind w:left="65"/>
              <w:rPr>
                <w:rFonts w:eastAsia="Calibri" w:cs="Times New Roman"/>
                <w:lang w:val="tr-TR"/>
              </w:rPr>
            </w:pPr>
            <w:r w:rsidRPr="00B32DD7">
              <w:rPr>
                <w:rFonts w:eastAsia="Calibri" w:cs="Times New Roman"/>
                <w:lang w:val="tr-TR"/>
              </w:rPr>
              <w:t>Gediz Elektrik Perakende Satış A.Ş.</w:t>
            </w:r>
          </w:p>
        </w:tc>
        <w:tc>
          <w:tcPr>
            <w:tcW w:w="0" w:type="auto"/>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ind w:left="153"/>
              <w:jc w:val="center"/>
              <w:rPr>
                <w:rFonts w:eastAsia="Calibri" w:cs="Times New Roman"/>
                <w:lang w:val="tr-TR"/>
              </w:rPr>
            </w:pPr>
            <w:r w:rsidRPr="00AC166D">
              <w:rPr>
                <w:rFonts w:eastAsia="Calibri" w:cs="Times New Roman"/>
                <w:lang w:val="tr-TR"/>
              </w:rPr>
              <w:t>29.12.2022</w:t>
            </w:r>
          </w:p>
        </w:tc>
        <w:tc>
          <w:tcPr>
            <w:tcW w:w="0" w:type="auto"/>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jc w:val="center"/>
              <w:rPr>
                <w:rFonts w:eastAsia="Calibri" w:cs="Times New Roman"/>
                <w:lang w:val="tr-TR"/>
              </w:rPr>
            </w:pPr>
            <w:r>
              <w:rPr>
                <w:rFonts w:eastAsia="Calibri" w:cs="Times New Roman"/>
                <w:lang w:val="tr-TR"/>
              </w:rPr>
              <w:t>11534</w:t>
            </w:r>
            <w:r w:rsidRPr="00B32DD7">
              <w:rPr>
                <w:rFonts w:eastAsia="Calibri" w:cs="Times New Roman"/>
                <w:lang w:val="tr-TR"/>
              </w:rPr>
              <w:t>-13</w:t>
            </w:r>
          </w:p>
        </w:tc>
      </w:tr>
      <w:tr w:rsidR="00FE2FC0" w:rsidRPr="00B32DD7" w:rsidTr="00FE2FC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ind w:left="65"/>
              <w:rPr>
                <w:rFonts w:eastAsia="Calibri" w:cs="Times New Roman"/>
                <w:lang w:val="tr-TR"/>
              </w:rPr>
            </w:pPr>
            <w:r w:rsidRPr="00B32DD7">
              <w:rPr>
                <w:rFonts w:eastAsia="Calibri" w:cs="Times New Roman"/>
                <w:lang w:val="tr-TR"/>
              </w:rPr>
              <w:t>Kayseri Elektrik Perakende Satış A.Ş.</w:t>
            </w:r>
          </w:p>
        </w:tc>
        <w:tc>
          <w:tcPr>
            <w:tcW w:w="0" w:type="auto"/>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ind w:left="153"/>
              <w:jc w:val="center"/>
              <w:rPr>
                <w:rFonts w:eastAsia="Calibri" w:cs="Times New Roman"/>
                <w:lang w:val="tr-TR"/>
              </w:rPr>
            </w:pPr>
            <w:r w:rsidRPr="00AC166D">
              <w:rPr>
                <w:rFonts w:eastAsia="Calibri" w:cs="Times New Roman"/>
                <w:lang w:val="tr-TR"/>
              </w:rPr>
              <w:t>29.12.2022</w:t>
            </w:r>
          </w:p>
        </w:tc>
        <w:tc>
          <w:tcPr>
            <w:tcW w:w="0" w:type="auto"/>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jc w:val="center"/>
              <w:rPr>
                <w:rFonts w:eastAsia="Calibri" w:cs="Times New Roman"/>
                <w:lang w:val="tr-TR"/>
              </w:rPr>
            </w:pPr>
            <w:r>
              <w:rPr>
                <w:rFonts w:eastAsia="Calibri" w:cs="Times New Roman"/>
                <w:lang w:val="tr-TR"/>
              </w:rPr>
              <w:t>11534</w:t>
            </w:r>
            <w:r w:rsidRPr="00B32DD7">
              <w:rPr>
                <w:rFonts w:eastAsia="Calibri" w:cs="Times New Roman"/>
                <w:lang w:val="tr-TR"/>
              </w:rPr>
              <w:t>-14</w:t>
            </w:r>
          </w:p>
        </w:tc>
      </w:tr>
      <w:tr w:rsidR="00FE2FC0" w:rsidRPr="00B32DD7" w:rsidTr="00FE2FC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ind w:left="65"/>
              <w:rPr>
                <w:rFonts w:eastAsia="Calibri" w:cs="Times New Roman"/>
                <w:lang w:val="tr-TR"/>
              </w:rPr>
            </w:pPr>
            <w:r w:rsidRPr="00B32DD7">
              <w:rPr>
                <w:rFonts w:eastAsia="Calibri" w:cs="Times New Roman"/>
                <w:lang w:val="tr-TR"/>
              </w:rPr>
              <w:t>Meram Elektrik Perakende Satış A.Ş.</w:t>
            </w:r>
          </w:p>
        </w:tc>
        <w:tc>
          <w:tcPr>
            <w:tcW w:w="0" w:type="auto"/>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ind w:left="153"/>
              <w:jc w:val="center"/>
              <w:rPr>
                <w:rFonts w:eastAsia="Calibri" w:cs="Times New Roman"/>
                <w:lang w:val="tr-TR"/>
              </w:rPr>
            </w:pPr>
            <w:r w:rsidRPr="00AC166D">
              <w:rPr>
                <w:rFonts w:eastAsia="Calibri" w:cs="Times New Roman"/>
                <w:lang w:val="tr-TR"/>
              </w:rPr>
              <w:t>29.12.2022</w:t>
            </w:r>
          </w:p>
        </w:tc>
        <w:tc>
          <w:tcPr>
            <w:tcW w:w="0" w:type="auto"/>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jc w:val="center"/>
              <w:rPr>
                <w:rFonts w:eastAsia="Calibri" w:cs="Times New Roman"/>
                <w:lang w:val="tr-TR"/>
              </w:rPr>
            </w:pPr>
            <w:r>
              <w:rPr>
                <w:rFonts w:eastAsia="Calibri" w:cs="Times New Roman"/>
                <w:lang w:val="tr-TR"/>
              </w:rPr>
              <w:t>11534</w:t>
            </w:r>
            <w:r w:rsidRPr="00B32DD7">
              <w:rPr>
                <w:rFonts w:eastAsia="Calibri" w:cs="Times New Roman"/>
                <w:lang w:val="tr-TR"/>
              </w:rPr>
              <w:t>-15</w:t>
            </w:r>
          </w:p>
        </w:tc>
      </w:tr>
      <w:tr w:rsidR="00FE2FC0" w:rsidRPr="00B32DD7" w:rsidTr="00FE2FC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ind w:left="65"/>
              <w:rPr>
                <w:rFonts w:eastAsia="Calibri" w:cs="Times New Roman"/>
                <w:lang w:val="tr-TR"/>
              </w:rPr>
            </w:pPr>
            <w:r w:rsidRPr="00B32DD7">
              <w:rPr>
                <w:rFonts w:eastAsia="Calibri" w:cs="Times New Roman"/>
                <w:lang w:val="tr-TR"/>
              </w:rPr>
              <w:t>Osmangazi Elektrik Perakende Satış A.Ş.</w:t>
            </w:r>
          </w:p>
        </w:tc>
        <w:tc>
          <w:tcPr>
            <w:tcW w:w="0" w:type="auto"/>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ind w:left="153"/>
              <w:jc w:val="center"/>
              <w:rPr>
                <w:rFonts w:eastAsia="Calibri" w:cs="Times New Roman"/>
                <w:lang w:val="tr-TR"/>
              </w:rPr>
            </w:pPr>
            <w:r w:rsidRPr="00AC166D">
              <w:rPr>
                <w:rFonts w:eastAsia="Calibri" w:cs="Times New Roman"/>
                <w:lang w:val="tr-TR"/>
              </w:rPr>
              <w:t>29.12.2022</w:t>
            </w:r>
          </w:p>
        </w:tc>
        <w:tc>
          <w:tcPr>
            <w:tcW w:w="0" w:type="auto"/>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jc w:val="center"/>
              <w:rPr>
                <w:rFonts w:eastAsia="Calibri" w:cs="Times New Roman"/>
                <w:lang w:val="tr-TR"/>
              </w:rPr>
            </w:pPr>
            <w:r>
              <w:rPr>
                <w:rFonts w:eastAsia="Calibri" w:cs="Times New Roman"/>
                <w:lang w:val="tr-TR"/>
              </w:rPr>
              <w:t>11534</w:t>
            </w:r>
            <w:r w:rsidRPr="00B32DD7">
              <w:rPr>
                <w:rFonts w:eastAsia="Calibri" w:cs="Times New Roman"/>
                <w:lang w:val="tr-TR"/>
              </w:rPr>
              <w:t>-16</w:t>
            </w:r>
          </w:p>
        </w:tc>
      </w:tr>
      <w:tr w:rsidR="00FE2FC0" w:rsidRPr="00B32DD7" w:rsidTr="00FE2FC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ind w:left="65"/>
              <w:rPr>
                <w:rFonts w:eastAsia="Calibri" w:cs="Times New Roman"/>
                <w:lang w:val="tr-TR"/>
              </w:rPr>
            </w:pPr>
            <w:r w:rsidRPr="00B32DD7">
              <w:rPr>
                <w:rFonts w:eastAsia="Calibri" w:cs="Times New Roman"/>
                <w:lang w:val="tr-TR"/>
              </w:rPr>
              <w:t>Sakarya Elektrik Perakende Satış A.Ş.</w:t>
            </w:r>
          </w:p>
        </w:tc>
        <w:tc>
          <w:tcPr>
            <w:tcW w:w="0" w:type="auto"/>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ind w:left="153"/>
              <w:jc w:val="center"/>
              <w:rPr>
                <w:rFonts w:eastAsia="Calibri" w:cs="Times New Roman"/>
                <w:lang w:val="tr-TR"/>
              </w:rPr>
            </w:pPr>
            <w:r w:rsidRPr="00AC166D">
              <w:rPr>
                <w:rFonts w:eastAsia="Calibri" w:cs="Times New Roman"/>
                <w:lang w:val="tr-TR"/>
              </w:rPr>
              <w:t>29.12.2022</w:t>
            </w:r>
          </w:p>
        </w:tc>
        <w:tc>
          <w:tcPr>
            <w:tcW w:w="0" w:type="auto"/>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jc w:val="center"/>
              <w:rPr>
                <w:rFonts w:eastAsia="Calibri" w:cs="Times New Roman"/>
                <w:lang w:val="tr-TR"/>
              </w:rPr>
            </w:pPr>
            <w:r>
              <w:rPr>
                <w:rFonts w:eastAsia="Calibri" w:cs="Times New Roman"/>
                <w:lang w:val="tr-TR"/>
              </w:rPr>
              <w:t>11534</w:t>
            </w:r>
            <w:r w:rsidRPr="00B32DD7">
              <w:rPr>
                <w:rFonts w:eastAsia="Calibri" w:cs="Times New Roman"/>
                <w:lang w:val="tr-TR"/>
              </w:rPr>
              <w:t>-17</w:t>
            </w:r>
          </w:p>
        </w:tc>
      </w:tr>
      <w:tr w:rsidR="00FE2FC0" w:rsidRPr="00B32DD7" w:rsidTr="00FE2FC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ind w:left="65"/>
              <w:rPr>
                <w:rFonts w:eastAsia="Calibri" w:cs="Times New Roman"/>
                <w:lang w:val="tr-TR"/>
              </w:rPr>
            </w:pPr>
            <w:r w:rsidRPr="00B32DD7">
              <w:rPr>
                <w:rFonts w:eastAsia="Calibri" w:cs="Times New Roman"/>
                <w:lang w:val="tr-TR"/>
              </w:rPr>
              <w:t>Trakya Elektrik Perakende Satış A.Ş.</w:t>
            </w:r>
          </w:p>
        </w:tc>
        <w:tc>
          <w:tcPr>
            <w:tcW w:w="0" w:type="auto"/>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ind w:left="153"/>
              <w:jc w:val="center"/>
              <w:rPr>
                <w:rFonts w:eastAsia="Calibri" w:cs="Times New Roman"/>
                <w:lang w:val="tr-TR"/>
              </w:rPr>
            </w:pPr>
            <w:r w:rsidRPr="00AC166D">
              <w:rPr>
                <w:rFonts w:eastAsia="Calibri" w:cs="Times New Roman"/>
                <w:lang w:val="tr-TR"/>
              </w:rPr>
              <w:t>29.12.2022</w:t>
            </w:r>
          </w:p>
        </w:tc>
        <w:tc>
          <w:tcPr>
            <w:tcW w:w="0" w:type="auto"/>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jc w:val="center"/>
              <w:rPr>
                <w:rFonts w:eastAsia="Calibri" w:cs="Times New Roman"/>
                <w:lang w:val="tr-TR"/>
              </w:rPr>
            </w:pPr>
            <w:r>
              <w:rPr>
                <w:rFonts w:eastAsia="Calibri" w:cs="Times New Roman"/>
                <w:lang w:val="tr-TR"/>
              </w:rPr>
              <w:t>11534</w:t>
            </w:r>
            <w:r w:rsidRPr="00B32DD7">
              <w:rPr>
                <w:rFonts w:eastAsia="Calibri" w:cs="Times New Roman"/>
                <w:lang w:val="tr-TR"/>
              </w:rPr>
              <w:t>-18</w:t>
            </w:r>
          </w:p>
        </w:tc>
      </w:tr>
      <w:tr w:rsidR="00FE2FC0" w:rsidRPr="00B32DD7" w:rsidTr="00FE2FC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ind w:left="65"/>
              <w:rPr>
                <w:rFonts w:eastAsia="Calibri" w:cs="Times New Roman"/>
                <w:lang w:val="tr-TR"/>
              </w:rPr>
            </w:pPr>
            <w:r w:rsidRPr="00B32DD7">
              <w:rPr>
                <w:rFonts w:eastAsia="Calibri" w:cs="Times New Roman"/>
                <w:lang w:val="tr-TR"/>
              </w:rPr>
              <w:t>Türkerler Vangölü Elektrik Perakende Satış A.Ş.</w:t>
            </w:r>
          </w:p>
        </w:tc>
        <w:tc>
          <w:tcPr>
            <w:tcW w:w="0" w:type="auto"/>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ind w:left="153"/>
              <w:jc w:val="center"/>
              <w:rPr>
                <w:rFonts w:eastAsia="Calibri" w:cs="Times New Roman"/>
                <w:lang w:val="tr-TR"/>
              </w:rPr>
            </w:pPr>
            <w:r w:rsidRPr="00AC166D">
              <w:rPr>
                <w:rFonts w:eastAsia="Calibri" w:cs="Times New Roman"/>
                <w:lang w:val="tr-TR"/>
              </w:rPr>
              <w:t>29.12.2022</w:t>
            </w:r>
          </w:p>
        </w:tc>
        <w:tc>
          <w:tcPr>
            <w:tcW w:w="0" w:type="auto"/>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jc w:val="center"/>
              <w:rPr>
                <w:rFonts w:eastAsia="Calibri" w:cs="Times New Roman"/>
                <w:lang w:val="tr-TR"/>
              </w:rPr>
            </w:pPr>
            <w:r>
              <w:rPr>
                <w:rFonts w:eastAsia="Calibri" w:cs="Times New Roman"/>
                <w:lang w:val="tr-TR"/>
              </w:rPr>
              <w:t>11534</w:t>
            </w:r>
            <w:r w:rsidRPr="00B32DD7">
              <w:rPr>
                <w:rFonts w:eastAsia="Calibri" w:cs="Times New Roman"/>
                <w:lang w:val="tr-TR"/>
              </w:rPr>
              <w:t>-19</w:t>
            </w:r>
          </w:p>
        </w:tc>
      </w:tr>
      <w:tr w:rsidR="00FE2FC0" w:rsidRPr="00B32DD7" w:rsidTr="00FE2FC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ind w:left="65"/>
              <w:rPr>
                <w:rFonts w:eastAsia="Calibri" w:cs="Times New Roman"/>
                <w:lang w:val="tr-TR"/>
              </w:rPr>
            </w:pPr>
            <w:r w:rsidRPr="00B32DD7">
              <w:rPr>
                <w:rFonts w:eastAsia="Calibri" w:cs="Times New Roman"/>
                <w:lang w:val="tr-TR"/>
              </w:rPr>
              <w:t>Uludağ Perakende Elektrik Satış A.Ş.</w:t>
            </w:r>
          </w:p>
        </w:tc>
        <w:tc>
          <w:tcPr>
            <w:tcW w:w="0" w:type="auto"/>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ind w:left="153"/>
              <w:jc w:val="center"/>
              <w:rPr>
                <w:rFonts w:eastAsia="Calibri" w:cs="Times New Roman"/>
                <w:lang w:val="tr-TR"/>
              </w:rPr>
            </w:pPr>
            <w:r w:rsidRPr="00AC166D">
              <w:rPr>
                <w:rFonts w:eastAsia="Calibri" w:cs="Times New Roman"/>
                <w:lang w:val="tr-TR"/>
              </w:rPr>
              <w:t>29.12.2022</w:t>
            </w:r>
          </w:p>
        </w:tc>
        <w:tc>
          <w:tcPr>
            <w:tcW w:w="0" w:type="auto"/>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jc w:val="center"/>
              <w:rPr>
                <w:rFonts w:eastAsia="Calibri" w:cs="Times New Roman"/>
                <w:lang w:val="tr-TR"/>
              </w:rPr>
            </w:pPr>
            <w:r>
              <w:rPr>
                <w:rFonts w:eastAsia="Calibri" w:cs="Times New Roman"/>
                <w:lang w:val="tr-TR"/>
              </w:rPr>
              <w:t>11534</w:t>
            </w:r>
            <w:r w:rsidRPr="00B32DD7">
              <w:rPr>
                <w:rFonts w:eastAsia="Calibri" w:cs="Times New Roman"/>
                <w:lang w:val="tr-TR"/>
              </w:rPr>
              <w:t>-20</w:t>
            </w:r>
          </w:p>
        </w:tc>
      </w:tr>
      <w:tr w:rsidR="00FE2FC0" w:rsidRPr="00B32DD7" w:rsidTr="00FE2FC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ind w:left="65"/>
              <w:rPr>
                <w:rFonts w:eastAsia="Calibri" w:cs="Times New Roman"/>
                <w:lang w:val="tr-TR"/>
              </w:rPr>
            </w:pPr>
            <w:r w:rsidRPr="00B32DD7">
              <w:rPr>
                <w:rFonts w:eastAsia="Calibri" w:cs="Times New Roman"/>
                <w:lang w:val="tr-TR"/>
              </w:rPr>
              <w:t>Yeşilırmak Elektrik Perakende Satış A.Ş.</w:t>
            </w:r>
          </w:p>
        </w:tc>
        <w:tc>
          <w:tcPr>
            <w:tcW w:w="0" w:type="auto"/>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ind w:left="153"/>
              <w:jc w:val="center"/>
              <w:rPr>
                <w:rFonts w:eastAsia="Calibri" w:cs="Times New Roman"/>
                <w:lang w:val="tr-TR"/>
              </w:rPr>
            </w:pPr>
            <w:r w:rsidRPr="00AC166D">
              <w:rPr>
                <w:rFonts w:eastAsia="Calibri" w:cs="Times New Roman"/>
                <w:lang w:val="tr-TR"/>
              </w:rPr>
              <w:t>29.12.2022</w:t>
            </w:r>
          </w:p>
        </w:tc>
        <w:tc>
          <w:tcPr>
            <w:tcW w:w="0" w:type="auto"/>
            <w:tcBorders>
              <w:top w:val="single" w:sz="4" w:space="0" w:color="BFBFBF"/>
              <w:left w:val="single" w:sz="4" w:space="0" w:color="BFBFBF"/>
              <w:bottom w:val="single" w:sz="4" w:space="0" w:color="BFBFBF"/>
              <w:right w:val="single" w:sz="4" w:space="0" w:color="BFBFBF"/>
            </w:tcBorders>
          </w:tcPr>
          <w:p w:rsidR="00FE2FC0" w:rsidRPr="00B32DD7" w:rsidRDefault="00FE2FC0" w:rsidP="00FE2FC0">
            <w:pPr>
              <w:pStyle w:val="TableParagraph"/>
              <w:spacing w:before="20"/>
              <w:jc w:val="center"/>
              <w:rPr>
                <w:rFonts w:eastAsia="Calibri" w:cs="Times New Roman"/>
                <w:lang w:val="tr-TR"/>
              </w:rPr>
            </w:pPr>
            <w:r>
              <w:rPr>
                <w:rFonts w:eastAsia="Calibri" w:cs="Times New Roman"/>
                <w:lang w:val="tr-TR"/>
              </w:rPr>
              <w:t>11534</w:t>
            </w:r>
            <w:r w:rsidRPr="00B32DD7">
              <w:rPr>
                <w:rFonts w:eastAsia="Calibri" w:cs="Times New Roman"/>
                <w:lang w:val="tr-TR"/>
              </w:rPr>
              <w:t>-21</w:t>
            </w:r>
          </w:p>
        </w:tc>
      </w:tr>
    </w:tbl>
    <w:p w:rsidR="00FE2FC0" w:rsidRDefault="00FE2FC0" w:rsidP="00FE2FC0">
      <w:pPr>
        <w:pStyle w:val="GvdeMetni"/>
        <w:spacing w:before="55" w:line="276" w:lineRule="auto"/>
        <w:ind w:left="0" w:right="103"/>
        <w:rPr>
          <w:rFonts w:cs="Calibri"/>
          <w:spacing w:val="-1"/>
          <w:sz w:val="22"/>
        </w:rPr>
      </w:pPr>
    </w:p>
    <w:p w:rsidR="00FE2FC0" w:rsidRDefault="00FE2FC0" w:rsidP="00FE2FC0">
      <w:pPr>
        <w:pStyle w:val="GvdeMetni"/>
        <w:spacing w:before="55" w:line="276" w:lineRule="auto"/>
        <w:ind w:left="0" w:right="103"/>
        <w:rPr>
          <w:rFonts w:asciiTheme="minorHAnsi" w:eastAsia="Calibri" w:hAnsiTheme="minorHAnsi" w:cs="Times New Roman"/>
          <w:color w:val="000000" w:themeColor="text1"/>
          <w:sz w:val="22"/>
          <w:szCs w:val="22"/>
          <w:lang w:val="tr-TR"/>
        </w:rPr>
      </w:pPr>
      <w:r w:rsidRPr="00FA1354">
        <w:rPr>
          <w:rFonts w:asciiTheme="minorHAnsi" w:eastAsia="Calibri" w:hAnsiTheme="minorHAnsi" w:cs="Times New Roman"/>
          <w:color w:val="000000" w:themeColor="text1"/>
          <w:sz w:val="22"/>
          <w:szCs w:val="22"/>
          <w:lang w:val="tr-TR"/>
        </w:rPr>
        <w:t>Ayrıca; Tablo 4.</w:t>
      </w:r>
      <w:r>
        <w:rPr>
          <w:rFonts w:asciiTheme="minorHAnsi" w:eastAsia="Calibri" w:hAnsiTheme="minorHAnsi" w:cs="Times New Roman"/>
          <w:color w:val="000000" w:themeColor="text1"/>
          <w:sz w:val="22"/>
          <w:szCs w:val="22"/>
          <w:lang w:val="tr-TR"/>
        </w:rPr>
        <w:t>6</w:t>
      </w:r>
      <w:r w:rsidRPr="00FA1354">
        <w:rPr>
          <w:rFonts w:asciiTheme="minorHAnsi" w:eastAsia="Calibri" w:hAnsiTheme="minorHAnsi" w:cs="Times New Roman"/>
          <w:color w:val="000000" w:themeColor="text1"/>
          <w:sz w:val="22"/>
          <w:szCs w:val="22"/>
          <w:lang w:val="tr-TR"/>
        </w:rPr>
        <w:t>’d</w:t>
      </w:r>
      <w:r>
        <w:rPr>
          <w:rFonts w:asciiTheme="minorHAnsi" w:eastAsia="Calibri" w:hAnsiTheme="minorHAnsi" w:cs="Times New Roman"/>
          <w:color w:val="000000" w:themeColor="text1"/>
          <w:sz w:val="22"/>
          <w:szCs w:val="22"/>
          <w:lang w:val="tr-TR"/>
        </w:rPr>
        <w:t>a</w:t>
      </w:r>
      <w:r w:rsidRPr="00FA1354">
        <w:rPr>
          <w:rFonts w:asciiTheme="minorHAnsi" w:eastAsia="Calibri" w:hAnsiTheme="minorHAnsi" w:cs="Times New Roman"/>
          <w:color w:val="000000" w:themeColor="text1"/>
          <w:sz w:val="22"/>
          <w:szCs w:val="22"/>
          <w:lang w:val="tr-TR"/>
        </w:rPr>
        <w:t xml:space="preserve"> gösterildiği üzere 10/12/2020 tarihli Kurul Kararları ile elektrik dağıtım şirketlerinin 01/01/2021 tarihinde başlayan dördüncü uygulama dönemine ilişkin 2021-2025 yılları yatırım planları onaylanmış ve daha sonra alınan Kurul Kararlarıyla bazı elektrik dağıtım şirketlerinin 2021-2025 yılları yatırım planları revize edilmiştir.</w:t>
      </w:r>
    </w:p>
    <w:p w:rsidR="00FE2FC0" w:rsidRPr="002C3099" w:rsidRDefault="00FE2FC0" w:rsidP="00FE2FC0">
      <w:pPr>
        <w:pStyle w:val="GvdeMetni"/>
        <w:spacing w:before="55" w:line="276" w:lineRule="auto"/>
        <w:ind w:left="0" w:right="103"/>
        <w:rPr>
          <w:rFonts w:asciiTheme="minorHAnsi" w:eastAsia="Calibri" w:hAnsiTheme="minorHAnsi" w:cs="Times New Roman"/>
          <w:color w:val="000000" w:themeColor="text1"/>
          <w:sz w:val="22"/>
          <w:szCs w:val="22"/>
          <w:lang w:val="tr-TR"/>
        </w:rPr>
      </w:pPr>
    </w:p>
    <w:p w:rsidR="00FE2FC0" w:rsidRPr="00DB1D44" w:rsidRDefault="00FE2FC0" w:rsidP="00FE2FC0">
      <w:pPr>
        <w:pStyle w:val="Balk5"/>
        <w:spacing w:before="0" w:line="269" w:lineRule="auto"/>
        <w:jc w:val="center"/>
        <w:rPr>
          <w:rStyle w:val="Gl"/>
          <w:b w:val="0"/>
          <w:bCs w:val="0"/>
          <w:color w:val="auto"/>
        </w:rPr>
      </w:pPr>
      <w:bookmarkStart w:id="224" w:name="_Toc132713909"/>
      <w:r w:rsidRPr="00FA1354">
        <w:rPr>
          <w:rStyle w:val="Gl"/>
          <w:color w:val="auto"/>
        </w:rPr>
        <w:t>Tablo 4.</w:t>
      </w:r>
      <w:r>
        <w:rPr>
          <w:rStyle w:val="Gl"/>
          <w:color w:val="auto"/>
        </w:rPr>
        <w:t>6</w:t>
      </w:r>
      <w:r w:rsidRPr="00FA1354">
        <w:rPr>
          <w:rStyle w:val="Gl"/>
          <w:color w:val="auto"/>
        </w:rPr>
        <w:t>: 2021-2025 Yılları Yatırım Planlarının Revize Edilmesine Dair Kurul Kararları</w:t>
      </w:r>
      <w:bookmarkEnd w:id="224"/>
    </w:p>
    <w:tbl>
      <w:tblPr>
        <w:tblW w:w="8642" w:type="dxa"/>
        <w:jc w:val="center"/>
        <w:tblLayout w:type="fixed"/>
        <w:tblLook w:val="01E0" w:firstRow="1" w:lastRow="1" w:firstColumn="1" w:lastColumn="1" w:noHBand="0" w:noVBand="0"/>
      </w:tblPr>
      <w:tblGrid>
        <w:gridCol w:w="4390"/>
        <w:gridCol w:w="2590"/>
        <w:gridCol w:w="1662"/>
      </w:tblGrid>
      <w:tr w:rsidR="00FE2FC0" w:rsidRPr="00B32DD7" w:rsidTr="00FE2FC0">
        <w:trPr>
          <w:trHeight w:hRule="exact" w:val="690"/>
          <w:tblHeader/>
          <w:jc w:val="center"/>
        </w:trPr>
        <w:tc>
          <w:tcPr>
            <w:tcW w:w="4390" w:type="dxa"/>
            <w:tcBorders>
              <w:top w:val="single" w:sz="4" w:space="0" w:color="D9D9D9"/>
              <w:left w:val="single" w:sz="4" w:space="0" w:color="D9D9D9"/>
              <w:bottom w:val="single" w:sz="4" w:space="0" w:color="D9D9D9"/>
              <w:right w:val="single" w:sz="4" w:space="0" w:color="D9D9D9"/>
            </w:tcBorders>
            <w:shd w:val="clear" w:color="auto" w:fill="6E9ECA"/>
          </w:tcPr>
          <w:p w:rsidR="00FE2FC0" w:rsidRPr="00B32DD7" w:rsidRDefault="00FE2FC0" w:rsidP="00FE2FC0">
            <w:pPr>
              <w:widowControl w:val="0"/>
              <w:spacing w:before="48" w:after="0" w:line="240" w:lineRule="auto"/>
              <w:ind w:left="164"/>
              <w:jc w:val="left"/>
              <w:rPr>
                <w:rFonts w:ascii="Calibri" w:hAnsi="Calibri" w:cs="Calibri"/>
                <w:lang w:val="en-US"/>
              </w:rPr>
            </w:pPr>
            <w:r w:rsidRPr="00B32DD7">
              <w:rPr>
                <w:rFonts w:ascii="Calibri" w:eastAsiaTheme="minorHAnsi" w:hAnsi="Calibri" w:cstheme="minorBidi"/>
                <w:b/>
                <w:color w:val="FFFFFF"/>
                <w:spacing w:val="-1"/>
                <w:lang w:val="en-US"/>
              </w:rPr>
              <w:t>Dağıtım</w:t>
            </w:r>
            <w:r w:rsidRPr="00B32DD7">
              <w:rPr>
                <w:rFonts w:ascii="Calibri" w:eastAsiaTheme="minorHAnsi" w:hAnsi="Calibri" w:cstheme="minorBidi"/>
                <w:b/>
                <w:color w:val="FFFFFF"/>
                <w:lang w:val="en-US"/>
              </w:rPr>
              <w:t xml:space="preserve"> </w:t>
            </w:r>
            <w:r w:rsidRPr="00B32DD7">
              <w:rPr>
                <w:rFonts w:ascii="Calibri" w:eastAsiaTheme="minorHAnsi" w:hAnsi="Calibri" w:cstheme="minorBidi"/>
                <w:b/>
                <w:color w:val="FFFFFF"/>
                <w:spacing w:val="-1"/>
                <w:lang w:val="en-US"/>
              </w:rPr>
              <w:t>Şirketi</w:t>
            </w:r>
            <w:r w:rsidRPr="00B32DD7">
              <w:rPr>
                <w:rFonts w:ascii="Calibri" w:eastAsiaTheme="minorHAnsi" w:hAnsi="Calibri" w:cstheme="minorBidi"/>
                <w:b/>
                <w:color w:val="FFFFFF"/>
                <w:lang w:val="en-US"/>
              </w:rPr>
              <w:t xml:space="preserve"> </w:t>
            </w:r>
            <w:r w:rsidRPr="00B32DD7">
              <w:rPr>
                <w:rFonts w:ascii="Calibri" w:eastAsiaTheme="minorHAnsi" w:hAnsi="Calibri" w:cstheme="minorBidi"/>
                <w:b/>
                <w:color w:val="FFFFFF"/>
                <w:spacing w:val="-1"/>
                <w:lang w:val="en-US"/>
              </w:rPr>
              <w:t>Unvanı</w:t>
            </w:r>
          </w:p>
        </w:tc>
        <w:tc>
          <w:tcPr>
            <w:tcW w:w="2590" w:type="dxa"/>
            <w:tcBorders>
              <w:top w:val="single" w:sz="4" w:space="0" w:color="D9D9D9"/>
              <w:left w:val="single" w:sz="4" w:space="0" w:color="D9D9D9"/>
              <w:bottom w:val="single" w:sz="4" w:space="0" w:color="D9D9D9"/>
              <w:right w:val="single" w:sz="4" w:space="0" w:color="D9D9D9"/>
            </w:tcBorders>
            <w:shd w:val="clear" w:color="auto" w:fill="6E9ECA"/>
          </w:tcPr>
          <w:p w:rsidR="00FE2FC0" w:rsidRPr="00B32DD7" w:rsidRDefault="00FE2FC0" w:rsidP="00FE2FC0">
            <w:pPr>
              <w:widowControl w:val="0"/>
              <w:spacing w:before="48" w:after="0" w:line="240" w:lineRule="auto"/>
              <w:ind w:left="512"/>
              <w:jc w:val="left"/>
              <w:rPr>
                <w:rFonts w:ascii="Calibri" w:hAnsi="Calibri" w:cs="Calibri"/>
                <w:lang w:val="en-US"/>
              </w:rPr>
            </w:pPr>
            <w:r w:rsidRPr="00B32DD7">
              <w:rPr>
                <w:rFonts w:ascii="Calibri" w:eastAsiaTheme="minorHAnsi" w:cstheme="minorBidi"/>
                <w:b/>
                <w:color w:val="FFFFFF"/>
                <w:spacing w:val="-1"/>
                <w:lang w:val="en-US"/>
              </w:rPr>
              <w:t>Kurul</w:t>
            </w:r>
            <w:r w:rsidRPr="00B32DD7">
              <w:rPr>
                <w:rFonts w:ascii="Calibri" w:eastAsiaTheme="minorHAnsi" w:cstheme="minorBidi"/>
                <w:b/>
                <w:color w:val="FFFFFF"/>
                <w:spacing w:val="-5"/>
                <w:lang w:val="en-US"/>
              </w:rPr>
              <w:t xml:space="preserve"> </w:t>
            </w:r>
            <w:r w:rsidRPr="00B32DD7">
              <w:rPr>
                <w:rFonts w:ascii="Calibri" w:eastAsiaTheme="minorHAnsi" w:cstheme="minorBidi"/>
                <w:b/>
                <w:color w:val="FFFFFF"/>
                <w:lang w:val="en-US"/>
              </w:rPr>
              <w:t>Karar</w:t>
            </w:r>
            <w:r w:rsidRPr="00B32DD7">
              <w:rPr>
                <w:rFonts w:ascii="Calibri" w:eastAsiaTheme="minorHAnsi" w:cstheme="minorBidi"/>
                <w:b/>
                <w:color w:val="FFFFFF"/>
                <w:spacing w:val="-5"/>
                <w:lang w:val="en-US"/>
              </w:rPr>
              <w:t xml:space="preserve"> </w:t>
            </w:r>
            <w:r w:rsidRPr="00B32DD7">
              <w:rPr>
                <w:rFonts w:ascii="Calibri" w:eastAsiaTheme="minorHAnsi" w:cstheme="minorBidi"/>
                <w:b/>
                <w:color w:val="FFFFFF"/>
                <w:spacing w:val="-1"/>
                <w:lang w:val="en-US"/>
              </w:rPr>
              <w:t>Tarihi</w:t>
            </w:r>
          </w:p>
        </w:tc>
        <w:tc>
          <w:tcPr>
            <w:tcW w:w="1662" w:type="dxa"/>
            <w:tcBorders>
              <w:top w:val="single" w:sz="4" w:space="0" w:color="D9D9D9"/>
              <w:left w:val="single" w:sz="4" w:space="0" w:color="D9D9D9"/>
              <w:bottom w:val="single" w:sz="4" w:space="0" w:color="D9D9D9"/>
              <w:right w:val="single" w:sz="4" w:space="0" w:color="D9D9D9"/>
            </w:tcBorders>
            <w:shd w:val="clear" w:color="auto" w:fill="6E9ECA"/>
          </w:tcPr>
          <w:p w:rsidR="00FE2FC0" w:rsidRPr="00B32DD7" w:rsidRDefault="00FE2FC0" w:rsidP="00FE2FC0">
            <w:pPr>
              <w:widowControl w:val="0"/>
              <w:spacing w:before="48" w:after="0" w:line="240" w:lineRule="auto"/>
              <w:ind w:left="-6"/>
              <w:jc w:val="center"/>
              <w:rPr>
                <w:rFonts w:ascii="Calibri" w:hAnsi="Calibri" w:cs="Calibri"/>
                <w:lang w:val="en-US"/>
              </w:rPr>
            </w:pPr>
            <w:r w:rsidRPr="00B32DD7">
              <w:rPr>
                <w:rFonts w:ascii="Calibri" w:eastAsiaTheme="minorHAnsi" w:hAnsi="Calibri" w:cstheme="minorBidi"/>
                <w:b/>
                <w:color w:val="FFFFFF"/>
                <w:spacing w:val="-1"/>
                <w:lang w:val="en-US"/>
              </w:rPr>
              <w:t>Kurul</w:t>
            </w:r>
            <w:r w:rsidRPr="00B32DD7">
              <w:rPr>
                <w:rFonts w:ascii="Calibri" w:eastAsiaTheme="minorHAnsi" w:hAnsi="Calibri" w:cstheme="minorBidi"/>
                <w:b/>
                <w:color w:val="FFFFFF"/>
                <w:spacing w:val="-3"/>
                <w:lang w:val="en-US"/>
              </w:rPr>
              <w:t xml:space="preserve"> </w:t>
            </w:r>
            <w:r w:rsidRPr="00B32DD7">
              <w:rPr>
                <w:rFonts w:ascii="Calibri" w:eastAsiaTheme="minorHAnsi" w:hAnsi="Calibri" w:cstheme="minorBidi"/>
                <w:b/>
                <w:color w:val="FFFFFF"/>
                <w:lang w:val="en-US"/>
              </w:rPr>
              <w:t>Karar</w:t>
            </w:r>
            <w:r w:rsidRPr="00B32DD7">
              <w:rPr>
                <w:rFonts w:ascii="Calibri" w:eastAsiaTheme="minorHAnsi" w:hAnsi="Calibri" w:cstheme="minorBidi"/>
                <w:b/>
                <w:color w:val="FFFFFF"/>
                <w:spacing w:val="-3"/>
                <w:lang w:val="en-US"/>
              </w:rPr>
              <w:t xml:space="preserve"> </w:t>
            </w:r>
            <w:r w:rsidRPr="00B32DD7">
              <w:rPr>
                <w:rFonts w:ascii="Calibri" w:eastAsiaTheme="minorHAnsi" w:hAnsi="Calibri" w:cstheme="minorBidi"/>
                <w:b/>
                <w:color w:val="FFFFFF"/>
                <w:spacing w:val="-1"/>
                <w:lang w:val="en-US"/>
              </w:rPr>
              <w:t>Sayısı</w:t>
            </w:r>
          </w:p>
        </w:tc>
      </w:tr>
      <w:tr w:rsidR="00FE2FC0" w:rsidRPr="00B32DD7"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FE2FC0" w:rsidRPr="00B32DD7" w:rsidRDefault="00FE2FC0" w:rsidP="00FE2FC0">
            <w:pPr>
              <w:widowControl w:val="0"/>
              <w:spacing w:after="0" w:line="240" w:lineRule="auto"/>
              <w:ind w:left="103"/>
              <w:jc w:val="left"/>
              <w:rPr>
                <w:rFonts w:ascii="Calibri" w:hAnsi="Calibri" w:cs="Calibri"/>
                <w:lang w:val="en-US"/>
              </w:rPr>
            </w:pPr>
            <w:r w:rsidRPr="00B32DD7">
              <w:rPr>
                <w:rFonts w:ascii="Calibri" w:eastAsiaTheme="minorHAnsi" w:hAnsi="Calibri" w:cstheme="minorBidi"/>
                <w:lang w:val="en-US"/>
              </w:rPr>
              <w:t>ADM</w:t>
            </w:r>
            <w:r w:rsidRPr="00B32DD7">
              <w:rPr>
                <w:rFonts w:ascii="Calibri" w:eastAsiaTheme="minorHAnsi" w:hAnsi="Calibri" w:cstheme="minorBidi"/>
                <w:spacing w:val="-2"/>
                <w:lang w:val="en-US"/>
              </w:rPr>
              <w:t xml:space="preserve"> </w:t>
            </w:r>
            <w:r w:rsidRPr="00B32DD7">
              <w:rPr>
                <w:rFonts w:ascii="Calibri" w:eastAsiaTheme="minorHAnsi" w:hAnsi="Calibri" w:cstheme="minorBidi"/>
                <w:spacing w:val="-1"/>
                <w:lang w:val="en-US"/>
              </w:rPr>
              <w:t>Elektrik</w:t>
            </w:r>
            <w:r w:rsidRPr="00B32DD7">
              <w:rPr>
                <w:rFonts w:ascii="Calibri" w:eastAsiaTheme="minorHAnsi" w:hAnsi="Calibri" w:cstheme="minorBidi"/>
                <w:spacing w:val="-3"/>
                <w:lang w:val="en-US"/>
              </w:rPr>
              <w:t xml:space="preserve"> </w:t>
            </w:r>
            <w:r w:rsidRPr="00B32DD7">
              <w:rPr>
                <w:rFonts w:ascii="Calibri" w:eastAsiaTheme="minorHAnsi" w:hAnsi="Calibri" w:cstheme="minorBidi"/>
                <w:lang w:val="en-US"/>
              </w:rPr>
              <w:t>Dağıtım</w:t>
            </w:r>
            <w:r w:rsidRPr="00B32DD7">
              <w:rPr>
                <w:rFonts w:ascii="Calibri" w:eastAsiaTheme="minorHAnsi" w:hAnsi="Calibri" w:cstheme="minorBidi"/>
                <w:spacing w:val="-3"/>
                <w:lang w:val="en-US"/>
              </w:rPr>
              <w:t xml:space="preserve"> </w:t>
            </w:r>
            <w:r w:rsidRPr="00B32DD7">
              <w:rPr>
                <w:rFonts w:ascii="Calibri" w:eastAsiaTheme="minorHAnsi" w:hAnsi="Calibri" w:cstheme="minorBidi"/>
                <w:lang w:val="en-US"/>
              </w:rPr>
              <w:t>A.Ş.</w:t>
            </w:r>
          </w:p>
        </w:tc>
        <w:tc>
          <w:tcPr>
            <w:tcW w:w="2590" w:type="dxa"/>
            <w:tcBorders>
              <w:top w:val="single" w:sz="4" w:space="0" w:color="D9D9D9"/>
              <w:left w:val="single" w:sz="4" w:space="0" w:color="D9D9D9"/>
              <w:bottom w:val="single" w:sz="4" w:space="0" w:color="D9D9D9"/>
              <w:right w:val="single" w:sz="4" w:space="0" w:color="D9D9D9"/>
            </w:tcBorders>
          </w:tcPr>
          <w:p w:rsidR="00FE2FC0" w:rsidRPr="00B32DD7" w:rsidRDefault="00FE2FC0" w:rsidP="00FE2FC0">
            <w:pPr>
              <w:widowControl w:val="0"/>
              <w:spacing w:after="0" w:line="240" w:lineRule="auto"/>
              <w:ind w:left="786"/>
              <w:jc w:val="left"/>
              <w:rPr>
                <w:rFonts w:ascii="Calibri" w:hAnsi="Calibri" w:cs="Calibri"/>
                <w:lang w:val="en-US"/>
              </w:rPr>
            </w:pPr>
            <w:r w:rsidRPr="00B32DD7">
              <w:rPr>
                <w:rFonts w:ascii="Calibri" w:eastAsiaTheme="minorHAnsi" w:cstheme="minorBidi"/>
                <w:lang w:val="en-US"/>
              </w:rPr>
              <w:t>10.12.2020</w:t>
            </w:r>
          </w:p>
        </w:tc>
        <w:tc>
          <w:tcPr>
            <w:tcW w:w="1662" w:type="dxa"/>
            <w:tcBorders>
              <w:top w:val="single" w:sz="4" w:space="0" w:color="D9D9D9"/>
              <w:left w:val="single" w:sz="4" w:space="0" w:color="D9D9D9"/>
              <w:bottom w:val="single" w:sz="4" w:space="0" w:color="D9D9D9"/>
              <w:right w:val="single" w:sz="4" w:space="0" w:color="D9D9D9"/>
            </w:tcBorders>
          </w:tcPr>
          <w:p w:rsidR="00FE2FC0" w:rsidRPr="00B32DD7" w:rsidRDefault="00FE2FC0" w:rsidP="00FE2FC0">
            <w:pPr>
              <w:widowControl w:val="0"/>
              <w:spacing w:after="0" w:line="240" w:lineRule="auto"/>
              <w:jc w:val="center"/>
              <w:rPr>
                <w:rFonts w:ascii="Calibri" w:hAnsi="Calibri" w:cs="Calibri"/>
                <w:lang w:val="en-US"/>
              </w:rPr>
            </w:pPr>
            <w:r w:rsidRPr="00B32DD7">
              <w:rPr>
                <w:rFonts w:ascii="Calibri" w:eastAsiaTheme="minorHAnsi" w:cstheme="minorBidi"/>
                <w:lang w:val="en-US"/>
              </w:rPr>
              <w:t>9768</w:t>
            </w:r>
          </w:p>
        </w:tc>
      </w:tr>
      <w:tr w:rsidR="00FE2FC0" w:rsidRPr="00B32DD7"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FE2FC0" w:rsidRPr="00B32DD7" w:rsidRDefault="00FE2FC0" w:rsidP="00FE2FC0">
            <w:pPr>
              <w:widowControl w:val="0"/>
              <w:spacing w:after="0" w:line="240" w:lineRule="auto"/>
              <w:ind w:left="103"/>
              <w:jc w:val="left"/>
              <w:rPr>
                <w:rFonts w:ascii="Calibri" w:hAnsi="Calibri" w:cs="Calibri"/>
                <w:lang w:val="en-US"/>
              </w:rPr>
            </w:pPr>
            <w:r w:rsidRPr="00B32DD7">
              <w:rPr>
                <w:rFonts w:ascii="Calibri" w:eastAsiaTheme="minorHAnsi" w:hAnsi="Calibri" w:cstheme="minorBidi"/>
                <w:spacing w:val="-1"/>
                <w:lang w:val="en-US"/>
              </w:rPr>
              <w:t>Akdeniz</w:t>
            </w:r>
            <w:r w:rsidRPr="00B32DD7">
              <w:rPr>
                <w:rFonts w:ascii="Calibri" w:eastAsiaTheme="minorHAnsi" w:hAnsi="Calibri" w:cstheme="minorBidi"/>
                <w:spacing w:val="-2"/>
                <w:lang w:val="en-US"/>
              </w:rPr>
              <w:t xml:space="preserve"> </w:t>
            </w:r>
            <w:r w:rsidRPr="00B32DD7">
              <w:rPr>
                <w:rFonts w:ascii="Calibri" w:eastAsiaTheme="minorHAnsi" w:hAnsi="Calibri" w:cstheme="minorBidi"/>
                <w:spacing w:val="-1"/>
                <w:lang w:val="en-US"/>
              </w:rPr>
              <w:t>Elektrik</w:t>
            </w:r>
            <w:r w:rsidRPr="00B32DD7">
              <w:rPr>
                <w:rFonts w:ascii="Calibri" w:eastAsiaTheme="minorHAnsi" w:hAnsi="Calibri" w:cstheme="minorBidi"/>
                <w:spacing w:val="-3"/>
                <w:lang w:val="en-US"/>
              </w:rPr>
              <w:t xml:space="preserve"> </w:t>
            </w:r>
            <w:r w:rsidRPr="00B32DD7">
              <w:rPr>
                <w:rFonts w:ascii="Calibri" w:eastAsiaTheme="minorHAnsi" w:hAnsi="Calibri" w:cstheme="minorBidi"/>
                <w:spacing w:val="-1"/>
                <w:lang w:val="en-US"/>
              </w:rPr>
              <w:t xml:space="preserve">Dağıtım </w:t>
            </w:r>
            <w:r w:rsidRPr="00B32DD7">
              <w:rPr>
                <w:rFonts w:ascii="Calibri" w:eastAsiaTheme="minorHAnsi" w:hAnsi="Calibri" w:cstheme="minorBidi"/>
                <w:lang w:val="en-US"/>
              </w:rPr>
              <w:t>A.Ş.</w:t>
            </w:r>
          </w:p>
        </w:tc>
        <w:tc>
          <w:tcPr>
            <w:tcW w:w="2590" w:type="dxa"/>
            <w:tcBorders>
              <w:top w:val="single" w:sz="4" w:space="0" w:color="D9D9D9"/>
              <w:left w:val="single" w:sz="4" w:space="0" w:color="D9D9D9"/>
              <w:bottom w:val="single" w:sz="4" w:space="0" w:color="D9D9D9"/>
              <w:right w:val="single" w:sz="4" w:space="0" w:color="D9D9D9"/>
            </w:tcBorders>
          </w:tcPr>
          <w:p w:rsidR="00FE2FC0" w:rsidRPr="00B32DD7" w:rsidRDefault="00FE2FC0" w:rsidP="00FE2FC0">
            <w:pPr>
              <w:widowControl w:val="0"/>
              <w:spacing w:after="0" w:line="240" w:lineRule="auto"/>
              <w:ind w:left="786"/>
              <w:jc w:val="left"/>
              <w:rPr>
                <w:rFonts w:ascii="Calibri" w:hAnsi="Calibri" w:cs="Calibri"/>
                <w:lang w:val="en-US"/>
              </w:rPr>
            </w:pPr>
            <w:r w:rsidRPr="00B32DD7">
              <w:rPr>
                <w:rFonts w:ascii="Calibri" w:eastAsiaTheme="minorHAnsi" w:cstheme="minorBidi"/>
                <w:lang w:val="en-US"/>
              </w:rPr>
              <w:t>10.12.2020</w:t>
            </w:r>
          </w:p>
        </w:tc>
        <w:tc>
          <w:tcPr>
            <w:tcW w:w="1662" w:type="dxa"/>
            <w:tcBorders>
              <w:top w:val="single" w:sz="4" w:space="0" w:color="D9D9D9"/>
              <w:left w:val="single" w:sz="4" w:space="0" w:color="D9D9D9"/>
              <w:bottom w:val="single" w:sz="4" w:space="0" w:color="D9D9D9"/>
              <w:right w:val="single" w:sz="4" w:space="0" w:color="D9D9D9"/>
            </w:tcBorders>
          </w:tcPr>
          <w:p w:rsidR="00FE2FC0" w:rsidRPr="00B32DD7" w:rsidRDefault="00FE2FC0" w:rsidP="00FE2FC0">
            <w:pPr>
              <w:widowControl w:val="0"/>
              <w:spacing w:after="0" w:line="240" w:lineRule="auto"/>
              <w:jc w:val="center"/>
              <w:rPr>
                <w:rFonts w:ascii="Calibri" w:hAnsi="Calibri" w:cs="Calibri"/>
                <w:lang w:val="en-US"/>
              </w:rPr>
            </w:pPr>
            <w:r w:rsidRPr="00B32DD7">
              <w:rPr>
                <w:rFonts w:ascii="Calibri" w:eastAsiaTheme="minorHAnsi" w:cstheme="minorBidi"/>
                <w:lang w:val="en-US"/>
              </w:rPr>
              <w:t>9769</w:t>
            </w:r>
          </w:p>
        </w:tc>
      </w:tr>
      <w:tr w:rsidR="00FE2FC0" w:rsidRPr="00B32DD7"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FE2FC0" w:rsidRPr="00B32DD7" w:rsidRDefault="00FE2FC0" w:rsidP="00FE2FC0">
            <w:pPr>
              <w:widowControl w:val="0"/>
              <w:spacing w:after="0" w:line="240" w:lineRule="auto"/>
              <w:ind w:left="103"/>
              <w:jc w:val="left"/>
              <w:rPr>
                <w:rFonts w:ascii="Calibri" w:hAnsi="Calibri" w:cs="Calibri"/>
                <w:lang w:val="en-US"/>
              </w:rPr>
            </w:pPr>
            <w:r>
              <w:rPr>
                <w:rFonts w:ascii="Calibri" w:eastAsiaTheme="minorHAnsi" w:hAnsi="Calibri" w:cstheme="minorBidi"/>
                <w:spacing w:val="-1"/>
                <w:lang w:val="en-US"/>
              </w:rPr>
              <w:t>Akedaş</w:t>
            </w:r>
            <w:r w:rsidRPr="00B32DD7">
              <w:rPr>
                <w:rFonts w:ascii="Calibri" w:eastAsiaTheme="minorHAnsi" w:hAnsi="Calibri" w:cstheme="minorBidi"/>
                <w:spacing w:val="-2"/>
                <w:lang w:val="en-US"/>
              </w:rPr>
              <w:t xml:space="preserve"> </w:t>
            </w:r>
            <w:r w:rsidRPr="00B32DD7">
              <w:rPr>
                <w:rFonts w:ascii="Calibri" w:eastAsiaTheme="minorHAnsi" w:hAnsi="Calibri" w:cstheme="minorBidi"/>
                <w:spacing w:val="-1"/>
                <w:lang w:val="en-US"/>
              </w:rPr>
              <w:t>Elektrik</w:t>
            </w:r>
            <w:r w:rsidRPr="00B32DD7">
              <w:rPr>
                <w:rFonts w:ascii="Calibri" w:eastAsiaTheme="minorHAnsi" w:hAnsi="Calibri" w:cstheme="minorBidi"/>
                <w:spacing w:val="-3"/>
                <w:lang w:val="en-US"/>
              </w:rPr>
              <w:t xml:space="preserve"> </w:t>
            </w:r>
            <w:r w:rsidRPr="00B32DD7">
              <w:rPr>
                <w:rFonts w:ascii="Calibri" w:eastAsiaTheme="minorHAnsi" w:hAnsi="Calibri" w:cstheme="minorBidi"/>
                <w:spacing w:val="-1"/>
                <w:lang w:val="en-US"/>
              </w:rPr>
              <w:t>Dağıtım</w:t>
            </w:r>
            <w:r w:rsidRPr="00B32DD7">
              <w:rPr>
                <w:rFonts w:ascii="Calibri" w:eastAsiaTheme="minorHAnsi" w:hAnsi="Calibri" w:cstheme="minorBidi"/>
                <w:spacing w:val="-2"/>
                <w:lang w:val="en-US"/>
              </w:rPr>
              <w:t xml:space="preserve"> </w:t>
            </w:r>
            <w:r w:rsidRPr="00B32DD7">
              <w:rPr>
                <w:rFonts w:ascii="Calibri" w:eastAsiaTheme="minorHAnsi" w:hAnsi="Calibri" w:cstheme="minorBidi"/>
                <w:lang w:val="en-US"/>
              </w:rPr>
              <w:t>A.Ş.</w:t>
            </w:r>
          </w:p>
        </w:tc>
        <w:tc>
          <w:tcPr>
            <w:tcW w:w="2590" w:type="dxa"/>
            <w:tcBorders>
              <w:top w:val="single" w:sz="4" w:space="0" w:color="D9D9D9"/>
              <w:left w:val="single" w:sz="4" w:space="0" w:color="D9D9D9"/>
              <w:bottom w:val="single" w:sz="4" w:space="0" w:color="D9D9D9"/>
              <w:right w:val="single" w:sz="4" w:space="0" w:color="D9D9D9"/>
            </w:tcBorders>
          </w:tcPr>
          <w:p w:rsidR="00FE2FC0" w:rsidRPr="00B32DD7" w:rsidRDefault="00FE2FC0" w:rsidP="00FE2FC0">
            <w:pPr>
              <w:widowControl w:val="0"/>
              <w:spacing w:after="0" w:line="240" w:lineRule="auto"/>
              <w:ind w:left="786"/>
              <w:jc w:val="left"/>
              <w:rPr>
                <w:rFonts w:ascii="Calibri" w:hAnsi="Calibri" w:cs="Calibri"/>
                <w:lang w:val="en-US"/>
              </w:rPr>
            </w:pPr>
            <w:r>
              <w:rPr>
                <w:rFonts w:ascii="Calibri" w:eastAsiaTheme="minorHAnsi" w:cstheme="minorBidi"/>
                <w:lang w:val="en-US"/>
              </w:rPr>
              <w:t>10.11.2022</w:t>
            </w:r>
          </w:p>
        </w:tc>
        <w:tc>
          <w:tcPr>
            <w:tcW w:w="1662" w:type="dxa"/>
            <w:tcBorders>
              <w:top w:val="single" w:sz="4" w:space="0" w:color="D9D9D9"/>
              <w:left w:val="single" w:sz="4" w:space="0" w:color="D9D9D9"/>
              <w:bottom w:val="single" w:sz="4" w:space="0" w:color="D9D9D9"/>
              <w:right w:val="single" w:sz="4" w:space="0" w:color="D9D9D9"/>
            </w:tcBorders>
          </w:tcPr>
          <w:p w:rsidR="00FE2FC0" w:rsidRPr="00B32DD7" w:rsidRDefault="00FE2FC0" w:rsidP="00FE2FC0">
            <w:pPr>
              <w:widowControl w:val="0"/>
              <w:spacing w:after="0" w:line="240" w:lineRule="auto"/>
              <w:jc w:val="center"/>
              <w:rPr>
                <w:rFonts w:ascii="Calibri" w:hAnsi="Calibri" w:cs="Calibri"/>
                <w:lang w:val="en-US"/>
              </w:rPr>
            </w:pPr>
            <w:r>
              <w:rPr>
                <w:rFonts w:ascii="Calibri" w:eastAsiaTheme="minorHAnsi" w:cstheme="minorBidi"/>
                <w:lang w:val="en-US"/>
              </w:rPr>
              <w:t>11378</w:t>
            </w:r>
          </w:p>
        </w:tc>
      </w:tr>
      <w:tr w:rsidR="00FE2FC0" w:rsidRPr="00B32DD7"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FE2FC0" w:rsidRPr="00B32DD7" w:rsidRDefault="00FE2FC0" w:rsidP="00FE2FC0">
            <w:pPr>
              <w:widowControl w:val="0"/>
              <w:spacing w:after="0" w:line="240" w:lineRule="auto"/>
              <w:ind w:left="103"/>
              <w:jc w:val="left"/>
              <w:rPr>
                <w:rFonts w:ascii="Calibri" w:hAnsi="Calibri" w:cs="Calibri"/>
                <w:lang w:val="en-US"/>
              </w:rPr>
            </w:pPr>
            <w:r w:rsidRPr="00B32DD7">
              <w:rPr>
                <w:rFonts w:ascii="Calibri" w:eastAsiaTheme="minorHAnsi" w:hAnsi="Calibri" w:cstheme="minorBidi"/>
                <w:spacing w:val="-1"/>
                <w:lang w:val="en-US"/>
              </w:rPr>
              <w:t>Aras</w:t>
            </w:r>
            <w:r w:rsidRPr="00B32DD7">
              <w:rPr>
                <w:rFonts w:ascii="Calibri" w:eastAsiaTheme="minorHAnsi" w:hAnsi="Calibri" w:cstheme="minorBidi"/>
                <w:spacing w:val="-4"/>
                <w:lang w:val="en-US"/>
              </w:rPr>
              <w:t xml:space="preserve"> </w:t>
            </w:r>
            <w:r w:rsidRPr="00B32DD7">
              <w:rPr>
                <w:rFonts w:ascii="Calibri" w:eastAsiaTheme="minorHAnsi" w:hAnsi="Calibri" w:cstheme="minorBidi"/>
                <w:spacing w:val="-1"/>
                <w:lang w:val="en-US"/>
              </w:rPr>
              <w:t>Elektrik</w:t>
            </w:r>
            <w:r w:rsidRPr="00B32DD7">
              <w:rPr>
                <w:rFonts w:ascii="Calibri" w:eastAsiaTheme="minorHAnsi" w:hAnsi="Calibri" w:cstheme="minorBidi"/>
                <w:spacing w:val="-3"/>
                <w:lang w:val="en-US"/>
              </w:rPr>
              <w:t xml:space="preserve"> </w:t>
            </w:r>
            <w:r w:rsidRPr="00B32DD7">
              <w:rPr>
                <w:rFonts w:ascii="Calibri" w:eastAsiaTheme="minorHAnsi" w:hAnsi="Calibri" w:cstheme="minorBidi"/>
                <w:spacing w:val="-1"/>
                <w:lang w:val="en-US"/>
              </w:rPr>
              <w:t>Dağıtım</w:t>
            </w:r>
            <w:r w:rsidRPr="00B32DD7">
              <w:rPr>
                <w:rFonts w:ascii="Calibri" w:eastAsiaTheme="minorHAnsi" w:hAnsi="Calibri" w:cstheme="minorBidi"/>
                <w:spacing w:val="-4"/>
                <w:lang w:val="en-US"/>
              </w:rPr>
              <w:t xml:space="preserve"> </w:t>
            </w:r>
            <w:r w:rsidRPr="00B32DD7">
              <w:rPr>
                <w:rFonts w:ascii="Calibri" w:eastAsiaTheme="minorHAnsi" w:hAnsi="Calibri" w:cstheme="minorBidi"/>
                <w:lang w:val="en-US"/>
              </w:rPr>
              <w:t>A.Ş.</w:t>
            </w:r>
          </w:p>
        </w:tc>
        <w:tc>
          <w:tcPr>
            <w:tcW w:w="2590" w:type="dxa"/>
            <w:tcBorders>
              <w:top w:val="single" w:sz="4" w:space="0" w:color="D9D9D9"/>
              <w:left w:val="single" w:sz="4" w:space="0" w:color="D9D9D9"/>
              <w:bottom w:val="single" w:sz="4" w:space="0" w:color="D9D9D9"/>
              <w:right w:val="single" w:sz="4" w:space="0" w:color="D9D9D9"/>
            </w:tcBorders>
          </w:tcPr>
          <w:p w:rsidR="00FE2FC0" w:rsidRPr="00B32DD7" w:rsidRDefault="00FE2FC0" w:rsidP="00FE2FC0">
            <w:pPr>
              <w:widowControl w:val="0"/>
              <w:spacing w:after="0" w:line="240" w:lineRule="auto"/>
              <w:ind w:left="786"/>
              <w:jc w:val="left"/>
              <w:rPr>
                <w:rFonts w:ascii="Calibri" w:hAnsi="Calibri" w:cs="Calibri"/>
                <w:lang w:val="en-US"/>
              </w:rPr>
            </w:pPr>
            <w:r>
              <w:rPr>
                <w:rFonts w:ascii="Calibri" w:eastAsiaTheme="minorHAnsi" w:cstheme="minorBidi"/>
                <w:lang w:val="en-US"/>
              </w:rPr>
              <w:t>08.09.2022</w:t>
            </w:r>
          </w:p>
        </w:tc>
        <w:tc>
          <w:tcPr>
            <w:tcW w:w="1662" w:type="dxa"/>
            <w:tcBorders>
              <w:top w:val="single" w:sz="4" w:space="0" w:color="D9D9D9"/>
              <w:left w:val="single" w:sz="4" w:space="0" w:color="D9D9D9"/>
              <w:bottom w:val="single" w:sz="4" w:space="0" w:color="D9D9D9"/>
              <w:right w:val="single" w:sz="4" w:space="0" w:color="D9D9D9"/>
            </w:tcBorders>
          </w:tcPr>
          <w:p w:rsidR="00FE2FC0" w:rsidRPr="00B32DD7" w:rsidRDefault="00FE2FC0" w:rsidP="00FE2FC0">
            <w:pPr>
              <w:widowControl w:val="0"/>
              <w:spacing w:after="0" w:line="240" w:lineRule="auto"/>
              <w:jc w:val="center"/>
              <w:rPr>
                <w:rFonts w:ascii="Calibri" w:hAnsi="Calibri" w:cs="Calibri"/>
                <w:lang w:val="en-US"/>
              </w:rPr>
            </w:pPr>
            <w:r>
              <w:rPr>
                <w:rFonts w:ascii="Calibri" w:eastAsiaTheme="minorHAnsi" w:cstheme="minorBidi"/>
                <w:lang w:val="en-US"/>
              </w:rPr>
              <w:t>11193</w:t>
            </w:r>
          </w:p>
        </w:tc>
      </w:tr>
      <w:tr w:rsidR="00FE2FC0" w:rsidRPr="00B32DD7"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FE2FC0" w:rsidRPr="00B32DD7" w:rsidRDefault="00FE2FC0" w:rsidP="00FE2FC0">
            <w:pPr>
              <w:widowControl w:val="0"/>
              <w:spacing w:after="0" w:line="240" w:lineRule="auto"/>
              <w:ind w:left="103"/>
              <w:jc w:val="left"/>
              <w:rPr>
                <w:rFonts w:ascii="Calibri" w:hAnsi="Calibri" w:cs="Calibri"/>
                <w:lang w:val="en-US"/>
              </w:rPr>
            </w:pPr>
            <w:r w:rsidRPr="00B32DD7">
              <w:rPr>
                <w:rFonts w:ascii="Calibri" w:eastAsiaTheme="minorHAnsi" w:hAnsi="Calibri" w:cstheme="minorBidi"/>
                <w:spacing w:val="-1"/>
                <w:lang w:val="en-US"/>
              </w:rPr>
              <w:t>Başkent</w:t>
            </w:r>
            <w:r w:rsidRPr="00B32DD7">
              <w:rPr>
                <w:rFonts w:ascii="Calibri" w:eastAsiaTheme="minorHAnsi" w:hAnsi="Calibri" w:cstheme="minorBidi"/>
                <w:spacing w:val="-2"/>
                <w:lang w:val="en-US"/>
              </w:rPr>
              <w:t xml:space="preserve"> </w:t>
            </w:r>
            <w:r w:rsidRPr="00B32DD7">
              <w:rPr>
                <w:rFonts w:ascii="Calibri" w:eastAsiaTheme="minorHAnsi" w:hAnsi="Calibri" w:cstheme="minorBidi"/>
                <w:spacing w:val="-1"/>
                <w:lang w:val="en-US"/>
              </w:rPr>
              <w:t>Elektrik</w:t>
            </w:r>
            <w:r w:rsidRPr="00B32DD7">
              <w:rPr>
                <w:rFonts w:ascii="Calibri" w:eastAsiaTheme="minorHAnsi" w:hAnsi="Calibri" w:cstheme="minorBidi"/>
                <w:spacing w:val="-2"/>
                <w:lang w:val="en-US"/>
              </w:rPr>
              <w:t xml:space="preserve"> </w:t>
            </w:r>
            <w:r w:rsidRPr="00B32DD7">
              <w:rPr>
                <w:rFonts w:ascii="Calibri" w:eastAsiaTheme="minorHAnsi" w:hAnsi="Calibri" w:cstheme="minorBidi"/>
                <w:spacing w:val="-1"/>
                <w:lang w:val="en-US"/>
              </w:rPr>
              <w:t>Dağıtım</w:t>
            </w:r>
            <w:r w:rsidRPr="00B32DD7">
              <w:rPr>
                <w:rFonts w:ascii="Calibri" w:eastAsiaTheme="minorHAnsi" w:hAnsi="Calibri" w:cstheme="minorBidi"/>
                <w:spacing w:val="-2"/>
                <w:lang w:val="en-US"/>
              </w:rPr>
              <w:t xml:space="preserve"> </w:t>
            </w:r>
            <w:r w:rsidRPr="00B32DD7">
              <w:rPr>
                <w:rFonts w:ascii="Calibri" w:eastAsiaTheme="minorHAnsi" w:hAnsi="Calibri" w:cstheme="minorBidi"/>
                <w:lang w:val="en-US"/>
              </w:rPr>
              <w:t>A.Ş.</w:t>
            </w:r>
          </w:p>
        </w:tc>
        <w:tc>
          <w:tcPr>
            <w:tcW w:w="2590" w:type="dxa"/>
            <w:tcBorders>
              <w:top w:val="single" w:sz="4" w:space="0" w:color="D9D9D9"/>
              <w:left w:val="single" w:sz="4" w:space="0" w:color="D9D9D9"/>
              <w:bottom w:val="single" w:sz="4" w:space="0" w:color="D9D9D9"/>
              <w:right w:val="single" w:sz="4" w:space="0" w:color="D9D9D9"/>
            </w:tcBorders>
          </w:tcPr>
          <w:p w:rsidR="00FE2FC0" w:rsidRPr="00B32DD7" w:rsidRDefault="00FE2FC0" w:rsidP="00FE2FC0">
            <w:pPr>
              <w:widowControl w:val="0"/>
              <w:spacing w:after="0" w:line="240" w:lineRule="auto"/>
              <w:ind w:left="786"/>
              <w:jc w:val="left"/>
              <w:rPr>
                <w:rFonts w:ascii="Calibri" w:hAnsi="Calibri" w:cs="Calibri"/>
                <w:lang w:val="en-US"/>
              </w:rPr>
            </w:pPr>
            <w:r>
              <w:rPr>
                <w:rFonts w:ascii="Calibri" w:eastAsiaTheme="minorHAnsi" w:cstheme="minorBidi"/>
                <w:lang w:val="en-US"/>
              </w:rPr>
              <w:t>29.09.2022</w:t>
            </w:r>
          </w:p>
        </w:tc>
        <w:tc>
          <w:tcPr>
            <w:tcW w:w="1662" w:type="dxa"/>
            <w:tcBorders>
              <w:top w:val="single" w:sz="4" w:space="0" w:color="D9D9D9"/>
              <w:left w:val="single" w:sz="4" w:space="0" w:color="D9D9D9"/>
              <w:bottom w:val="single" w:sz="4" w:space="0" w:color="D9D9D9"/>
              <w:right w:val="single" w:sz="4" w:space="0" w:color="D9D9D9"/>
            </w:tcBorders>
          </w:tcPr>
          <w:p w:rsidR="00FE2FC0" w:rsidRPr="00B32DD7" w:rsidRDefault="00FE2FC0" w:rsidP="00FE2FC0">
            <w:pPr>
              <w:widowControl w:val="0"/>
              <w:spacing w:after="0" w:line="240" w:lineRule="auto"/>
              <w:jc w:val="center"/>
              <w:rPr>
                <w:rFonts w:ascii="Calibri" w:hAnsi="Calibri" w:cs="Calibri"/>
                <w:lang w:val="en-US"/>
              </w:rPr>
            </w:pPr>
            <w:r>
              <w:rPr>
                <w:rFonts w:ascii="Calibri" w:eastAsiaTheme="minorHAnsi" w:cstheme="minorBidi"/>
                <w:lang w:val="en-US"/>
              </w:rPr>
              <w:t>11258</w:t>
            </w:r>
          </w:p>
        </w:tc>
      </w:tr>
      <w:tr w:rsidR="00FE2FC0" w:rsidRPr="00B32DD7"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FE2FC0" w:rsidRPr="00B32DD7" w:rsidRDefault="00FE2FC0" w:rsidP="00FE2FC0">
            <w:pPr>
              <w:widowControl w:val="0"/>
              <w:spacing w:after="0" w:line="240" w:lineRule="auto"/>
              <w:ind w:left="103"/>
              <w:jc w:val="left"/>
              <w:rPr>
                <w:rFonts w:ascii="Calibri" w:hAnsi="Calibri" w:cs="Calibri"/>
                <w:lang w:val="en-US"/>
              </w:rPr>
            </w:pPr>
            <w:r w:rsidRPr="00B32DD7">
              <w:rPr>
                <w:rFonts w:ascii="Calibri" w:eastAsiaTheme="minorHAnsi" w:hAnsi="Calibri" w:cstheme="minorBidi"/>
                <w:spacing w:val="-1"/>
                <w:lang w:val="en-US"/>
              </w:rPr>
              <w:t>Boğaziçi Elektrik</w:t>
            </w:r>
            <w:r w:rsidRPr="00B32DD7">
              <w:rPr>
                <w:rFonts w:ascii="Calibri" w:eastAsiaTheme="minorHAnsi" w:hAnsi="Calibri" w:cstheme="minorBidi"/>
                <w:spacing w:val="-3"/>
                <w:lang w:val="en-US"/>
              </w:rPr>
              <w:t xml:space="preserve"> </w:t>
            </w:r>
            <w:r w:rsidRPr="00B32DD7">
              <w:rPr>
                <w:rFonts w:ascii="Calibri" w:eastAsiaTheme="minorHAnsi" w:hAnsi="Calibri" w:cstheme="minorBidi"/>
                <w:lang w:val="en-US"/>
              </w:rPr>
              <w:t>Dağıtım</w:t>
            </w:r>
            <w:r w:rsidRPr="00B32DD7">
              <w:rPr>
                <w:rFonts w:ascii="Calibri" w:eastAsiaTheme="minorHAnsi" w:hAnsi="Calibri" w:cstheme="minorBidi"/>
                <w:spacing w:val="-2"/>
                <w:lang w:val="en-US"/>
              </w:rPr>
              <w:t xml:space="preserve"> </w:t>
            </w:r>
            <w:r w:rsidRPr="00B32DD7">
              <w:rPr>
                <w:rFonts w:ascii="Calibri" w:eastAsiaTheme="minorHAnsi" w:hAnsi="Calibri" w:cstheme="minorBidi"/>
                <w:spacing w:val="-1"/>
                <w:lang w:val="en-US"/>
              </w:rPr>
              <w:t>A.Ş.</w:t>
            </w:r>
          </w:p>
        </w:tc>
        <w:tc>
          <w:tcPr>
            <w:tcW w:w="2590" w:type="dxa"/>
            <w:tcBorders>
              <w:top w:val="single" w:sz="4" w:space="0" w:color="D9D9D9"/>
              <w:left w:val="single" w:sz="4" w:space="0" w:color="D9D9D9"/>
              <w:bottom w:val="single" w:sz="4" w:space="0" w:color="D9D9D9"/>
              <w:right w:val="single" w:sz="4" w:space="0" w:color="D9D9D9"/>
            </w:tcBorders>
          </w:tcPr>
          <w:p w:rsidR="00FE2FC0" w:rsidRPr="00B32DD7" w:rsidRDefault="00FE2FC0" w:rsidP="00FE2FC0">
            <w:pPr>
              <w:widowControl w:val="0"/>
              <w:spacing w:after="0" w:line="240" w:lineRule="auto"/>
              <w:ind w:left="786"/>
              <w:jc w:val="left"/>
              <w:rPr>
                <w:rFonts w:ascii="Calibri" w:hAnsi="Calibri" w:cs="Calibri"/>
                <w:lang w:val="en-US"/>
              </w:rPr>
            </w:pPr>
            <w:r w:rsidRPr="00B32DD7">
              <w:rPr>
                <w:rFonts w:ascii="Calibri" w:eastAsiaTheme="minorHAnsi" w:cstheme="minorBidi"/>
                <w:lang w:val="en-US"/>
              </w:rPr>
              <w:t>10.12.2020</w:t>
            </w:r>
          </w:p>
        </w:tc>
        <w:tc>
          <w:tcPr>
            <w:tcW w:w="1662" w:type="dxa"/>
            <w:tcBorders>
              <w:top w:val="single" w:sz="4" w:space="0" w:color="D9D9D9"/>
              <w:left w:val="single" w:sz="4" w:space="0" w:color="D9D9D9"/>
              <w:bottom w:val="single" w:sz="4" w:space="0" w:color="D9D9D9"/>
              <w:right w:val="single" w:sz="4" w:space="0" w:color="D9D9D9"/>
            </w:tcBorders>
          </w:tcPr>
          <w:p w:rsidR="00FE2FC0" w:rsidRPr="00B32DD7" w:rsidRDefault="00FE2FC0" w:rsidP="00FE2FC0">
            <w:pPr>
              <w:widowControl w:val="0"/>
              <w:spacing w:after="0" w:line="240" w:lineRule="auto"/>
              <w:jc w:val="center"/>
              <w:rPr>
                <w:rFonts w:ascii="Calibri" w:hAnsi="Calibri" w:cs="Calibri"/>
                <w:lang w:val="en-US"/>
              </w:rPr>
            </w:pPr>
            <w:r w:rsidRPr="00B32DD7">
              <w:rPr>
                <w:rFonts w:ascii="Calibri" w:eastAsiaTheme="minorHAnsi" w:cstheme="minorBidi"/>
                <w:lang w:val="en-US"/>
              </w:rPr>
              <w:t>9776</w:t>
            </w:r>
          </w:p>
        </w:tc>
      </w:tr>
      <w:tr w:rsidR="00FE2FC0" w:rsidRPr="00B32DD7"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FE2FC0" w:rsidRPr="00B32DD7" w:rsidRDefault="00FE2FC0" w:rsidP="00FE2FC0">
            <w:pPr>
              <w:widowControl w:val="0"/>
              <w:spacing w:after="0" w:line="240" w:lineRule="auto"/>
              <w:ind w:left="103"/>
              <w:jc w:val="left"/>
              <w:rPr>
                <w:rFonts w:ascii="Calibri" w:hAnsi="Calibri" w:cs="Calibri"/>
                <w:lang w:val="en-US"/>
              </w:rPr>
            </w:pPr>
            <w:r w:rsidRPr="00B32DD7">
              <w:rPr>
                <w:rFonts w:ascii="Calibri" w:eastAsiaTheme="minorHAnsi" w:hAnsi="Calibri" w:cstheme="minorBidi"/>
                <w:lang w:val="en-US"/>
              </w:rPr>
              <w:t>Çamlıbel</w:t>
            </w:r>
            <w:r w:rsidRPr="00B32DD7">
              <w:rPr>
                <w:rFonts w:ascii="Calibri" w:eastAsiaTheme="minorHAnsi" w:hAnsi="Calibri" w:cstheme="minorBidi"/>
                <w:spacing w:val="-2"/>
                <w:lang w:val="en-US"/>
              </w:rPr>
              <w:t xml:space="preserve"> </w:t>
            </w:r>
            <w:r w:rsidRPr="00B32DD7">
              <w:rPr>
                <w:rFonts w:ascii="Calibri" w:eastAsiaTheme="minorHAnsi" w:hAnsi="Calibri" w:cstheme="minorBidi"/>
                <w:spacing w:val="-1"/>
                <w:lang w:val="en-US"/>
              </w:rPr>
              <w:t>Elektrik</w:t>
            </w:r>
            <w:r w:rsidRPr="00B32DD7">
              <w:rPr>
                <w:rFonts w:ascii="Calibri" w:eastAsiaTheme="minorHAnsi" w:hAnsi="Calibri" w:cstheme="minorBidi"/>
                <w:spacing w:val="-2"/>
                <w:lang w:val="en-US"/>
              </w:rPr>
              <w:t xml:space="preserve"> </w:t>
            </w:r>
            <w:r w:rsidRPr="00B32DD7">
              <w:rPr>
                <w:rFonts w:ascii="Calibri" w:eastAsiaTheme="minorHAnsi" w:hAnsi="Calibri" w:cstheme="minorBidi"/>
                <w:spacing w:val="-1"/>
                <w:lang w:val="en-US"/>
              </w:rPr>
              <w:t>Dağıtım</w:t>
            </w:r>
            <w:r w:rsidRPr="00B32DD7">
              <w:rPr>
                <w:rFonts w:ascii="Calibri" w:eastAsiaTheme="minorHAnsi" w:hAnsi="Calibri" w:cstheme="minorBidi"/>
                <w:spacing w:val="-2"/>
                <w:lang w:val="en-US"/>
              </w:rPr>
              <w:t xml:space="preserve"> </w:t>
            </w:r>
            <w:r w:rsidRPr="00B32DD7">
              <w:rPr>
                <w:rFonts w:ascii="Calibri" w:eastAsiaTheme="minorHAnsi" w:hAnsi="Calibri" w:cstheme="minorBidi"/>
                <w:lang w:val="en-US"/>
              </w:rPr>
              <w:t>A.Ş.</w:t>
            </w:r>
          </w:p>
        </w:tc>
        <w:tc>
          <w:tcPr>
            <w:tcW w:w="2590" w:type="dxa"/>
            <w:tcBorders>
              <w:top w:val="single" w:sz="4" w:space="0" w:color="D9D9D9"/>
              <w:left w:val="single" w:sz="4" w:space="0" w:color="D9D9D9"/>
              <w:bottom w:val="single" w:sz="4" w:space="0" w:color="D9D9D9"/>
              <w:right w:val="single" w:sz="4" w:space="0" w:color="D9D9D9"/>
            </w:tcBorders>
          </w:tcPr>
          <w:p w:rsidR="00FE2FC0" w:rsidRPr="00B32DD7" w:rsidRDefault="00FE2FC0" w:rsidP="00FE2FC0">
            <w:pPr>
              <w:widowControl w:val="0"/>
              <w:spacing w:after="0" w:line="240" w:lineRule="auto"/>
              <w:ind w:left="786"/>
              <w:jc w:val="left"/>
              <w:rPr>
                <w:rFonts w:ascii="Calibri" w:hAnsi="Calibri" w:cs="Calibri"/>
                <w:lang w:val="en-US"/>
              </w:rPr>
            </w:pPr>
            <w:r w:rsidRPr="00B32DD7">
              <w:rPr>
                <w:rFonts w:ascii="Calibri" w:eastAsiaTheme="minorHAnsi" w:cstheme="minorBidi"/>
                <w:lang w:val="en-US"/>
              </w:rPr>
              <w:t>10.12.2020</w:t>
            </w:r>
          </w:p>
        </w:tc>
        <w:tc>
          <w:tcPr>
            <w:tcW w:w="1662" w:type="dxa"/>
            <w:tcBorders>
              <w:top w:val="single" w:sz="4" w:space="0" w:color="D9D9D9"/>
              <w:left w:val="single" w:sz="4" w:space="0" w:color="D9D9D9"/>
              <w:bottom w:val="single" w:sz="4" w:space="0" w:color="D9D9D9"/>
              <w:right w:val="single" w:sz="4" w:space="0" w:color="D9D9D9"/>
            </w:tcBorders>
          </w:tcPr>
          <w:p w:rsidR="00FE2FC0" w:rsidRPr="00B32DD7" w:rsidRDefault="00FE2FC0" w:rsidP="00FE2FC0">
            <w:pPr>
              <w:widowControl w:val="0"/>
              <w:spacing w:after="0" w:line="240" w:lineRule="auto"/>
              <w:jc w:val="center"/>
              <w:rPr>
                <w:rFonts w:ascii="Calibri" w:hAnsi="Calibri" w:cs="Calibri"/>
                <w:lang w:val="en-US"/>
              </w:rPr>
            </w:pPr>
            <w:r w:rsidRPr="00B32DD7">
              <w:rPr>
                <w:rFonts w:ascii="Calibri" w:eastAsiaTheme="minorHAnsi" w:cstheme="minorBidi"/>
                <w:lang w:val="en-US"/>
              </w:rPr>
              <w:t>9777</w:t>
            </w:r>
          </w:p>
        </w:tc>
      </w:tr>
      <w:tr w:rsidR="00FE2FC0" w:rsidRPr="00B32DD7"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FE2FC0" w:rsidRPr="00B32DD7" w:rsidRDefault="00FE2FC0" w:rsidP="00FE2FC0">
            <w:pPr>
              <w:widowControl w:val="0"/>
              <w:spacing w:after="0" w:line="240" w:lineRule="auto"/>
              <w:ind w:left="103"/>
              <w:jc w:val="left"/>
              <w:rPr>
                <w:rFonts w:ascii="Calibri" w:hAnsi="Calibri" w:cs="Calibri"/>
                <w:lang w:val="en-US"/>
              </w:rPr>
            </w:pPr>
            <w:r w:rsidRPr="00B32DD7">
              <w:rPr>
                <w:rFonts w:ascii="Calibri" w:eastAsiaTheme="minorHAnsi" w:hAnsi="Calibri" w:cstheme="minorBidi"/>
                <w:spacing w:val="-1"/>
                <w:lang w:val="en-US"/>
              </w:rPr>
              <w:t>Çoruh</w:t>
            </w:r>
            <w:r w:rsidRPr="00B32DD7">
              <w:rPr>
                <w:rFonts w:ascii="Calibri" w:eastAsiaTheme="minorHAnsi" w:hAnsi="Calibri" w:cstheme="minorBidi"/>
                <w:spacing w:val="-4"/>
                <w:lang w:val="en-US"/>
              </w:rPr>
              <w:t xml:space="preserve"> </w:t>
            </w:r>
            <w:r w:rsidRPr="00B32DD7">
              <w:rPr>
                <w:rFonts w:ascii="Calibri" w:eastAsiaTheme="minorHAnsi" w:hAnsi="Calibri" w:cstheme="minorBidi"/>
                <w:spacing w:val="-1"/>
                <w:lang w:val="en-US"/>
              </w:rPr>
              <w:t>Elektrik</w:t>
            </w:r>
            <w:r w:rsidRPr="00B32DD7">
              <w:rPr>
                <w:rFonts w:ascii="Calibri" w:eastAsiaTheme="minorHAnsi" w:hAnsi="Calibri" w:cstheme="minorBidi"/>
                <w:spacing w:val="-3"/>
                <w:lang w:val="en-US"/>
              </w:rPr>
              <w:t xml:space="preserve"> </w:t>
            </w:r>
            <w:r w:rsidRPr="00B32DD7">
              <w:rPr>
                <w:rFonts w:ascii="Calibri" w:eastAsiaTheme="minorHAnsi" w:hAnsi="Calibri" w:cstheme="minorBidi"/>
                <w:lang w:val="en-US"/>
              </w:rPr>
              <w:t>Dağıtım</w:t>
            </w:r>
            <w:r w:rsidRPr="00B32DD7">
              <w:rPr>
                <w:rFonts w:ascii="Calibri" w:eastAsiaTheme="minorHAnsi" w:hAnsi="Calibri" w:cstheme="minorBidi"/>
                <w:spacing w:val="-3"/>
                <w:lang w:val="en-US"/>
              </w:rPr>
              <w:t xml:space="preserve"> </w:t>
            </w:r>
            <w:r w:rsidRPr="00B32DD7">
              <w:rPr>
                <w:rFonts w:ascii="Calibri" w:eastAsiaTheme="minorHAnsi" w:hAnsi="Calibri" w:cstheme="minorBidi"/>
                <w:lang w:val="en-US"/>
              </w:rPr>
              <w:t>A.Ş.</w:t>
            </w:r>
          </w:p>
        </w:tc>
        <w:tc>
          <w:tcPr>
            <w:tcW w:w="2590" w:type="dxa"/>
            <w:tcBorders>
              <w:top w:val="single" w:sz="4" w:space="0" w:color="D9D9D9"/>
              <w:left w:val="single" w:sz="4" w:space="0" w:color="D9D9D9"/>
              <w:bottom w:val="single" w:sz="4" w:space="0" w:color="D9D9D9"/>
              <w:right w:val="single" w:sz="4" w:space="0" w:color="D9D9D9"/>
            </w:tcBorders>
          </w:tcPr>
          <w:p w:rsidR="00FE2FC0" w:rsidRPr="00B32DD7" w:rsidRDefault="00FE2FC0" w:rsidP="00FE2FC0">
            <w:pPr>
              <w:widowControl w:val="0"/>
              <w:spacing w:after="0" w:line="240" w:lineRule="auto"/>
              <w:ind w:left="786"/>
              <w:jc w:val="left"/>
              <w:rPr>
                <w:rFonts w:ascii="Calibri" w:hAnsi="Calibri" w:cs="Calibri"/>
                <w:lang w:val="en-US"/>
              </w:rPr>
            </w:pPr>
            <w:r>
              <w:rPr>
                <w:rFonts w:ascii="Calibri" w:eastAsiaTheme="minorHAnsi" w:cstheme="minorBidi"/>
                <w:lang w:val="en-US"/>
              </w:rPr>
              <w:t>22.12.2022</w:t>
            </w:r>
          </w:p>
        </w:tc>
        <w:tc>
          <w:tcPr>
            <w:tcW w:w="1662" w:type="dxa"/>
            <w:tcBorders>
              <w:top w:val="single" w:sz="4" w:space="0" w:color="D9D9D9"/>
              <w:left w:val="single" w:sz="4" w:space="0" w:color="D9D9D9"/>
              <w:bottom w:val="single" w:sz="4" w:space="0" w:color="D9D9D9"/>
              <w:right w:val="single" w:sz="4" w:space="0" w:color="D9D9D9"/>
            </w:tcBorders>
          </w:tcPr>
          <w:p w:rsidR="00FE2FC0" w:rsidRPr="00B32DD7" w:rsidRDefault="00FE2FC0" w:rsidP="00FE2FC0">
            <w:pPr>
              <w:widowControl w:val="0"/>
              <w:spacing w:after="0" w:line="240" w:lineRule="auto"/>
              <w:jc w:val="center"/>
              <w:rPr>
                <w:rFonts w:ascii="Calibri" w:hAnsi="Calibri" w:cs="Calibri"/>
                <w:lang w:val="en-US"/>
              </w:rPr>
            </w:pPr>
            <w:r>
              <w:rPr>
                <w:rFonts w:ascii="Calibri" w:eastAsiaTheme="minorHAnsi" w:cstheme="minorBidi"/>
                <w:lang w:val="en-US"/>
              </w:rPr>
              <w:t>11484</w:t>
            </w:r>
          </w:p>
        </w:tc>
      </w:tr>
      <w:tr w:rsidR="00FE2FC0" w:rsidRPr="00B32DD7"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FE2FC0" w:rsidRPr="00B32DD7" w:rsidRDefault="00FE2FC0" w:rsidP="00FE2FC0">
            <w:pPr>
              <w:widowControl w:val="0"/>
              <w:spacing w:after="0" w:line="240" w:lineRule="auto"/>
              <w:ind w:left="103"/>
              <w:jc w:val="left"/>
              <w:rPr>
                <w:rFonts w:ascii="Calibri" w:hAnsi="Calibri" w:cs="Calibri"/>
                <w:lang w:val="en-US"/>
              </w:rPr>
            </w:pPr>
            <w:r w:rsidRPr="00B32DD7">
              <w:rPr>
                <w:rFonts w:ascii="Calibri" w:eastAsiaTheme="minorHAnsi" w:hAnsi="Calibri" w:cstheme="minorBidi"/>
                <w:spacing w:val="-1"/>
                <w:lang w:val="en-US"/>
              </w:rPr>
              <w:t>Dicle</w:t>
            </w:r>
            <w:r w:rsidRPr="00B32DD7">
              <w:rPr>
                <w:rFonts w:ascii="Calibri" w:eastAsiaTheme="minorHAnsi" w:hAnsi="Calibri" w:cstheme="minorBidi"/>
                <w:spacing w:val="-3"/>
                <w:lang w:val="en-US"/>
              </w:rPr>
              <w:t xml:space="preserve"> </w:t>
            </w:r>
            <w:r w:rsidRPr="00B32DD7">
              <w:rPr>
                <w:rFonts w:ascii="Calibri" w:eastAsiaTheme="minorHAnsi" w:hAnsi="Calibri" w:cstheme="minorBidi"/>
                <w:spacing w:val="-1"/>
                <w:lang w:val="en-US"/>
              </w:rPr>
              <w:t>Elektrik</w:t>
            </w:r>
            <w:r w:rsidRPr="00B32DD7">
              <w:rPr>
                <w:rFonts w:ascii="Calibri" w:eastAsiaTheme="minorHAnsi" w:hAnsi="Calibri" w:cstheme="minorBidi"/>
                <w:spacing w:val="-3"/>
                <w:lang w:val="en-US"/>
              </w:rPr>
              <w:t xml:space="preserve"> </w:t>
            </w:r>
            <w:r w:rsidRPr="00B32DD7">
              <w:rPr>
                <w:rFonts w:ascii="Calibri" w:eastAsiaTheme="minorHAnsi" w:hAnsi="Calibri" w:cstheme="minorBidi"/>
                <w:lang w:val="en-US"/>
              </w:rPr>
              <w:t>Dağıtım</w:t>
            </w:r>
            <w:r w:rsidRPr="00B32DD7">
              <w:rPr>
                <w:rFonts w:ascii="Calibri" w:eastAsiaTheme="minorHAnsi" w:hAnsi="Calibri" w:cstheme="minorBidi"/>
                <w:spacing w:val="-2"/>
                <w:lang w:val="en-US"/>
              </w:rPr>
              <w:t xml:space="preserve"> </w:t>
            </w:r>
            <w:r w:rsidRPr="00B32DD7">
              <w:rPr>
                <w:rFonts w:ascii="Calibri" w:eastAsiaTheme="minorHAnsi" w:hAnsi="Calibri" w:cstheme="minorBidi"/>
                <w:lang w:val="en-US"/>
              </w:rPr>
              <w:t>A.Ş.</w:t>
            </w:r>
          </w:p>
        </w:tc>
        <w:tc>
          <w:tcPr>
            <w:tcW w:w="2590" w:type="dxa"/>
            <w:tcBorders>
              <w:top w:val="single" w:sz="4" w:space="0" w:color="D9D9D9"/>
              <w:left w:val="single" w:sz="4" w:space="0" w:color="D9D9D9"/>
              <w:bottom w:val="single" w:sz="4" w:space="0" w:color="D9D9D9"/>
              <w:right w:val="single" w:sz="4" w:space="0" w:color="D9D9D9"/>
            </w:tcBorders>
          </w:tcPr>
          <w:p w:rsidR="00FE2FC0" w:rsidRPr="00B32DD7" w:rsidRDefault="00FE2FC0" w:rsidP="00FE2FC0">
            <w:pPr>
              <w:widowControl w:val="0"/>
              <w:spacing w:after="0" w:line="240" w:lineRule="auto"/>
              <w:ind w:left="786"/>
              <w:jc w:val="left"/>
              <w:rPr>
                <w:rFonts w:ascii="Calibri" w:hAnsi="Calibri" w:cs="Calibri"/>
                <w:lang w:val="en-US"/>
              </w:rPr>
            </w:pPr>
            <w:r>
              <w:rPr>
                <w:rFonts w:ascii="Calibri" w:eastAsiaTheme="minorHAnsi" w:cstheme="minorBidi"/>
                <w:lang w:val="en-US"/>
              </w:rPr>
              <w:t>17.11.2022</w:t>
            </w:r>
          </w:p>
        </w:tc>
        <w:tc>
          <w:tcPr>
            <w:tcW w:w="1662" w:type="dxa"/>
            <w:tcBorders>
              <w:top w:val="single" w:sz="4" w:space="0" w:color="D9D9D9"/>
              <w:left w:val="single" w:sz="4" w:space="0" w:color="D9D9D9"/>
              <w:bottom w:val="single" w:sz="4" w:space="0" w:color="D9D9D9"/>
              <w:right w:val="single" w:sz="4" w:space="0" w:color="D9D9D9"/>
            </w:tcBorders>
          </w:tcPr>
          <w:p w:rsidR="00FE2FC0" w:rsidRPr="00B32DD7" w:rsidRDefault="00FE2FC0" w:rsidP="00FE2FC0">
            <w:pPr>
              <w:widowControl w:val="0"/>
              <w:spacing w:after="0" w:line="240" w:lineRule="auto"/>
              <w:jc w:val="center"/>
              <w:rPr>
                <w:rFonts w:ascii="Calibri" w:hAnsi="Calibri" w:cs="Calibri"/>
                <w:lang w:val="en-US"/>
              </w:rPr>
            </w:pPr>
            <w:r>
              <w:rPr>
                <w:rFonts w:ascii="Calibri" w:eastAsiaTheme="minorHAnsi" w:cstheme="minorBidi"/>
                <w:lang w:val="en-US"/>
              </w:rPr>
              <w:t>11398</w:t>
            </w:r>
          </w:p>
        </w:tc>
      </w:tr>
      <w:tr w:rsidR="00FE2FC0" w:rsidRPr="00B32DD7"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FE2FC0" w:rsidRPr="00B32DD7" w:rsidRDefault="00FE2FC0" w:rsidP="00FE2FC0">
            <w:pPr>
              <w:widowControl w:val="0"/>
              <w:spacing w:after="0" w:line="240" w:lineRule="auto"/>
              <w:ind w:left="103"/>
              <w:jc w:val="left"/>
              <w:rPr>
                <w:rFonts w:ascii="Calibri" w:hAnsi="Calibri" w:cs="Calibri"/>
                <w:lang w:val="en-US"/>
              </w:rPr>
            </w:pPr>
            <w:r w:rsidRPr="00B32DD7">
              <w:rPr>
                <w:rFonts w:ascii="Calibri" w:eastAsiaTheme="minorHAnsi" w:hAnsi="Calibri" w:cstheme="minorBidi"/>
                <w:lang w:val="en-US"/>
              </w:rPr>
              <w:t>Fırat</w:t>
            </w:r>
            <w:r w:rsidRPr="00B32DD7">
              <w:rPr>
                <w:rFonts w:ascii="Calibri" w:eastAsiaTheme="minorHAnsi" w:hAnsi="Calibri" w:cstheme="minorBidi"/>
                <w:spacing w:val="-2"/>
                <w:lang w:val="en-US"/>
              </w:rPr>
              <w:t xml:space="preserve"> </w:t>
            </w:r>
            <w:r w:rsidRPr="00B32DD7">
              <w:rPr>
                <w:rFonts w:ascii="Calibri" w:eastAsiaTheme="minorHAnsi" w:hAnsi="Calibri" w:cstheme="minorBidi"/>
                <w:spacing w:val="-1"/>
                <w:lang w:val="en-US"/>
              </w:rPr>
              <w:t>Elektrik</w:t>
            </w:r>
            <w:r w:rsidRPr="00B32DD7">
              <w:rPr>
                <w:rFonts w:ascii="Calibri" w:eastAsiaTheme="minorHAnsi" w:hAnsi="Calibri" w:cstheme="minorBidi"/>
                <w:spacing w:val="-3"/>
                <w:lang w:val="en-US"/>
              </w:rPr>
              <w:t xml:space="preserve"> </w:t>
            </w:r>
            <w:r w:rsidRPr="00B32DD7">
              <w:rPr>
                <w:rFonts w:ascii="Calibri" w:eastAsiaTheme="minorHAnsi" w:hAnsi="Calibri" w:cstheme="minorBidi"/>
                <w:spacing w:val="-1"/>
                <w:lang w:val="en-US"/>
              </w:rPr>
              <w:t>Dağıtım</w:t>
            </w:r>
            <w:r w:rsidRPr="00B32DD7">
              <w:rPr>
                <w:rFonts w:ascii="Calibri" w:eastAsiaTheme="minorHAnsi" w:hAnsi="Calibri" w:cstheme="minorBidi"/>
                <w:spacing w:val="-2"/>
                <w:lang w:val="en-US"/>
              </w:rPr>
              <w:t xml:space="preserve"> </w:t>
            </w:r>
            <w:r w:rsidRPr="00B32DD7">
              <w:rPr>
                <w:rFonts w:ascii="Calibri" w:eastAsiaTheme="minorHAnsi" w:hAnsi="Calibri" w:cstheme="minorBidi"/>
                <w:lang w:val="en-US"/>
              </w:rPr>
              <w:t>A.Ş.</w:t>
            </w:r>
          </w:p>
        </w:tc>
        <w:tc>
          <w:tcPr>
            <w:tcW w:w="2590" w:type="dxa"/>
            <w:tcBorders>
              <w:top w:val="single" w:sz="4" w:space="0" w:color="D9D9D9"/>
              <w:left w:val="single" w:sz="4" w:space="0" w:color="D9D9D9"/>
              <w:bottom w:val="single" w:sz="4" w:space="0" w:color="D9D9D9"/>
              <w:right w:val="single" w:sz="4" w:space="0" w:color="D9D9D9"/>
            </w:tcBorders>
          </w:tcPr>
          <w:p w:rsidR="00FE2FC0" w:rsidRPr="00B32DD7" w:rsidRDefault="00FE2FC0" w:rsidP="00FE2FC0">
            <w:pPr>
              <w:widowControl w:val="0"/>
              <w:spacing w:after="0" w:line="240" w:lineRule="auto"/>
              <w:ind w:left="786"/>
              <w:jc w:val="left"/>
              <w:rPr>
                <w:rFonts w:ascii="Calibri" w:hAnsi="Calibri" w:cs="Calibri"/>
                <w:lang w:val="en-US"/>
              </w:rPr>
            </w:pPr>
            <w:r>
              <w:rPr>
                <w:rFonts w:ascii="Calibri" w:eastAsiaTheme="minorHAnsi" w:cstheme="minorBidi"/>
                <w:lang w:val="en-US"/>
              </w:rPr>
              <w:t>22.12.2022</w:t>
            </w:r>
          </w:p>
        </w:tc>
        <w:tc>
          <w:tcPr>
            <w:tcW w:w="1662" w:type="dxa"/>
            <w:tcBorders>
              <w:top w:val="single" w:sz="4" w:space="0" w:color="D9D9D9"/>
              <w:left w:val="single" w:sz="4" w:space="0" w:color="D9D9D9"/>
              <w:bottom w:val="single" w:sz="4" w:space="0" w:color="D9D9D9"/>
              <w:right w:val="single" w:sz="4" w:space="0" w:color="D9D9D9"/>
            </w:tcBorders>
          </w:tcPr>
          <w:p w:rsidR="00FE2FC0" w:rsidRPr="00B32DD7" w:rsidRDefault="00FE2FC0" w:rsidP="00FE2FC0">
            <w:pPr>
              <w:widowControl w:val="0"/>
              <w:spacing w:after="0" w:line="240" w:lineRule="auto"/>
              <w:jc w:val="center"/>
              <w:rPr>
                <w:rFonts w:ascii="Calibri" w:hAnsi="Calibri" w:cs="Calibri"/>
                <w:lang w:val="en-US"/>
              </w:rPr>
            </w:pPr>
            <w:r>
              <w:rPr>
                <w:rFonts w:ascii="Calibri" w:eastAsiaTheme="minorHAnsi" w:cstheme="minorBidi"/>
                <w:lang w:val="en-US"/>
              </w:rPr>
              <w:t>11487</w:t>
            </w:r>
          </w:p>
        </w:tc>
      </w:tr>
      <w:tr w:rsidR="00FE2FC0" w:rsidRPr="00B32DD7"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FE2FC0" w:rsidRPr="00B32DD7" w:rsidRDefault="00FE2FC0" w:rsidP="00FE2FC0">
            <w:pPr>
              <w:widowControl w:val="0"/>
              <w:spacing w:after="0" w:line="240" w:lineRule="auto"/>
              <w:ind w:left="103"/>
              <w:jc w:val="left"/>
              <w:rPr>
                <w:rFonts w:ascii="Calibri" w:hAnsi="Calibri" w:cs="Calibri"/>
                <w:lang w:val="en-US"/>
              </w:rPr>
            </w:pPr>
            <w:r w:rsidRPr="00B32DD7">
              <w:rPr>
                <w:rFonts w:ascii="Calibri" w:eastAsiaTheme="minorHAnsi" w:hAnsi="Calibri" w:cstheme="minorBidi"/>
                <w:lang w:val="en-US"/>
              </w:rPr>
              <w:t>GDZ</w:t>
            </w:r>
            <w:r w:rsidRPr="00B32DD7" w:rsidDel="008941C0">
              <w:rPr>
                <w:rFonts w:ascii="Calibri" w:eastAsiaTheme="minorHAnsi" w:hAnsi="Calibri" w:cstheme="minorBidi"/>
                <w:spacing w:val="-1"/>
                <w:lang w:val="en-US"/>
              </w:rPr>
              <w:t xml:space="preserve"> </w:t>
            </w:r>
            <w:r w:rsidRPr="00B32DD7">
              <w:rPr>
                <w:rFonts w:ascii="Calibri" w:eastAsiaTheme="minorHAnsi" w:hAnsi="Calibri" w:cstheme="minorBidi"/>
                <w:spacing w:val="-4"/>
                <w:lang w:val="en-US"/>
              </w:rPr>
              <w:t>Elektrik</w:t>
            </w:r>
            <w:r w:rsidRPr="00B32DD7">
              <w:rPr>
                <w:rFonts w:ascii="Calibri" w:eastAsiaTheme="minorHAnsi" w:hAnsi="Calibri" w:cstheme="minorBidi"/>
                <w:spacing w:val="-5"/>
                <w:lang w:val="en-US"/>
              </w:rPr>
              <w:t xml:space="preserve"> </w:t>
            </w:r>
            <w:r w:rsidRPr="00B32DD7">
              <w:rPr>
                <w:rFonts w:ascii="Calibri" w:eastAsiaTheme="minorHAnsi" w:hAnsi="Calibri" w:cstheme="minorBidi"/>
                <w:lang w:val="en-US"/>
              </w:rPr>
              <w:t>Dağıtım</w:t>
            </w:r>
            <w:r w:rsidRPr="00B32DD7">
              <w:rPr>
                <w:rFonts w:ascii="Calibri" w:eastAsiaTheme="minorHAnsi" w:hAnsi="Calibri" w:cstheme="minorBidi"/>
                <w:spacing w:val="-3"/>
                <w:lang w:val="en-US"/>
              </w:rPr>
              <w:t xml:space="preserve"> </w:t>
            </w:r>
            <w:r w:rsidRPr="00B32DD7">
              <w:rPr>
                <w:rFonts w:ascii="Calibri" w:eastAsiaTheme="minorHAnsi" w:hAnsi="Calibri" w:cstheme="minorBidi"/>
                <w:spacing w:val="-1"/>
                <w:lang w:val="en-US"/>
              </w:rPr>
              <w:t>A.Ş.</w:t>
            </w:r>
          </w:p>
        </w:tc>
        <w:tc>
          <w:tcPr>
            <w:tcW w:w="2590" w:type="dxa"/>
            <w:tcBorders>
              <w:top w:val="single" w:sz="4" w:space="0" w:color="D9D9D9"/>
              <w:left w:val="single" w:sz="4" w:space="0" w:color="D9D9D9"/>
              <w:bottom w:val="single" w:sz="4" w:space="0" w:color="D9D9D9"/>
              <w:right w:val="single" w:sz="4" w:space="0" w:color="D9D9D9"/>
            </w:tcBorders>
          </w:tcPr>
          <w:p w:rsidR="00FE2FC0" w:rsidRPr="00B32DD7" w:rsidRDefault="00FE2FC0" w:rsidP="00FE2FC0">
            <w:pPr>
              <w:widowControl w:val="0"/>
              <w:spacing w:after="0" w:line="240" w:lineRule="auto"/>
              <w:ind w:left="786"/>
              <w:jc w:val="left"/>
              <w:rPr>
                <w:rFonts w:ascii="Calibri" w:hAnsi="Calibri" w:cs="Calibri"/>
                <w:lang w:val="en-US"/>
              </w:rPr>
            </w:pPr>
            <w:r w:rsidRPr="00B32DD7">
              <w:rPr>
                <w:rFonts w:ascii="Calibri" w:eastAsiaTheme="minorHAnsi" w:cstheme="minorBidi"/>
                <w:lang w:val="en-US"/>
              </w:rPr>
              <w:t>10.12.2020</w:t>
            </w:r>
          </w:p>
        </w:tc>
        <w:tc>
          <w:tcPr>
            <w:tcW w:w="1662" w:type="dxa"/>
            <w:tcBorders>
              <w:top w:val="single" w:sz="4" w:space="0" w:color="D9D9D9"/>
              <w:left w:val="single" w:sz="4" w:space="0" w:color="D9D9D9"/>
              <w:bottom w:val="single" w:sz="4" w:space="0" w:color="D9D9D9"/>
              <w:right w:val="single" w:sz="4" w:space="0" w:color="D9D9D9"/>
            </w:tcBorders>
          </w:tcPr>
          <w:p w:rsidR="00FE2FC0" w:rsidRPr="00B32DD7" w:rsidRDefault="00FE2FC0" w:rsidP="00FE2FC0">
            <w:pPr>
              <w:widowControl w:val="0"/>
              <w:spacing w:after="0" w:line="240" w:lineRule="auto"/>
              <w:jc w:val="center"/>
              <w:rPr>
                <w:rFonts w:ascii="Calibri" w:hAnsi="Calibri" w:cs="Calibri"/>
                <w:lang w:val="en-US"/>
              </w:rPr>
            </w:pPr>
            <w:r w:rsidRPr="00B32DD7">
              <w:rPr>
                <w:rFonts w:ascii="Calibri" w:eastAsiaTheme="minorHAnsi" w:cstheme="minorBidi"/>
                <w:spacing w:val="-1"/>
                <w:lang w:val="en-US"/>
              </w:rPr>
              <w:t>9781</w:t>
            </w:r>
          </w:p>
        </w:tc>
      </w:tr>
      <w:tr w:rsidR="00FE2FC0" w:rsidRPr="00B32DD7"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FE2FC0" w:rsidRPr="00B32DD7" w:rsidRDefault="00FE2FC0" w:rsidP="00FE2FC0">
            <w:pPr>
              <w:widowControl w:val="0"/>
              <w:spacing w:after="0" w:line="240" w:lineRule="auto"/>
              <w:ind w:left="103"/>
              <w:jc w:val="left"/>
              <w:rPr>
                <w:rFonts w:ascii="Calibri" w:hAnsi="Calibri" w:cs="Calibri"/>
                <w:lang w:val="en-US"/>
              </w:rPr>
            </w:pPr>
            <w:r w:rsidRPr="00B32DD7">
              <w:rPr>
                <w:rFonts w:ascii="Calibri" w:eastAsiaTheme="minorHAnsi" w:hAnsi="Calibri" w:cstheme="minorBidi"/>
                <w:lang w:val="en-US"/>
              </w:rPr>
              <w:t>İstanbul</w:t>
            </w:r>
            <w:r w:rsidRPr="00B32DD7">
              <w:rPr>
                <w:rFonts w:ascii="Calibri" w:eastAsiaTheme="minorHAnsi" w:hAnsi="Calibri" w:cstheme="minorBidi"/>
                <w:spacing w:val="-2"/>
                <w:lang w:val="en-US"/>
              </w:rPr>
              <w:t xml:space="preserve"> </w:t>
            </w:r>
            <w:r w:rsidRPr="00B32DD7">
              <w:rPr>
                <w:rFonts w:ascii="Calibri" w:eastAsiaTheme="minorHAnsi" w:hAnsi="Calibri" w:cstheme="minorBidi"/>
                <w:spacing w:val="-1"/>
                <w:lang w:val="en-US"/>
              </w:rPr>
              <w:t>Anadolu Yakası Elektrik</w:t>
            </w:r>
            <w:r w:rsidRPr="00B32DD7">
              <w:rPr>
                <w:rFonts w:ascii="Calibri" w:eastAsiaTheme="minorHAnsi" w:hAnsi="Calibri" w:cstheme="minorBidi"/>
                <w:spacing w:val="-2"/>
                <w:lang w:val="en-US"/>
              </w:rPr>
              <w:t xml:space="preserve"> </w:t>
            </w:r>
            <w:r w:rsidRPr="00B32DD7">
              <w:rPr>
                <w:rFonts w:ascii="Calibri" w:eastAsiaTheme="minorHAnsi" w:hAnsi="Calibri" w:cstheme="minorBidi"/>
                <w:lang w:val="en-US"/>
              </w:rPr>
              <w:t>Dağıtım A.Ş.</w:t>
            </w:r>
            <w:r w:rsidRPr="00B32DD7">
              <w:rPr>
                <w:rFonts w:ascii="Calibri" w:eastAsiaTheme="minorHAnsi" w:hAnsi="Calibri" w:cstheme="minorBidi"/>
                <w:spacing w:val="-1"/>
                <w:lang w:val="en-US"/>
              </w:rPr>
              <w:t xml:space="preserve"> </w:t>
            </w:r>
          </w:p>
        </w:tc>
        <w:tc>
          <w:tcPr>
            <w:tcW w:w="2590" w:type="dxa"/>
            <w:tcBorders>
              <w:top w:val="single" w:sz="4" w:space="0" w:color="D9D9D9"/>
              <w:left w:val="single" w:sz="4" w:space="0" w:color="D9D9D9"/>
              <w:bottom w:val="single" w:sz="4" w:space="0" w:color="D9D9D9"/>
              <w:right w:val="single" w:sz="4" w:space="0" w:color="D9D9D9"/>
            </w:tcBorders>
          </w:tcPr>
          <w:p w:rsidR="00FE2FC0" w:rsidRPr="00B32DD7" w:rsidRDefault="00FE2FC0" w:rsidP="00FE2FC0">
            <w:pPr>
              <w:widowControl w:val="0"/>
              <w:spacing w:after="0" w:line="240" w:lineRule="auto"/>
              <w:ind w:left="786"/>
              <w:jc w:val="left"/>
              <w:rPr>
                <w:rFonts w:ascii="Calibri" w:hAnsi="Calibri" w:cs="Calibri"/>
                <w:lang w:val="en-US"/>
              </w:rPr>
            </w:pPr>
            <w:r>
              <w:rPr>
                <w:rFonts w:ascii="Calibri" w:eastAsiaTheme="minorHAnsi" w:cstheme="minorBidi"/>
                <w:lang w:val="en-US"/>
              </w:rPr>
              <w:t>08.09.2022</w:t>
            </w:r>
          </w:p>
        </w:tc>
        <w:tc>
          <w:tcPr>
            <w:tcW w:w="1662" w:type="dxa"/>
            <w:tcBorders>
              <w:top w:val="single" w:sz="4" w:space="0" w:color="D9D9D9"/>
              <w:left w:val="single" w:sz="4" w:space="0" w:color="D9D9D9"/>
              <w:bottom w:val="single" w:sz="4" w:space="0" w:color="D9D9D9"/>
              <w:right w:val="single" w:sz="4" w:space="0" w:color="D9D9D9"/>
            </w:tcBorders>
          </w:tcPr>
          <w:p w:rsidR="00FE2FC0" w:rsidRPr="00B32DD7" w:rsidRDefault="00FE2FC0" w:rsidP="00FE2FC0">
            <w:pPr>
              <w:widowControl w:val="0"/>
              <w:spacing w:after="0" w:line="240" w:lineRule="auto"/>
              <w:jc w:val="center"/>
              <w:rPr>
                <w:rFonts w:ascii="Calibri" w:hAnsi="Calibri" w:cs="Calibri"/>
                <w:lang w:val="en-US"/>
              </w:rPr>
            </w:pPr>
            <w:r>
              <w:rPr>
                <w:rFonts w:ascii="Calibri" w:eastAsiaTheme="minorHAnsi" w:cstheme="minorBidi"/>
                <w:lang w:val="en-US"/>
              </w:rPr>
              <w:t>11189</w:t>
            </w:r>
          </w:p>
        </w:tc>
      </w:tr>
      <w:tr w:rsidR="00FE2FC0" w:rsidRPr="00B32DD7"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FE2FC0" w:rsidRPr="00B32DD7" w:rsidRDefault="00FE2FC0" w:rsidP="00FE2FC0">
            <w:pPr>
              <w:widowControl w:val="0"/>
              <w:spacing w:after="0" w:line="240" w:lineRule="auto"/>
              <w:ind w:left="103"/>
              <w:jc w:val="left"/>
              <w:rPr>
                <w:rFonts w:ascii="Calibri" w:hAnsi="Calibri" w:cs="Calibri"/>
                <w:lang w:val="en-US"/>
              </w:rPr>
            </w:pPr>
            <w:r w:rsidRPr="00B32DD7">
              <w:rPr>
                <w:rFonts w:ascii="Calibri" w:eastAsiaTheme="minorHAnsi" w:hAnsi="Calibri" w:cstheme="minorBidi"/>
                <w:spacing w:val="-1"/>
                <w:lang w:val="en-US"/>
              </w:rPr>
              <w:t>Kayseri</w:t>
            </w:r>
            <w:r w:rsidRPr="00B32DD7">
              <w:rPr>
                <w:rFonts w:ascii="Calibri" w:eastAsiaTheme="minorHAnsi" w:hAnsi="Calibri" w:cstheme="minorBidi"/>
                <w:spacing w:val="-4"/>
                <w:lang w:val="en-US"/>
              </w:rPr>
              <w:t xml:space="preserve"> </w:t>
            </w:r>
            <w:r w:rsidRPr="00B32DD7">
              <w:rPr>
                <w:rFonts w:ascii="Calibri" w:eastAsiaTheme="minorHAnsi" w:hAnsi="Calibri" w:cstheme="minorBidi"/>
                <w:lang w:val="en-US"/>
              </w:rPr>
              <w:t>ve</w:t>
            </w:r>
            <w:r w:rsidRPr="00B32DD7">
              <w:rPr>
                <w:rFonts w:ascii="Calibri" w:eastAsiaTheme="minorHAnsi" w:hAnsi="Calibri" w:cstheme="minorBidi"/>
                <w:spacing w:val="-4"/>
                <w:lang w:val="en-US"/>
              </w:rPr>
              <w:t xml:space="preserve"> </w:t>
            </w:r>
            <w:r w:rsidRPr="00B32DD7">
              <w:rPr>
                <w:rFonts w:ascii="Calibri" w:eastAsiaTheme="minorHAnsi" w:hAnsi="Calibri" w:cstheme="minorBidi"/>
                <w:spacing w:val="-1"/>
                <w:lang w:val="en-US"/>
              </w:rPr>
              <w:t>Civarı</w:t>
            </w:r>
            <w:r w:rsidRPr="00B32DD7">
              <w:rPr>
                <w:rFonts w:ascii="Calibri" w:eastAsiaTheme="minorHAnsi" w:hAnsi="Calibri" w:cstheme="minorBidi"/>
                <w:spacing w:val="-3"/>
                <w:lang w:val="en-US"/>
              </w:rPr>
              <w:t xml:space="preserve"> </w:t>
            </w:r>
            <w:r w:rsidRPr="00B32DD7">
              <w:rPr>
                <w:rFonts w:ascii="Calibri" w:eastAsiaTheme="minorHAnsi" w:hAnsi="Calibri" w:cstheme="minorBidi"/>
                <w:spacing w:val="-1"/>
                <w:lang w:val="en-US"/>
              </w:rPr>
              <w:t>Elektrik</w:t>
            </w:r>
            <w:r w:rsidRPr="00B32DD7">
              <w:rPr>
                <w:rFonts w:ascii="Calibri" w:eastAsiaTheme="minorHAnsi" w:hAnsi="Calibri" w:cstheme="minorBidi"/>
                <w:spacing w:val="-4"/>
                <w:lang w:val="en-US"/>
              </w:rPr>
              <w:t xml:space="preserve"> </w:t>
            </w:r>
            <w:r w:rsidRPr="00B32DD7">
              <w:rPr>
                <w:rFonts w:ascii="Calibri" w:eastAsiaTheme="minorHAnsi" w:hAnsi="Calibri" w:cstheme="minorBidi"/>
                <w:spacing w:val="-1"/>
                <w:lang w:val="en-US"/>
              </w:rPr>
              <w:t>Türk</w:t>
            </w:r>
            <w:r w:rsidRPr="00B32DD7">
              <w:rPr>
                <w:rFonts w:ascii="Calibri" w:eastAsiaTheme="minorHAnsi" w:hAnsi="Calibri" w:cstheme="minorBidi"/>
                <w:spacing w:val="-3"/>
                <w:lang w:val="en-US"/>
              </w:rPr>
              <w:t xml:space="preserve"> </w:t>
            </w:r>
            <w:r w:rsidRPr="00B32DD7">
              <w:rPr>
                <w:rFonts w:ascii="Calibri" w:eastAsiaTheme="minorHAnsi" w:hAnsi="Calibri" w:cstheme="minorBidi"/>
                <w:spacing w:val="-1"/>
                <w:lang w:val="en-US"/>
              </w:rPr>
              <w:t>A.Ş.</w:t>
            </w:r>
          </w:p>
        </w:tc>
        <w:tc>
          <w:tcPr>
            <w:tcW w:w="2590" w:type="dxa"/>
            <w:tcBorders>
              <w:top w:val="single" w:sz="4" w:space="0" w:color="D9D9D9"/>
              <w:left w:val="single" w:sz="4" w:space="0" w:color="D9D9D9"/>
              <w:bottom w:val="single" w:sz="4" w:space="0" w:color="D9D9D9"/>
              <w:right w:val="single" w:sz="4" w:space="0" w:color="D9D9D9"/>
            </w:tcBorders>
          </w:tcPr>
          <w:p w:rsidR="00FE2FC0" w:rsidRPr="00B32DD7" w:rsidRDefault="00FE2FC0" w:rsidP="00FE2FC0">
            <w:pPr>
              <w:widowControl w:val="0"/>
              <w:spacing w:before="19" w:after="0" w:line="240" w:lineRule="auto"/>
              <w:ind w:left="786"/>
              <w:jc w:val="left"/>
              <w:rPr>
                <w:rFonts w:ascii="Calibri" w:hAnsi="Calibri" w:cs="Calibri"/>
                <w:lang w:val="en-US"/>
              </w:rPr>
            </w:pPr>
            <w:r w:rsidRPr="00B32DD7">
              <w:rPr>
                <w:rFonts w:ascii="Calibri" w:eastAsiaTheme="minorHAnsi" w:cstheme="minorBidi"/>
                <w:lang w:val="en-US"/>
              </w:rPr>
              <w:t>10.12.2020</w:t>
            </w:r>
          </w:p>
        </w:tc>
        <w:tc>
          <w:tcPr>
            <w:tcW w:w="1662" w:type="dxa"/>
            <w:tcBorders>
              <w:top w:val="single" w:sz="4" w:space="0" w:color="D9D9D9"/>
              <w:left w:val="single" w:sz="4" w:space="0" w:color="D9D9D9"/>
              <w:bottom w:val="single" w:sz="4" w:space="0" w:color="D9D9D9"/>
              <w:right w:val="single" w:sz="4" w:space="0" w:color="D9D9D9"/>
            </w:tcBorders>
          </w:tcPr>
          <w:p w:rsidR="00FE2FC0" w:rsidRPr="00B32DD7" w:rsidRDefault="00FE2FC0" w:rsidP="00FE2FC0">
            <w:pPr>
              <w:widowControl w:val="0"/>
              <w:spacing w:before="19" w:after="0" w:line="240" w:lineRule="auto"/>
              <w:jc w:val="center"/>
              <w:rPr>
                <w:rFonts w:ascii="Calibri" w:hAnsi="Calibri" w:cs="Calibri"/>
                <w:lang w:val="en-US"/>
              </w:rPr>
            </w:pPr>
            <w:r w:rsidRPr="00B32DD7">
              <w:rPr>
                <w:rFonts w:ascii="Calibri" w:eastAsiaTheme="minorHAnsi" w:cstheme="minorBidi"/>
                <w:lang w:val="en-US"/>
              </w:rPr>
              <w:t>9785</w:t>
            </w:r>
          </w:p>
        </w:tc>
      </w:tr>
      <w:tr w:rsidR="00FE2FC0" w:rsidRPr="00B32DD7"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FE2FC0" w:rsidRPr="00B32DD7" w:rsidRDefault="00FE2FC0" w:rsidP="00FE2FC0">
            <w:pPr>
              <w:widowControl w:val="0"/>
              <w:spacing w:after="0" w:line="240" w:lineRule="auto"/>
              <w:ind w:left="103"/>
              <w:jc w:val="left"/>
              <w:rPr>
                <w:rFonts w:ascii="Calibri" w:hAnsi="Calibri" w:cs="Calibri"/>
                <w:lang w:val="en-US"/>
              </w:rPr>
            </w:pPr>
            <w:r w:rsidRPr="00B32DD7">
              <w:rPr>
                <w:rFonts w:ascii="Calibri" w:eastAsiaTheme="minorHAnsi" w:hAnsi="Calibri" w:cstheme="minorBidi"/>
                <w:lang w:val="en-US"/>
              </w:rPr>
              <w:t>Meram</w:t>
            </w:r>
            <w:r w:rsidRPr="00B32DD7">
              <w:rPr>
                <w:rFonts w:ascii="Calibri" w:eastAsiaTheme="minorHAnsi" w:hAnsi="Calibri" w:cstheme="minorBidi"/>
                <w:spacing w:val="-2"/>
                <w:lang w:val="en-US"/>
              </w:rPr>
              <w:t xml:space="preserve"> </w:t>
            </w:r>
            <w:r w:rsidRPr="00B32DD7">
              <w:rPr>
                <w:rFonts w:ascii="Calibri" w:eastAsiaTheme="minorHAnsi" w:hAnsi="Calibri" w:cstheme="minorBidi"/>
                <w:spacing w:val="-1"/>
                <w:lang w:val="en-US"/>
              </w:rPr>
              <w:t>Elektrik</w:t>
            </w:r>
            <w:r w:rsidRPr="00B32DD7">
              <w:rPr>
                <w:rFonts w:ascii="Calibri" w:eastAsiaTheme="minorHAnsi" w:hAnsi="Calibri" w:cstheme="minorBidi"/>
                <w:spacing w:val="-2"/>
                <w:lang w:val="en-US"/>
              </w:rPr>
              <w:t xml:space="preserve"> </w:t>
            </w:r>
            <w:r w:rsidRPr="00B32DD7">
              <w:rPr>
                <w:rFonts w:ascii="Calibri" w:eastAsiaTheme="minorHAnsi" w:hAnsi="Calibri" w:cstheme="minorBidi"/>
                <w:lang w:val="en-US"/>
              </w:rPr>
              <w:t>Dağıtım</w:t>
            </w:r>
            <w:r w:rsidRPr="00B32DD7">
              <w:rPr>
                <w:rFonts w:ascii="Calibri" w:eastAsiaTheme="minorHAnsi" w:hAnsi="Calibri" w:cstheme="minorBidi"/>
                <w:spacing w:val="-2"/>
                <w:lang w:val="en-US"/>
              </w:rPr>
              <w:t xml:space="preserve"> </w:t>
            </w:r>
            <w:r w:rsidRPr="00B32DD7">
              <w:rPr>
                <w:rFonts w:ascii="Calibri" w:eastAsiaTheme="minorHAnsi" w:hAnsi="Calibri" w:cstheme="minorBidi"/>
                <w:lang w:val="en-US"/>
              </w:rPr>
              <w:t>A.Ş.</w:t>
            </w:r>
          </w:p>
        </w:tc>
        <w:tc>
          <w:tcPr>
            <w:tcW w:w="2590" w:type="dxa"/>
            <w:tcBorders>
              <w:top w:val="single" w:sz="4" w:space="0" w:color="D9D9D9"/>
              <w:left w:val="single" w:sz="4" w:space="0" w:color="D9D9D9"/>
              <w:bottom w:val="single" w:sz="4" w:space="0" w:color="D9D9D9"/>
              <w:right w:val="single" w:sz="4" w:space="0" w:color="D9D9D9"/>
            </w:tcBorders>
          </w:tcPr>
          <w:p w:rsidR="00FE2FC0" w:rsidRPr="00B32DD7" w:rsidRDefault="00FE2FC0" w:rsidP="00FE2FC0">
            <w:pPr>
              <w:widowControl w:val="0"/>
              <w:spacing w:after="0" w:line="240" w:lineRule="auto"/>
              <w:ind w:left="786"/>
              <w:jc w:val="left"/>
              <w:rPr>
                <w:rFonts w:ascii="Calibri" w:hAnsi="Calibri" w:cs="Calibri"/>
                <w:lang w:val="en-US"/>
              </w:rPr>
            </w:pPr>
            <w:r>
              <w:rPr>
                <w:rFonts w:ascii="Calibri" w:eastAsiaTheme="minorHAnsi" w:cstheme="minorBidi"/>
                <w:lang w:val="en-US"/>
              </w:rPr>
              <w:t>10.11.2022</w:t>
            </w:r>
          </w:p>
        </w:tc>
        <w:tc>
          <w:tcPr>
            <w:tcW w:w="1662" w:type="dxa"/>
            <w:tcBorders>
              <w:top w:val="single" w:sz="4" w:space="0" w:color="D9D9D9"/>
              <w:left w:val="single" w:sz="4" w:space="0" w:color="D9D9D9"/>
              <w:bottom w:val="single" w:sz="4" w:space="0" w:color="D9D9D9"/>
              <w:right w:val="single" w:sz="4" w:space="0" w:color="D9D9D9"/>
            </w:tcBorders>
          </w:tcPr>
          <w:p w:rsidR="00FE2FC0" w:rsidRPr="00B32DD7" w:rsidRDefault="00FE2FC0" w:rsidP="00FE2FC0">
            <w:pPr>
              <w:widowControl w:val="0"/>
              <w:spacing w:after="0" w:line="240" w:lineRule="auto"/>
              <w:jc w:val="center"/>
              <w:rPr>
                <w:rFonts w:ascii="Calibri" w:hAnsi="Calibri" w:cs="Calibri"/>
                <w:lang w:val="en-US"/>
              </w:rPr>
            </w:pPr>
            <w:r>
              <w:rPr>
                <w:rFonts w:ascii="Calibri" w:eastAsiaTheme="minorHAnsi" w:cstheme="minorBidi"/>
                <w:lang w:val="en-US"/>
              </w:rPr>
              <w:t>11379</w:t>
            </w:r>
          </w:p>
        </w:tc>
      </w:tr>
      <w:tr w:rsidR="00FE2FC0" w:rsidRPr="00B32DD7"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FE2FC0" w:rsidRPr="00B32DD7" w:rsidRDefault="00FE2FC0" w:rsidP="00FE2FC0">
            <w:pPr>
              <w:widowControl w:val="0"/>
              <w:spacing w:after="0" w:line="240" w:lineRule="auto"/>
              <w:ind w:left="103"/>
              <w:jc w:val="left"/>
              <w:rPr>
                <w:rFonts w:ascii="Calibri" w:hAnsi="Calibri" w:cs="Calibri"/>
                <w:lang w:val="en-US"/>
              </w:rPr>
            </w:pPr>
            <w:r w:rsidRPr="00B32DD7">
              <w:rPr>
                <w:rFonts w:ascii="Calibri" w:eastAsiaTheme="minorHAnsi" w:hAnsi="Calibri" w:cstheme="minorBidi"/>
                <w:lang w:val="en-US"/>
              </w:rPr>
              <w:t>Osmangazi</w:t>
            </w:r>
            <w:r w:rsidRPr="00B32DD7">
              <w:rPr>
                <w:rFonts w:ascii="Calibri" w:eastAsiaTheme="minorHAnsi" w:hAnsi="Calibri" w:cstheme="minorBidi"/>
                <w:spacing w:val="-2"/>
                <w:lang w:val="en-US"/>
              </w:rPr>
              <w:t xml:space="preserve"> </w:t>
            </w:r>
            <w:r w:rsidRPr="00B32DD7">
              <w:rPr>
                <w:rFonts w:ascii="Calibri" w:eastAsiaTheme="minorHAnsi" w:hAnsi="Calibri" w:cstheme="minorBidi"/>
                <w:spacing w:val="-1"/>
                <w:lang w:val="en-US"/>
              </w:rPr>
              <w:t>Elektrik</w:t>
            </w:r>
            <w:r w:rsidRPr="00B32DD7">
              <w:rPr>
                <w:rFonts w:ascii="Calibri" w:eastAsiaTheme="minorHAnsi" w:hAnsi="Calibri" w:cstheme="minorBidi"/>
                <w:spacing w:val="-3"/>
                <w:lang w:val="en-US"/>
              </w:rPr>
              <w:t xml:space="preserve"> </w:t>
            </w:r>
            <w:r w:rsidRPr="00B32DD7">
              <w:rPr>
                <w:rFonts w:ascii="Calibri" w:eastAsiaTheme="minorHAnsi" w:hAnsi="Calibri" w:cstheme="minorBidi"/>
                <w:spacing w:val="-1"/>
                <w:lang w:val="en-US"/>
              </w:rPr>
              <w:t>Dağıtım</w:t>
            </w:r>
            <w:r w:rsidRPr="00B32DD7">
              <w:rPr>
                <w:rFonts w:ascii="Calibri" w:eastAsiaTheme="minorHAnsi" w:hAnsi="Calibri" w:cstheme="minorBidi"/>
                <w:spacing w:val="-2"/>
                <w:lang w:val="en-US"/>
              </w:rPr>
              <w:t xml:space="preserve"> </w:t>
            </w:r>
            <w:r w:rsidRPr="00B32DD7">
              <w:rPr>
                <w:rFonts w:ascii="Calibri" w:eastAsiaTheme="minorHAnsi" w:hAnsi="Calibri" w:cstheme="minorBidi"/>
                <w:lang w:val="en-US"/>
              </w:rPr>
              <w:t>A.Ş.</w:t>
            </w:r>
          </w:p>
        </w:tc>
        <w:tc>
          <w:tcPr>
            <w:tcW w:w="2590" w:type="dxa"/>
            <w:tcBorders>
              <w:top w:val="single" w:sz="4" w:space="0" w:color="D9D9D9"/>
              <w:left w:val="single" w:sz="4" w:space="0" w:color="D9D9D9"/>
              <w:bottom w:val="single" w:sz="4" w:space="0" w:color="D9D9D9"/>
              <w:right w:val="single" w:sz="4" w:space="0" w:color="D9D9D9"/>
            </w:tcBorders>
          </w:tcPr>
          <w:p w:rsidR="00FE2FC0" w:rsidRPr="00B32DD7" w:rsidRDefault="00FE2FC0" w:rsidP="00FE2FC0">
            <w:pPr>
              <w:widowControl w:val="0"/>
              <w:spacing w:after="0" w:line="240" w:lineRule="auto"/>
              <w:ind w:left="786"/>
              <w:jc w:val="left"/>
              <w:rPr>
                <w:rFonts w:ascii="Calibri" w:hAnsi="Calibri" w:cs="Calibri"/>
                <w:lang w:val="en-US"/>
              </w:rPr>
            </w:pPr>
            <w:r>
              <w:rPr>
                <w:rFonts w:ascii="Calibri" w:eastAsiaTheme="minorHAnsi" w:cstheme="minorBidi"/>
                <w:lang w:val="en-US"/>
              </w:rPr>
              <w:t>08.09.2022</w:t>
            </w:r>
          </w:p>
        </w:tc>
        <w:tc>
          <w:tcPr>
            <w:tcW w:w="1662" w:type="dxa"/>
            <w:tcBorders>
              <w:top w:val="single" w:sz="4" w:space="0" w:color="D9D9D9"/>
              <w:left w:val="single" w:sz="4" w:space="0" w:color="D9D9D9"/>
              <w:bottom w:val="single" w:sz="4" w:space="0" w:color="D9D9D9"/>
              <w:right w:val="single" w:sz="4" w:space="0" w:color="D9D9D9"/>
            </w:tcBorders>
          </w:tcPr>
          <w:p w:rsidR="00FE2FC0" w:rsidRPr="00B32DD7" w:rsidRDefault="00FE2FC0" w:rsidP="00FE2FC0">
            <w:pPr>
              <w:widowControl w:val="0"/>
              <w:spacing w:after="0" w:line="240" w:lineRule="auto"/>
              <w:jc w:val="center"/>
              <w:rPr>
                <w:rFonts w:ascii="Calibri" w:hAnsi="Calibri" w:cs="Calibri"/>
                <w:lang w:val="en-US"/>
              </w:rPr>
            </w:pPr>
            <w:r>
              <w:rPr>
                <w:rFonts w:ascii="Calibri" w:eastAsiaTheme="minorHAnsi" w:cstheme="minorBidi"/>
                <w:lang w:val="en-US"/>
              </w:rPr>
              <w:t>11190</w:t>
            </w:r>
          </w:p>
        </w:tc>
      </w:tr>
      <w:tr w:rsidR="00FE2FC0" w:rsidRPr="00B32DD7"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FE2FC0" w:rsidRPr="00B32DD7" w:rsidRDefault="00FE2FC0" w:rsidP="00FE2FC0">
            <w:pPr>
              <w:widowControl w:val="0"/>
              <w:spacing w:after="0" w:line="240" w:lineRule="auto"/>
              <w:ind w:left="103"/>
              <w:jc w:val="left"/>
              <w:rPr>
                <w:rFonts w:ascii="Calibri" w:hAnsi="Calibri" w:cs="Calibri"/>
                <w:lang w:val="en-US"/>
              </w:rPr>
            </w:pPr>
            <w:r w:rsidRPr="00B32DD7">
              <w:rPr>
                <w:rFonts w:ascii="Calibri" w:eastAsiaTheme="minorHAnsi" w:hAnsi="Calibri" w:cstheme="minorBidi"/>
                <w:spacing w:val="-1"/>
                <w:lang w:val="en-US"/>
              </w:rPr>
              <w:t>Sakarya</w:t>
            </w:r>
            <w:r w:rsidRPr="00B32DD7">
              <w:rPr>
                <w:rFonts w:ascii="Calibri" w:eastAsiaTheme="minorHAnsi" w:hAnsi="Calibri" w:cstheme="minorBidi"/>
                <w:spacing w:val="-3"/>
                <w:lang w:val="en-US"/>
              </w:rPr>
              <w:t xml:space="preserve"> </w:t>
            </w:r>
            <w:r w:rsidRPr="00B32DD7">
              <w:rPr>
                <w:rFonts w:ascii="Calibri" w:eastAsiaTheme="minorHAnsi" w:hAnsi="Calibri" w:cstheme="minorBidi"/>
                <w:spacing w:val="-1"/>
                <w:lang w:val="en-US"/>
              </w:rPr>
              <w:t>Elektrik</w:t>
            </w:r>
            <w:r w:rsidRPr="00B32DD7">
              <w:rPr>
                <w:rFonts w:ascii="Calibri" w:eastAsiaTheme="minorHAnsi" w:hAnsi="Calibri" w:cstheme="minorBidi"/>
                <w:spacing w:val="-3"/>
                <w:lang w:val="en-US"/>
              </w:rPr>
              <w:t xml:space="preserve"> </w:t>
            </w:r>
            <w:r w:rsidRPr="00B32DD7">
              <w:rPr>
                <w:rFonts w:ascii="Calibri" w:eastAsiaTheme="minorHAnsi" w:hAnsi="Calibri" w:cstheme="minorBidi"/>
                <w:lang w:val="en-US"/>
              </w:rPr>
              <w:t>Dağıtım</w:t>
            </w:r>
            <w:r w:rsidRPr="00B32DD7">
              <w:rPr>
                <w:rFonts w:ascii="Calibri" w:eastAsiaTheme="minorHAnsi" w:hAnsi="Calibri" w:cstheme="minorBidi"/>
                <w:spacing w:val="-2"/>
                <w:lang w:val="en-US"/>
              </w:rPr>
              <w:t xml:space="preserve"> </w:t>
            </w:r>
            <w:r w:rsidRPr="00B32DD7">
              <w:rPr>
                <w:rFonts w:ascii="Calibri" w:eastAsiaTheme="minorHAnsi" w:hAnsi="Calibri" w:cstheme="minorBidi"/>
                <w:spacing w:val="-1"/>
                <w:lang w:val="en-US"/>
              </w:rPr>
              <w:t>A.Ş.</w:t>
            </w:r>
          </w:p>
        </w:tc>
        <w:tc>
          <w:tcPr>
            <w:tcW w:w="2590" w:type="dxa"/>
            <w:tcBorders>
              <w:top w:val="single" w:sz="4" w:space="0" w:color="D9D9D9"/>
              <w:left w:val="single" w:sz="4" w:space="0" w:color="D9D9D9"/>
              <w:bottom w:val="single" w:sz="4" w:space="0" w:color="D9D9D9"/>
              <w:right w:val="single" w:sz="4" w:space="0" w:color="D9D9D9"/>
            </w:tcBorders>
          </w:tcPr>
          <w:p w:rsidR="00FE2FC0" w:rsidRPr="00B32DD7" w:rsidRDefault="00FE2FC0" w:rsidP="00FE2FC0">
            <w:pPr>
              <w:widowControl w:val="0"/>
              <w:spacing w:after="0" w:line="240" w:lineRule="auto"/>
              <w:ind w:left="786"/>
              <w:jc w:val="left"/>
              <w:rPr>
                <w:rFonts w:ascii="Calibri" w:hAnsi="Calibri" w:cs="Calibri"/>
                <w:lang w:val="en-US"/>
              </w:rPr>
            </w:pPr>
            <w:r>
              <w:rPr>
                <w:rFonts w:ascii="Calibri" w:eastAsiaTheme="minorHAnsi" w:cstheme="minorBidi"/>
                <w:lang w:val="en-US"/>
              </w:rPr>
              <w:t>22.12.2022</w:t>
            </w:r>
          </w:p>
        </w:tc>
        <w:tc>
          <w:tcPr>
            <w:tcW w:w="1662" w:type="dxa"/>
            <w:tcBorders>
              <w:top w:val="single" w:sz="4" w:space="0" w:color="D9D9D9"/>
              <w:left w:val="single" w:sz="4" w:space="0" w:color="D9D9D9"/>
              <w:bottom w:val="single" w:sz="4" w:space="0" w:color="D9D9D9"/>
              <w:right w:val="single" w:sz="4" w:space="0" w:color="D9D9D9"/>
            </w:tcBorders>
          </w:tcPr>
          <w:p w:rsidR="00FE2FC0" w:rsidRPr="00B32DD7" w:rsidRDefault="00FE2FC0" w:rsidP="00FE2FC0">
            <w:pPr>
              <w:widowControl w:val="0"/>
              <w:spacing w:after="0" w:line="240" w:lineRule="auto"/>
              <w:jc w:val="center"/>
              <w:rPr>
                <w:rFonts w:ascii="Calibri" w:hAnsi="Calibri" w:cs="Calibri"/>
                <w:lang w:val="en-US"/>
              </w:rPr>
            </w:pPr>
            <w:r>
              <w:rPr>
                <w:rFonts w:ascii="Calibri" w:eastAsiaTheme="minorHAnsi" w:cstheme="minorBidi"/>
                <w:lang w:val="en-US"/>
              </w:rPr>
              <w:t>11488</w:t>
            </w:r>
          </w:p>
        </w:tc>
      </w:tr>
      <w:tr w:rsidR="00FE2FC0" w:rsidRPr="00B32DD7"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FE2FC0" w:rsidRPr="00B32DD7" w:rsidRDefault="00FE2FC0" w:rsidP="00FE2FC0">
            <w:pPr>
              <w:widowControl w:val="0"/>
              <w:spacing w:after="0" w:line="240" w:lineRule="auto"/>
              <w:ind w:left="103"/>
              <w:jc w:val="left"/>
              <w:rPr>
                <w:rFonts w:ascii="Calibri" w:hAnsi="Calibri" w:cs="Calibri"/>
                <w:lang w:val="en-US"/>
              </w:rPr>
            </w:pPr>
            <w:r w:rsidRPr="00B32DD7">
              <w:rPr>
                <w:rFonts w:ascii="Calibri" w:eastAsiaTheme="minorHAnsi" w:hAnsi="Calibri" w:cstheme="minorBidi"/>
                <w:spacing w:val="-1"/>
                <w:lang w:val="en-US"/>
              </w:rPr>
              <w:lastRenderedPageBreak/>
              <w:t>Toroslar</w:t>
            </w:r>
            <w:r w:rsidRPr="00B32DD7">
              <w:rPr>
                <w:rFonts w:ascii="Calibri" w:eastAsiaTheme="minorHAnsi" w:hAnsi="Calibri" w:cstheme="minorBidi"/>
                <w:spacing w:val="-4"/>
                <w:lang w:val="en-US"/>
              </w:rPr>
              <w:t xml:space="preserve"> </w:t>
            </w:r>
            <w:r w:rsidRPr="00B32DD7">
              <w:rPr>
                <w:rFonts w:ascii="Calibri" w:eastAsiaTheme="minorHAnsi" w:hAnsi="Calibri" w:cstheme="minorBidi"/>
                <w:spacing w:val="-1"/>
                <w:lang w:val="en-US"/>
              </w:rPr>
              <w:t>Elektrik</w:t>
            </w:r>
            <w:r w:rsidRPr="00B32DD7">
              <w:rPr>
                <w:rFonts w:ascii="Calibri" w:eastAsiaTheme="minorHAnsi" w:hAnsi="Calibri" w:cstheme="minorBidi"/>
                <w:spacing w:val="-4"/>
                <w:lang w:val="en-US"/>
              </w:rPr>
              <w:t xml:space="preserve"> </w:t>
            </w:r>
            <w:r w:rsidRPr="00B32DD7">
              <w:rPr>
                <w:rFonts w:ascii="Calibri" w:eastAsiaTheme="minorHAnsi" w:hAnsi="Calibri" w:cstheme="minorBidi"/>
                <w:spacing w:val="-1"/>
                <w:lang w:val="en-US"/>
              </w:rPr>
              <w:t>Dağıtım</w:t>
            </w:r>
            <w:r w:rsidRPr="00B32DD7">
              <w:rPr>
                <w:rFonts w:ascii="Calibri" w:eastAsiaTheme="minorHAnsi" w:hAnsi="Calibri" w:cstheme="minorBidi"/>
                <w:spacing w:val="-2"/>
                <w:lang w:val="en-US"/>
              </w:rPr>
              <w:t xml:space="preserve"> </w:t>
            </w:r>
            <w:r w:rsidRPr="00B32DD7">
              <w:rPr>
                <w:rFonts w:ascii="Calibri" w:eastAsiaTheme="minorHAnsi" w:hAnsi="Calibri" w:cstheme="minorBidi"/>
                <w:lang w:val="en-US"/>
              </w:rPr>
              <w:t>A.Ş.</w:t>
            </w:r>
          </w:p>
        </w:tc>
        <w:tc>
          <w:tcPr>
            <w:tcW w:w="2590" w:type="dxa"/>
            <w:tcBorders>
              <w:top w:val="single" w:sz="4" w:space="0" w:color="D9D9D9"/>
              <w:left w:val="single" w:sz="4" w:space="0" w:color="D9D9D9"/>
              <w:bottom w:val="single" w:sz="4" w:space="0" w:color="D9D9D9"/>
              <w:right w:val="single" w:sz="4" w:space="0" w:color="D9D9D9"/>
            </w:tcBorders>
          </w:tcPr>
          <w:p w:rsidR="00FE2FC0" w:rsidRPr="00B32DD7" w:rsidRDefault="00FE2FC0" w:rsidP="00FE2FC0">
            <w:pPr>
              <w:widowControl w:val="0"/>
              <w:spacing w:after="0" w:line="240" w:lineRule="auto"/>
              <w:ind w:left="786"/>
              <w:jc w:val="left"/>
              <w:rPr>
                <w:rFonts w:ascii="Calibri" w:hAnsi="Calibri" w:cs="Calibri"/>
                <w:lang w:val="en-US"/>
              </w:rPr>
            </w:pPr>
            <w:r>
              <w:rPr>
                <w:rFonts w:ascii="Calibri" w:eastAsiaTheme="minorHAnsi" w:cstheme="minorBidi"/>
                <w:lang w:val="en-US"/>
              </w:rPr>
              <w:t>08.09.2022</w:t>
            </w:r>
          </w:p>
        </w:tc>
        <w:tc>
          <w:tcPr>
            <w:tcW w:w="1662" w:type="dxa"/>
            <w:tcBorders>
              <w:top w:val="single" w:sz="4" w:space="0" w:color="D9D9D9"/>
              <w:left w:val="single" w:sz="4" w:space="0" w:color="D9D9D9"/>
              <w:bottom w:val="single" w:sz="4" w:space="0" w:color="D9D9D9"/>
              <w:right w:val="single" w:sz="4" w:space="0" w:color="D9D9D9"/>
            </w:tcBorders>
          </w:tcPr>
          <w:p w:rsidR="00FE2FC0" w:rsidRPr="00B32DD7" w:rsidRDefault="00FE2FC0" w:rsidP="00FE2FC0">
            <w:pPr>
              <w:widowControl w:val="0"/>
              <w:spacing w:after="0" w:line="240" w:lineRule="auto"/>
              <w:jc w:val="center"/>
              <w:rPr>
                <w:rFonts w:ascii="Calibri" w:hAnsi="Calibri" w:cs="Calibri"/>
                <w:lang w:val="en-US"/>
              </w:rPr>
            </w:pPr>
            <w:r>
              <w:rPr>
                <w:rFonts w:ascii="Calibri" w:eastAsiaTheme="minorHAnsi" w:cstheme="minorBidi"/>
                <w:lang w:val="en-US"/>
              </w:rPr>
              <w:t>11192</w:t>
            </w:r>
          </w:p>
        </w:tc>
      </w:tr>
      <w:tr w:rsidR="00FE2FC0" w:rsidRPr="00B32DD7"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FE2FC0" w:rsidRPr="00B32DD7" w:rsidRDefault="00FE2FC0" w:rsidP="00FE2FC0">
            <w:pPr>
              <w:widowControl w:val="0"/>
              <w:spacing w:after="0" w:line="240" w:lineRule="auto"/>
              <w:ind w:left="103"/>
              <w:jc w:val="left"/>
              <w:rPr>
                <w:rFonts w:ascii="Calibri" w:hAnsi="Calibri" w:cs="Calibri"/>
                <w:lang w:val="en-US"/>
              </w:rPr>
            </w:pPr>
            <w:r w:rsidRPr="00B32DD7">
              <w:rPr>
                <w:rFonts w:ascii="Calibri" w:eastAsiaTheme="minorHAnsi" w:hAnsi="Calibri" w:cstheme="minorBidi"/>
                <w:lang w:val="en-US"/>
              </w:rPr>
              <w:t>Trakya</w:t>
            </w:r>
            <w:r w:rsidRPr="00B32DD7">
              <w:rPr>
                <w:rFonts w:ascii="Calibri" w:eastAsiaTheme="minorHAnsi" w:hAnsi="Calibri" w:cstheme="minorBidi"/>
                <w:spacing w:val="-2"/>
                <w:lang w:val="en-US"/>
              </w:rPr>
              <w:t xml:space="preserve"> </w:t>
            </w:r>
            <w:r w:rsidRPr="00B32DD7">
              <w:rPr>
                <w:rFonts w:ascii="Calibri" w:eastAsiaTheme="minorHAnsi" w:hAnsi="Calibri" w:cstheme="minorBidi"/>
                <w:spacing w:val="-1"/>
                <w:lang w:val="en-US"/>
              </w:rPr>
              <w:t>Elektrik</w:t>
            </w:r>
            <w:r w:rsidRPr="00B32DD7">
              <w:rPr>
                <w:rFonts w:ascii="Calibri" w:eastAsiaTheme="minorHAnsi" w:hAnsi="Calibri" w:cstheme="minorBidi"/>
                <w:spacing w:val="-3"/>
                <w:lang w:val="en-US"/>
              </w:rPr>
              <w:t xml:space="preserve"> </w:t>
            </w:r>
            <w:r w:rsidRPr="00B32DD7">
              <w:rPr>
                <w:rFonts w:ascii="Calibri" w:eastAsiaTheme="minorHAnsi" w:hAnsi="Calibri" w:cstheme="minorBidi"/>
                <w:spacing w:val="-1"/>
                <w:lang w:val="en-US"/>
              </w:rPr>
              <w:t xml:space="preserve">Dağıtım </w:t>
            </w:r>
            <w:r w:rsidRPr="00B32DD7">
              <w:rPr>
                <w:rFonts w:ascii="Calibri" w:eastAsiaTheme="minorHAnsi" w:hAnsi="Calibri" w:cstheme="minorBidi"/>
                <w:lang w:val="en-US"/>
              </w:rPr>
              <w:t>A.Ş.</w:t>
            </w:r>
          </w:p>
        </w:tc>
        <w:tc>
          <w:tcPr>
            <w:tcW w:w="2590" w:type="dxa"/>
            <w:tcBorders>
              <w:top w:val="single" w:sz="4" w:space="0" w:color="D9D9D9"/>
              <w:left w:val="single" w:sz="4" w:space="0" w:color="D9D9D9"/>
              <w:bottom w:val="single" w:sz="4" w:space="0" w:color="D9D9D9"/>
              <w:right w:val="single" w:sz="4" w:space="0" w:color="D9D9D9"/>
            </w:tcBorders>
          </w:tcPr>
          <w:p w:rsidR="00FE2FC0" w:rsidRPr="00B32DD7" w:rsidRDefault="00FE2FC0" w:rsidP="00FE2FC0">
            <w:pPr>
              <w:widowControl w:val="0"/>
              <w:spacing w:after="0" w:line="240" w:lineRule="auto"/>
              <w:ind w:left="786"/>
              <w:jc w:val="left"/>
              <w:rPr>
                <w:rFonts w:ascii="Calibri" w:hAnsi="Calibri" w:cs="Calibri"/>
                <w:lang w:val="en-US"/>
              </w:rPr>
            </w:pPr>
            <w:r w:rsidRPr="00B32DD7">
              <w:rPr>
                <w:rFonts w:ascii="Calibri" w:eastAsiaTheme="minorHAnsi" w:cstheme="minorBidi"/>
                <w:lang w:val="en-US"/>
              </w:rPr>
              <w:t>10.12.2020</w:t>
            </w:r>
          </w:p>
        </w:tc>
        <w:tc>
          <w:tcPr>
            <w:tcW w:w="1662" w:type="dxa"/>
            <w:tcBorders>
              <w:top w:val="single" w:sz="4" w:space="0" w:color="D9D9D9"/>
              <w:left w:val="single" w:sz="4" w:space="0" w:color="D9D9D9"/>
              <w:bottom w:val="single" w:sz="4" w:space="0" w:color="D9D9D9"/>
              <w:right w:val="single" w:sz="4" w:space="0" w:color="D9D9D9"/>
            </w:tcBorders>
          </w:tcPr>
          <w:p w:rsidR="00FE2FC0" w:rsidRPr="00B32DD7" w:rsidRDefault="00FE2FC0" w:rsidP="00FE2FC0">
            <w:pPr>
              <w:widowControl w:val="0"/>
              <w:spacing w:after="0" w:line="240" w:lineRule="auto"/>
              <w:jc w:val="center"/>
              <w:rPr>
                <w:rFonts w:ascii="Calibri" w:hAnsi="Calibri" w:cs="Calibri"/>
                <w:lang w:val="en-US"/>
              </w:rPr>
            </w:pPr>
            <w:r w:rsidRPr="00B32DD7">
              <w:rPr>
                <w:rFonts w:ascii="Calibri" w:eastAsiaTheme="minorHAnsi" w:cstheme="minorBidi"/>
                <w:lang w:val="en-US"/>
              </w:rPr>
              <w:t>9791</w:t>
            </w:r>
          </w:p>
        </w:tc>
      </w:tr>
      <w:tr w:rsidR="00FE2FC0" w:rsidRPr="00B32DD7"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FE2FC0" w:rsidRPr="00B32DD7" w:rsidRDefault="00FE2FC0" w:rsidP="00FE2FC0">
            <w:pPr>
              <w:widowControl w:val="0"/>
              <w:spacing w:after="0" w:line="240" w:lineRule="auto"/>
              <w:ind w:left="103"/>
              <w:jc w:val="left"/>
              <w:rPr>
                <w:rFonts w:ascii="Calibri" w:hAnsi="Calibri" w:cs="Calibri"/>
                <w:lang w:val="en-US"/>
              </w:rPr>
            </w:pPr>
            <w:r w:rsidRPr="00B32DD7">
              <w:rPr>
                <w:rFonts w:ascii="Calibri" w:eastAsiaTheme="minorHAnsi" w:hAnsi="Calibri" w:cstheme="minorBidi"/>
                <w:spacing w:val="-1"/>
                <w:lang w:val="en-US"/>
              </w:rPr>
              <w:t>Uludağ</w:t>
            </w:r>
            <w:r w:rsidRPr="00B32DD7">
              <w:rPr>
                <w:rFonts w:ascii="Calibri" w:eastAsiaTheme="minorHAnsi" w:hAnsi="Calibri" w:cstheme="minorBidi"/>
                <w:spacing w:val="-2"/>
                <w:lang w:val="en-US"/>
              </w:rPr>
              <w:t xml:space="preserve"> </w:t>
            </w:r>
            <w:r w:rsidRPr="00B32DD7">
              <w:rPr>
                <w:rFonts w:ascii="Calibri" w:eastAsiaTheme="minorHAnsi" w:hAnsi="Calibri" w:cstheme="minorBidi"/>
                <w:spacing w:val="-1"/>
                <w:lang w:val="en-US"/>
              </w:rPr>
              <w:t>Elektrik</w:t>
            </w:r>
            <w:r w:rsidRPr="00B32DD7">
              <w:rPr>
                <w:rFonts w:ascii="Calibri" w:eastAsiaTheme="minorHAnsi" w:hAnsi="Calibri" w:cstheme="minorBidi"/>
                <w:spacing w:val="-3"/>
                <w:lang w:val="en-US"/>
              </w:rPr>
              <w:t xml:space="preserve"> </w:t>
            </w:r>
            <w:r w:rsidRPr="00B32DD7">
              <w:rPr>
                <w:rFonts w:ascii="Calibri" w:eastAsiaTheme="minorHAnsi" w:hAnsi="Calibri" w:cstheme="minorBidi"/>
                <w:lang w:val="en-US"/>
              </w:rPr>
              <w:t>Dağıtım</w:t>
            </w:r>
            <w:r w:rsidRPr="00B32DD7">
              <w:rPr>
                <w:rFonts w:ascii="Calibri" w:eastAsiaTheme="minorHAnsi" w:hAnsi="Calibri" w:cstheme="minorBidi"/>
                <w:spacing w:val="-2"/>
                <w:lang w:val="en-US"/>
              </w:rPr>
              <w:t xml:space="preserve"> </w:t>
            </w:r>
            <w:r w:rsidRPr="00B32DD7">
              <w:rPr>
                <w:rFonts w:ascii="Calibri" w:eastAsiaTheme="minorHAnsi" w:hAnsi="Calibri" w:cstheme="minorBidi"/>
                <w:lang w:val="en-US"/>
              </w:rPr>
              <w:t>A.Ş.</w:t>
            </w:r>
          </w:p>
        </w:tc>
        <w:tc>
          <w:tcPr>
            <w:tcW w:w="2590" w:type="dxa"/>
            <w:tcBorders>
              <w:top w:val="single" w:sz="4" w:space="0" w:color="D9D9D9"/>
              <w:left w:val="single" w:sz="4" w:space="0" w:color="D9D9D9"/>
              <w:bottom w:val="single" w:sz="4" w:space="0" w:color="D9D9D9"/>
              <w:right w:val="single" w:sz="4" w:space="0" w:color="D9D9D9"/>
            </w:tcBorders>
          </w:tcPr>
          <w:p w:rsidR="00FE2FC0" w:rsidRPr="00B32DD7" w:rsidRDefault="00FE2FC0" w:rsidP="00FE2FC0">
            <w:pPr>
              <w:widowControl w:val="0"/>
              <w:spacing w:after="0" w:line="240" w:lineRule="auto"/>
              <w:ind w:left="786"/>
              <w:jc w:val="left"/>
              <w:rPr>
                <w:rFonts w:ascii="Calibri" w:hAnsi="Calibri" w:cs="Calibri"/>
                <w:lang w:val="en-US"/>
              </w:rPr>
            </w:pPr>
            <w:r w:rsidRPr="00B32DD7">
              <w:rPr>
                <w:rFonts w:ascii="Calibri" w:eastAsiaTheme="minorHAnsi" w:cstheme="minorBidi"/>
                <w:lang w:val="en-US"/>
              </w:rPr>
              <w:t>10.12.2020</w:t>
            </w:r>
          </w:p>
        </w:tc>
        <w:tc>
          <w:tcPr>
            <w:tcW w:w="1662" w:type="dxa"/>
            <w:tcBorders>
              <w:top w:val="single" w:sz="4" w:space="0" w:color="D9D9D9"/>
              <w:left w:val="single" w:sz="4" w:space="0" w:color="D9D9D9"/>
              <w:bottom w:val="single" w:sz="4" w:space="0" w:color="D9D9D9"/>
              <w:right w:val="single" w:sz="4" w:space="0" w:color="D9D9D9"/>
            </w:tcBorders>
          </w:tcPr>
          <w:p w:rsidR="00FE2FC0" w:rsidRPr="00B32DD7" w:rsidRDefault="00FE2FC0" w:rsidP="00FE2FC0">
            <w:pPr>
              <w:widowControl w:val="0"/>
              <w:spacing w:after="0" w:line="240" w:lineRule="auto"/>
              <w:jc w:val="center"/>
              <w:rPr>
                <w:rFonts w:ascii="Calibri" w:hAnsi="Calibri" w:cs="Calibri"/>
                <w:lang w:val="en-US"/>
              </w:rPr>
            </w:pPr>
            <w:r w:rsidRPr="00B32DD7">
              <w:rPr>
                <w:rFonts w:ascii="Calibri" w:eastAsiaTheme="minorHAnsi" w:cstheme="minorBidi"/>
                <w:lang w:val="en-US"/>
              </w:rPr>
              <w:t>9792</w:t>
            </w:r>
          </w:p>
        </w:tc>
      </w:tr>
      <w:tr w:rsidR="00FE2FC0" w:rsidRPr="00B32DD7"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FE2FC0" w:rsidRPr="00B32DD7" w:rsidRDefault="00FE2FC0" w:rsidP="00FE2FC0">
            <w:pPr>
              <w:widowControl w:val="0"/>
              <w:spacing w:after="0" w:line="240" w:lineRule="auto"/>
              <w:ind w:left="103"/>
              <w:jc w:val="left"/>
              <w:rPr>
                <w:rFonts w:ascii="Calibri" w:eastAsiaTheme="minorHAnsi" w:hAnsi="Calibri" w:cstheme="minorBidi"/>
                <w:spacing w:val="-1"/>
                <w:lang w:val="en-US"/>
              </w:rPr>
            </w:pPr>
            <w:r w:rsidRPr="00B32DD7">
              <w:rPr>
                <w:rFonts w:ascii="Calibri" w:eastAsiaTheme="minorHAnsi" w:hAnsi="Calibri" w:cstheme="minorBidi"/>
                <w:spacing w:val="-1"/>
                <w:lang w:val="en-US"/>
              </w:rPr>
              <w:t>Vangölü</w:t>
            </w:r>
            <w:r w:rsidRPr="00B32DD7">
              <w:rPr>
                <w:rFonts w:ascii="Calibri" w:eastAsiaTheme="minorHAnsi" w:hAnsi="Calibri" w:cstheme="minorBidi"/>
                <w:spacing w:val="-4"/>
                <w:lang w:val="en-US"/>
              </w:rPr>
              <w:t xml:space="preserve"> </w:t>
            </w:r>
            <w:r w:rsidRPr="00B32DD7">
              <w:rPr>
                <w:rFonts w:ascii="Calibri" w:eastAsiaTheme="minorHAnsi" w:hAnsi="Calibri" w:cstheme="minorBidi"/>
                <w:spacing w:val="-1"/>
                <w:lang w:val="en-US"/>
              </w:rPr>
              <w:t>Elektrik</w:t>
            </w:r>
            <w:r w:rsidRPr="00B32DD7">
              <w:rPr>
                <w:rFonts w:ascii="Calibri" w:eastAsiaTheme="minorHAnsi" w:hAnsi="Calibri" w:cstheme="minorBidi"/>
                <w:spacing w:val="-3"/>
                <w:lang w:val="en-US"/>
              </w:rPr>
              <w:t xml:space="preserve"> </w:t>
            </w:r>
            <w:r w:rsidRPr="00B32DD7">
              <w:rPr>
                <w:rFonts w:ascii="Calibri" w:eastAsiaTheme="minorHAnsi" w:hAnsi="Calibri" w:cstheme="minorBidi"/>
                <w:lang w:val="en-US"/>
              </w:rPr>
              <w:t>Dağıtım</w:t>
            </w:r>
            <w:r w:rsidRPr="00B32DD7">
              <w:rPr>
                <w:rFonts w:ascii="Calibri" w:eastAsiaTheme="minorHAnsi" w:hAnsi="Calibri" w:cstheme="minorBidi"/>
                <w:spacing w:val="-3"/>
                <w:lang w:val="en-US"/>
              </w:rPr>
              <w:t xml:space="preserve"> </w:t>
            </w:r>
            <w:r w:rsidRPr="00B32DD7">
              <w:rPr>
                <w:rFonts w:ascii="Calibri" w:eastAsiaTheme="minorHAnsi" w:hAnsi="Calibri" w:cstheme="minorBidi"/>
                <w:spacing w:val="-1"/>
                <w:lang w:val="en-US"/>
              </w:rPr>
              <w:t>A.Ş.</w:t>
            </w:r>
          </w:p>
        </w:tc>
        <w:tc>
          <w:tcPr>
            <w:tcW w:w="2590" w:type="dxa"/>
            <w:tcBorders>
              <w:top w:val="single" w:sz="4" w:space="0" w:color="D9D9D9"/>
              <w:left w:val="single" w:sz="4" w:space="0" w:color="D9D9D9"/>
              <w:bottom w:val="single" w:sz="4" w:space="0" w:color="D9D9D9"/>
              <w:right w:val="single" w:sz="4" w:space="0" w:color="D9D9D9"/>
            </w:tcBorders>
          </w:tcPr>
          <w:p w:rsidR="00FE2FC0" w:rsidRPr="00B32DD7" w:rsidRDefault="00FE2FC0" w:rsidP="00FE2FC0">
            <w:pPr>
              <w:widowControl w:val="0"/>
              <w:spacing w:after="0" w:line="240" w:lineRule="auto"/>
              <w:ind w:left="786"/>
              <w:jc w:val="left"/>
              <w:rPr>
                <w:rFonts w:ascii="Calibri" w:eastAsiaTheme="minorHAnsi" w:cstheme="minorBidi"/>
                <w:lang w:val="en-US"/>
              </w:rPr>
            </w:pPr>
            <w:r w:rsidRPr="00B32DD7">
              <w:rPr>
                <w:rFonts w:ascii="Calibri" w:eastAsiaTheme="minorHAnsi" w:cstheme="minorBidi"/>
                <w:lang w:val="en-US"/>
              </w:rPr>
              <w:t>26.08.2021</w:t>
            </w:r>
          </w:p>
        </w:tc>
        <w:tc>
          <w:tcPr>
            <w:tcW w:w="1662" w:type="dxa"/>
            <w:tcBorders>
              <w:top w:val="single" w:sz="4" w:space="0" w:color="D9D9D9"/>
              <w:left w:val="single" w:sz="4" w:space="0" w:color="D9D9D9"/>
              <w:bottom w:val="single" w:sz="4" w:space="0" w:color="D9D9D9"/>
              <w:right w:val="single" w:sz="4" w:space="0" w:color="D9D9D9"/>
            </w:tcBorders>
          </w:tcPr>
          <w:p w:rsidR="00FE2FC0" w:rsidRPr="00B32DD7" w:rsidRDefault="00FE2FC0" w:rsidP="00FE2FC0">
            <w:pPr>
              <w:widowControl w:val="0"/>
              <w:spacing w:after="0" w:line="240" w:lineRule="auto"/>
              <w:jc w:val="center"/>
              <w:rPr>
                <w:rFonts w:ascii="Calibri" w:eastAsiaTheme="minorHAnsi" w:cstheme="minorBidi"/>
                <w:lang w:val="en-US"/>
              </w:rPr>
            </w:pPr>
            <w:r w:rsidRPr="00B32DD7">
              <w:rPr>
                <w:rFonts w:ascii="Calibri" w:eastAsiaTheme="minorHAnsi" w:cstheme="minorBidi"/>
                <w:lang w:val="en-US"/>
              </w:rPr>
              <w:t>10382</w:t>
            </w:r>
          </w:p>
        </w:tc>
      </w:tr>
      <w:tr w:rsidR="00FE2FC0" w:rsidRPr="00B32DD7"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FE2FC0" w:rsidRPr="00B32DD7" w:rsidRDefault="00FE2FC0" w:rsidP="00FE2FC0">
            <w:pPr>
              <w:widowControl w:val="0"/>
              <w:spacing w:after="0" w:line="240" w:lineRule="auto"/>
              <w:ind w:left="103"/>
              <w:jc w:val="left"/>
              <w:rPr>
                <w:rFonts w:ascii="Calibri" w:eastAsiaTheme="minorHAnsi" w:hAnsi="Calibri" w:cstheme="minorBidi"/>
                <w:spacing w:val="-1"/>
                <w:lang w:val="en-US"/>
              </w:rPr>
            </w:pPr>
            <w:r w:rsidRPr="00B32DD7">
              <w:rPr>
                <w:rFonts w:ascii="Calibri" w:eastAsiaTheme="minorHAnsi" w:hAnsi="Calibri" w:cstheme="minorBidi"/>
                <w:spacing w:val="-1"/>
                <w:lang w:val="en-US"/>
              </w:rPr>
              <w:t>Yeşilırmak</w:t>
            </w:r>
            <w:r w:rsidRPr="00B32DD7">
              <w:rPr>
                <w:rFonts w:ascii="Calibri" w:eastAsiaTheme="minorHAnsi" w:hAnsi="Calibri" w:cstheme="minorBidi"/>
                <w:spacing w:val="-2"/>
                <w:lang w:val="en-US"/>
              </w:rPr>
              <w:t xml:space="preserve"> </w:t>
            </w:r>
            <w:r w:rsidRPr="00B32DD7">
              <w:rPr>
                <w:rFonts w:ascii="Calibri" w:eastAsiaTheme="minorHAnsi" w:hAnsi="Calibri" w:cstheme="minorBidi"/>
                <w:spacing w:val="-1"/>
                <w:lang w:val="en-US"/>
              </w:rPr>
              <w:t>Elektrik</w:t>
            </w:r>
            <w:r w:rsidRPr="00B32DD7">
              <w:rPr>
                <w:rFonts w:ascii="Calibri" w:eastAsiaTheme="minorHAnsi" w:hAnsi="Calibri" w:cstheme="minorBidi"/>
                <w:spacing w:val="-3"/>
                <w:lang w:val="en-US"/>
              </w:rPr>
              <w:t xml:space="preserve"> </w:t>
            </w:r>
            <w:r w:rsidRPr="00B32DD7">
              <w:rPr>
                <w:rFonts w:ascii="Calibri" w:eastAsiaTheme="minorHAnsi" w:hAnsi="Calibri" w:cstheme="minorBidi"/>
                <w:spacing w:val="-1"/>
                <w:lang w:val="en-US"/>
              </w:rPr>
              <w:t>Dağıtım</w:t>
            </w:r>
            <w:r w:rsidRPr="00B32DD7">
              <w:rPr>
                <w:rFonts w:ascii="Calibri" w:eastAsiaTheme="minorHAnsi" w:hAnsi="Calibri" w:cstheme="minorBidi"/>
                <w:spacing w:val="-2"/>
                <w:lang w:val="en-US"/>
              </w:rPr>
              <w:t xml:space="preserve"> </w:t>
            </w:r>
            <w:r w:rsidRPr="00B32DD7">
              <w:rPr>
                <w:rFonts w:ascii="Calibri" w:eastAsiaTheme="minorHAnsi" w:hAnsi="Calibri" w:cstheme="minorBidi"/>
                <w:lang w:val="en-US"/>
              </w:rPr>
              <w:t>A.Ş.</w:t>
            </w:r>
          </w:p>
        </w:tc>
        <w:tc>
          <w:tcPr>
            <w:tcW w:w="2590" w:type="dxa"/>
            <w:tcBorders>
              <w:top w:val="single" w:sz="4" w:space="0" w:color="D9D9D9"/>
              <w:left w:val="single" w:sz="4" w:space="0" w:color="D9D9D9"/>
              <w:bottom w:val="single" w:sz="4" w:space="0" w:color="D9D9D9"/>
              <w:right w:val="single" w:sz="4" w:space="0" w:color="D9D9D9"/>
            </w:tcBorders>
          </w:tcPr>
          <w:p w:rsidR="00FE2FC0" w:rsidRPr="00B32DD7" w:rsidRDefault="00FE2FC0" w:rsidP="00FE2FC0">
            <w:pPr>
              <w:widowControl w:val="0"/>
              <w:spacing w:after="0" w:line="240" w:lineRule="auto"/>
              <w:ind w:left="786"/>
              <w:jc w:val="left"/>
              <w:rPr>
                <w:rFonts w:ascii="Calibri" w:eastAsiaTheme="minorHAnsi" w:cstheme="minorBidi"/>
                <w:lang w:val="en-US"/>
              </w:rPr>
            </w:pPr>
            <w:r w:rsidRPr="00B32DD7">
              <w:rPr>
                <w:rFonts w:ascii="Calibri" w:eastAsiaTheme="minorHAnsi" w:cstheme="minorBidi"/>
                <w:lang w:val="en-US"/>
              </w:rPr>
              <w:t>10.12.2020</w:t>
            </w:r>
          </w:p>
        </w:tc>
        <w:tc>
          <w:tcPr>
            <w:tcW w:w="1662" w:type="dxa"/>
            <w:tcBorders>
              <w:top w:val="single" w:sz="4" w:space="0" w:color="D9D9D9"/>
              <w:left w:val="single" w:sz="4" w:space="0" w:color="D9D9D9"/>
              <w:bottom w:val="single" w:sz="4" w:space="0" w:color="D9D9D9"/>
              <w:right w:val="single" w:sz="4" w:space="0" w:color="D9D9D9"/>
            </w:tcBorders>
          </w:tcPr>
          <w:p w:rsidR="00FE2FC0" w:rsidRPr="00B32DD7" w:rsidRDefault="00FE2FC0" w:rsidP="00FE2FC0">
            <w:pPr>
              <w:widowControl w:val="0"/>
              <w:spacing w:after="0" w:line="240" w:lineRule="auto"/>
              <w:jc w:val="center"/>
              <w:rPr>
                <w:rFonts w:ascii="Calibri" w:eastAsiaTheme="minorHAnsi" w:cstheme="minorBidi"/>
                <w:lang w:val="en-US"/>
              </w:rPr>
            </w:pPr>
            <w:r w:rsidRPr="00B32DD7">
              <w:rPr>
                <w:rFonts w:ascii="Calibri" w:eastAsiaTheme="minorHAnsi" w:cstheme="minorBidi"/>
                <w:lang w:val="en-US"/>
              </w:rPr>
              <w:t>9794</w:t>
            </w:r>
          </w:p>
        </w:tc>
      </w:tr>
    </w:tbl>
    <w:p w:rsidR="00FE2FC0" w:rsidRDefault="00FE2FC0" w:rsidP="00FE2FC0">
      <w:pPr>
        <w:spacing w:before="10"/>
        <w:rPr>
          <w:rFonts w:ascii="Calibri" w:hAnsi="Calibri" w:cs="Calibri"/>
          <w:b/>
          <w:bCs/>
          <w:sz w:val="11"/>
          <w:szCs w:val="11"/>
        </w:rPr>
      </w:pPr>
    </w:p>
    <w:p w:rsidR="00FE2FC0" w:rsidRDefault="00FE2FC0" w:rsidP="00FE2FC0">
      <w:pPr>
        <w:spacing w:before="10"/>
        <w:rPr>
          <w:rFonts w:ascii="Calibri" w:hAnsi="Calibri" w:cs="Calibri"/>
          <w:b/>
          <w:bCs/>
          <w:sz w:val="11"/>
          <w:szCs w:val="11"/>
        </w:rPr>
      </w:pPr>
      <w:r w:rsidRPr="00BE4874">
        <w:rPr>
          <w:color w:val="000000" w:themeColor="text1"/>
        </w:rPr>
        <w:t>Tablo 4.</w:t>
      </w:r>
      <w:r>
        <w:rPr>
          <w:color w:val="000000" w:themeColor="text1"/>
        </w:rPr>
        <w:t>7</w:t>
      </w:r>
      <w:r w:rsidRPr="00BE4874">
        <w:rPr>
          <w:color w:val="000000" w:themeColor="text1"/>
        </w:rPr>
        <w:t>’de 202</w:t>
      </w:r>
      <w:r>
        <w:rPr>
          <w:color w:val="000000" w:themeColor="text1"/>
        </w:rPr>
        <w:t>2</w:t>
      </w:r>
      <w:r w:rsidRPr="00BE4874">
        <w:rPr>
          <w:color w:val="000000" w:themeColor="text1"/>
        </w:rPr>
        <w:t xml:space="preserve"> yılında elektrik dağıtım bölgesi bazında yapılan elektrik dağıtım</w:t>
      </w:r>
      <w:r>
        <w:rPr>
          <w:color w:val="000000" w:themeColor="text1"/>
        </w:rPr>
        <w:t xml:space="preserve"> </w:t>
      </w:r>
      <w:r w:rsidRPr="00BE4874">
        <w:rPr>
          <w:color w:val="000000" w:themeColor="text1"/>
        </w:rPr>
        <w:t>yatırım tutarları gösterilmektedir.</w:t>
      </w:r>
    </w:p>
    <w:p w:rsidR="00FE2FC0" w:rsidRPr="00DB1D44" w:rsidRDefault="00FE2FC0" w:rsidP="00FE2FC0">
      <w:pPr>
        <w:pStyle w:val="Balk5"/>
        <w:spacing w:before="0" w:line="269" w:lineRule="auto"/>
        <w:jc w:val="center"/>
        <w:rPr>
          <w:rStyle w:val="Gl"/>
          <w:color w:val="auto"/>
        </w:rPr>
      </w:pPr>
      <w:bookmarkStart w:id="225" w:name="_Toc132713910"/>
      <w:r w:rsidRPr="00FA1354">
        <w:rPr>
          <w:rStyle w:val="Gl"/>
          <w:color w:val="auto"/>
        </w:rPr>
        <w:t>Tablo 4.</w:t>
      </w:r>
      <w:r>
        <w:rPr>
          <w:rStyle w:val="Gl"/>
          <w:color w:val="auto"/>
        </w:rPr>
        <w:t>7</w:t>
      </w:r>
      <w:r w:rsidR="00262454">
        <w:rPr>
          <w:rStyle w:val="Gl"/>
          <w:color w:val="auto"/>
        </w:rPr>
        <w:t xml:space="preserve">: </w:t>
      </w:r>
      <w:r w:rsidRPr="00FA1354">
        <w:rPr>
          <w:rStyle w:val="Gl"/>
          <w:color w:val="auto"/>
        </w:rPr>
        <w:t>202</w:t>
      </w:r>
      <w:r>
        <w:rPr>
          <w:rStyle w:val="Gl"/>
          <w:color w:val="auto"/>
        </w:rPr>
        <w:t>2</w:t>
      </w:r>
      <w:r w:rsidRPr="00FA1354">
        <w:rPr>
          <w:rStyle w:val="Gl"/>
          <w:color w:val="auto"/>
        </w:rPr>
        <w:t xml:space="preserve"> Yılında Dağıtım Bölgesi Bazında Gerçekleşen Yatırım Tutarları (Cari Fiyatlarla-TL)</w:t>
      </w:r>
      <w:bookmarkEnd w:id="225"/>
    </w:p>
    <w:tbl>
      <w:tblPr>
        <w:tblStyle w:val="TableNormal3"/>
        <w:tblW w:w="0" w:type="auto"/>
        <w:jc w:val="center"/>
        <w:tblLayout w:type="fixed"/>
        <w:tblLook w:val="01E0" w:firstRow="1" w:lastRow="1" w:firstColumn="1" w:lastColumn="1" w:noHBand="0" w:noVBand="0"/>
      </w:tblPr>
      <w:tblGrid>
        <w:gridCol w:w="4390"/>
        <w:gridCol w:w="2126"/>
      </w:tblGrid>
      <w:tr w:rsidR="00FE2FC0" w:rsidRPr="00E80962" w:rsidTr="00FE2FC0">
        <w:trPr>
          <w:trHeight w:hRule="exact" w:val="460"/>
          <w:jc w:val="center"/>
        </w:trPr>
        <w:tc>
          <w:tcPr>
            <w:tcW w:w="4390" w:type="dxa"/>
            <w:tcBorders>
              <w:top w:val="single" w:sz="4" w:space="0" w:color="D9D9D9"/>
              <w:left w:val="single" w:sz="4" w:space="0" w:color="D9D9D9"/>
              <w:bottom w:val="single" w:sz="4" w:space="0" w:color="D9D9D9"/>
              <w:right w:val="single" w:sz="4" w:space="0" w:color="D9D9D9"/>
            </w:tcBorders>
            <w:shd w:val="clear" w:color="auto" w:fill="6E9ECA"/>
            <w:vAlign w:val="center"/>
          </w:tcPr>
          <w:p w:rsidR="00FE2FC0" w:rsidRPr="00E80962" w:rsidRDefault="00FE2FC0" w:rsidP="00FE2FC0">
            <w:pPr>
              <w:jc w:val="left"/>
              <w:rPr>
                <w:rFonts w:ascii="Calibri" w:hAnsi="Calibri" w:cs="Calibri"/>
              </w:rPr>
            </w:pPr>
            <w:r w:rsidRPr="00E80962">
              <w:rPr>
                <w:rFonts w:ascii="Calibri" w:eastAsiaTheme="minorHAnsi" w:hAnsi="Calibri" w:cstheme="minorBidi"/>
                <w:b/>
                <w:color w:val="FFFFFF"/>
                <w:spacing w:val="-1"/>
              </w:rPr>
              <w:t xml:space="preserve">  Dağıtım</w:t>
            </w:r>
            <w:r w:rsidRPr="00E80962">
              <w:rPr>
                <w:rFonts w:ascii="Calibri" w:eastAsiaTheme="minorHAnsi" w:hAnsi="Calibri" w:cstheme="minorBidi"/>
                <w:b/>
                <w:color w:val="FFFFFF"/>
                <w:spacing w:val="-4"/>
              </w:rPr>
              <w:t xml:space="preserve"> </w:t>
            </w:r>
            <w:r w:rsidRPr="00E80962">
              <w:rPr>
                <w:rFonts w:ascii="Calibri" w:eastAsiaTheme="minorHAnsi" w:hAnsi="Calibri" w:cstheme="minorBidi"/>
                <w:b/>
                <w:color w:val="FFFFFF"/>
                <w:spacing w:val="-1"/>
              </w:rPr>
              <w:t>Bölgesi</w:t>
            </w:r>
          </w:p>
        </w:tc>
        <w:tc>
          <w:tcPr>
            <w:tcW w:w="2126" w:type="dxa"/>
            <w:tcBorders>
              <w:top w:val="single" w:sz="4" w:space="0" w:color="D9D9D9"/>
              <w:left w:val="single" w:sz="4" w:space="0" w:color="D9D9D9"/>
              <w:bottom w:val="single" w:sz="4" w:space="0" w:color="D9D9D9"/>
              <w:right w:val="single" w:sz="4" w:space="0" w:color="D9D9D9"/>
            </w:tcBorders>
            <w:shd w:val="clear" w:color="auto" w:fill="6E9ECA"/>
            <w:vAlign w:val="center"/>
          </w:tcPr>
          <w:p w:rsidR="00FE2FC0" w:rsidRPr="00E80962" w:rsidRDefault="00FE2FC0" w:rsidP="00FE2FC0">
            <w:pPr>
              <w:jc w:val="center"/>
              <w:rPr>
                <w:rFonts w:ascii="Calibri" w:hAnsi="Calibri" w:cs="Calibri"/>
              </w:rPr>
            </w:pPr>
            <w:r w:rsidRPr="00E80962">
              <w:rPr>
                <w:rFonts w:ascii="Calibri" w:eastAsiaTheme="minorHAnsi" w:hAnsi="Calibri" w:cstheme="minorBidi"/>
                <w:b/>
                <w:color w:val="FFFFFF"/>
                <w:spacing w:val="-1"/>
              </w:rPr>
              <w:t>Yatırım</w:t>
            </w:r>
            <w:r w:rsidRPr="00E80962">
              <w:rPr>
                <w:rFonts w:ascii="Calibri" w:eastAsiaTheme="minorHAnsi" w:hAnsi="Calibri" w:cstheme="minorBidi"/>
                <w:b/>
                <w:color w:val="FFFFFF"/>
                <w:spacing w:val="-3"/>
              </w:rPr>
              <w:t xml:space="preserve"> </w:t>
            </w:r>
            <w:r w:rsidRPr="00E80962">
              <w:rPr>
                <w:rFonts w:ascii="Calibri" w:eastAsiaTheme="minorHAnsi" w:hAnsi="Calibri" w:cstheme="minorBidi"/>
                <w:b/>
                <w:color w:val="FFFFFF"/>
                <w:spacing w:val="-1"/>
              </w:rPr>
              <w:t>Tutarı</w:t>
            </w:r>
          </w:p>
        </w:tc>
      </w:tr>
      <w:tr w:rsidR="00FE2FC0" w:rsidRPr="00E80962"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FE2FC0" w:rsidRPr="00E80962" w:rsidRDefault="00FE2FC0" w:rsidP="00FE2FC0">
            <w:pPr>
              <w:ind w:left="65"/>
              <w:jc w:val="left"/>
              <w:rPr>
                <w:rFonts w:ascii="Calibri" w:hAnsi="Calibri" w:cs="Calibri"/>
              </w:rPr>
            </w:pPr>
            <w:r w:rsidRPr="00E80962">
              <w:rPr>
                <w:rFonts w:eastAsiaTheme="minorHAnsi" w:cstheme="minorBidi"/>
              </w:rPr>
              <w:t>Toroslar Elektrik Dağıtım A.Ş.</w:t>
            </w:r>
          </w:p>
        </w:tc>
        <w:tc>
          <w:tcPr>
            <w:tcW w:w="2126" w:type="dxa"/>
            <w:tcBorders>
              <w:top w:val="single" w:sz="4" w:space="0" w:color="D9D9D9"/>
              <w:left w:val="single" w:sz="4" w:space="0" w:color="D9D9D9"/>
              <w:bottom w:val="single" w:sz="4" w:space="0" w:color="D9D9D9"/>
              <w:right w:val="single" w:sz="4" w:space="0" w:color="D9D9D9"/>
            </w:tcBorders>
          </w:tcPr>
          <w:p w:rsidR="00FE2FC0" w:rsidRPr="00E80962" w:rsidRDefault="00FE2FC0" w:rsidP="00FE2FC0">
            <w:pPr>
              <w:ind w:left="786"/>
              <w:jc w:val="right"/>
              <w:rPr>
                <w:rFonts w:ascii="Calibri" w:eastAsiaTheme="minorHAnsi" w:cstheme="minorBidi"/>
              </w:rPr>
            </w:pPr>
            <w:r w:rsidRPr="00641867">
              <w:t>2.605.884.598</w:t>
            </w:r>
          </w:p>
        </w:tc>
      </w:tr>
      <w:tr w:rsidR="00FE2FC0" w:rsidRPr="00E80962"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FE2FC0" w:rsidRPr="00E80962" w:rsidRDefault="00FE2FC0" w:rsidP="00FE2FC0">
            <w:pPr>
              <w:ind w:left="65"/>
              <w:jc w:val="left"/>
              <w:rPr>
                <w:rFonts w:ascii="Calibri" w:hAnsi="Calibri" w:cs="Calibri"/>
              </w:rPr>
            </w:pPr>
            <w:r w:rsidRPr="00641867">
              <w:t>Boğaziçi Elektrik Dağıtım A.Ş.</w:t>
            </w:r>
          </w:p>
        </w:tc>
        <w:tc>
          <w:tcPr>
            <w:tcW w:w="2126" w:type="dxa"/>
            <w:tcBorders>
              <w:top w:val="single" w:sz="4" w:space="0" w:color="D9D9D9"/>
              <w:left w:val="single" w:sz="4" w:space="0" w:color="D9D9D9"/>
              <w:bottom w:val="single" w:sz="4" w:space="0" w:color="D9D9D9"/>
              <w:right w:val="single" w:sz="4" w:space="0" w:color="D9D9D9"/>
            </w:tcBorders>
          </w:tcPr>
          <w:p w:rsidR="00FE2FC0" w:rsidRPr="00E80962" w:rsidRDefault="00FE2FC0" w:rsidP="00FE2FC0">
            <w:pPr>
              <w:ind w:left="786"/>
              <w:jc w:val="right"/>
              <w:rPr>
                <w:rFonts w:ascii="Calibri" w:eastAsiaTheme="minorHAnsi" w:cstheme="minorBidi"/>
              </w:rPr>
            </w:pPr>
            <w:r w:rsidRPr="00641867">
              <w:t>2.307.363.870</w:t>
            </w:r>
          </w:p>
        </w:tc>
      </w:tr>
      <w:tr w:rsidR="00FE2FC0" w:rsidRPr="00E80962"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FE2FC0" w:rsidRPr="00E80962" w:rsidRDefault="00FE2FC0" w:rsidP="00FE2FC0">
            <w:pPr>
              <w:ind w:left="65"/>
              <w:jc w:val="left"/>
              <w:rPr>
                <w:rFonts w:ascii="Calibri" w:hAnsi="Calibri" w:cs="Calibri"/>
              </w:rPr>
            </w:pPr>
            <w:r w:rsidRPr="00641867">
              <w:t>GDZ Elektrik Dağıtım A.Ş.</w:t>
            </w:r>
          </w:p>
        </w:tc>
        <w:tc>
          <w:tcPr>
            <w:tcW w:w="2126" w:type="dxa"/>
            <w:tcBorders>
              <w:top w:val="single" w:sz="4" w:space="0" w:color="D9D9D9"/>
              <w:left w:val="single" w:sz="4" w:space="0" w:color="D9D9D9"/>
              <w:bottom w:val="single" w:sz="4" w:space="0" w:color="D9D9D9"/>
              <w:right w:val="single" w:sz="4" w:space="0" w:color="D9D9D9"/>
            </w:tcBorders>
          </w:tcPr>
          <w:p w:rsidR="00FE2FC0" w:rsidRPr="00E80962" w:rsidRDefault="00FE2FC0" w:rsidP="00FE2FC0">
            <w:pPr>
              <w:ind w:left="786"/>
              <w:jc w:val="right"/>
              <w:rPr>
                <w:rFonts w:ascii="Calibri" w:eastAsiaTheme="minorHAnsi" w:cstheme="minorBidi"/>
              </w:rPr>
            </w:pPr>
            <w:r w:rsidRPr="00641867">
              <w:t>2.304.620.096</w:t>
            </w:r>
          </w:p>
        </w:tc>
      </w:tr>
      <w:tr w:rsidR="00FE2FC0" w:rsidRPr="00E80962"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FE2FC0" w:rsidRPr="00E80962" w:rsidRDefault="00FE2FC0" w:rsidP="00FE2FC0">
            <w:pPr>
              <w:ind w:left="65"/>
              <w:jc w:val="left"/>
              <w:rPr>
                <w:rFonts w:ascii="Calibri" w:hAnsi="Calibri" w:cs="Calibri"/>
              </w:rPr>
            </w:pPr>
            <w:r w:rsidRPr="00641867">
              <w:t>Başkent Elektrik Dağıtım A.Ş.</w:t>
            </w:r>
          </w:p>
        </w:tc>
        <w:tc>
          <w:tcPr>
            <w:tcW w:w="2126" w:type="dxa"/>
            <w:tcBorders>
              <w:top w:val="single" w:sz="4" w:space="0" w:color="D9D9D9"/>
              <w:left w:val="single" w:sz="4" w:space="0" w:color="D9D9D9"/>
              <w:bottom w:val="single" w:sz="4" w:space="0" w:color="D9D9D9"/>
              <w:right w:val="single" w:sz="4" w:space="0" w:color="D9D9D9"/>
            </w:tcBorders>
          </w:tcPr>
          <w:p w:rsidR="00FE2FC0" w:rsidRPr="00E80962" w:rsidRDefault="00FE2FC0" w:rsidP="00FE2FC0">
            <w:pPr>
              <w:ind w:left="786"/>
              <w:jc w:val="right"/>
              <w:rPr>
                <w:rFonts w:ascii="Calibri" w:eastAsiaTheme="minorHAnsi" w:cstheme="minorBidi"/>
              </w:rPr>
            </w:pPr>
            <w:r w:rsidRPr="00641867">
              <w:t>2.293.224.476</w:t>
            </w:r>
          </w:p>
        </w:tc>
      </w:tr>
      <w:tr w:rsidR="00FE2FC0" w:rsidRPr="00E80962"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FE2FC0" w:rsidRPr="00E80962" w:rsidRDefault="00FE2FC0" w:rsidP="00FE2FC0">
            <w:pPr>
              <w:ind w:left="65"/>
              <w:jc w:val="left"/>
              <w:rPr>
                <w:rFonts w:ascii="Calibri" w:hAnsi="Calibri" w:cs="Calibri"/>
              </w:rPr>
            </w:pPr>
            <w:r w:rsidRPr="00641867">
              <w:t>Dicle Elektrik Dağıtım A.Ş.</w:t>
            </w:r>
          </w:p>
        </w:tc>
        <w:tc>
          <w:tcPr>
            <w:tcW w:w="2126" w:type="dxa"/>
            <w:tcBorders>
              <w:top w:val="single" w:sz="4" w:space="0" w:color="D9D9D9"/>
              <w:left w:val="single" w:sz="4" w:space="0" w:color="D9D9D9"/>
              <w:bottom w:val="single" w:sz="4" w:space="0" w:color="D9D9D9"/>
              <w:right w:val="single" w:sz="4" w:space="0" w:color="D9D9D9"/>
            </w:tcBorders>
          </w:tcPr>
          <w:p w:rsidR="00FE2FC0" w:rsidRPr="00E80962" w:rsidRDefault="00FE2FC0" w:rsidP="00FE2FC0">
            <w:pPr>
              <w:ind w:left="786"/>
              <w:jc w:val="right"/>
              <w:rPr>
                <w:rFonts w:ascii="Calibri" w:eastAsiaTheme="minorHAnsi" w:cstheme="minorBidi"/>
              </w:rPr>
            </w:pPr>
            <w:r w:rsidRPr="00641867">
              <w:t>2.052.532.585</w:t>
            </w:r>
          </w:p>
        </w:tc>
      </w:tr>
      <w:tr w:rsidR="00FE2FC0" w:rsidRPr="00E80962"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FE2FC0" w:rsidRPr="00E80962" w:rsidRDefault="00FE2FC0" w:rsidP="00FE2FC0">
            <w:pPr>
              <w:ind w:left="65"/>
              <w:jc w:val="left"/>
              <w:rPr>
                <w:rFonts w:ascii="Calibri" w:hAnsi="Calibri" w:cs="Calibri"/>
              </w:rPr>
            </w:pPr>
            <w:r w:rsidRPr="00641867">
              <w:t>Osmangazi Elektrik Dağıtım A.Ş.</w:t>
            </w:r>
          </w:p>
        </w:tc>
        <w:tc>
          <w:tcPr>
            <w:tcW w:w="2126" w:type="dxa"/>
            <w:tcBorders>
              <w:top w:val="single" w:sz="4" w:space="0" w:color="D9D9D9"/>
              <w:left w:val="single" w:sz="4" w:space="0" w:color="D9D9D9"/>
              <w:bottom w:val="single" w:sz="4" w:space="0" w:color="D9D9D9"/>
              <w:right w:val="single" w:sz="4" w:space="0" w:color="D9D9D9"/>
            </w:tcBorders>
          </w:tcPr>
          <w:p w:rsidR="00FE2FC0" w:rsidRPr="00E80962" w:rsidRDefault="00FE2FC0" w:rsidP="00FE2FC0">
            <w:pPr>
              <w:ind w:left="786"/>
              <w:jc w:val="right"/>
              <w:rPr>
                <w:rFonts w:ascii="Calibri" w:eastAsiaTheme="minorHAnsi" w:cstheme="minorBidi"/>
              </w:rPr>
            </w:pPr>
            <w:r w:rsidRPr="00641867">
              <w:t>1.848.134.689</w:t>
            </w:r>
          </w:p>
        </w:tc>
      </w:tr>
      <w:tr w:rsidR="00FE2FC0" w:rsidRPr="00E80962"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FE2FC0" w:rsidRPr="00E80962" w:rsidRDefault="00FE2FC0" w:rsidP="00FE2FC0">
            <w:pPr>
              <w:ind w:left="65"/>
              <w:jc w:val="left"/>
              <w:rPr>
                <w:rFonts w:ascii="Calibri" w:hAnsi="Calibri" w:cs="Calibri"/>
              </w:rPr>
            </w:pPr>
            <w:r w:rsidRPr="00E80962">
              <w:rPr>
                <w:rFonts w:eastAsiaTheme="minorHAnsi" w:cstheme="minorBidi"/>
              </w:rPr>
              <w:t>ADM Elektrik Dağıtım A.Ş.</w:t>
            </w:r>
          </w:p>
        </w:tc>
        <w:tc>
          <w:tcPr>
            <w:tcW w:w="2126" w:type="dxa"/>
            <w:tcBorders>
              <w:top w:val="single" w:sz="4" w:space="0" w:color="D9D9D9"/>
              <w:left w:val="single" w:sz="4" w:space="0" w:color="D9D9D9"/>
              <w:bottom w:val="single" w:sz="4" w:space="0" w:color="D9D9D9"/>
              <w:right w:val="single" w:sz="4" w:space="0" w:color="D9D9D9"/>
            </w:tcBorders>
          </w:tcPr>
          <w:p w:rsidR="00FE2FC0" w:rsidRPr="00E80962" w:rsidRDefault="00FE2FC0" w:rsidP="00FE2FC0">
            <w:pPr>
              <w:ind w:left="786"/>
              <w:jc w:val="right"/>
              <w:rPr>
                <w:rFonts w:ascii="Calibri" w:eastAsiaTheme="minorHAnsi" w:cstheme="minorBidi"/>
              </w:rPr>
            </w:pPr>
            <w:r w:rsidRPr="00641867">
              <w:t>1.665.519.832</w:t>
            </w:r>
          </w:p>
        </w:tc>
      </w:tr>
      <w:tr w:rsidR="00FE2FC0" w:rsidRPr="00E80962"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FE2FC0" w:rsidRPr="00E80962" w:rsidRDefault="00FE2FC0" w:rsidP="00FE2FC0">
            <w:pPr>
              <w:ind w:left="65"/>
              <w:jc w:val="left"/>
              <w:rPr>
                <w:rFonts w:ascii="Calibri" w:hAnsi="Calibri" w:cs="Calibri"/>
              </w:rPr>
            </w:pPr>
            <w:r w:rsidRPr="00641867">
              <w:t>Meram Elektrik Dağıtım A.Ş.</w:t>
            </w:r>
          </w:p>
        </w:tc>
        <w:tc>
          <w:tcPr>
            <w:tcW w:w="2126" w:type="dxa"/>
            <w:tcBorders>
              <w:top w:val="single" w:sz="4" w:space="0" w:color="D9D9D9"/>
              <w:left w:val="single" w:sz="4" w:space="0" w:color="D9D9D9"/>
              <w:bottom w:val="single" w:sz="4" w:space="0" w:color="D9D9D9"/>
              <w:right w:val="single" w:sz="4" w:space="0" w:color="D9D9D9"/>
            </w:tcBorders>
          </w:tcPr>
          <w:p w:rsidR="00FE2FC0" w:rsidRPr="00E80962" w:rsidRDefault="00FE2FC0" w:rsidP="00FE2FC0">
            <w:pPr>
              <w:ind w:left="786"/>
              <w:jc w:val="right"/>
              <w:rPr>
                <w:rFonts w:ascii="Calibri" w:eastAsiaTheme="minorHAnsi" w:cstheme="minorBidi"/>
              </w:rPr>
            </w:pPr>
            <w:r w:rsidRPr="00641867">
              <w:t>1.460.028.975</w:t>
            </w:r>
          </w:p>
        </w:tc>
      </w:tr>
      <w:tr w:rsidR="00FE2FC0" w:rsidRPr="00E80962"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FE2FC0" w:rsidRPr="00E80962" w:rsidRDefault="00FE2FC0" w:rsidP="00FE2FC0">
            <w:pPr>
              <w:ind w:left="65"/>
              <w:jc w:val="left"/>
              <w:rPr>
                <w:rFonts w:ascii="Calibri" w:hAnsi="Calibri" w:cs="Calibri"/>
              </w:rPr>
            </w:pPr>
            <w:r w:rsidRPr="00641867">
              <w:t>Aras Elektrik Dağıtım A.Ş.</w:t>
            </w:r>
          </w:p>
        </w:tc>
        <w:tc>
          <w:tcPr>
            <w:tcW w:w="2126" w:type="dxa"/>
            <w:tcBorders>
              <w:top w:val="single" w:sz="4" w:space="0" w:color="D9D9D9"/>
              <w:left w:val="single" w:sz="4" w:space="0" w:color="D9D9D9"/>
              <w:bottom w:val="single" w:sz="4" w:space="0" w:color="D9D9D9"/>
              <w:right w:val="single" w:sz="4" w:space="0" w:color="D9D9D9"/>
            </w:tcBorders>
          </w:tcPr>
          <w:p w:rsidR="00FE2FC0" w:rsidRPr="00E80962" w:rsidRDefault="00FE2FC0" w:rsidP="00FE2FC0">
            <w:pPr>
              <w:ind w:left="786"/>
              <w:jc w:val="right"/>
              <w:rPr>
                <w:rFonts w:ascii="Calibri" w:eastAsiaTheme="minorHAnsi" w:cstheme="minorBidi"/>
              </w:rPr>
            </w:pPr>
            <w:r w:rsidRPr="00641867">
              <w:t>1.392.386.065</w:t>
            </w:r>
          </w:p>
        </w:tc>
      </w:tr>
      <w:tr w:rsidR="00FE2FC0" w:rsidRPr="00E80962"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FE2FC0" w:rsidRPr="00E80962" w:rsidRDefault="00FE2FC0" w:rsidP="00FE2FC0">
            <w:pPr>
              <w:ind w:left="65"/>
              <w:jc w:val="left"/>
              <w:rPr>
                <w:rFonts w:ascii="Calibri" w:hAnsi="Calibri" w:cs="Calibri"/>
              </w:rPr>
            </w:pPr>
            <w:r w:rsidRPr="00641867">
              <w:t>Akdeniz Elektrik Dağıtım A.Ş.</w:t>
            </w:r>
          </w:p>
        </w:tc>
        <w:tc>
          <w:tcPr>
            <w:tcW w:w="2126" w:type="dxa"/>
            <w:tcBorders>
              <w:top w:val="single" w:sz="4" w:space="0" w:color="D9D9D9"/>
              <w:left w:val="single" w:sz="4" w:space="0" w:color="D9D9D9"/>
              <w:bottom w:val="single" w:sz="4" w:space="0" w:color="D9D9D9"/>
              <w:right w:val="single" w:sz="4" w:space="0" w:color="D9D9D9"/>
            </w:tcBorders>
          </w:tcPr>
          <w:p w:rsidR="00FE2FC0" w:rsidRPr="00E80962" w:rsidRDefault="00FE2FC0" w:rsidP="00FE2FC0">
            <w:pPr>
              <w:ind w:left="786"/>
              <w:jc w:val="right"/>
              <w:rPr>
                <w:rFonts w:ascii="Calibri" w:eastAsiaTheme="minorHAnsi" w:cstheme="minorBidi"/>
              </w:rPr>
            </w:pPr>
            <w:r w:rsidRPr="00641867">
              <w:t>1.230.037.546</w:t>
            </w:r>
          </w:p>
        </w:tc>
      </w:tr>
      <w:tr w:rsidR="00FE2FC0" w:rsidRPr="00E80962"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FE2FC0" w:rsidRPr="00E80962" w:rsidRDefault="00FE2FC0" w:rsidP="00FE2FC0">
            <w:pPr>
              <w:ind w:left="65"/>
              <w:jc w:val="left"/>
              <w:rPr>
                <w:rFonts w:ascii="Calibri" w:hAnsi="Calibri" w:cs="Calibri"/>
              </w:rPr>
            </w:pPr>
            <w:r w:rsidRPr="00641867">
              <w:t>Sakarya Elektrik Dağıtım A.Ş.</w:t>
            </w:r>
          </w:p>
        </w:tc>
        <w:tc>
          <w:tcPr>
            <w:tcW w:w="2126" w:type="dxa"/>
            <w:tcBorders>
              <w:top w:val="single" w:sz="4" w:space="0" w:color="D9D9D9"/>
              <w:left w:val="single" w:sz="4" w:space="0" w:color="D9D9D9"/>
              <w:bottom w:val="single" w:sz="4" w:space="0" w:color="D9D9D9"/>
              <w:right w:val="single" w:sz="4" w:space="0" w:color="D9D9D9"/>
            </w:tcBorders>
          </w:tcPr>
          <w:p w:rsidR="00FE2FC0" w:rsidRPr="00E80962" w:rsidRDefault="00FE2FC0" w:rsidP="00FE2FC0">
            <w:pPr>
              <w:ind w:left="786"/>
              <w:jc w:val="right"/>
              <w:rPr>
                <w:rFonts w:ascii="Calibri" w:eastAsiaTheme="minorHAnsi" w:cstheme="minorBidi"/>
              </w:rPr>
            </w:pPr>
            <w:r w:rsidRPr="00641867">
              <w:t>1.224.657.471</w:t>
            </w:r>
          </w:p>
        </w:tc>
      </w:tr>
      <w:tr w:rsidR="00FE2FC0" w:rsidRPr="00E80962" w:rsidTr="00FE2FC0">
        <w:trPr>
          <w:trHeight w:val="397"/>
          <w:jc w:val="center"/>
        </w:trPr>
        <w:tc>
          <w:tcPr>
            <w:tcW w:w="4390" w:type="dxa"/>
            <w:tcBorders>
              <w:top w:val="single" w:sz="4" w:space="0" w:color="D9D9D9"/>
              <w:left w:val="single" w:sz="4" w:space="0" w:color="D9D9D9"/>
              <w:bottom w:val="single" w:sz="4" w:space="0" w:color="D9D9D9"/>
              <w:right w:val="single" w:sz="4" w:space="0" w:color="D9D9D9"/>
            </w:tcBorders>
          </w:tcPr>
          <w:p w:rsidR="00FE2FC0" w:rsidRPr="00E80962" w:rsidRDefault="00FE2FC0" w:rsidP="00FE2FC0">
            <w:pPr>
              <w:ind w:left="65"/>
              <w:jc w:val="left"/>
              <w:rPr>
                <w:rFonts w:ascii="Calibri" w:hAnsi="Calibri" w:cs="Calibri"/>
              </w:rPr>
            </w:pPr>
            <w:r w:rsidRPr="00E80962">
              <w:rPr>
                <w:rFonts w:eastAsiaTheme="minorHAnsi" w:cstheme="minorBidi"/>
              </w:rPr>
              <w:t>İstanbul Anadolu Yakası Elektrik Dağıtım A.Ş.</w:t>
            </w:r>
          </w:p>
        </w:tc>
        <w:tc>
          <w:tcPr>
            <w:tcW w:w="2126" w:type="dxa"/>
            <w:tcBorders>
              <w:top w:val="single" w:sz="4" w:space="0" w:color="D9D9D9"/>
              <w:left w:val="single" w:sz="4" w:space="0" w:color="D9D9D9"/>
              <w:bottom w:val="single" w:sz="4" w:space="0" w:color="D9D9D9"/>
              <w:right w:val="single" w:sz="4" w:space="0" w:color="D9D9D9"/>
            </w:tcBorders>
          </w:tcPr>
          <w:p w:rsidR="00FE2FC0" w:rsidRPr="00E80962" w:rsidRDefault="00FE2FC0" w:rsidP="00FE2FC0">
            <w:pPr>
              <w:ind w:left="786"/>
              <w:jc w:val="right"/>
              <w:rPr>
                <w:rFonts w:ascii="Calibri" w:eastAsiaTheme="minorHAnsi" w:cstheme="minorBidi"/>
              </w:rPr>
            </w:pPr>
            <w:r w:rsidRPr="00641867">
              <w:t>975.819.740</w:t>
            </w:r>
          </w:p>
        </w:tc>
      </w:tr>
      <w:tr w:rsidR="00FE2FC0" w:rsidRPr="00E80962"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FE2FC0" w:rsidRPr="00E80962" w:rsidRDefault="00FE2FC0" w:rsidP="00FE2FC0">
            <w:pPr>
              <w:ind w:left="65"/>
              <w:jc w:val="left"/>
              <w:rPr>
                <w:rFonts w:ascii="Calibri" w:hAnsi="Calibri" w:cs="Calibri"/>
              </w:rPr>
            </w:pPr>
            <w:r w:rsidRPr="00641867">
              <w:t>Vangölü Elektrik Dağıtım A.Ş.</w:t>
            </w:r>
          </w:p>
        </w:tc>
        <w:tc>
          <w:tcPr>
            <w:tcW w:w="2126" w:type="dxa"/>
            <w:tcBorders>
              <w:top w:val="single" w:sz="4" w:space="0" w:color="D9D9D9"/>
              <w:left w:val="single" w:sz="4" w:space="0" w:color="D9D9D9"/>
              <w:bottom w:val="single" w:sz="4" w:space="0" w:color="D9D9D9"/>
              <w:right w:val="single" w:sz="4" w:space="0" w:color="D9D9D9"/>
            </w:tcBorders>
          </w:tcPr>
          <w:p w:rsidR="00FE2FC0" w:rsidRPr="00E80962" w:rsidRDefault="00FE2FC0" w:rsidP="00FE2FC0">
            <w:pPr>
              <w:ind w:left="786"/>
              <w:jc w:val="right"/>
              <w:rPr>
                <w:rFonts w:ascii="Calibri" w:eastAsiaTheme="minorHAnsi" w:cstheme="minorBidi"/>
              </w:rPr>
            </w:pPr>
            <w:r w:rsidRPr="00641867">
              <w:t>967.575.892</w:t>
            </w:r>
          </w:p>
        </w:tc>
      </w:tr>
      <w:tr w:rsidR="00FE2FC0" w:rsidRPr="00E80962"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FE2FC0" w:rsidRPr="00E80962" w:rsidRDefault="00FE2FC0" w:rsidP="00FE2FC0">
            <w:pPr>
              <w:ind w:left="65"/>
              <w:jc w:val="left"/>
              <w:rPr>
                <w:rFonts w:ascii="Calibri" w:hAnsi="Calibri" w:cs="Calibri"/>
              </w:rPr>
            </w:pPr>
            <w:r w:rsidRPr="00641867">
              <w:t>Yeşilırmak Elektrik Dağıtım A.Ş.</w:t>
            </w:r>
          </w:p>
        </w:tc>
        <w:tc>
          <w:tcPr>
            <w:tcW w:w="2126" w:type="dxa"/>
            <w:tcBorders>
              <w:top w:val="single" w:sz="4" w:space="0" w:color="D9D9D9"/>
              <w:left w:val="single" w:sz="4" w:space="0" w:color="D9D9D9"/>
              <w:bottom w:val="single" w:sz="4" w:space="0" w:color="D9D9D9"/>
              <w:right w:val="single" w:sz="4" w:space="0" w:color="D9D9D9"/>
            </w:tcBorders>
          </w:tcPr>
          <w:p w:rsidR="00FE2FC0" w:rsidRPr="00E80962" w:rsidRDefault="00FE2FC0" w:rsidP="00FE2FC0">
            <w:pPr>
              <w:ind w:left="786"/>
              <w:jc w:val="right"/>
              <w:rPr>
                <w:rFonts w:ascii="Calibri" w:eastAsiaTheme="minorHAnsi" w:cstheme="minorBidi"/>
              </w:rPr>
            </w:pPr>
            <w:r w:rsidRPr="00641867">
              <w:t>920.596.344</w:t>
            </w:r>
          </w:p>
        </w:tc>
      </w:tr>
      <w:tr w:rsidR="00FE2FC0" w:rsidRPr="00E80962"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FE2FC0" w:rsidRPr="00E80962" w:rsidRDefault="00FE2FC0" w:rsidP="00FE2FC0">
            <w:pPr>
              <w:ind w:left="65"/>
              <w:jc w:val="left"/>
              <w:rPr>
                <w:rFonts w:ascii="Calibri" w:hAnsi="Calibri" w:cs="Calibri"/>
              </w:rPr>
            </w:pPr>
            <w:r w:rsidRPr="00641867">
              <w:t>Trakya Elektrik Dağıtım A.Ş.</w:t>
            </w:r>
          </w:p>
        </w:tc>
        <w:tc>
          <w:tcPr>
            <w:tcW w:w="2126" w:type="dxa"/>
            <w:tcBorders>
              <w:top w:val="single" w:sz="4" w:space="0" w:color="D9D9D9"/>
              <w:left w:val="single" w:sz="4" w:space="0" w:color="D9D9D9"/>
              <w:bottom w:val="single" w:sz="4" w:space="0" w:color="D9D9D9"/>
              <w:right w:val="single" w:sz="4" w:space="0" w:color="D9D9D9"/>
            </w:tcBorders>
          </w:tcPr>
          <w:p w:rsidR="00FE2FC0" w:rsidRPr="00E80962" w:rsidRDefault="00FE2FC0" w:rsidP="00FE2FC0">
            <w:pPr>
              <w:ind w:left="786"/>
              <w:jc w:val="right"/>
              <w:rPr>
                <w:rFonts w:ascii="Calibri" w:eastAsiaTheme="minorHAnsi" w:cstheme="minorBidi"/>
              </w:rPr>
            </w:pPr>
            <w:r w:rsidRPr="00641867">
              <w:t>782.096.645</w:t>
            </w:r>
          </w:p>
        </w:tc>
      </w:tr>
      <w:tr w:rsidR="00FE2FC0" w:rsidRPr="00E80962"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FE2FC0" w:rsidRPr="00E80962" w:rsidRDefault="00FE2FC0" w:rsidP="00FE2FC0">
            <w:pPr>
              <w:ind w:left="65"/>
              <w:jc w:val="left"/>
              <w:rPr>
                <w:rFonts w:ascii="Calibri" w:hAnsi="Calibri" w:cs="Calibri"/>
              </w:rPr>
            </w:pPr>
            <w:r w:rsidRPr="00641867">
              <w:t>Çoruh Elektrik Dağıtım A.Ş.</w:t>
            </w:r>
          </w:p>
        </w:tc>
        <w:tc>
          <w:tcPr>
            <w:tcW w:w="2126" w:type="dxa"/>
            <w:tcBorders>
              <w:top w:val="single" w:sz="4" w:space="0" w:color="D9D9D9"/>
              <w:left w:val="single" w:sz="4" w:space="0" w:color="D9D9D9"/>
              <w:bottom w:val="single" w:sz="4" w:space="0" w:color="D9D9D9"/>
              <w:right w:val="single" w:sz="4" w:space="0" w:color="D9D9D9"/>
            </w:tcBorders>
          </w:tcPr>
          <w:p w:rsidR="00FE2FC0" w:rsidRPr="00E80962" w:rsidRDefault="00FE2FC0" w:rsidP="00FE2FC0">
            <w:pPr>
              <w:ind w:left="786"/>
              <w:jc w:val="right"/>
              <w:rPr>
                <w:rFonts w:ascii="Calibri" w:eastAsiaTheme="minorHAnsi" w:cstheme="minorBidi"/>
              </w:rPr>
            </w:pPr>
            <w:r w:rsidRPr="00641867">
              <w:t>769.894.153</w:t>
            </w:r>
          </w:p>
        </w:tc>
      </w:tr>
      <w:tr w:rsidR="00FE2FC0" w:rsidRPr="00E80962"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FE2FC0" w:rsidRPr="00E80962" w:rsidRDefault="00FE2FC0" w:rsidP="00FE2FC0">
            <w:pPr>
              <w:ind w:left="65"/>
              <w:jc w:val="left"/>
              <w:rPr>
                <w:rFonts w:ascii="Calibri" w:hAnsi="Calibri" w:cs="Calibri"/>
              </w:rPr>
            </w:pPr>
            <w:r w:rsidRPr="00641867">
              <w:t>Fırat Elektrik Dağıtım A.Ş.</w:t>
            </w:r>
          </w:p>
        </w:tc>
        <w:tc>
          <w:tcPr>
            <w:tcW w:w="2126" w:type="dxa"/>
            <w:tcBorders>
              <w:top w:val="single" w:sz="4" w:space="0" w:color="D9D9D9"/>
              <w:left w:val="single" w:sz="4" w:space="0" w:color="D9D9D9"/>
              <w:bottom w:val="single" w:sz="4" w:space="0" w:color="D9D9D9"/>
              <w:right w:val="single" w:sz="4" w:space="0" w:color="D9D9D9"/>
            </w:tcBorders>
          </w:tcPr>
          <w:p w:rsidR="00FE2FC0" w:rsidRPr="00E80962" w:rsidRDefault="00FE2FC0" w:rsidP="00FE2FC0">
            <w:pPr>
              <w:ind w:left="786"/>
              <w:jc w:val="right"/>
              <w:rPr>
                <w:rFonts w:ascii="Calibri" w:eastAsiaTheme="minorHAnsi" w:cstheme="minorBidi"/>
              </w:rPr>
            </w:pPr>
            <w:r w:rsidRPr="00641867">
              <w:t>640.166.806</w:t>
            </w:r>
          </w:p>
        </w:tc>
      </w:tr>
      <w:tr w:rsidR="00FE2FC0" w:rsidRPr="00E80962"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FE2FC0" w:rsidRPr="00E80962" w:rsidRDefault="00FE2FC0" w:rsidP="00FE2FC0">
            <w:pPr>
              <w:ind w:left="65"/>
              <w:jc w:val="left"/>
              <w:rPr>
                <w:rFonts w:ascii="Calibri" w:hAnsi="Calibri" w:cs="Calibri"/>
              </w:rPr>
            </w:pPr>
            <w:r w:rsidRPr="00641867">
              <w:t>Çamlıbel Elektrik Dağıtım A.Ş.</w:t>
            </w:r>
          </w:p>
        </w:tc>
        <w:tc>
          <w:tcPr>
            <w:tcW w:w="2126" w:type="dxa"/>
            <w:tcBorders>
              <w:top w:val="single" w:sz="4" w:space="0" w:color="D9D9D9"/>
              <w:left w:val="single" w:sz="4" w:space="0" w:color="D9D9D9"/>
              <w:bottom w:val="single" w:sz="4" w:space="0" w:color="D9D9D9"/>
              <w:right w:val="single" w:sz="4" w:space="0" w:color="D9D9D9"/>
            </w:tcBorders>
          </w:tcPr>
          <w:p w:rsidR="00FE2FC0" w:rsidRPr="00E80962" w:rsidRDefault="00FE2FC0" w:rsidP="00FE2FC0">
            <w:pPr>
              <w:ind w:left="786"/>
              <w:jc w:val="right"/>
              <w:rPr>
                <w:rFonts w:ascii="Calibri" w:eastAsiaTheme="minorHAnsi" w:cstheme="minorBidi"/>
              </w:rPr>
            </w:pPr>
            <w:r w:rsidRPr="00641867">
              <w:t>570.830.935</w:t>
            </w:r>
          </w:p>
        </w:tc>
      </w:tr>
      <w:tr w:rsidR="00FE2FC0" w:rsidRPr="00E80962"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FE2FC0" w:rsidRPr="00E80962" w:rsidRDefault="00FE2FC0" w:rsidP="00FE2FC0">
            <w:pPr>
              <w:ind w:left="65"/>
              <w:jc w:val="left"/>
              <w:rPr>
                <w:rFonts w:ascii="Calibri" w:hAnsi="Calibri" w:cs="Calibri"/>
              </w:rPr>
            </w:pPr>
            <w:r w:rsidRPr="00641867">
              <w:t>Uludağ Elektrik Dağıtım A.Ş.</w:t>
            </w:r>
          </w:p>
        </w:tc>
        <w:tc>
          <w:tcPr>
            <w:tcW w:w="2126" w:type="dxa"/>
            <w:tcBorders>
              <w:top w:val="single" w:sz="4" w:space="0" w:color="D9D9D9"/>
              <w:left w:val="single" w:sz="4" w:space="0" w:color="D9D9D9"/>
              <w:bottom w:val="single" w:sz="4" w:space="0" w:color="D9D9D9"/>
              <w:right w:val="single" w:sz="4" w:space="0" w:color="D9D9D9"/>
            </w:tcBorders>
          </w:tcPr>
          <w:p w:rsidR="00FE2FC0" w:rsidRPr="00E80962" w:rsidRDefault="00FE2FC0" w:rsidP="00FE2FC0">
            <w:pPr>
              <w:ind w:left="786"/>
              <w:jc w:val="right"/>
              <w:rPr>
                <w:rFonts w:ascii="Calibri" w:eastAsiaTheme="minorHAnsi" w:cstheme="minorBidi"/>
              </w:rPr>
            </w:pPr>
            <w:r w:rsidRPr="00641867">
              <w:t>483.828.096</w:t>
            </w:r>
          </w:p>
        </w:tc>
      </w:tr>
      <w:tr w:rsidR="00FE2FC0" w:rsidRPr="00E80962"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FE2FC0" w:rsidRPr="00E80962" w:rsidRDefault="00FE2FC0" w:rsidP="00FE2FC0">
            <w:pPr>
              <w:ind w:left="65"/>
              <w:jc w:val="left"/>
              <w:rPr>
                <w:rFonts w:ascii="Calibri" w:hAnsi="Calibri" w:cs="Calibri"/>
              </w:rPr>
            </w:pPr>
            <w:r w:rsidRPr="00641867">
              <w:t>AKEDAŞ Elektrik Dağıtım A.Ş.</w:t>
            </w:r>
          </w:p>
        </w:tc>
        <w:tc>
          <w:tcPr>
            <w:tcW w:w="2126" w:type="dxa"/>
            <w:tcBorders>
              <w:top w:val="single" w:sz="4" w:space="0" w:color="D9D9D9"/>
              <w:left w:val="single" w:sz="4" w:space="0" w:color="D9D9D9"/>
              <w:bottom w:val="single" w:sz="4" w:space="0" w:color="D9D9D9"/>
              <w:right w:val="single" w:sz="4" w:space="0" w:color="D9D9D9"/>
            </w:tcBorders>
          </w:tcPr>
          <w:p w:rsidR="00FE2FC0" w:rsidRPr="00E80962" w:rsidRDefault="00FE2FC0" w:rsidP="00FE2FC0">
            <w:pPr>
              <w:ind w:left="786"/>
              <w:jc w:val="right"/>
              <w:rPr>
                <w:rFonts w:ascii="Calibri" w:eastAsiaTheme="minorHAnsi" w:cstheme="minorBidi"/>
              </w:rPr>
            </w:pPr>
            <w:r w:rsidRPr="00641867">
              <w:t>436.319.672</w:t>
            </w:r>
          </w:p>
        </w:tc>
      </w:tr>
      <w:tr w:rsidR="00FE2FC0" w:rsidRPr="00E80962"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FE2FC0" w:rsidRPr="00E80962" w:rsidRDefault="00FE2FC0" w:rsidP="00FE2FC0">
            <w:pPr>
              <w:ind w:left="65"/>
              <w:jc w:val="left"/>
              <w:rPr>
                <w:rFonts w:ascii="Calibri" w:hAnsi="Calibri" w:cs="Calibri"/>
              </w:rPr>
            </w:pPr>
            <w:r w:rsidRPr="00641867">
              <w:t>Kayseri ve Civarı Elektrik Türk A.Ş.</w:t>
            </w:r>
          </w:p>
        </w:tc>
        <w:tc>
          <w:tcPr>
            <w:tcW w:w="2126" w:type="dxa"/>
            <w:tcBorders>
              <w:top w:val="single" w:sz="4" w:space="0" w:color="D9D9D9"/>
              <w:left w:val="single" w:sz="4" w:space="0" w:color="D9D9D9"/>
              <w:bottom w:val="single" w:sz="4" w:space="0" w:color="D9D9D9"/>
              <w:right w:val="single" w:sz="4" w:space="0" w:color="D9D9D9"/>
            </w:tcBorders>
          </w:tcPr>
          <w:p w:rsidR="00FE2FC0" w:rsidRPr="00E80962" w:rsidRDefault="00FE2FC0" w:rsidP="00FE2FC0">
            <w:pPr>
              <w:ind w:left="786"/>
              <w:jc w:val="right"/>
              <w:rPr>
                <w:rFonts w:ascii="Calibri" w:eastAsiaTheme="minorHAnsi" w:cstheme="minorBidi"/>
              </w:rPr>
            </w:pPr>
            <w:r w:rsidRPr="00641867">
              <w:t>409.245.368</w:t>
            </w:r>
          </w:p>
        </w:tc>
      </w:tr>
      <w:tr w:rsidR="00FE2FC0" w:rsidRPr="00E80962"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rsidR="00FE2FC0" w:rsidRPr="00E80962" w:rsidRDefault="00FE2FC0" w:rsidP="00FE2FC0">
            <w:pPr>
              <w:ind w:left="65"/>
              <w:jc w:val="left"/>
              <w:rPr>
                <w:rFonts w:ascii="Calibri" w:hAnsi="Calibri" w:cs="Calibri"/>
              </w:rPr>
            </w:pPr>
            <w:r w:rsidRPr="00E80962">
              <w:rPr>
                <w:rFonts w:ascii="Calibri" w:eastAsiaTheme="minorHAnsi" w:cstheme="minorBidi"/>
                <w:b/>
                <w:spacing w:val="-1"/>
              </w:rPr>
              <w:t>TOPLAM</w:t>
            </w:r>
          </w:p>
        </w:tc>
        <w:tc>
          <w:tcPr>
            <w:tcW w:w="2126" w:type="dxa"/>
            <w:tcBorders>
              <w:top w:val="single" w:sz="4" w:space="0" w:color="D9D9D9"/>
              <w:left w:val="single" w:sz="4" w:space="0" w:color="D9D9D9"/>
              <w:bottom w:val="single" w:sz="4" w:space="0" w:color="D9D9D9"/>
              <w:right w:val="single" w:sz="4" w:space="0" w:color="D9D9D9"/>
            </w:tcBorders>
          </w:tcPr>
          <w:p w:rsidR="00FE2FC0" w:rsidRPr="00E80962" w:rsidRDefault="00FE2FC0" w:rsidP="00FE2FC0">
            <w:pPr>
              <w:ind w:left="567"/>
              <w:jc w:val="right"/>
              <w:rPr>
                <w:rFonts w:ascii="Calibri" w:eastAsiaTheme="minorHAnsi" w:cstheme="minorBidi"/>
                <w:b/>
              </w:rPr>
            </w:pPr>
            <w:r w:rsidRPr="00641867">
              <w:t>27.340.763.855</w:t>
            </w:r>
          </w:p>
        </w:tc>
      </w:tr>
    </w:tbl>
    <w:p w:rsidR="00D3422D" w:rsidRPr="00D3422D" w:rsidRDefault="00FE2FC0" w:rsidP="002C3099">
      <w:pPr>
        <w:ind w:left="118"/>
        <w:rPr>
          <w:rFonts w:ascii="Calibri" w:hAnsi="Calibri"/>
          <w:spacing w:val="-1"/>
          <w:sz w:val="20"/>
        </w:rPr>
      </w:pPr>
      <w:r>
        <w:rPr>
          <w:rFonts w:ascii="Calibri" w:hAnsi="Calibri" w:cs="Calibri"/>
          <w:sz w:val="20"/>
          <w:szCs w:val="20"/>
        </w:rPr>
        <w:lastRenderedPageBreak/>
        <w:t>Not:</w:t>
      </w:r>
      <w:r>
        <w:rPr>
          <w:rFonts w:ascii="Calibri" w:hAnsi="Calibri" w:cs="Calibri"/>
          <w:spacing w:val="12"/>
          <w:sz w:val="20"/>
          <w:szCs w:val="20"/>
        </w:rPr>
        <w:t xml:space="preserve"> </w:t>
      </w:r>
      <w:r w:rsidRPr="000E0722">
        <w:rPr>
          <w:rFonts w:ascii="Calibri" w:hAnsi="Calibri" w:cs="Calibri"/>
          <w:i/>
          <w:spacing w:val="-1"/>
          <w:sz w:val="20"/>
          <w:szCs w:val="20"/>
        </w:rPr>
        <w:t>Elektrik Dağıtım Şirketleri</w:t>
      </w:r>
      <w:r w:rsidRPr="000E0722">
        <w:rPr>
          <w:rFonts w:ascii="Calibri" w:hAnsi="Calibri" w:cs="Calibri"/>
          <w:i/>
          <w:spacing w:val="12"/>
          <w:sz w:val="20"/>
          <w:szCs w:val="20"/>
        </w:rPr>
        <w:t xml:space="preserve"> </w:t>
      </w:r>
      <w:r w:rsidRPr="000E0722">
        <w:rPr>
          <w:rFonts w:ascii="Calibri" w:hAnsi="Calibri" w:cs="Calibri"/>
          <w:i/>
          <w:spacing w:val="-1"/>
          <w:sz w:val="20"/>
          <w:szCs w:val="20"/>
        </w:rPr>
        <w:t>tarafından,</w:t>
      </w:r>
      <w:r w:rsidRPr="000E0722">
        <w:rPr>
          <w:rFonts w:ascii="Calibri" w:hAnsi="Calibri" w:cs="Calibri"/>
          <w:i/>
          <w:spacing w:val="12"/>
          <w:sz w:val="20"/>
          <w:szCs w:val="20"/>
        </w:rPr>
        <w:t xml:space="preserve"> </w:t>
      </w:r>
      <w:r w:rsidRPr="000E0722">
        <w:rPr>
          <w:rFonts w:ascii="Calibri" w:hAnsi="Calibri" w:cs="Calibri"/>
          <w:i/>
          <w:spacing w:val="-1"/>
          <w:sz w:val="20"/>
          <w:szCs w:val="20"/>
        </w:rPr>
        <w:t>31/12/202</w:t>
      </w:r>
      <w:r>
        <w:rPr>
          <w:rFonts w:ascii="Calibri" w:hAnsi="Calibri" w:cs="Calibri"/>
          <w:i/>
          <w:spacing w:val="-1"/>
          <w:sz w:val="20"/>
          <w:szCs w:val="20"/>
        </w:rPr>
        <w:t>2</w:t>
      </w:r>
      <w:r w:rsidRPr="000E0722">
        <w:rPr>
          <w:rFonts w:ascii="Calibri" w:hAnsi="Calibri" w:cs="Calibri"/>
          <w:i/>
          <w:spacing w:val="12"/>
          <w:sz w:val="20"/>
          <w:szCs w:val="20"/>
        </w:rPr>
        <w:t xml:space="preserve"> </w:t>
      </w:r>
      <w:r w:rsidRPr="000E0722">
        <w:rPr>
          <w:rFonts w:ascii="Calibri" w:hAnsi="Calibri" w:cs="Calibri"/>
          <w:i/>
          <w:spacing w:val="-1"/>
          <w:sz w:val="20"/>
          <w:szCs w:val="20"/>
        </w:rPr>
        <w:t>tarihi</w:t>
      </w:r>
      <w:r w:rsidRPr="000E0722">
        <w:rPr>
          <w:rFonts w:ascii="Calibri" w:hAnsi="Calibri" w:cs="Calibri"/>
          <w:i/>
          <w:spacing w:val="12"/>
          <w:sz w:val="20"/>
          <w:szCs w:val="20"/>
        </w:rPr>
        <w:t xml:space="preserve"> </w:t>
      </w:r>
      <w:r w:rsidRPr="000E0722">
        <w:rPr>
          <w:rFonts w:ascii="Calibri" w:hAnsi="Calibri" w:cs="Calibri"/>
          <w:i/>
          <w:spacing w:val="-1"/>
          <w:sz w:val="20"/>
          <w:szCs w:val="20"/>
        </w:rPr>
        <w:t>itibarıyla</w:t>
      </w:r>
      <w:r w:rsidRPr="000E0722">
        <w:rPr>
          <w:rFonts w:ascii="Calibri" w:hAnsi="Calibri" w:cs="Calibri"/>
          <w:i/>
          <w:spacing w:val="13"/>
          <w:sz w:val="20"/>
          <w:szCs w:val="20"/>
        </w:rPr>
        <w:t xml:space="preserve"> </w:t>
      </w:r>
      <w:r w:rsidRPr="000E0722">
        <w:rPr>
          <w:rFonts w:ascii="Calibri" w:hAnsi="Calibri" w:cs="Calibri"/>
          <w:i/>
          <w:spacing w:val="-1"/>
          <w:sz w:val="20"/>
          <w:szCs w:val="20"/>
        </w:rPr>
        <w:t>EBİS</w:t>
      </w:r>
      <w:r w:rsidRPr="000E0722">
        <w:rPr>
          <w:rFonts w:ascii="Calibri" w:hAnsi="Calibri" w:cs="Calibri"/>
          <w:i/>
          <w:spacing w:val="13"/>
          <w:sz w:val="20"/>
          <w:szCs w:val="20"/>
        </w:rPr>
        <w:t xml:space="preserve"> </w:t>
      </w:r>
      <w:r w:rsidRPr="000E0722">
        <w:rPr>
          <w:rFonts w:ascii="Calibri" w:hAnsi="Calibri" w:cs="Calibri"/>
          <w:i/>
          <w:spacing w:val="-1"/>
          <w:sz w:val="20"/>
          <w:szCs w:val="20"/>
        </w:rPr>
        <w:t>üzerinden</w:t>
      </w:r>
      <w:r w:rsidRPr="000E0722">
        <w:rPr>
          <w:rFonts w:ascii="Calibri" w:hAnsi="Calibri" w:cs="Calibri"/>
          <w:i/>
          <w:spacing w:val="13"/>
          <w:sz w:val="20"/>
          <w:szCs w:val="20"/>
        </w:rPr>
        <w:t xml:space="preserve"> </w:t>
      </w:r>
      <w:r w:rsidRPr="000E0722">
        <w:rPr>
          <w:rFonts w:ascii="Calibri" w:hAnsi="Calibri" w:cs="Calibri"/>
          <w:i/>
          <w:spacing w:val="-1"/>
          <w:sz w:val="20"/>
          <w:szCs w:val="20"/>
        </w:rPr>
        <w:t>bildirilen</w:t>
      </w:r>
      <w:r w:rsidRPr="000E0722">
        <w:rPr>
          <w:rFonts w:ascii="Calibri" w:hAnsi="Calibri" w:cs="Calibri"/>
          <w:i/>
          <w:spacing w:val="12"/>
          <w:sz w:val="20"/>
          <w:szCs w:val="20"/>
        </w:rPr>
        <w:t xml:space="preserve"> </w:t>
      </w:r>
      <w:r w:rsidRPr="000E0722">
        <w:rPr>
          <w:rFonts w:ascii="Calibri" w:hAnsi="Calibri" w:cs="Calibri"/>
          <w:i/>
          <w:sz w:val="20"/>
          <w:szCs w:val="20"/>
        </w:rPr>
        <w:t>202</w:t>
      </w:r>
      <w:r>
        <w:rPr>
          <w:rFonts w:ascii="Calibri" w:hAnsi="Calibri" w:cs="Calibri"/>
          <w:i/>
          <w:sz w:val="20"/>
          <w:szCs w:val="20"/>
        </w:rPr>
        <w:t>2</w:t>
      </w:r>
      <w:r w:rsidRPr="000E0722">
        <w:rPr>
          <w:rFonts w:ascii="Calibri" w:hAnsi="Calibri" w:cs="Calibri"/>
          <w:i/>
          <w:spacing w:val="12"/>
          <w:sz w:val="20"/>
          <w:szCs w:val="20"/>
        </w:rPr>
        <w:t xml:space="preserve"> </w:t>
      </w:r>
      <w:r w:rsidRPr="000E0722">
        <w:rPr>
          <w:rFonts w:ascii="Calibri" w:hAnsi="Calibri" w:cs="Calibri"/>
          <w:i/>
          <w:sz w:val="20"/>
          <w:szCs w:val="20"/>
        </w:rPr>
        <w:t>yılı</w:t>
      </w:r>
      <w:r w:rsidRPr="000E0722">
        <w:rPr>
          <w:rFonts w:ascii="Calibri" w:hAnsi="Calibri" w:cs="Calibri"/>
          <w:i/>
          <w:spacing w:val="12"/>
          <w:sz w:val="20"/>
          <w:szCs w:val="20"/>
        </w:rPr>
        <w:t xml:space="preserve"> </w:t>
      </w:r>
      <w:r w:rsidRPr="000E0722">
        <w:rPr>
          <w:rFonts w:ascii="Calibri" w:hAnsi="Calibri" w:cs="Calibri"/>
          <w:i/>
          <w:spacing w:val="-1"/>
          <w:sz w:val="20"/>
          <w:szCs w:val="20"/>
        </w:rPr>
        <w:t>yatırım</w:t>
      </w:r>
      <w:r w:rsidRPr="000E0722">
        <w:rPr>
          <w:rFonts w:ascii="Calibri" w:hAnsi="Calibri" w:cs="Calibri"/>
          <w:i/>
          <w:spacing w:val="12"/>
          <w:sz w:val="20"/>
          <w:szCs w:val="20"/>
        </w:rPr>
        <w:t xml:space="preserve"> </w:t>
      </w:r>
      <w:r w:rsidRPr="000E0722">
        <w:rPr>
          <w:rFonts w:ascii="Calibri" w:hAnsi="Calibri" w:cs="Calibri"/>
          <w:i/>
          <w:sz w:val="20"/>
          <w:szCs w:val="20"/>
        </w:rPr>
        <w:t>tahmin</w:t>
      </w:r>
      <w:r w:rsidRPr="000E0722">
        <w:rPr>
          <w:rFonts w:ascii="Calibri" w:hAnsi="Calibri" w:cs="Calibri"/>
          <w:i/>
          <w:spacing w:val="13"/>
          <w:sz w:val="20"/>
          <w:szCs w:val="20"/>
        </w:rPr>
        <w:t xml:space="preserve"> </w:t>
      </w:r>
      <w:r w:rsidRPr="000E0722">
        <w:rPr>
          <w:rFonts w:ascii="Calibri" w:hAnsi="Calibri" w:cs="Calibri"/>
          <w:i/>
          <w:spacing w:val="-1"/>
          <w:sz w:val="20"/>
          <w:szCs w:val="20"/>
        </w:rPr>
        <w:t>bildirim</w:t>
      </w:r>
      <w:r w:rsidRPr="000E0722">
        <w:rPr>
          <w:rFonts w:ascii="Calibri" w:hAnsi="Calibri" w:cs="Calibri"/>
          <w:i/>
          <w:spacing w:val="12"/>
          <w:sz w:val="20"/>
          <w:szCs w:val="20"/>
        </w:rPr>
        <w:t xml:space="preserve"> </w:t>
      </w:r>
      <w:r w:rsidRPr="000E0722">
        <w:rPr>
          <w:rFonts w:ascii="Calibri" w:hAnsi="Calibri" w:cs="Calibri"/>
          <w:i/>
          <w:spacing w:val="-1"/>
          <w:sz w:val="20"/>
          <w:szCs w:val="20"/>
        </w:rPr>
        <w:t>beyanları</w:t>
      </w:r>
      <w:r w:rsidRPr="000E0722">
        <w:rPr>
          <w:rFonts w:ascii="Calibri" w:hAnsi="Calibri"/>
          <w:i/>
          <w:spacing w:val="-1"/>
          <w:sz w:val="20"/>
        </w:rPr>
        <w:t xml:space="preserve"> dikkate</w:t>
      </w:r>
      <w:r w:rsidRPr="000E0722">
        <w:rPr>
          <w:rFonts w:ascii="Calibri" w:hAnsi="Calibri"/>
          <w:i/>
          <w:spacing w:val="-4"/>
          <w:sz w:val="20"/>
        </w:rPr>
        <w:t xml:space="preserve"> </w:t>
      </w:r>
      <w:r w:rsidRPr="000E0722">
        <w:rPr>
          <w:rFonts w:ascii="Calibri" w:hAnsi="Calibri"/>
          <w:i/>
          <w:sz w:val="20"/>
        </w:rPr>
        <w:t>alınarak</w:t>
      </w:r>
      <w:r w:rsidRPr="000E0722">
        <w:rPr>
          <w:rFonts w:ascii="Calibri" w:hAnsi="Calibri"/>
          <w:i/>
          <w:spacing w:val="-3"/>
          <w:sz w:val="20"/>
        </w:rPr>
        <w:t xml:space="preserve"> </w:t>
      </w:r>
      <w:r w:rsidRPr="000E0722">
        <w:rPr>
          <w:rFonts w:ascii="Calibri" w:hAnsi="Calibri"/>
          <w:i/>
          <w:spacing w:val="-1"/>
          <w:sz w:val="20"/>
        </w:rPr>
        <w:t>hazırlanmıştır. III. Uygulama döneminden devam eden yatırımlara ilişkin gerçekleşme tutarları da dahil edilmiştir</w:t>
      </w:r>
      <w:r w:rsidRPr="007E7375">
        <w:rPr>
          <w:rFonts w:ascii="Calibri" w:hAnsi="Calibri"/>
          <w:spacing w:val="-1"/>
          <w:sz w:val="20"/>
        </w:rPr>
        <w:t>.</w:t>
      </w:r>
      <w:bookmarkStart w:id="226" w:name="_bookmark77"/>
      <w:bookmarkStart w:id="227" w:name="_bookmark78"/>
      <w:bookmarkEnd w:id="226"/>
      <w:bookmarkEnd w:id="227"/>
    </w:p>
    <w:p w:rsidR="002C3099" w:rsidRPr="00FA1354" w:rsidRDefault="002C3099" w:rsidP="000A5A56">
      <w:pPr>
        <w:pStyle w:val="Balk4"/>
        <w:numPr>
          <w:ilvl w:val="3"/>
          <w:numId w:val="11"/>
        </w:numPr>
        <w:spacing w:after="240"/>
        <w:rPr>
          <w:rFonts w:asciiTheme="minorHAnsi" w:hAnsiTheme="minorHAnsi"/>
          <w:i w:val="0"/>
          <w:color w:val="000000" w:themeColor="text1"/>
        </w:rPr>
      </w:pPr>
      <w:bookmarkStart w:id="228" w:name="_Toc66267374"/>
      <w:bookmarkStart w:id="229" w:name="_Toc132713803"/>
      <w:r w:rsidRPr="00FA1354">
        <w:rPr>
          <w:rFonts w:asciiTheme="minorHAnsi" w:hAnsiTheme="minorHAnsi"/>
          <w:i w:val="0"/>
          <w:color w:val="000000" w:themeColor="text1"/>
        </w:rPr>
        <w:t>Dağıtım Sistemi Bağlantı Bedeli</w:t>
      </w:r>
      <w:bookmarkEnd w:id="228"/>
      <w:bookmarkEnd w:id="229"/>
    </w:p>
    <w:p w:rsidR="00FE2FC0" w:rsidRPr="00DF5344" w:rsidRDefault="00FE2FC0" w:rsidP="00FE2FC0">
      <w:pPr>
        <w:spacing w:after="0"/>
        <w:rPr>
          <w:color w:val="000000" w:themeColor="text1"/>
        </w:rPr>
      </w:pPr>
      <w:r w:rsidRPr="00891000">
        <w:rPr>
          <w:color w:val="000000" w:themeColor="text1"/>
        </w:rPr>
        <w:t>3</w:t>
      </w:r>
      <w:r>
        <w:rPr>
          <w:color w:val="000000" w:themeColor="text1"/>
        </w:rPr>
        <w:t>0</w:t>
      </w:r>
      <w:r w:rsidRPr="00891000">
        <w:rPr>
          <w:color w:val="000000" w:themeColor="text1"/>
        </w:rPr>
        <w:t>.12.202</w:t>
      </w:r>
      <w:r>
        <w:rPr>
          <w:color w:val="000000" w:themeColor="text1"/>
        </w:rPr>
        <w:t>2</w:t>
      </w:r>
      <w:r w:rsidRPr="00891000">
        <w:rPr>
          <w:color w:val="000000" w:themeColor="text1"/>
        </w:rPr>
        <w:t xml:space="preserve"> tarihli ve </w:t>
      </w:r>
      <w:r>
        <w:rPr>
          <w:color w:val="000000" w:themeColor="text1"/>
        </w:rPr>
        <w:t xml:space="preserve">32059 </w:t>
      </w:r>
      <w:r w:rsidRPr="00891000">
        <w:rPr>
          <w:color w:val="000000" w:themeColor="text1"/>
        </w:rPr>
        <w:t>(</w:t>
      </w:r>
      <w:r>
        <w:rPr>
          <w:color w:val="000000" w:themeColor="text1"/>
        </w:rPr>
        <w:t>2</w:t>
      </w:r>
      <w:r w:rsidRPr="00891000">
        <w:rPr>
          <w:color w:val="000000" w:themeColor="text1"/>
        </w:rPr>
        <w:t>.</w:t>
      </w:r>
      <w:r w:rsidR="00262454">
        <w:rPr>
          <w:color w:val="000000" w:themeColor="text1"/>
        </w:rPr>
        <w:t xml:space="preserve"> </w:t>
      </w:r>
      <w:r w:rsidRPr="00891000">
        <w:rPr>
          <w:color w:val="000000" w:themeColor="text1"/>
        </w:rPr>
        <w:t xml:space="preserve">Mükerrer) sayılı Resmî </w:t>
      </w:r>
      <w:r w:rsidR="00274939">
        <w:rPr>
          <w:color w:val="000000" w:themeColor="text1"/>
        </w:rPr>
        <w:t>Gazetede</w:t>
      </w:r>
      <w:r w:rsidRPr="00891000">
        <w:rPr>
          <w:color w:val="000000" w:themeColor="text1"/>
        </w:rPr>
        <w:t xml:space="preserve"> yayımlanan </w:t>
      </w:r>
      <w:r>
        <w:rPr>
          <w:color w:val="000000" w:themeColor="text1"/>
        </w:rPr>
        <w:t>29</w:t>
      </w:r>
      <w:r w:rsidRPr="00891000">
        <w:rPr>
          <w:color w:val="000000" w:themeColor="text1"/>
        </w:rPr>
        <w:t>.12.202</w:t>
      </w:r>
      <w:r>
        <w:rPr>
          <w:color w:val="000000" w:themeColor="text1"/>
        </w:rPr>
        <w:t>2</w:t>
      </w:r>
      <w:r w:rsidRPr="00891000">
        <w:rPr>
          <w:color w:val="000000" w:themeColor="text1"/>
        </w:rPr>
        <w:t xml:space="preserve"> tarihli ve </w:t>
      </w:r>
      <w:r>
        <w:rPr>
          <w:color w:val="000000" w:themeColor="text1"/>
        </w:rPr>
        <w:t>11529</w:t>
      </w:r>
      <w:r w:rsidRPr="00891000">
        <w:rPr>
          <w:color w:val="000000" w:themeColor="text1"/>
        </w:rPr>
        <w:t>-11 sayılı Kurul Kararı</w:t>
      </w:r>
      <w:r w:rsidRPr="00DF5344">
        <w:rPr>
          <w:color w:val="000000" w:themeColor="text1"/>
        </w:rPr>
        <w:t xml:space="preserve"> </w:t>
      </w:r>
      <w:r>
        <w:rPr>
          <w:color w:val="000000" w:themeColor="text1"/>
        </w:rPr>
        <w:t>ile</w:t>
      </w:r>
    </w:p>
    <w:p w:rsidR="00FE2FC0" w:rsidRPr="00DF5344" w:rsidRDefault="00FE2FC0" w:rsidP="00FE2FC0">
      <w:pPr>
        <w:pStyle w:val="ListeParagraf"/>
        <w:numPr>
          <w:ilvl w:val="0"/>
          <w:numId w:val="13"/>
        </w:numPr>
        <w:spacing w:after="0" w:line="240" w:lineRule="auto"/>
      </w:pPr>
      <w:r w:rsidRPr="00DF5344">
        <w:t>Bağlantı hattında hem havai hem de yeraltı kablolarının kullanılması durumunda, birim bedel hesaplanırken havai ve yer altı hatlarının her birinin uzunluğunun ayrı ayrı dikkate alınarak hesaplanmasına,</w:t>
      </w:r>
    </w:p>
    <w:p w:rsidR="00FE2FC0" w:rsidRPr="00DF5344" w:rsidRDefault="00FE2FC0" w:rsidP="00FE2FC0">
      <w:pPr>
        <w:pStyle w:val="ListeParagraf"/>
        <w:numPr>
          <w:ilvl w:val="0"/>
          <w:numId w:val="13"/>
        </w:numPr>
        <w:spacing w:after="0" w:line="240" w:lineRule="auto"/>
      </w:pPr>
      <w:r w:rsidRPr="00DF5344">
        <w:t xml:space="preserve">100 kW üzeri hatlar için bağlantı bedeli hesaplanırken, 100 kW’ya kadar olan </w:t>
      </w:r>
      <w:r>
        <w:t xml:space="preserve">275,20 </w:t>
      </w:r>
      <w:r w:rsidRPr="00DF5344">
        <w:t xml:space="preserve">TL/metre fiyatına, 100 kW üzerindeki her kW’nın </w:t>
      </w:r>
      <w:r>
        <w:t xml:space="preserve">1,11 </w:t>
      </w:r>
      <w:r w:rsidRPr="00DF5344">
        <w:t>TL/m ile çarpılması ile bulunan bedelin ilave edilerek hesaplanmasına,</w:t>
      </w:r>
    </w:p>
    <w:p w:rsidR="00FE2FC0" w:rsidRPr="00DF5344" w:rsidRDefault="00FE2FC0" w:rsidP="00FE2FC0">
      <w:pPr>
        <w:pStyle w:val="ListeParagraf"/>
        <w:numPr>
          <w:ilvl w:val="0"/>
          <w:numId w:val="13"/>
        </w:numPr>
        <w:autoSpaceDE w:val="0"/>
        <w:autoSpaceDN w:val="0"/>
        <w:adjustRightInd w:val="0"/>
        <w:spacing w:after="0" w:line="240" w:lineRule="auto"/>
      </w:pPr>
      <w:r>
        <w:t xml:space="preserve">Dağıtım </w:t>
      </w:r>
      <w:r w:rsidRPr="00DF5344">
        <w:t>Şirket</w:t>
      </w:r>
      <w:r>
        <w:t>i</w:t>
      </w:r>
      <w:r w:rsidRPr="00DF5344">
        <w:t xml:space="preserve"> tarafından bağlantı hizmeti alan tüketiciye aşağıda yer alan TL/metre bazlı bedeller dışında başka bir ad altında herhangi bir bedel uygulanmamasına,</w:t>
      </w:r>
    </w:p>
    <w:p w:rsidR="00FE2FC0" w:rsidRPr="00DF5344" w:rsidRDefault="00FE2FC0" w:rsidP="00FE2FC0">
      <w:pPr>
        <w:pStyle w:val="ListeParagraf"/>
        <w:numPr>
          <w:ilvl w:val="0"/>
          <w:numId w:val="13"/>
        </w:numPr>
        <w:autoSpaceDE w:val="0"/>
        <w:autoSpaceDN w:val="0"/>
        <w:adjustRightInd w:val="0"/>
        <w:spacing w:after="0" w:line="240" w:lineRule="auto"/>
      </w:pPr>
      <w:r w:rsidRPr="00DF5344">
        <w:t>Bağlantı bedeline esas güç olarak Dağıtım Sistemine Bağlantı Anlaşmasının 3 üncü maddesinin birinci fıkrasında yer alan ilgili mevzuat kapsamında belirtilen gücün esas alınmasına,</w:t>
      </w:r>
    </w:p>
    <w:p w:rsidR="00FE2FC0" w:rsidRPr="00D76AC2" w:rsidRDefault="00FE2FC0" w:rsidP="00FE2FC0">
      <w:pPr>
        <w:pStyle w:val="ListeParagraf"/>
        <w:numPr>
          <w:ilvl w:val="0"/>
          <w:numId w:val="13"/>
        </w:numPr>
        <w:autoSpaceDE w:val="0"/>
        <w:autoSpaceDN w:val="0"/>
        <w:adjustRightInd w:val="0"/>
        <w:spacing w:after="0" w:line="240" w:lineRule="auto"/>
        <w:rPr>
          <w:b/>
          <w:bCs/>
          <w:color w:val="000000" w:themeColor="text1"/>
        </w:rPr>
      </w:pPr>
      <w:r w:rsidRPr="00DF5344">
        <w:t>Bu kapsamda aşağıdaki tablo 4.</w:t>
      </w:r>
      <w:r>
        <w:t>8</w:t>
      </w:r>
      <w:r w:rsidRPr="00DF5344">
        <w:t>’d</w:t>
      </w:r>
      <w:r>
        <w:t>e</w:t>
      </w:r>
      <w:r w:rsidRPr="00DF5344">
        <w:t xml:space="preserve"> yer alan bedellerin Kararın yürürlüğe girdiği tarih itibar</w:t>
      </w:r>
      <w:r>
        <w:t>ı</w:t>
      </w:r>
      <w:r w:rsidRPr="00DF5344">
        <w:t>yl</w:t>
      </w:r>
      <w:r>
        <w:t>a</w:t>
      </w:r>
      <w:r w:rsidRPr="00DF5344">
        <w:t xml:space="preserve"> 202</w:t>
      </w:r>
      <w:r>
        <w:t>3</w:t>
      </w:r>
      <w:r w:rsidRPr="00DF5344">
        <w:t xml:space="preserve"> yılı için Dağıtım Bağlantı Bedeli olarak uygulanmasına </w:t>
      </w:r>
      <w:r w:rsidRPr="00DF5344">
        <w:rPr>
          <w:color w:val="000000" w:themeColor="text1"/>
        </w:rPr>
        <w:t>karar verilmiştir.</w:t>
      </w:r>
    </w:p>
    <w:p w:rsidR="00FE2FC0" w:rsidRPr="00DF5344" w:rsidRDefault="00FE2FC0" w:rsidP="00FE2FC0">
      <w:pPr>
        <w:pStyle w:val="ListeParagraf"/>
        <w:autoSpaceDE w:val="0"/>
        <w:autoSpaceDN w:val="0"/>
        <w:adjustRightInd w:val="0"/>
        <w:spacing w:after="0" w:line="240" w:lineRule="auto"/>
        <w:rPr>
          <w:rStyle w:val="Gl"/>
          <w:color w:val="000000" w:themeColor="text1"/>
        </w:rPr>
      </w:pPr>
    </w:p>
    <w:p w:rsidR="00FE2FC0" w:rsidRPr="00E9291A" w:rsidRDefault="00FE2FC0" w:rsidP="00FE2FC0">
      <w:pPr>
        <w:pStyle w:val="Balk5"/>
        <w:jc w:val="center"/>
        <w:rPr>
          <w:rStyle w:val="Gl"/>
          <w:color w:val="000000" w:themeColor="text1"/>
        </w:rPr>
      </w:pPr>
      <w:bookmarkStart w:id="230" w:name="_Toc132713911"/>
      <w:r w:rsidRPr="00FA1354">
        <w:rPr>
          <w:rStyle w:val="Gl"/>
          <w:color w:val="000000" w:themeColor="text1"/>
        </w:rPr>
        <w:t>Tablo 4.</w:t>
      </w:r>
      <w:r>
        <w:rPr>
          <w:rStyle w:val="Gl"/>
          <w:color w:val="000000" w:themeColor="text1"/>
        </w:rPr>
        <w:t>8</w:t>
      </w:r>
      <w:r w:rsidRPr="00FA1354">
        <w:rPr>
          <w:rStyle w:val="Gl"/>
          <w:color w:val="000000" w:themeColor="text1"/>
        </w:rPr>
        <w:t>: Dağıtım Sistemi Bağlantı Bedelleri</w:t>
      </w:r>
      <w:bookmarkEnd w:id="230"/>
    </w:p>
    <w:tbl>
      <w:tblPr>
        <w:tblW w:w="3205"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3177"/>
        <w:gridCol w:w="3177"/>
      </w:tblGrid>
      <w:tr w:rsidR="00FE2FC0" w:rsidRPr="00E80962" w:rsidTr="00FE2FC0">
        <w:trPr>
          <w:trHeight w:val="340"/>
          <w:jc w:val="center"/>
        </w:trPr>
        <w:tc>
          <w:tcPr>
            <w:tcW w:w="2500" w:type="pct"/>
            <w:shd w:val="clear" w:color="auto" w:fill="6E9ECA"/>
            <w:noWrap/>
            <w:vAlign w:val="center"/>
            <w:hideMark/>
          </w:tcPr>
          <w:p w:rsidR="00FE2FC0" w:rsidRPr="00E80962" w:rsidRDefault="00FE2FC0" w:rsidP="00FE2FC0">
            <w:pPr>
              <w:spacing w:after="0"/>
              <w:rPr>
                <w:b/>
                <w:bCs/>
                <w:color w:val="FFFFFF" w:themeColor="background1"/>
              </w:rPr>
            </w:pPr>
            <w:r w:rsidRPr="00E80962">
              <w:rPr>
                <w:b/>
                <w:bCs/>
                <w:color w:val="FFFFFF" w:themeColor="background1"/>
              </w:rPr>
              <w:t>Bağlantı Bedeli</w:t>
            </w:r>
          </w:p>
        </w:tc>
        <w:tc>
          <w:tcPr>
            <w:tcW w:w="2500" w:type="pct"/>
            <w:shd w:val="clear" w:color="auto" w:fill="6E9ECA"/>
            <w:noWrap/>
            <w:vAlign w:val="center"/>
            <w:hideMark/>
          </w:tcPr>
          <w:p w:rsidR="00FE2FC0" w:rsidRPr="00E80962" w:rsidRDefault="00FE2FC0" w:rsidP="00FE2FC0">
            <w:pPr>
              <w:spacing w:after="0"/>
              <w:rPr>
                <w:b/>
                <w:bCs/>
                <w:color w:val="FFFFFF" w:themeColor="background1"/>
              </w:rPr>
            </w:pPr>
            <w:r w:rsidRPr="00E80962">
              <w:rPr>
                <w:b/>
                <w:bCs/>
                <w:color w:val="FFFFFF" w:themeColor="background1"/>
              </w:rPr>
              <w:t>TL/metre</w:t>
            </w:r>
          </w:p>
        </w:tc>
      </w:tr>
      <w:tr w:rsidR="00FE2FC0" w:rsidRPr="00E80962" w:rsidTr="00FE2FC0">
        <w:trPr>
          <w:trHeight w:val="340"/>
          <w:jc w:val="center"/>
        </w:trPr>
        <w:tc>
          <w:tcPr>
            <w:tcW w:w="5000" w:type="pct"/>
            <w:gridSpan w:val="2"/>
            <w:shd w:val="clear" w:color="auto" w:fill="D9D9D9" w:themeFill="background1" w:themeFillShade="D9"/>
            <w:noWrap/>
            <w:vAlign w:val="center"/>
            <w:hideMark/>
          </w:tcPr>
          <w:p w:rsidR="00FE2FC0" w:rsidRPr="00E80962" w:rsidRDefault="00FE2FC0" w:rsidP="00FE2FC0">
            <w:pPr>
              <w:spacing w:after="0"/>
              <w:jc w:val="center"/>
              <w:rPr>
                <w:b/>
                <w:bCs/>
              </w:rPr>
            </w:pPr>
            <w:r w:rsidRPr="00E80962">
              <w:rPr>
                <w:b/>
                <w:bCs/>
              </w:rPr>
              <w:t>AG</w:t>
            </w:r>
          </w:p>
        </w:tc>
      </w:tr>
      <w:tr w:rsidR="00FE2FC0" w:rsidRPr="00E80962" w:rsidTr="00FE2FC0">
        <w:trPr>
          <w:trHeight w:val="340"/>
          <w:jc w:val="center"/>
        </w:trPr>
        <w:tc>
          <w:tcPr>
            <w:tcW w:w="5000" w:type="pct"/>
            <w:gridSpan w:val="2"/>
            <w:noWrap/>
            <w:vAlign w:val="center"/>
            <w:hideMark/>
          </w:tcPr>
          <w:p w:rsidR="00FE2FC0" w:rsidRPr="00E80962" w:rsidRDefault="00FE2FC0" w:rsidP="00FE2FC0">
            <w:pPr>
              <w:spacing w:after="0"/>
              <w:rPr>
                <w:b/>
                <w:bCs/>
              </w:rPr>
            </w:pPr>
            <w:r w:rsidRPr="00E80962">
              <w:rPr>
                <w:b/>
                <w:bCs/>
              </w:rPr>
              <w:t>0-15 kW (dâhil)</w:t>
            </w:r>
          </w:p>
        </w:tc>
      </w:tr>
      <w:tr w:rsidR="00FE2FC0" w:rsidRPr="00E80962" w:rsidTr="00FE2FC0">
        <w:trPr>
          <w:trHeight w:val="340"/>
          <w:jc w:val="center"/>
        </w:trPr>
        <w:tc>
          <w:tcPr>
            <w:tcW w:w="2500" w:type="pct"/>
            <w:shd w:val="clear" w:color="auto" w:fill="FFFFFF"/>
            <w:noWrap/>
            <w:vAlign w:val="center"/>
            <w:hideMark/>
          </w:tcPr>
          <w:p w:rsidR="00FE2FC0" w:rsidRPr="00E80962" w:rsidRDefault="00FE2FC0" w:rsidP="00FE2FC0">
            <w:pPr>
              <w:spacing w:after="0"/>
            </w:pPr>
            <w:r w:rsidRPr="00E80962">
              <w:t>Yer altı</w:t>
            </w:r>
          </w:p>
        </w:tc>
        <w:tc>
          <w:tcPr>
            <w:tcW w:w="2500" w:type="pct"/>
            <w:shd w:val="clear" w:color="auto" w:fill="FFFFFF"/>
            <w:noWrap/>
            <w:vAlign w:val="center"/>
            <w:hideMark/>
          </w:tcPr>
          <w:p w:rsidR="00FE2FC0" w:rsidRPr="00E80962" w:rsidRDefault="00FE2FC0" w:rsidP="00FE2FC0">
            <w:pPr>
              <w:spacing w:after="0"/>
              <w:jc w:val="right"/>
            </w:pPr>
            <w:r>
              <w:t>148,89</w:t>
            </w:r>
          </w:p>
        </w:tc>
      </w:tr>
      <w:tr w:rsidR="00FE2FC0" w:rsidRPr="00E80962" w:rsidTr="00FE2FC0">
        <w:trPr>
          <w:trHeight w:val="340"/>
          <w:jc w:val="center"/>
        </w:trPr>
        <w:tc>
          <w:tcPr>
            <w:tcW w:w="2500" w:type="pct"/>
            <w:shd w:val="clear" w:color="auto" w:fill="FFFFFF"/>
            <w:noWrap/>
            <w:vAlign w:val="center"/>
            <w:hideMark/>
          </w:tcPr>
          <w:p w:rsidR="00FE2FC0" w:rsidRPr="00E80962" w:rsidRDefault="00FE2FC0" w:rsidP="00FE2FC0">
            <w:pPr>
              <w:spacing w:after="0"/>
            </w:pPr>
            <w:r w:rsidRPr="00E80962">
              <w:t>Havai</w:t>
            </w:r>
          </w:p>
        </w:tc>
        <w:tc>
          <w:tcPr>
            <w:tcW w:w="2500" w:type="pct"/>
            <w:shd w:val="clear" w:color="auto" w:fill="FFFFFF"/>
            <w:noWrap/>
            <w:vAlign w:val="center"/>
            <w:hideMark/>
          </w:tcPr>
          <w:p w:rsidR="00FE2FC0" w:rsidRPr="00E80962" w:rsidRDefault="00FE2FC0" w:rsidP="00FE2FC0">
            <w:pPr>
              <w:spacing w:after="0"/>
              <w:jc w:val="right"/>
            </w:pPr>
            <w:r>
              <w:t>69,22</w:t>
            </w:r>
          </w:p>
        </w:tc>
      </w:tr>
      <w:tr w:rsidR="00FE2FC0" w:rsidRPr="00E80962" w:rsidTr="00FE2FC0">
        <w:trPr>
          <w:trHeight w:val="340"/>
          <w:jc w:val="center"/>
        </w:trPr>
        <w:tc>
          <w:tcPr>
            <w:tcW w:w="5000" w:type="pct"/>
            <w:gridSpan w:val="2"/>
            <w:noWrap/>
            <w:vAlign w:val="center"/>
            <w:hideMark/>
          </w:tcPr>
          <w:p w:rsidR="00FE2FC0" w:rsidRPr="00E80962" w:rsidRDefault="00FE2FC0" w:rsidP="00FE2FC0">
            <w:pPr>
              <w:spacing w:after="0"/>
              <w:rPr>
                <w:b/>
                <w:bCs/>
              </w:rPr>
            </w:pPr>
            <w:r w:rsidRPr="00E80962">
              <w:rPr>
                <w:b/>
                <w:bCs/>
              </w:rPr>
              <w:t>15-50 kW (dâhil)</w:t>
            </w:r>
          </w:p>
        </w:tc>
      </w:tr>
      <w:tr w:rsidR="00FE2FC0" w:rsidRPr="00E80962" w:rsidTr="00FE2FC0">
        <w:trPr>
          <w:trHeight w:val="340"/>
          <w:jc w:val="center"/>
        </w:trPr>
        <w:tc>
          <w:tcPr>
            <w:tcW w:w="2500" w:type="pct"/>
            <w:shd w:val="clear" w:color="auto" w:fill="FFFFFF"/>
            <w:noWrap/>
            <w:vAlign w:val="center"/>
            <w:hideMark/>
          </w:tcPr>
          <w:p w:rsidR="00FE2FC0" w:rsidRPr="00E80962" w:rsidRDefault="00FE2FC0" w:rsidP="00FE2FC0">
            <w:pPr>
              <w:spacing w:after="0"/>
            </w:pPr>
            <w:r w:rsidRPr="00E80962">
              <w:t>Yer altı</w:t>
            </w:r>
          </w:p>
        </w:tc>
        <w:tc>
          <w:tcPr>
            <w:tcW w:w="2500" w:type="pct"/>
            <w:shd w:val="clear" w:color="auto" w:fill="FFFFFF"/>
            <w:noWrap/>
            <w:vAlign w:val="center"/>
            <w:hideMark/>
          </w:tcPr>
          <w:p w:rsidR="00FE2FC0" w:rsidRPr="00E80962" w:rsidRDefault="00FE2FC0" w:rsidP="00FE2FC0">
            <w:pPr>
              <w:spacing w:after="0"/>
              <w:jc w:val="right"/>
            </w:pPr>
            <w:r>
              <w:t>201,54</w:t>
            </w:r>
          </w:p>
        </w:tc>
      </w:tr>
      <w:tr w:rsidR="00FE2FC0" w:rsidRPr="00E80962" w:rsidTr="00FE2FC0">
        <w:trPr>
          <w:trHeight w:val="340"/>
          <w:jc w:val="center"/>
        </w:trPr>
        <w:tc>
          <w:tcPr>
            <w:tcW w:w="2500" w:type="pct"/>
            <w:noWrap/>
            <w:vAlign w:val="center"/>
            <w:hideMark/>
          </w:tcPr>
          <w:p w:rsidR="00FE2FC0" w:rsidRPr="00E80962" w:rsidRDefault="00FE2FC0" w:rsidP="00FE2FC0">
            <w:pPr>
              <w:spacing w:after="0"/>
            </w:pPr>
            <w:r w:rsidRPr="00E80962">
              <w:t>Havai</w:t>
            </w:r>
          </w:p>
        </w:tc>
        <w:tc>
          <w:tcPr>
            <w:tcW w:w="2500" w:type="pct"/>
            <w:shd w:val="clear" w:color="auto" w:fill="FFFFFF"/>
            <w:noWrap/>
            <w:vAlign w:val="center"/>
            <w:hideMark/>
          </w:tcPr>
          <w:p w:rsidR="00FE2FC0" w:rsidRPr="00E80962" w:rsidRDefault="00FE2FC0" w:rsidP="00FE2FC0">
            <w:pPr>
              <w:spacing w:after="0"/>
              <w:jc w:val="right"/>
            </w:pPr>
            <w:r>
              <w:t>117,47</w:t>
            </w:r>
          </w:p>
        </w:tc>
      </w:tr>
      <w:tr w:rsidR="00FE2FC0" w:rsidRPr="00E80962" w:rsidTr="00FE2FC0">
        <w:trPr>
          <w:trHeight w:val="340"/>
          <w:jc w:val="center"/>
        </w:trPr>
        <w:tc>
          <w:tcPr>
            <w:tcW w:w="5000" w:type="pct"/>
            <w:gridSpan w:val="2"/>
            <w:shd w:val="clear" w:color="auto" w:fill="FFFFFF"/>
            <w:noWrap/>
            <w:vAlign w:val="center"/>
            <w:hideMark/>
          </w:tcPr>
          <w:p w:rsidR="00FE2FC0" w:rsidRPr="00E80962" w:rsidRDefault="00FE2FC0" w:rsidP="00FE2FC0">
            <w:pPr>
              <w:spacing w:after="0"/>
              <w:rPr>
                <w:b/>
                <w:bCs/>
              </w:rPr>
            </w:pPr>
            <w:r w:rsidRPr="00E80962">
              <w:rPr>
                <w:b/>
                <w:bCs/>
              </w:rPr>
              <w:t>50-100 kW (dâhil)</w:t>
            </w:r>
          </w:p>
        </w:tc>
      </w:tr>
      <w:tr w:rsidR="00FE2FC0" w:rsidRPr="00E80962" w:rsidTr="00FE2FC0">
        <w:trPr>
          <w:trHeight w:val="340"/>
          <w:jc w:val="center"/>
        </w:trPr>
        <w:tc>
          <w:tcPr>
            <w:tcW w:w="2500" w:type="pct"/>
            <w:shd w:val="clear" w:color="auto" w:fill="FFFFFF"/>
            <w:noWrap/>
            <w:vAlign w:val="center"/>
            <w:hideMark/>
          </w:tcPr>
          <w:p w:rsidR="00FE2FC0" w:rsidRPr="00E80962" w:rsidRDefault="00FE2FC0" w:rsidP="00FE2FC0">
            <w:pPr>
              <w:spacing w:after="0"/>
            </w:pPr>
            <w:r w:rsidRPr="00E80962">
              <w:t>Yer altı</w:t>
            </w:r>
          </w:p>
        </w:tc>
        <w:tc>
          <w:tcPr>
            <w:tcW w:w="2500" w:type="pct"/>
            <w:shd w:val="clear" w:color="auto" w:fill="FFFFFF"/>
            <w:noWrap/>
            <w:vAlign w:val="center"/>
            <w:hideMark/>
          </w:tcPr>
          <w:p w:rsidR="00FE2FC0" w:rsidRPr="00E80962" w:rsidRDefault="00FE2FC0" w:rsidP="00FE2FC0">
            <w:pPr>
              <w:spacing w:after="0"/>
              <w:jc w:val="right"/>
            </w:pPr>
            <w:r>
              <w:t>275,20</w:t>
            </w:r>
          </w:p>
        </w:tc>
      </w:tr>
      <w:tr w:rsidR="00FE2FC0" w:rsidRPr="00E80962" w:rsidTr="00FE2FC0">
        <w:trPr>
          <w:trHeight w:val="340"/>
          <w:jc w:val="center"/>
        </w:trPr>
        <w:tc>
          <w:tcPr>
            <w:tcW w:w="2500" w:type="pct"/>
            <w:shd w:val="clear" w:color="auto" w:fill="FFFFFF"/>
            <w:noWrap/>
            <w:vAlign w:val="center"/>
            <w:hideMark/>
          </w:tcPr>
          <w:p w:rsidR="00FE2FC0" w:rsidRPr="00E80962" w:rsidRDefault="00FE2FC0" w:rsidP="00FE2FC0">
            <w:pPr>
              <w:spacing w:after="0"/>
            </w:pPr>
            <w:r w:rsidRPr="00E80962">
              <w:t>Havai</w:t>
            </w:r>
          </w:p>
        </w:tc>
        <w:tc>
          <w:tcPr>
            <w:tcW w:w="2500" w:type="pct"/>
            <w:shd w:val="clear" w:color="auto" w:fill="FFFFFF"/>
            <w:noWrap/>
            <w:vAlign w:val="center"/>
            <w:hideMark/>
          </w:tcPr>
          <w:p w:rsidR="00FE2FC0" w:rsidRPr="00E80962" w:rsidRDefault="00FE2FC0" w:rsidP="00FE2FC0">
            <w:pPr>
              <w:spacing w:after="0"/>
              <w:jc w:val="right"/>
            </w:pPr>
            <w:r>
              <w:t>146,33</w:t>
            </w:r>
          </w:p>
        </w:tc>
      </w:tr>
      <w:tr w:rsidR="00FE2FC0" w:rsidRPr="00E80962" w:rsidTr="00FE2FC0">
        <w:trPr>
          <w:trHeight w:val="340"/>
          <w:jc w:val="center"/>
        </w:trPr>
        <w:tc>
          <w:tcPr>
            <w:tcW w:w="5000" w:type="pct"/>
            <w:gridSpan w:val="2"/>
            <w:noWrap/>
            <w:vAlign w:val="center"/>
            <w:hideMark/>
          </w:tcPr>
          <w:p w:rsidR="00FE2FC0" w:rsidRPr="00E80962" w:rsidRDefault="00FE2FC0" w:rsidP="00FE2FC0">
            <w:pPr>
              <w:spacing w:after="0"/>
              <w:rPr>
                <w:b/>
                <w:bCs/>
              </w:rPr>
            </w:pPr>
            <w:r w:rsidRPr="00E80962">
              <w:rPr>
                <w:b/>
                <w:bCs/>
              </w:rPr>
              <w:t>100 kW üzeri </w:t>
            </w:r>
          </w:p>
        </w:tc>
      </w:tr>
      <w:tr w:rsidR="00FE2FC0" w:rsidRPr="00E80962" w:rsidTr="00FE2FC0">
        <w:trPr>
          <w:trHeight w:val="340"/>
          <w:jc w:val="center"/>
        </w:trPr>
        <w:tc>
          <w:tcPr>
            <w:tcW w:w="2500" w:type="pct"/>
            <w:shd w:val="clear" w:color="auto" w:fill="FFFFFF"/>
            <w:noWrap/>
            <w:vAlign w:val="center"/>
            <w:hideMark/>
          </w:tcPr>
          <w:p w:rsidR="00FE2FC0" w:rsidRPr="00E80962" w:rsidRDefault="00FE2FC0" w:rsidP="00FE2FC0">
            <w:pPr>
              <w:spacing w:after="0"/>
            </w:pPr>
            <w:r w:rsidRPr="00E80962">
              <w:t>Yer altı</w:t>
            </w:r>
          </w:p>
        </w:tc>
        <w:tc>
          <w:tcPr>
            <w:tcW w:w="2500" w:type="pct"/>
            <w:shd w:val="clear" w:color="auto" w:fill="FFFFFF"/>
            <w:noWrap/>
            <w:vAlign w:val="center"/>
            <w:hideMark/>
          </w:tcPr>
          <w:p w:rsidR="00FE2FC0" w:rsidRPr="00E80962" w:rsidRDefault="00FE2FC0" w:rsidP="00FE2FC0">
            <w:pPr>
              <w:spacing w:after="0"/>
              <w:jc w:val="right"/>
            </w:pPr>
            <w:r>
              <w:t>275,20</w:t>
            </w:r>
            <w:r w:rsidRPr="00E80962">
              <w:t>+</w:t>
            </w:r>
            <w:r>
              <w:t>1,11</w:t>
            </w:r>
            <w:r w:rsidRPr="00E80962">
              <w:t>×(Güç-100)</w:t>
            </w:r>
          </w:p>
        </w:tc>
      </w:tr>
      <w:tr w:rsidR="00FE2FC0" w:rsidRPr="00E80962" w:rsidTr="00FE2FC0">
        <w:trPr>
          <w:trHeight w:val="340"/>
          <w:jc w:val="center"/>
        </w:trPr>
        <w:tc>
          <w:tcPr>
            <w:tcW w:w="5000" w:type="pct"/>
            <w:gridSpan w:val="2"/>
            <w:shd w:val="clear" w:color="auto" w:fill="D9D9D9" w:themeFill="background1" w:themeFillShade="D9"/>
            <w:noWrap/>
            <w:vAlign w:val="center"/>
            <w:hideMark/>
          </w:tcPr>
          <w:p w:rsidR="00FE2FC0" w:rsidRPr="00E80962" w:rsidRDefault="00FE2FC0" w:rsidP="00FE2FC0">
            <w:pPr>
              <w:spacing w:after="0"/>
              <w:jc w:val="center"/>
              <w:rPr>
                <w:b/>
                <w:bCs/>
              </w:rPr>
            </w:pPr>
            <w:r w:rsidRPr="00E80962">
              <w:rPr>
                <w:b/>
                <w:bCs/>
              </w:rPr>
              <w:t>OG</w:t>
            </w:r>
          </w:p>
        </w:tc>
      </w:tr>
      <w:tr w:rsidR="00FE2FC0" w:rsidRPr="00E80962" w:rsidTr="00FE2FC0">
        <w:trPr>
          <w:trHeight w:val="340"/>
          <w:jc w:val="center"/>
        </w:trPr>
        <w:tc>
          <w:tcPr>
            <w:tcW w:w="2500" w:type="pct"/>
            <w:shd w:val="clear" w:color="auto" w:fill="FFFFFF"/>
            <w:noWrap/>
            <w:vAlign w:val="center"/>
            <w:hideMark/>
          </w:tcPr>
          <w:p w:rsidR="00FE2FC0" w:rsidRPr="00E80962" w:rsidRDefault="00FE2FC0" w:rsidP="00FE2FC0">
            <w:pPr>
              <w:spacing w:after="0"/>
            </w:pPr>
            <w:r w:rsidRPr="00E80962">
              <w:t>Yer altı</w:t>
            </w:r>
          </w:p>
        </w:tc>
        <w:tc>
          <w:tcPr>
            <w:tcW w:w="2500" w:type="pct"/>
            <w:shd w:val="clear" w:color="auto" w:fill="FFFFFF"/>
            <w:noWrap/>
            <w:vAlign w:val="center"/>
            <w:hideMark/>
          </w:tcPr>
          <w:p w:rsidR="00FE2FC0" w:rsidRPr="00E80962" w:rsidRDefault="00FE2FC0" w:rsidP="00FE2FC0">
            <w:pPr>
              <w:spacing w:after="0"/>
              <w:jc w:val="right"/>
            </w:pPr>
            <w:r>
              <w:t>703,56</w:t>
            </w:r>
          </w:p>
        </w:tc>
      </w:tr>
      <w:tr w:rsidR="00FE2FC0" w:rsidRPr="00E80962" w:rsidTr="00FE2FC0">
        <w:trPr>
          <w:trHeight w:val="340"/>
          <w:jc w:val="center"/>
        </w:trPr>
        <w:tc>
          <w:tcPr>
            <w:tcW w:w="2500" w:type="pct"/>
            <w:noWrap/>
            <w:vAlign w:val="center"/>
            <w:hideMark/>
          </w:tcPr>
          <w:p w:rsidR="00FE2FC0" w:rsidRPr="00E80962" w:rsidRDefault="00FE2FC0" w:rsidP="00FE2FC0">
            <w:pPr>
              <w:spacing w:after="0"/>
              <w:rPr>
                <w:bCs/>
              </w:rPr>
            </w:pPr>
            <w:r w:rsidRPr="00E80962">
              <w:rPr>
                <w:bCs/>
              </w:rPr>
              <w:t>Havai</w:t>
            </w:r>
          </w:p>
        </w:tc>
        <w:tc>
          <w:tcPr>
            <w:tcW w:w="2500" w:type="pct"/>
            <w:shd w:val="clear" w:color="auto" w:fill="FFFFFF"/>
            <w:noWrap/>
            <w:vAlign w:val="center"/>
            <w:hideMark/>
          </w:tcPr>
          <w:p w:rsidR="00FE2FC0" w:rsidRPr="00E80962" w:rsidRDefault="00FE2FC0" w:rsidP="00FE2FC0">
            <w:pPr>
              <w:spacing w:after="0"/>
              <w:jc w:val="right"/>
            </w:pPr>
            <w:r>
              <w:t>188,08</w:t>
            </w:r>
          </w:p>
        </w:tc>
      </w:tr>
    </w:tbl>
    <w:p w:rsidR="002C3099" w:rsidRPr="00E9291A" w:rsidRDefault="002C3099" w:rsidP="002C3099">
      <w:pPr>
        <w:spacing w:after="0"/>
        <w:rPr>
          <w:color w:val="000000" w:themeColor="text1"/>
        </w:rPr>
      </w:pPr>
    </w:p>
    <w:p w:rsidR="002C3099" w:rsidRPr="00FA1354" w:rsidRDefault="002C3099" w:rsidP="000A5A56">
      <w:pPr>
        <w:pStyle w:val="Balk4"/>
        <w:numPr>
          <w:ilvl w:val="3"/>
          <w:numId w:val="11"/>
        </w:numPr>
        <w:spacing w:before="0" w:after="240"/>
        <w:rPr>
          <w:rFonts w:asciiTheme="minorHAnsi" w:hAnsiTheme="minorHAnsi"/>
          <w:i w:val="0"/>
          <w:color w:val="000000" w:themeColor="text1"/>
        </w:rPr>
      </w:pPr>
      <w:bookmarkStart w:id="231" w:name="_Toc66267375"/>
      <w:bookmarkStart w:id="232" w:name="_Toc132713804"/>
      <w:r w:rsidRPr="00FA1354">
        <w:rPr>
          <w:rFonts w:asciiTheme="minorHAnsi" w:hAnsiTheme="minorHAnsi"/>
          <w:i w:val="0"/>
          <w:color w:val="000000" w:themeColor="text1"/>
        </w:rPr>
        <w:t>Kesme-Bağlama Bedeli</w:t>
      </w:r>
      <w:bookmarkEnd w:id="231"/>
      <w:bookmarkEnd w:id="232"/>
    </w:p>
    <w:p w:rsidR="002C3099" w:rsidRPr="00DF5344" w:rsidRDefault="00FE2FC0" w:rsidP="002C3099">
      <w:pPr>
        <w:spacing w:after="0"/>
        <w:rPr>
          <w:color w:val="000000" w:themeColor="text1"/>
        </w:rPr>
      </w:pPr>
      <w:r w:rsidRPr="003576CC">
        <w:rPr>
          <w:color w:val="000000" w:themeColor="text1"/>
        </w:rPr>
        <w:t>3</w:t>
      </w:r>
      <w:r>
        <w:rPr>
          <w:color w:val="000000" w:themeColor="text1"/>
        </w:rPr>
        <w:t>0</w:t>
      </w:r>
      <w:r w:rsidRPr="003576CC">
        <w:rPr>
          <w:color w:val="000000" w:themeColor="text1"/>
        </w:rPr>
        <w:t>.12.202</w:t>
      </w:r>
      <w:r>
        <w:rPr>
          <w:color w:val="000000" w:themeColor="text1"/>
        </w:rPr>
        <w:t>2</w:t>
      </w:r>
      <w:r w:rsidRPr="003576CC">
        <w:rPr>
          <w:color w:val="000000" w:themeColor="text1"/>
        </w:rPr>
        <w:t xml:space="preserve"> tarihli ve </w:t>
      </w:r>
      <w:r>
        <w:rPr>
          <w:color w:val="000000" w:themeColor="text1"/>
        </w:rPr>
        <w:t xml:space="preserve">32059 </w:t>
      </w:r>
      <w:r w:rsidRPr="003576CC">
        <w:rPr>
          <w:color w:val="000000" w:themeColor="text1"/>
        </w:rPr>
        <w:t>(</w:t>
      </w:r>
      <w:r>
        <w:rPr>
          <w:color w:val="000000" w:themeColor="text1"/>
        </w:rPr>
        <w:t>2</w:t>
      </w:r>
      <w:r w:rsidRPr="003576CC">
        <w:rPr>
          <w:color w:val="000000" w:themeColor="text1"/>
        </w:rPr>
        <w:t xml:space="preserve">.Mükerrer) sayılı Resmî </w:t>
      </w:r>
      <w:r w:rsidR="00274939">
        <w:rPr>
          <w:color w:val="000000" w:themeColor="text1"/>
        </w:rPr>
        <w:t>Gazetede</w:t>
      </w:r>
      <w:r w:rsidRPr="003576CC">
        <w:rPr>
          <w:color w:val="000000" w:themeColor="text1"/>
        </w:rPr>
        <w:t xml:space="preserve"> yayımlanan </w:t>
      </w:r>
      <w:r>
        <w:rPr>
          <w:color w:val="000000" w:themeColor="text1"/>
        </w:rPr>
        <w:t>29</w:t>
      </w:r>
      <w:r w:rsidRPr="003576CC">
        <w:rPr>
          <w:color w:val="000000" w:themeColor="text1"/>
        </w:rPr>
        <w:t>.12.202</w:t>
      </w:r>
      <w:r>
        <w:rPr>
          <w:color w:val="000000" w:themeColor="text1"/>
        </w:rPr>
        <w:t>2</w:t>
      </w:r>
      <w:r w:rsidRPr="003576CC">
        <w:rPr>
          <w:color w:val="000000" w:themeColor="text1"/>
        </w:rPr>
        <w:t xml:space="preserve"> tarihli ve </w:t>
      </w:r>
      <w:r>
        <w:rPr>
          <w:color w:val="000000" w:themeColor="text1"/>
        </w:rPr>
        <w:t>11529</w:t>
      </w:r>
      <w:r w:rsidRPr="003576CC">
        <w:rPr>
          <w:color w:val="000000" w:themeColor="text1"/>
        </w:rPr>
        <w:t>-</w:t>
      </w:r>
      <w:r>
        <w:rPr>
          <w:color w:val="000000" w:themeColor="text1"/>
        </w:rPr>
        <w:t>2</w:t>
      </w:r>
      <w:r w:rsidRPr="003576CC">
        <w:rPr>
          <w:color w:val="000000" w:themeColor="text1"/>
        </w:rPr>
        <w:t xml:space="preserve"> sayılı Kurul Kararı ile 01.01.202</w:t>
      </w:r>
      <w:r>
        <w:rPr>
          <w:color w:val="000000" w:themeColor="text1"/>
        </w:rPr>
        <w:t>3</w:t>
      </w:r>
      <w:r w:rsidRPr="003576CC">
        <w:rPr>
          <w:color w:val="000000" w:themeColor="text1"/>
        </w:rPr>
        <w:t xml:space="preserve"> tarihinden itibaren</w:t>
      </w:r>
      <w:r>
        <w:rPr>
          <w:color w:val="000000" w:themeColor="text1"/>
        </w:rPr>
        <w:t xml:space="preserve"> </w:t>
      </w:r>
      <w:r w:rsidRPr="00DF5344">
        <w:rPr>
          <w:color w:val="000000" w:themeColor="text1"/>
        </w:rPr>
        <w:t>Tablo 4.</w:t>
      </w:r>
      <w:r>
        <w:rPr>
          <w:color w:val="000000" w:themeColor="text1"/>
        </w:rPr>
        <w:t>9</w:t>
      </w:r>
      <w:r w:rsidRPr="00DF5344">
        <w:rPr>
          <w:color w:val="000000" w:themeColor="text1"/>
        </w:rPr>
        <w:t>’d</w:t>
      </w:r>
      <w:r>
        <w:rPr>
          <w:color w:val="000000" w:themeColor="text1"/>
        </w:rPr>
        <w:t>a</w:t>
      </w:r>
      <w:r w:rsidRPr="00DF5344">
        <w:rPr>
          <w:color w:val="000000" w:themeColor="text1"/>
        </w:rPr>
        <w:t xml:space="preserve"> yer alan kesme-bağlama bedellerinin uygulanmasına karar verilmiştir.</w:t>
      </w:r>
    </w:p>
    <w:p w:rsidR="00FE2FC0" w:rsidRPr="00E9291A" w:rsidRDefault="00FE2FC0" w:rsidP="00FE2FC0">
      <w:pPr>
        <w:pStyle w:val="Balk5"/>
        <w:jc w:val="center"/>
        <w:rPr>
          <w:rStyle w:val="Gl"/>
          <w:color w:val="000000" w:themeColor="text1"/>
        </w:rPr>
      </w:pPr>
      <w:bookmarkStart w:id="233" w:name="_Toc132713912"/>
      <w:bookmarkStart w:id="234" w:name="_Toc66267476"/>
      <w:r w:rsidRPr="00FA1354">
        <w:rPr>
          <w:rStyle w:val="Gl"/>
          <w:color w:val="000000" w:themeColor="text1"/>
        </w:rPr>
        <w:lastRenderedPageBreak/>
        <w:t>Tablo 4.</w:t>
      </w:r>
      <w:r>
        <w:rPr>
          <w:rStyle w:val="Gl"/>
          <w:color w:val="000000" w:themeColor="text1"/>
        </w:rPr>
        <w:t>9</w:t>
      </w:r>
      <w:r w:rsidRPr="00FA1354">
        <w:rPr>
          <w:rStyle w:val="Gl"/>
          <w:color w:val="000000" w:themeColor="text1"/>
        </w:rPr>
        <w:t>: Kesme-Bağlama Bedelleri</w:t>
      </w:r>
      <w:bookmarkEnd w:id="233"/>
    </w:p>
    <w:tbl>
      <w:tblPr>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1E0" w:firstRow="1" w:lastRow="1" w:firstColumn="1" w:lastColumn="1" w:noHBand="0" w:noVBand="0"/>
      </w:tblPr>
      <w:tblGrid>
        <w:gridCol w:w="3314"/>
        <w:gridCol w:w="3202"/>
      </w:tblGrid>
      <w:tr w:rsidR="00FE2FC0" w:rsidRPr="00E80962" w:rsidTr="00FE2FC0">
        <w:trPr>
          <w:jc w:val="center"/>
        </w:trPr>
        <w:tc>
          <w:tcPr>
            <w:tcW w:w="3314" w:type="dxa"/>
            <w:shd w:val="clear" w:color="auto" w:fill="6E9ECA"/>
            <w:hideMark/>
          </w:tcPr>
          <w:p w:rsidR="00FE2FC0" w:rsidRPr="00E80962" w:rsidRDefault="00FE2FC0" w:rsidP="00FE2FC0">
            <w:pPr>
              <w:spacing w:after="0"/>
              <w:jc w:val="center"/>
              <w:rPr>
                <w:b/>
                <w:color w:val="FFFFFF" w:themeColor="background1"/>
              </w:rPr>
            </w:pPr>
            <w:r w:rsidRPr="00E80962">
              <w:rPr>
                <w:b/>
                <w:color w:val="FFFFFF" w:themeColor="background1"/>
              </w:rPr>
              <w:t>Bağlantı Seviyesi</w:t>
            </w:r>
          </w:p>
        </w:tc>
        <w:tc>
          <w:tcPr>
            <w:tcW w:w="3202" w:type="dxa"/>
            <w:shd w:val="clear" w:color="auto" w:fill="6E9ECA"/>
            <w:hideMark/>
          </w:tcPr>
          <w:p w:rsidR="00FE2FC0" w:rsidRPr="00E80962" w:rsidRDefault="00FE2FC0" w:rsidP="00FE2FC0">
            <w:pPr>
              <w:spacing w:after="0"/>
              <w:jc w:val="center"/>
              <w:rPr>
                <w:b/>
                <w:color w:val="FFFFFF" w:themeColor="background1"/>
              </w:rPr>
            </w:pPr>
            <w:r w:rsidRPr="00E80962">
              <w:rPr>
                <w:b/>
                <w:color w:val="FFFFFF" w:themeColor="background1"/>
              </w:rPr>
              <w:t>Kesme-Bağlama Bedeli (TL)</w:t>
            </w:r>
          </w:p>
        </w:tc>
      </w:tr>
      <w:tr w:rsidR="00FE2FC0" w:rsidRPr="00E80962" w:rsidTr="00FE2FC0">
        <w:trPr>
          <w:jc w:val="center"/>
        </w:trPr>
        <w:tc>
          <w:tcPr>
            <w:tcW w:w="3314" w:type="dxa"/>
            <w:hideMark/>
          </w:tcPr>
          <w:p w:rsidR="00FE2FC0" w:rsidRPr="00E80962" w:rsidRDefault="00FE2FC0" w:rsidP="00FE2FC0">
            <w:pPr>
              <w:spacing w:after="0"/>
              <w:rPr>
                <w:color w:val="000000" w:themeColor="text1"/>
              </w:rPr>
            </w:pPr>
            <w:r w:rsidRPr="00E80962">
              <w:rPr>
                <w:color w:val="000000" w:themeColor="text1"/>
              </w:rPr>
              <w:t>AG</w:t>
            </w:r>
          </w:p>
        </w:tc>
        <w:tc>
          <w:tcPr>
            <w:tcW w:w="3202" w:type="dxa"/>
            <w:hideMark/>
          </w:tcPr>
          <w:p w:rsidR="00FE2FC0" w:rsidRPr="00E80962" w:rsidRDefault="00FE2FC0" w:rsidP="00FE2FC0">
            <w:pPr>
              <w:spacing w:after="0"/>
              <w:jc w:val="right"/>
              <w:rPr>
                <w:color w:val="000000" w:themeColor="text1"/>
              </w:rPr>
            </w:pPr>
            <w:r>
              <w:rPr>
                <w:color w:val="000000" w:themeColor="text1"/>
              </w:rPr>
              <w:t>44,8</w:t>
            </w:r>
          </w:p>
        </w:tc>
      </w:tr>
      <w:tr w:rsidR="00FE2FC0" w:rsidRPr="00E80962" w:rsidTr="00FE2FC0">
        <w:trPr>
          <w:jc w:val="center"/>
        </w:trPr>
        <w:tc>
          <w:tcPr>
            <w:tcW w:w="3314" w:type="dxa"/>
            <w:hideMark/>
          </w:tcPr>
          <w:p w:rsidR="00FE2FC0" w:rsidRPr="00E80962" w:rsidRDefault="00FE2FC0" w:rsidP="00FE2FC0">
            <w:pPr>
              <w:spacing w:after="0"/>
              <w:rPr>
                <w:color w:val="000000" w:themeColor="text1"/>
              </w:rPr>
            </w:pPr>
            <w:r w:rsidRPr="00E80962">
              <w:rPr>
                <w:color w:val="000000" w:themeColor="text1"/>
              </w:rPr>
              <w:t>OG</w:t>
            </w:r>
          </w:p>
        </w:tc>
        <w:tc>
          <w:tcPr>
            <w:tcW w:w="3202" w:type="dxa"/>
            <w:hideMark/>
          </w:tcPr>
          <w:p w:rsidR="00FE2FC0" w:rsidRPr="00E80962" w:rsidRDefault="00FE2FC0" w:rsidP="00FE2FC0">
            <w:pPr>
              <w:spacing w:after="0"/>
              <w:jc w:val="right"/>
              <w:rPr>
                <w:color w:val="000000" w:themeColor="text1"/>
              </w:rPr>
            </w:pPr>
            <w:r>
              <w:rPr>
                <w:color w:val="000000" w:themeColor="text1"/>
              </w:rPr>
              <w:t>335,6</w:t>
            </w:r>
          </w:p>
        </w:tc>
      </w:tr>
      <w:bookmarkEnd w:id="234"/>
    </w:tbl>
    <w:p w:rsidR="002C3099" w:rsidRPr="00E9291A" w:rsidRDefault="002C3099" w:rsidP="002C3099">
      <w:pPr>
        <w:pStyle w:val="AralkYok"/>
      </w:pPr>
    </w:p>
    <w:p w:rsidR="002C3099" w:rsidRPr="00FA1354" w:rsidRDefault="002C3099" w:rsidP="000A5A56">
      <w:pPr>
        <w:pStyle w:val="Balk4"/>
        <w:numPr>
          <w:ilvl w:val="3"/>
          <w:numId w:val="11"/>
        </w:numPr>
        <w:spacing w:before="0" w:after="240"/>
        <w:rPr>
          <w:rFonts w:asciiTheme="minorHAnsi" w:hAnsiTheme="minorHAnsi"/>
          <w:i w:val="0"/>
          <w:color w:val="FFC000"/>
        </w:rPr>
      </w:pPr>
      <w:bookmarkStart w:id="235" w:name="_Toc66267376"/>
      <w:bookmarkStart w:id="236" w:name="_Toc132713805"/>
      <w:r w:rsidRPr="00FA1354">
        <w:rPr>
          <w:rFonts w:asciiTheme="minorHAnsi" w:hAnsiTheme="minorHAnsi"/>
          <w:i w:val="0"/>
          <w:color w:val="000000" w:themeColor="text1"/>
        </w:rPr>
        <w:t>Güvence Bedeli</w:t>
      </w:r>
      <w:bookmarkEnd w:id="235"/>
      <w:bookmarkEnd w:id="236"/>
    </w:p>
    <w:p w:rsidR="002C3099" w:rsidRDefault="00FE2FC0" w:rsidP="002C3099">
      <w:pPr>
        <w:spacing w:after="0"/>
        <w:rPr>
          <w:color w:val="000000" w:themeColor="text1"/>
        </w:rPr>
      </w:pPr>
      <w:r w:rsidRPr="003576CC">
        <w:rPr>
          <w:color w:val="000000" w:themeColor="text1"/>
        </w:rPr>
        <w:t>3</w:t>
      </w:r>
      <w:r>
        <w:rPr>
          <w:color w:val="000000" w:themeColor="text1"/>
        </w:rPr>
        <w:t>0</w:t>
      </w:r>
      <w:r w:rsidRPr="003576CC">
        <w:rPr>
          <w:color w:val="000000" w:themeColor="text1"/>
        </w:rPr>
        <w:t>.12.202</w:t>
      </w:r>
      <w:r>
        <w:rPr>
          <w:color w:val="000000" w:themeColor="text1"/>
        </w:rPr>
        <w:t>2</w:t>
      </w:r>
      <w:r w:rsidRPr="003576CC">
        <w:rPr>
          <w:color w:val="000000" w:themeColor="text1"/>
        </w:rPr>
        <w:t xml:space="preserve"> tarihli ve </w:t>
      </w:r>
      <w:r>
        <w:rPr>
          <w:color w:val="000000" w:themeColor="text1"/>
        </w:rPr>
        <w:t xml:space="preserve">32059 </w:t>
      </w:r>
      <w:r w:rsidRPr="003576CC">
        <w:rPr>
          <w:color w:val="000000" w:themeColor="text1"/>
        </w:rPr>
        <w:t>(</w:t>
      </w:r>
      <w:r>
        <w:rPr>
          <w:color w:val="000000" w:themeColor="text1"/>
        </w:rPr>
        <w:t>2</w:t>
      </w:r>
      <w:r w:rsidRPr="003576CC">
        <w:rPr>
          <w:color w:val="000000" w:themeColor="text1"/>
        </w:rPr>
        <w:t xml:space="preserve">.Mükerrer) sayılı </w:t>
      </w:r>
      <w:r w:rsidRPr="00DF5344">
        <w:rPr>
          <w:color w:val="000000" w:themeColor="text1"/>
        </w:rPr>
        <w:t xml:space="preserve">Resmî </w:t>
      </w:r>
      <w:r w:rsidR="00274939">
        <w:rPr>
          <w:color w:val="000000" w:themeColor="text1"/>
        </w:rPr>
        <w:t>Gazetede</w:t>
      </w:r>
      <w:r w:rsidRPr="00DF5344">
        <w:rPr>
          <w:color w:val="000000" w:themeColor="text1"/>
        </w:rPr>
        <w:t xml:space="preserve"> yayımlanan </w:t>
      </w:r>
      <w:r>
        <w:rPr>
          <w:color w:val="000000" w:themeColor="text1"/>
        </w:rPr>
        <w:t>29</w:t>
      </w:r>
      <w:r w:rsidRPr="00DF5344">
        <w:rPr>
          <w:color w:val="000000" w:themeColor="text1"/>
        </w:rPr>
        <w:t>.12.202</w:t>
      </w:r>
      <w:r>
        <w:rPr>
          <w:color w:val="000000" w:themeColor="text1"/>
        </w:rPr>
        <w:t>2</w:t>
      </w:r>
      <w:r w:rsidRPr="00DF5344">
        <w:rPr>
          <w:color w:val="000000" w:themeColor="text1"/>
        </w:rPr>
        <w:t xml:space="preserve"> tarihli ve </w:t>
      </w:r>
      <w:r>
        <w:rPr>
          <w:color w:val="000000" w:themeColor="text1"/>
        </w:rPr>
        <w:t>11529-1</w:t>
      </w:r>
      <w:r w:rsidRPr="00DF5344">
        <w:rPr>
          <w:color w:val="000000" w:themeColor="text1"/>
        </w:rPr>
        <w:t xml:space="preserve"> sayılı Kurul Kararı ile 01.01.202</w:t>
      </w:r>
      <w:r>
        <w:rPr>
          <w:color w:val="000000" w:themeColor="text1"/>
        </w:rPr>
        <w:t>3</w:t>
      </w:r>
      <w:r w:rsidRPr="00DF5344">
        <w:rPr>
          <w:color w:val="000000" w:themeColor="text1"/>
        </w:rPr>
        <w:t xml:space="preserve"> tarihinden itibaren Tablo 4.1</w:t>
      </w:r>
      <w:r>
        <w:rPr>
          <w:color w:val="000000" w:themeColor="text1"/>
        </w:rPr>
        <w:t>0</w:t>
      </w:r>
      <w:r w:rsidRPr="00DF5344">
        <w:rPr>
          <w:color w:val="000000" w:themeColor="text1"/>
        </w:rPr>
        <w:t>’d</w:t>
      </w:r>
      <w:r>
        <w:rPr>
          <w:color w:val="000000" w:themeColor="text1"/>
        </w:rPr>
        <w:t>a</w:t>
      </w:r>
      <w:r w:rsidRPr="00DF5344">
        <w:rPr>
          <w:color w:val="000000" w:themeColor="text1"/>
        </w:rPr>
        <w:t xml:space="preserve"> yer alan güvence bedellerinin uygulanmasına karar verilmiştir.</w:t>
      </w:r>
    </w:p>
    <w:p w:rsidR="00FE2FC0" w:rsidRPr="00E9291A" w:rsidRDefault="00FE2FC0" w:rsidP="00FE2FC0">
      <w:pPr>
        <w:pStyle w:val="Balk5"/>
        <w:jc w:val="center"/>
        <w:rPr>
          <w:rStyle w:val="Gl"/>
          <w:color w:val="000000" w:themeColor="text1"/>
        </w:rPr>
      </w:pPr>
      <w:bookmarkStart w:id="237" w:name="_Toc132713913"/>
      <w:bookmarkStart w:id="238" w:name="_Toc66267477"/>
      <w:r w:rsidRPr="00FA1354">
        <w:rPr>
          <w:rStyle w:val="Gl"/>
          <w:color w:val="000000" w:themeColor="text1"/>
        </w:rPr>
        <w:t>Tablo 4.1</w:t>
      </w:r>
      <w:r>
        <w:rPr>
          <w:rStyle w:val="Gl"/>
          <w:color w:val="000000" w:themeColor="text1"/>
        </w:rPr>
        <w:t>0</w:t>
      </w:r>
      <w:r w:rsidRPr="00FA1354">
        <w:rPr>
          <w:rStyle w:val="Gl"/>
          <w:color w:val="000000" w:themeColor="text1"/>
        </w:rPr>
        <w:t>: Güvence Bedelleri</w:t>
      </w:r>
      <w:bookmarkEnd w:id="237"/>
    </w:p>
    <w:tbl>
      <w:tblPr>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1E0" w:firstRow="1" w:lastRow="1" w:firstColumn="1" w:lastColumn="1" w:noHBand="0" w:noVBand="0"/>
      </w:tblPr>
      <w:tblGrid>
        <w:gridCol w:w="4844"/>
        <w:gridCol w:w="3373"/>
      </w:tblGrid>
      <w:tr w:rsidR="00FE2FC0" w:rsidRPr="00E80962" w:rsidTr="00FE2FC0">
        <w:trPr>
          <w:trHeight w:val="377"/>
          <w:jc w:val="center"/>
        </w:trPr>
        <w:tc>
          <w:tcPr>
            <w:tcW w:w="4844" w:type="dxa"/>
            <w:shd w:val="clear" w:color="auto" w:fill="6E9ECA"/>
            <w:vAlign w:val="center"/>
          </w:tcPr>
          <w:p w:rsidR="00FE2FC0" w:rsidRPr="00E80962" w:rsidRDefault="00FE2FC0" w:rsidP="00FE2FC0">
            <w:pPr>
              <w:spacing w:after="0"/>
              <w:jc w:val="center"/>
              <w:rPr>
                <w:b/>
                <w:color w:val="FFFFFF" w:themeColor="background1"/>
              </w:rPr>
            </w:pPr>
            <w:r w:rsidRPr="00E80962">
              <w:rPr>
                <w:b/>
                <w:color w:val="FFFFFF" w:themeColor="background1"/>
              </w:rPr>
              <w:t>Abone Grupları</w:t>
            </w:r>
          </w:p>
        </w:tc>
        <w:tc>
          <w:tcPr>
            <w:tcW w:w="3373" w:type="dxa"/>
            <w:shd w:val="clear" w:color="auto" w:fill="6E9ECA"/>
            <w:vAlign w:val="center"/>
          </w:tcPr>
          <w:p w:rsidR="00FE2FC0" w:rsidRPr="00E80962" w:rsidRDefault="00FE2FC0" w:rsidP="00FE2FC0">
            <w:pPr>
              <w:spacing w:after="0"/>
              <w:jc w:val="center"/>
              <w:rPr>
                <w:b/>
                <w:color w:val="FFFFFF" w:themeColor="background1"/>
              </w:rPr>
            </w:pPr>
            <w:r w:rsidRPr="00E80962">
              <w:rPr>
                <w:b/>
                <w:color w:val="FFFFFF" w:themeColor="background1"/>
              </w:rPr>
              <w:t>Güvence Birim Bedeli (TL/kW)</w:t>
            </w:r>
          </w:p>
        </w:tc>
      </w:tr>
      <w:tr w:rsidR="00FE2FC0" w:rsidRPr="00E80962" w:rsidTr="00FE2FC0">
        <w:trPr>
          <w:jc w:val="center"/>
        </w:trPr>
        <w:tc>
          <w:tcPr>
            <w:tcW w:w="4844" w:type="dxa"/>
          </w:tcPr>
          <w:p w:rsidR="00FE2FC0" w:rsidRPr="00E80962" w:rsidRDefault="00FE2FC0" w:rsidP="00FE2FC0">
            <w:pPr>
              <w:spacing w:after="0"/>
              <w:rPr>
                <w:color w:val="000000" w:themeColor="text1"/>
              </w:rPr>
            </w:pPr>
            <w:r w:rsidRPr="00E80962">
              <w:rPr>
                <w:color w:val="000000" w:themeColor="text1"/>
              </w:rPr>
              <w:t xml:space="preserve">Sanayi ve </w:t>
            </w:r>
            <w:r>
              <w:rPr>
                <w:color w:val="000000" w:themeColor="text1"/>
              </w:rPr>
              <w:t>Kamu ve Özel Hizmetler Sektörü ile Diğer</w:t>
            </w:r>
          </w:p>
        </w:tc>
        <w:tc>
          <w:tcPr>
            <w:tcW w:w="3373" w:type="dxa"/>
          </w:tcPr>
          <w:p w:rsidR="00FE2FC0" w:rsidRPr="00E80962" w:rsidRDefault="00FE2FC0" w:rsidP="00FE2FC0">
            <w:pPr>
              <w:spacing w:after="0"/>
              <w:jc w:val="center"/>
              <w:rPr>
                <w:color w:val="000000" w:themeColor="text1"/>
                <w:highlight w:val="yellow"/>
              </w:rPr>
            </w:pPr>
            <w:r>
              <w:rPr>
                <w:color w:val="000000" w:themeColor="text1"/>
              </w:rPr>
              <w:t>239,0</w:t>
            </w:r>
          </w:p>
        </w:tc>
      </w:tr>
      <w:tr w:rsidR="00FE2FC0" w:rsidRPr="00E80962" w:rsidTr="00FE2FC0">
        <w:trPr>
          <w:jc w:val="center"/>
        </w:trPr>
        <w:tc>
          <w:tcPr>
            <w:tcW w:w="4844" w:type="dxa"/>
          </w:tcPr>
          <w:p w:rsidR="00FE2FC0" w:rsidRPr="00E80962" w:rsidRDefault="00FE2FC0" w:rsidP="00FE2FC0">
            <w:pPr>
              <w:spacing w:after="0"/>
              <w:rPr>
                <w:color w:val="000000" w:themeColor="text1"/>
              </w:rPr>
            </w:pPr>
            <w:r w:rsidRPr="00E80962">
              <w:rPr>
                <w:color w:val="000000" w:themeColor="text1"/>
              </w:rPr>
              <w:t>Mesken</w:t>
            </w:r>
          </w:p>
        </w:tc>
        <w:tc>
          <w:tcPr>
            <w:tcW w:w="3373" w:type="dxa"/>
          </w:tcPr>
          <w:p w:rsidR="00FE2FC0" w:rsidRPr="00E80962" w:rsidRDefault="00FE2FC0" w:rsidP="00FE2FC0">
            <w:pPr>
              <w:spacing w:after="0"/>
              <w:jc w:val="center"/>
              <w:rPr>
                <w:color w:val="000000" w:themeColor="text1"/>
              </w:rPr>
            </w:pPr>
            <w:r>
              <w:rPr>
                <w:color w:val="000000" w:themeColor="text1"/>
              </w:rPr>
              <w:t>84,1</w:t>
            </w:r>
          </w:p>
        </w:tc>
      </w:tr>
      <w:tr w:rsidR="00FE2FC0" w:rsidRPr="00E80962" w:rsidTr="00FE2FC0">
        <w:trPr>
          <w:jc w:val="center"/>
        </w:trPr>
        <w:tc>
          <w:tcPr>
            <w:tcW w:w="4844" w:type="dxa"/>
          </w:tcPr>
          <w:p w:rsidR="00FE2FC0" w:rsidRPr="00E80962" w:rsidRDefault="00FE2FC0" w:rsidP="00FE2FC0">
            <w:pPr>
              <w:spacing w:after="0"/>
              <w:rPr>
                <w:color w:val="000000" w:themeColor="text1"/>
              </w:rPr>
            </w:pPr>
            <w:r w:rsidRPr="00E80962">
              <w:rPr>
                <w:color w:val="000000" w:themeColor="text1"/>
              </w:rPr>
              <w:t>Şehit Aileleri ve Muharip Gaziler</w:t>
            </w:r>
          </w:p>
        </w:tc>
        <w:tc>
          <w:tcPr>
            <w:tcW w:w="3373" w:type="dxa"/>
          </w:tcPr>
          <w:p w:rsidR="00FE2FC0" w:rsidRPr="00E80962" w:rsidRDefault="00FE2FC0" w:rsidP="00FE2FC0">
            <w:pPr>
              <w:spacing w:after="0"/>
              <w:jc w:val="center"/>
              <w:rPr>
                <w:color w:val="000000" w:themeColor="text1"/>
              </w:rPr>
            </w:pPr>
            <w:r>
              <w:rPr>
                <w:color w:val="000000" w:themeColor="text1"/>
              </w:rPr>
              <w:t>42,0</w:t>
            </w:r>
          </w:p>
        </w:tc>
      </w:tr>
      <w:tr w:rsidR="00FE2FC0" w:rsidRPr="00E80962" w:rsidTr="00FE2FC0">
        <w:trPr>
          <w:jc w:val="center"/>
        </w:trPr>
        <w:tc>
          <w:tcPr>
            <w:tcW w:w="4844" w:type="dxa"/>
          </w:tcPr>
          <w:p w:rsidR="00FE2FC0" w:rsidRPr="00E80962" w:rsidRDefault="00FE2FC0" w:rsidP="00FE2FC0">
            <w:pPr>
              <w:spacing w:after="0"/>
              <w:rPr>
                <w:color w:val="000000" w:themeColor="text1"/>
              </w:rPr>
            </w:pPr>
            <w:r w:rsidRPr="00E80962">
              <w:rPr>
                <w:color w:val="000000" w:themeColor="text1"/>
              </w:rPr>
              <w:t xml:space="preserve">Tarımsal </w:t>
            </w:r>
            <w:r>
              <w:rPr>
                <w:color w:val="000000" w:themeColor="text1"/>
              </w:rPr>
              <w:t>Faaliyetler</w:t>
            </w:r>
            <w:r w:rsidRPr="00E80962">
              <w:rPr>
                <w:color w:val="000000" w:themeColor="text1"/>
              </w:rPr>
              <w:t>, Aydınlatma ve Diğer</w:t>
            </w:r>
          </w:p>
        </w:tc>
        <w:tc>
          <w:tcPr>
            <w:tcW w:w="3373" w:type="dxa"/>
          </w:tcPr>
          <w:p w:rsidR="00FE2FC0" w:rsidRPr="00E80962" w:rsidRDefault="00FE2FC0" w:rsidP="00FE2FC0">
            <w:pPr>
              <w:spacing w:after="0"/>
              <w:jc w:val="center"/>
              <w:rPr>
                <w:color w:val="000000" w:themeColor="text1"/>
              </w:rPr>
            </w:pPr>
            <w:r>
              <w:rPr>
                <w:color w:val="000000" w:themeColor="text1"/>
              </w:rPr>
              <w:t>113,4</w:t>
            </w:r>
          </w:p>
        </w:tc>
      </w:tr>
    </w:tbl>
    <w:p w:rsidR="00FE2FC0" w:rsidRDefault="00FE2FC0" w:rsidP="00FE2FC0">
      <w:pPr>
        <w:spacing w:after="240"/>
      </w:pPr>
    </w:p>
    <w:p w:rsidR="002C3099" w:rsidRPr="00FA1354" w:rsidRDefault="002C3099" w:rsidP="000A5A56">
      <w:pPr>
        <w:pStyle w:val="Balk4"/>
        <w:numPr>
          <w:ilvl w:val="3"/>
          <w:numId w:val="11"/>
        </w:numPr>
        <w:spacing w:before="0" w:after="240"/>
        <w:rPr>
          <w:rFonts w:asciiTheme="minorHAnsi" w:hAnsiTheme="minorHAnsi"/>
          <w:i w:val="0"/>
          <w:color w:val="000000" w:themeColor="text1"/>
        </w:rPr>
      </w:pPr>
      <w:bookmarkStart w:id="239" w:name="_Toc66267377"/>
      <w:bookmarkStart w:id="240" w:name="_Toc132713806"/>
      <w:bookmarkEnd w:id="238"/>
      <w:r w:rsidRPr="00FA1354">
        <w:rPr>
          <w:rFonts w:asciiTheme="minorHAnsi" w:hAnsiTheme="minorHAnsi"/>
          <w:i w:val="0"/>
          <w:color w:val="000000" w:themeColor="text1"/>
        </w:rPr>
        <w:t>Sayaç Kontrol Bedeli</w:t>
      </w:r>
      <w:bookmarkEnd w:id="239"/>
      <w:bookmarkEnd w:id="240"/>
    </w:p>
    <w:p w:rsidR="002C3099" w:rsidRPr="00DF5344" w:rsidRDefault="00FE2FC0" w:rsidP="002C3099">
      <w:pPr>
        <w:spacing w:after="240"/>
        <w:rPr>
          <w:color w:val="000000" w:themeColor="text1"/>
        </w:rPr>
      </w:pPr>
      <w:r w:rsidRPr="009B1414">
        <w:rPr>
          <w:color w:val="000000" w:themeColor="text1"/>
        </w:rPr>
        <w:t>3</w:t>
      </w:r>
      <w:r>
        <w:rPr>
          <w:color w:val="000000" w:themeColor="text1"/>
        </w:rPr>
        <w:t>0</w:t>
      </w:r>
      <w:r w:rsidRPr="009B1414">
        <w:rPr>
          <w:color w:val="000000" w:themeColor="text1"/>
        </w:rPr>
        <w:t>.12.202</w:t>
      </w:r>
      <w:r>
        <w:rPr>
          <w:color w:val="000000" w:themeColor="text1"/>
        </w:rPr>
        <w:t>2</w:t>
      </w:r>
      <w:r w:rsidRPr="009B1414">
        <w:rPr>
          <w:color w:val="000000" w:themeColor="text1"/>
        </w:rPr>
        <w:t xml:space="preserve"> tarihli ve </w:t>
      </w:r>
      <w:r>
        <w:rPr>
          <w:color w:val="000000" w:themeColor="text1"/>
        </w:rPr>
        <w:t xml:space="preserve">32059 </w:t>
      </w:r>
      <w:r w:rsidRPr="009B1414">
        <w:rPr>
          <w:color w:val="000000" w:themeColor="text1"/>
        </w:rPr>
        <w:t>(</w:t>
      </w:r>
      <w:r>
        <w:rPr>
          <w:color w:val="000000" w:themeColor="text1"/>
        </w:rPr>
        <w:t>2</w:t>
      </w:r>
      <w:r w:rsidRPr="009B1414">
        <w:rPr>
          <w:color w:val="000000" w:themeColor="text1"/>
        </w:rPr>
        <w:t xml:space="preserve">.Mükerrer) sayılı </w:t>
      </w:r>
      <w:r w:rsidRPr="00DF5344">
        <w:rPr>
          <w:color w:val="000000" w:themeColor="text1"/>
        </w:rPr>
        <w:t xml:space="preserve">Resmî </w:t>
      </w:r>
      <w:r w:rsidR="00274939">
        <w:rPr>
          <w:color w:val="000000" w:themeColor="text1"/>
        </w:rPr>
        <w:t>Gazetede</w:t>
      </w:r>
      <w:r w:rsidRPr="00DF5344">
        <w:rPr>
          <w:color w:val="000000" w:themeColor="text1"/>
        </w:rPr>
        <w:t xml:space="preserve"> yayımlanan </w:t>
      </w:r>
      <w:r>
        <w:rPr>
          <w:color w:val="000000" w:themeColor="text1"/>
        </w:rPr>
        <w:t>29</w:t>
      </w:r>
      <w:r w:rsidRPr="00DF5344">
        <w:rPr>
          <w:color w:val="000000" w:themeColor="text1"/>
        </w:rPr>
        <w:t>.12.202</w:t>
      </w:r>
      <w:r>
        <w:rPr>
          <w:color w:val="000000" w:themeColor="text1"/>
        </w:rPr>
        <w:t>2</w:t>
      </w:r>
      <w:r w:rsidRPr="00DF5344">
        <w:rPr>
          <w:color w:val="000000" w:themeColor="text1"/>
        </w:rPr>
        <w:t xml:space="preserve"> tarihli ve </w:t>
      </w:r>
      <w:r>
        <w:rPr>
          <w:color w:val="000000" w:themeColor="text1"/>
        </w:rPr>
        <w:t>11529-3</w:t>
      </w:r>
      <w:r w:rsidRPr="00DF5344">
        <w:rPr>
          <w:color w:val="000000" w:themeColor="text1"/>
        </w:rPr>
        <w:t xml:space="preserve"> sayılı Kurul Kararı ile 01.01.202</w:t>
      </w:r>
      <w:r>
        <w:rPr>
          <w:color w:val="000000" w:themeColor="text1"/>
        </w:rPr>
        <w:t>3</w:t>
      </w:r>
      <w:r w:rsidRPr="00DF5344">
        <w:rPr>
          <w:color w:val="000000" w:themeColor="text1"/>
        </w:rPr>
        <w:t xml:space="preserve"> tarihinden itibaren Tablo 4.1</w:t>
      </w:r>
      <w:r>
        <w:rPr>
          <w:color w:val="000000" w:themeColor="text1"/>
        </w:rPr>
        <w:t>1</w:t>
      </w:r>
      <w:r w:rsidRPr="00DF5344">
        <w:rPr>
          <w:color w:val="000000" w:themeColor="text1"/>
        </w:rPr>
        <w:t>’de yer alan sayaç kontrol bedellerinin uygulanmasına karar verilmiştir.</w:t>
      </w:r>
    </w:p>
    <w:p w:rsidR="00FE2FC0" w:rsidRPr="00E9291A" w:rsidRDefault="00FE2FC0" w:rsidP="00FE2FC0">
      <w:pPr>
        <w:pStyle w:val="Balk5"/>
        <w:jc w:val="center"/>
        <w:rPr>
          <w:rStyle w:val="Gl"/>
          <w:color w:val="000000" w:themeColor="text1"/>
        </w:rPr>
      </w:pPr>
      <w:bookmarkStart w:id="241" w:name="_Toc132713914"/>
      <w:bookmarkStart w:id="242" w:name="_Toc66267478"/>
      <w:r w:rsidRPr="00FA1354">
        <w:rPr>
          <w:rStyle w:val="Gl"/>
          <w:color w:val="000000" w:themeColor="text1"/>
        </w:rPr>
        <w:t>Tablo 4.1</w:t>
      </w:r>
      <w:r>
        <w:rPr>
          <w:rStyle w:val="Gl"/>
          <w:color w:val="000000" w:themeColor="text1"/>
        </w:rPr>
        <w:t>1</w:t>
      </w:r>
      <w:r w:rsidRPr="00FA1354">
        <w:rPr>
          <w:rStyle w:val="Gl"/>
          <w:color w:val="000000" w:themeColor="text1"/>
        </w:rPr>
        <w:t>: Sayaç Kontrol Bedeli</w:t>
      </w:r>
      <w:bookmarkEnd w:id="241"/>
    </w:p>
    <w:tbl>
      <w:tblPr>
        <w:tblW w:w="9438"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6574"/>
        <w:gridCol w:w="2864"/>
      </w:tblGrid>
      <w:tr w:rsidR="00FE2FC0" w:rsidRPr="00E80962" w:rsidTr="00DC783D">
        <w:trPr>
          <w:trHeight w:val="361"/>
          <w:jc w:val="center"/>
        </w:trPr>
        <w:tc>
          <w:tcPr>
            <w:tcW w:w="6574" w:type="dxa"/>
            <w:shd w:val="clear" w:color="auto" w:fill="6E9ECA"/>
            <w:vAlign w:val="center"/>
          </w:tcPr>
          <w:p w:rsidR="00FE2FC0" w:rsidRPr="00E80962" w:rsidRDefault="00FE2FC0" w:rsidP="00FE2FC0">
            <w:pPr>
              <w:tabs>
                <w:tab w:val="left" w:pos="6828"/>
              </w:tabs>
              <w:jc w:val="center"/>
              <w:rPr>
                <w:b/>
                <w:color w:val="FFFFFF" w:themeColor="background1"/>
              </w:rPr>
            </w:pPr>
            <w:r w:rsidRPr="00E80962">
              <w:rPr>
                <w:b/>
                <w:color w:val="FFFFFF" w:themeColor="background1"/>
              </w:rPr>
              <w:t>Sayaç Tipi</w:t>
            </w:r>
          </w:p>
        </w:tc>
        <w:tc>
          <w:tcPr>
            <w:tcW w:w="2864" w:type="dxa"/>
            <w:shd w:val="clear" w:color="auto" w:fill="6E9ECA"/>
            <w:vAlign w:val="center"/>
          </w:tcPr>
          <w:p w:rsidR="00FE2FC0" w:rsidRPr="00E80962" w:rsidRDefault="00FE2FC0" w:rsidP="00FE2FC0">
            <w:pPr>
              <w:tabs>
                <w:tab w:val="left" w:pos="6828"/>
              </w:tabs>
              <w:jc w:val="center"/>
              <w:rPr>
                <w:b/>
                <w:color w:val="FFFFFF" w:themeColor="background1"/>
              </w:rPr>
            </w:pPr>
            <w:r w:rsidRPr="00E80962">
              <w:rPr>
                <w:b/>
                <w:color w:val="FFFFFF" w:themeColor="background1"/>
              </w:rPr>
              <w:t>Sayaç Kontrol Bedeli (TL)</w:t>
            </w:r>
          </w:p>
        </w:tc>
      </w:tr>
      <w:tr w:rsidR="00FE2FC0" w:rsidRPr="00E80962" w:rsidTr="00DC783D">
        <w:trPr>
          <w:trHeight w:val="343"/>
          <w:jc w:val="center"/>
        </w:trPr>
        <w:tc>
          <w:tcPr>
            <w:tcW w:w="6574" w:type="dxa"/>
          </w:tcPr>
          <w:p w:rsidR="00FE2FC0" w:rsidRPr="00E80962" w:rsidRDefault="00FE2FC0" w:rsidP="00DC783D">
            <w:pPr>
              <w:tabs>
                <w:tab w:val="left" w:pos="6828"/>
              </w:tabs>
              <w:spacing w:after="0"/>
            </w:pPr>
            <w:r w:rsidRPr="00E80962">
              <w:t>Direkt bağlı tek fazlı aktif veya üç fazlı aktif ve/veya reaktif sayaçlar</w:t>
            </w:r>
          </w:p>
        </w:tc>
        <w:tc>
          <w:tcPr>
            <w:tcW w:w="2864" w:type="dxa"/>
          </w:tcPr>
          <w:p w:rsidR="00FE2FC0" w:rsidRPr="00E80962" w:rsidRDefault="00FE2FC0" w:rsidP="00DC783D">
            <w:pPr>
              <w:tabs>
                <w:tab w:val="left" w:pos="6828"/>
              </w:tabs>
              <w:spacing w:after="0"/>
              <w:jc w:val="center"/>
            </w:pPr>
            <w:r>
              <w:t>62,1</w:t>
            </w:r>
          </w:p>
        </w:tc>
      </w:tr>
      <w:tr w:rsidR="00FE2FC0" w:rsidRPr="00E80962" w:rsidTr="00DC783D">
        <w:trPr>
          <w:trHeight w:val="361"/>
          <w:jc w:val="center"/>
        </w:trPr>
        <w:tc>
          <w:tcPr>
            <w:tcW w:w="6574" w:type="dxa"/>
          </w:tcPr>
          <w:p w:rsidR="00FE2FC0" w:rsidRPr="00E80962" w:rsidRDefault="00FE2FC0" w:rsidP="00DC783D">
            <w:pPr>
              <w:tabs>
                <w:tab w:val="left" w:pos="6828"/>
              </w:tabs>
              <w:spacing w:after="0"/>
            </w:pPr>
            <w:r w:rsidRPr="00E80962">
              <w:t>Akım trafolu ve/veya gerilim trafolu aktif ve/veya reaktif sayaçlar</w:t>
            </w:r>
          </w:p>
        </w:tc>
        <w:tc>
          <w:tcPr>
            <w:tcW w:w="2864" w:type="dxa"/>
          </w:tcPr>
          <w:p w:rsidR="00FE2FC0" w:rsidRPr="00E80962" w:rsidRDefault="00FE2FC0" w:rsidP="00DC783D">
            <w:pPr>
              <w:tabs>
                <w:tab w:val="left" w:pos="6828"/>
              </w:tabs>
              <w:spacing w:after="0"/>
              <w:jc w:val="center"/>
            </w:pPr>
            <w:r>
              <w:t>78,7</w:t>
            </w:r>
          </w:p>
        </w:tc>
      </w:tr>
    </w:tbl>
    <w:p w:rsidR="00FE2FC0" w:rsidRDefault="00FE2FC0" w:rsidP="00FE2FC0">
      <w:pPr>
        <w:pStyle w:val="AralkYok"/>
      </w:pPr>
    </w:p>
    <w:p w:rsidR="00FE2FC0" w:rsidRPr="00E068BB" w:rsidRDefault="00FE2FC0" w:rsidP="00FE2FC0">
      <w:pPr>
        <w:spacing w:after="240"/>
      </w:pPr>
      <w:r w:rsidRPr="00E068BB">
        <w:t>Bahsi geçen düzenlemelerin yanı sıra;</w:t>
      </w:r>
    </w:p>
    <w:p w:rsidR="002C3099" w:rsidRPr="00CB4161" w:rsidRDefault="00FE2FC0" w:rsidP="002C3099">
      <w:pPr>
        <w:tabs>
          <w:tab w:val="left" w:pos="6828"/>
        </w:tabs>
        <w:spacing w:after="0"/>
        <w:rPr>
          <w:highlight w:val="yellow"/>
        </w:rPr>
      </w:pPr>
      <w:r w:rsidRPr="00E068BB">
        <w:t xml:space="preserve">- </w:t>
      </w:r>
      <w:r>
        <w:t>30</w:t>
      </w:r>
      <w:r w:rsidRPr="00DF5344">
        <w:t>.12.202</w:t>
      </w:r>
      <w:r>
        <w:t>2</w:t>
      </w:r>
      <w:r w:rsidRPr="00DF5344">
        <w:t xml:space="preserve"> tarihli ve </w:t>
      </w:r>
      <w:r>
        <w:t>32059 (2.Mükerrer)</w:t>
      </w:r>
      <w:r w:rsidRPr="00DF5344">
        <w:t xml:space="preserve"> sayılı Resmî </w:t>
      </w:r>
      <w:r w:rsidR="00274939">
        <w:t>Gazetede</w:t>
      </w:r>
      <w:r w:rsidRPr="00DF5344">
        <w:t xml:space="preserve"> yayımlanan </w:t>
      </w:r>
      <w:r>
        <w:t>29</w:t>
      </w:r>
      <w:r w:rsidRPr="00DF5344">
        <w:t>.12.202</w:t>
      </w:r>
      <w:r>
        <w:t>2</w:t>
      </w:r>
      <w:r w:rsidRPr="00DF5344">
        <w:t xml:space="preserve"> tarihli ve </w:t>
      </w:r>
      <w:r>
        <w:t>11529-5</w:t>
      </w:r>
      <w:r w:rsidRPr="00DF5344">
        <w:t xml:space="preserve"> sayılı Kurul Kararı ile ilgili şebeke işletmecisi tarafından Elektrik Piyasasında Lisanssız Elektrik Üretimine İlişkin Yönetmeliğin 36 ncı maddesinin ikinci fıkrası gereğince 202</w:t>
      </w:r>
      <w:r>
        <w:t>3</w:t>
      </w:r>
      <w:r w:rsidRPr="00DF5344">
        <w:t xml:space="preserve"> yılı için tahsil edilebilecek </w:t>
      </w:r>
      <w:r>
        <w:t xml:space="preserve">lisanssız üretim </w:t>
      </w:r>
      <w:r w:rsidRPr="00DF5344">
        <w:t xml:space="preserve">başvuru bedeli </w:t>
      </w:r>
      <w:r>
        <w:t xml:space="preserve">Tablo 4.12’de yer alan </w:t>
      </w:r>
      <w:r w:rsidRPr="00DF5344">
        <w:t>şekilde belirlenmiştir.</w:t>
      </w:r>
      <w:bookmarkEnd w:id="242"/>
    </w:p>
    <w:p w:rsidR="00FE2FC0" w:rsidRPr="00E9291A" w:rsidRDefault="00FE2FC0" w:rsidP="00FE2FC0">
      <w:pPr>
        <w:pStyle w:val="Balk5"/>
        <w:jc w:val="center"/>
        <w:rPr>
          <w:rStyle w:val="Gl"/>
          <w:color w:val="000000" w:themeColor="text1"/>
        </w:rPr>
      </w:pPr>
      <w:bookmarkStart w:id="243" w:name="_Toc132713915"/>
      <w:bookmarkStart w:id="244" w:name="_Toc66267479"/>
      <w:r w:rsidRPr="00FA1354">
        <w:rPr>
          <w:rStyle w:val="Gl"/>
          <w:color w:val="000000" w:themeColor="text1"/>
        </w:rPr>
        <w:t>Tablo 4.1</w:t>
      </w:r>
      <w:r>
        <w:rPr>
          <w:rStyle w:val="Gl"/>
          <w:color w:val="000000" w:themeColor="text1"/>
        </w:rPr>
        <w:t>2</w:t>
      </w:r>
      <w:r w:rsidRPr="00FA1354">
        <w:rPr>
          <w:rStyle w:val="Gl"/>
          <w:color w:val="000000" w:themeColor="text1"/>
        </w:rPr>
        <w:t>: Lisanssız Üretim Başvuru Bedeli (Dağıtım Şirketleri)</w:t>
      </w:r>
      <w:bookmarkEnd w:id="243"/>
    </w:p>
    <w:tbl>
      <w:tblPr>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3789"/>
        <w:gridCol w:w="3724"/>
      </w:tblGrid>
      <w:tr w:rsidR="00FE2FC0" w:rsidRPr="00E80962" w:rsidTr="00FE2FC0">
        <w:trPr>
          <w:jc w:val="center"/>
        </w:trPr>
        <w:tc>
          <w:tcPr>
            <w:tcW w:w="3789" w:type="dxa"/>
            <w:shd w:val="clear" w:color="auto" w:fill="6E9ECA"/>
            <w:vAlign w:val="center"/>
          </w:tcPr>
          <w:p w:rsidR="00FE2FC0" w:rsidRPr="00E80962" w:rsidRDefault="00FE2FC0" w:rsidP="00FE2FC0">
            <w:pPr>
              <w:tabs>
                <w:tab w:val="left" w:pos="6828"/>
              </w:tabs>
              <w:jc w:val="center"/>
              <w:rPr>
                <w:b/>
                <w:color w:val="FFFFFF" w:themeColor="background1"/>
              </w:rPr>
            </w:pPr>
            <w:r w:rsidRPr="00E80962">
              <w:rPr>
                <w:b/>
                <w:color w:val="FFFFFF" w:themeColor="background1"/>
              </w:rPr>
              <w:t>Kurulu Güç</w:t>
            </w:r>
          </w:p>
        </w:tc>
        <w:tc>
          <w:tcPr>
            <w:tcW w:w="3724" w:type="dxa"/>
            <w:shd w:val="clear" w:color="auto" w:fill="6E9ECA"/>
            <w:vAlign w:val="center"/>
          </w:tcPr>
          <w:p w:rsidR="00FE2FC0" w:rsidRPr="00E80962" w:rsidRDefault="00FE2FC0" w:rsidP="00FE2FC0">
            <w:pPr>
              <w:tabs>
                <w:tab w:val="left" w:pos="6828"/>
              </w:tabs>
              <w:jc w:val="center"/>
              <w:rPr>
                <w:b/>
                <w:color w:val="FFFFFF" w:themeColor="background1"/>
              </w:rPr>
            </w:pPr>
            <w:r w:rsidRPr="00E80962">
              <w:rPr>
                <w:b/>
                <w:color w:val="FFFFFF" w:themeColor="background1"/>
              </w:rPr>
              <w:t>Başvuru Bedeli (TL</w:t>
            </w:r>
            <w:r>
              <w:rPr>
                <w:b/>
                <w:color w:val="FFFFFF" w:themeColor="background1"/>
              </w:rPr>
              <w:t>/Yıl</w:t>
            </w:r>
            <w:r w:rsidRPr="00E80962">
              <w:rPr>
                <w:b/>
                <w:color w:val="FFFFFF" w:themeColor="background1"/>
              </w:rPr>
              <w:t>)</w:t>
            </w:r>
          </w:p>
        </w:tc>
      </w:tr>
      <w:tr w:rsidR="00FE2FC0" w:rsidRPr="00E80962" w:rsidTr="00FE2FC0">
        <w:trPr>
          <w:jc w:val="center"/>
        </w:trPr>
        <w:tc>
          <w:tcPr>
            <w:tcW w:w="3789" w:type="dxa"/>
          </w:tcPr>
          <w:p w:rsidR="00FE2FC0" w:rsidRPr="00E80962" w:rsidRDefault="00FE2FC0" w:rsidP="00DC783D">
            <w:pPr>
              <w:tabs>
                <w:tab w:val="left" w:pos="6828"/>
              </w:tabs>
              <w:spacing w:after="0"/>
            </w:pPr>
            <w:r w:rsidRPr="00E80962">
              <w:t xml:space="preserve">0-25 kW (dâhil) </w:t>
            </w:r>
          </w:p>
        </w:tc>
        <w:tc>
          <w:tcPr>
            <w:tcW w:w="3724" w:type="dxa"/>
          </w:tcPr>
          <w:p w:rsidR="00FE2FC0" w:rsidRPr="00E80962" w:rsidRDefault="00FE2FC0" w:rsidP="00DC783D">
            <w:pPr>
              <w:tabs>
                <w:tab w:val="left" w:pos="6828"/>
              </w:tabs>
              <w:spacing w:after="0"/>
              <w:jc w:val="right"/>
            </w:pPr>
            <w:r w:rsidRPr="00E80962">
              <w:t>0</w:t>
            </w:r>
          </w:p>
        </w:tc>
      </w:tr>
      <w:tr w:rsidR="00FE2FC0" w:rsidRPr="00E80962" w:rsidTr="00FE2FC0">
        <w:trPr>
          <w:jc w:val="center"/>
        </w:trPr>
        <w:tc>
          <w:tcPr>
            <w:tcW w:w="3789" w:type="dxa"/>
          </w:tcPr>
          <w:p w:rsidR="00FE2FC0" w:rsidRPr="00E80962" w:rsidRDefault="00FE2FC0" w:rsidP="00DC783D">
            <w:pPr>
              <w:tabs>
                <w:tab w:val="left" w:pos="6828"/>
              </w:tabs>
              <w:spacing w:after="0"/>
            </w:pPr>
            <w:r w:rsidRPr="00E80962">
              <w:t>25</w:t>
            </w:r>
            <w:r>
              <w:t>-250</w:t>
            </w:r>
            <w:r w:rsidRPr="00E80962">
              <w:t xml:space="preserve"> kW (dâhil) </w:t>
            </w:r>
          </w:p>
        </w:tc>
        <w:tc>
          <w:tcPr>
            <w:tcW w:w="3724" w:type="dxa"/>
          </w:tcPr>
          <w:p w:rsidR="00FE2FC0" w:rsidRPr="00E80962" w:rsidRDefault="00FE2FC0" w:rsidP="00DC783D">
            <w:pPr>
              <w:tabs>
                <w:tab w:val="left" w:pos="6828"/>
              </w:tabs>
              <w:spacing w:after="0"/>
              <w:jc w:val="right"/>
            </w:pPr>
            <w:r>
              <w:t>1059,7</w:t>
            </w:r>
          </w:p>
        </w:tc>
      </w:tr>
      <w:tr w:rsidR="00FE2FC0" w:rsidRPr="00E80962" w:rsidTr="00FE2FC0">
        <w:trPr>
          <w:jc w:val="center"/>
        </w:trPr>
        <w:tc>
          <w:tcPr>
            <w:tcW w:w="3789" w:type="dxa"/>
          </w:tcPr>
          <w:p w:rsidR="00FE2FC0" w:rsidRPr="00E80962" w:rsidRDefault="00FE2FC0" w:rsidP="00DC783D">
            <w:pPr>
              <w:tabs>
                <w:tab w:val="left" w:pos="6828"/>
              </w:tabs>
              <w:spacing w:after="0"/>
            </w:pPr>
            <w:r>
              <w:t>250 kW-5MW</w:t>
            </w:r>
            <w:r w:rsidRPr="00E80962">
              <w:t xml:space="preserve"> (dâhil) </w:t>
            </w:r>
          </w:p>
        </w:tc>
        <w:tc>
          <w:tcPr>
            <w:tcW w:w="3724" w:type="dxa"/>
          </w:tcPr>
          <w:p w:rsidR="00FE2FC0" w:rsidRPr="00E80962" w:rsidRDefault="00FE2FC0" w:rsidP="00DC783D">
            <w:pPr>
              <w:tabs>
                <w:tab w:val="left" w:pos="6828"/>
              </w:tabs>
              <w:spacing w:after="0"/>
              <w:jc w:val="right"/>
            </w:pPr>
            <w:r>
              <w:t>2119,4</w:t>
            </w:r>
          </w:p>
        </w:tc>
      </w:tr>
      <w:tr w:rsidR="00FE2FC0" w:rsidRPr="00E80962" w:rsidTr="00FE2FC0">
        <w:trPr>
          <w:jc w:val="center"/>
        </w:trPr>
        <w:tc>
          <w:tcPr>
            <w:tcW w:w="3789" w:type="dxa"/>
          </w:tcPr>
          <w:p w:rsidR="00FE2FC0" w:rsidRPr="00E80962" w:rsidRDefault="00FE2FC0" w:rsidP="00DC783D">
            <w:pPr>
              <w:tabs>
                <w:tab w:val="left" w:pos="6828"/>
              </w:tabs>
              <w:spacing w:after="0"/>
            </w:pPr>
            <w:r>
              <w:t xml:space="preserve">5 MW </w:t>
            </w:r>
            <w:r w:rsidRPr="00E80962">
              <w:t>üzeri</w:t>
            </w:r>
          </w:p>
        </w:tc>
        <w:tc>
          <w:tcPr>
            <w:tcW w:w="3724" w:type="dxa"/>
          </w:tcPr>
          <w:p w:rsidR="00FE2FC0" w:rsidRPr="00E80962" w:rsidRDefault="00FE2FC0" w:rsidP="00DC783D">
            <w:pPr>
              <w:tabs>
                <w:tab w:val="left" w:pos="6828"/>
              </w:tabs>
              <w:spacing w:after="0"/>
              <w:jc w:val="right"/>
            </w:pPr>
            <w:r>
              <w:t>4238,7</w:t>
            </w:r>
          </w:p>
        </w:tc>
      </w:tr>
    </w:tbl>
    <w:p w:rsidR="00FE2FC0" w:rsidRPr="00E9291A" w:rsidRDefault="00FE2FC0" w:rsidP="00FE2FC0">
      <w:pPr>
        <w:tabs>
          <w:tab w:val="left" w:pos="6828"/>
        </w:tabs>
        <w:spacing w:after="0"/>
      </w:pPr>
    </w:p>
    <w:p w:rsidR="00FE2FC0" w:rsidRPr="00DF5344" w:rsidRDefault="00FE2FC0" w:rsidP="00FE2FC0">
      <w:pPr>
        <w:spacing w:after="0"/>
      </w:pPr>
      <w:r w:rsidRPr="00E068BB">
        <w:lastRenderedPageBreak/>
        <w:t xml:space="preserve">- </w:t>
      </w:r>
      <w:r>
        <w:t>30</w:t>
      </w:r>
      <w:r w:rsidRPr="00DF5344">
        <w:t>.12.202</w:t>
      </w:r>
      <w:r>
        <w:t>2</w:t>
      </w:r>
      <w:r w:rsidRPr="00DF5344">
        <w:t xml:space="preserve"> tarihli ve </w:t>
      </w:r>
      <w:r>
        <w:t xml:space="preserve">32059 </w:t>
      </w:r>
      <w:r w:rsidRPr="009B1414">
        <w:t>(</w:t>
      </w:r>
      <w:r>
        <w:t>2</w:t>
      </w:r>
      <w:r w:rsidRPr="009B1414">
        <w:t xml:space="preserve">.Mükerrer) </w:t>
      </w:r>
      <w:r w:rsidRPr="00DF5344">
        <w:t xml:space="preserve">sayılı Resmî </w:t>
      </w:r>
      <w:r w:rsidR="00274939">
        <w:t>Gazetede</w:t>
      </w:r>
      <w:r w:rsidRPr="00DF5344">
        <w:t xml:space="preserve"> yayımlanan </w:t>
      </w:r>
      <w:r>
        <w:t>29</w:t>
      </w:r>
      <w:r w:rsidRPr="00DF5344">
        <w:t>.12.202</w:t>
      </w:r>
      <w:r>
        <w:t>2</w:t>
      </w:r>
      <w:r w:rsidRPr="00DF5344">
        <w:t xml:space="preserve"> tarihli ve </w:t>
      </w:r>
      <w:r>
        <w:t>11529-6</w:t>
      </w:r>
      <w:r w:rsidRPr="00DF5344">
        <w:t xml:space="preserve"> sayılı Kurul Kararı ile görevli tedarik şirketlerinin Elektrik Piyasasında Lisanssız Elektrik Üretimine İlişkin Yönetmeliğin 36 ncı maddesinin ikinci fıkrası gereğince 202</w:t>
      </w:r>
      <w:r>
        <w:t>3</w:t>
      </w:r>
      <w:r w:rsidRPr="00DF5344">
        <w:t xml:space="preserve"> yılı için tahsil edebileceği yıllık </w:t>
      </w:r>
      <w:r>
        <w:t xml:space="preserve">lisanssız üretim </w:t>
      </w:r>
      <w:r w:rsidRPr="00DF5344">
        <w:t xml:space="preserve">işletim bedeli </w:t>
      </w:r>
      <w:r>
        <w:t>Tablo 4.13’teki</w:t>
      </w:r>
      <w:r w:rsidRPr="00DF5344">
        <w:t xml:space="preserve"> gibi belirlenmiştir.</w:t>
      </w:r>
    </w:p>
    <w:p w:rsidR="00FE2FC0" w:rsidRPr="00E9291A" w:rsidRDefault="00FE2FC0" w:rsidP="00FE2FC0">
      <w:pPr>
        <w:pStyle w:val="Balk5"/>
        <w:jc w:val="center"/>
      </w:pPr>
      <w:bookmarkStart w:id="245" w:name="_Toc132713916"/>
      <w:r w:rsidRPr="00FA1354">
        <w:rPr>
          <w:rStyle w:val="Gl"/>
          <w:color w:val="000000" w:themeColor="text1"/>
        </w:rPr>
        <w:t>Tablo 4.1</w:t>
      </w:r>
      <w:r>
        <w:rPr>
          <w:rStyle w:val="Gl"/>
          <w:color w:val="000000" w:themeColor="text1"/>
        </w:rPr>
        <w:t>3</w:t>
      </w:r>
      <w:r w:rsidRPr="00FA1354">
        <w:rPr>
          <w:rStyle w:val="Gl"/>
          <w:color w:val="000000" w:themeColor="text1"/>
        </w:rPr>
        <w:t>: Lisanssız Üretim İşletim Bedeli (Görevli Tedarik Şirketleri)</w:t>
      </w:r>
      <w:bookmarkEnd w:id="245"/>
    </w:p>
    <w:tbl>
      <w:tblPr>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3789"/>
        <w:gridCol w:w="3724"/>
      </w:tblGrid>
      <w:tr w:rsidR="00FE2FC0" w:rsidRPr="00E80962" w:rsidTr="00FE2FC0">
        <w:trPr>
          <w:jc w:val="center"/>
        </w:trPr>
        <w:tc>
          <w:tcPr>
            <w:tcW w:w="3789" w:type="dxa"/>
            <w:shd w:val="clear" w:color="auto" w:fill="6E9ECA"/>
            <w:vAlign w:val="center"/>
          </w:tcPr>
          <w:p w:rsidR="00FE2FC0" w:rsidRPr="00E80962" w:rsidRDefault="00FE2FC0" w:rsidP="00FE2FC0">
            <w:pPr>
              <w:tabs>
                <w:tab w:val="left" w:pos="6828"/>
              </w:tabs>
              <w:jc w:val="center"/>
              <w:rPr>
                <w:b/>
                <w:color w:val="FFFFFF" w:themeColor="background1"/>
              </w:rPr>
            </w:pPr>
            <w:r w:rsidRPr="00E80962">
              <w:rPr>
                <w:b/>
                <w:color w:val="FFFFFF" w:themeColor="background1"/>
              </w:rPr>
              <w:t>Kurulu Güç</w:t>
            </w:r>
          </w:p>
        </w:tc>
        <w:tc>
          <w:tcPr>
            <w:tcW w:w="3724" w:type="dxa"/>
            <w:shd w:val="clear" w:color="auto" w:fill="6E9ECA"/>
            <w:vAlign w:val="center"/>
          </w:tcPr>
          <w:p w:rsidR="00FE2FC0" w:rsidRPr="00E80962" w:rsidRDefault="00FE2FC0" w:rsidP="00FE2FC0">
            <w:pPr>
              <w:tabs>
                <w:tab w:val="left" w:pos="6828"/>
              </w:tabs>
              <w:jc w:val="center"/>
              <w:rPr>
                <w:b/>
                <w:color w:val="FFFFFF" w:themeColor="background1"/>
              </w:rPr>
            </w:pPr>
            <w:r w:rsidRPr="00E80962">
              <w:rPr>
                <w:b/>
                <w:color w:val="FFFFFF" w:themeColor="background1"/>
              </w:rPr>
              <w:t>İşletim Bedeli (TL/</w:t>
            </w:r>
            <w:r>
              <w:rPr>
                <w:b/>
                <w:color w:val="FFFFFF" w:themeColor="background1"/>
              </w:rPr>
              <w:t>Y</w:t>
            </w:r>
            <w:r w:rsidRPr="00E80962">
              <w:rPr>
                <w:b/>
                <w:color w:val="FFFFFF" w:themeColor="background1"/>
              </w:rPr>
              <w:t>ıl)</w:t>
            </w:r>
          </w:p>
        </w:tc>
      </w:tr>
      <w:tr w:rsidR="00FE2FC0" w:rsidRPr="00E80962" w:rsidTr="00FE2FC0">
        <w:trPr>
          <w:jc w:val="center"/>
        </w:trPr>
        <w:tc>
          <w:tcPr>
            <w:tcW w:w="3789" w:type="dxa"/>
          </w:tcPr>
          <w:p w:rsidR="00FE2FC0" w:rsidRPr="00E80962" w:rsidRDefault="00FE2FC0" w:rsidP="00FE2FC0">
            <w:pPr>
              <w:tabs>
                <w:tab w:val="left" w:pos="6828"/>
              </w:tabs>
            </w:pPr>
            <w:r w:rsidRPr="007C0C8B">
              <w:t>0-25 kW (dâhil)</w:t>
            </w:r>
          </w:p>
        </w:tc>
        <w:tc>
          <w:tcPr>
            <w:tcW w:w="3724" w:type="dxa"/>
          </w:tcPr>
          <w:p w:rsidR="00FE2FC0" w:rsidRPr="00E80962" w:rsidRDefault="00FE2FC0" w:rsidP="00FE2FC0">
            <w:pPr>
              <w:tabs>
                <w:tab w:val="left" w:pos="6828"/>
              </w:tabs>
              <w:jc w:val="right"/>
            </w:pPr>
            <w:r w:rsidRPr="00E80962">
              <w:t>0</w:t>
            </w:r>
          </w:p>
        </w:tc>
      </w:tr>
      <w:tr w:rsidR="00FE2FC0" w:rsidRPr="00E80962" w:rsidTr="00FE2FC0">
        <w:trPr>
          <w:jc w:val="center"/>
        </w:trPr>
        <w:tc>
          <w:tcPr>
            <w:tcW w:w="3789" w:type="dxa"/>
          </w:tcPr>
          <w:p w:rsidR="00FE2FC0" w:rsidRPr="00E80962" w:rsidRDefault="00FE2FC0" w:rsidP="00FE2FC0">
            <w:pPr>
              <w:tabs>
                <w:tab w:val="left" w:pos="6828"/>
              </w:tabs>
            </w:pPr>
            <w:r w:rsidRPr="007C0C8B">
              <w:t>25-</w:t>
            </w:r>
            <w:r w:rsidRPr="00E80962">
              <w:t xml:space="preserve">250 kW </w:t>
            </w:r>
            <w:r w:rsidRPr="007C0C8B">
              <w:t>(dâhil)</w:t>
            </w:r>
          </w:p>
        </w:tc>
        <w:tc>
          <w:tcPr>
            <w:tcW w:w="3724" w:type="dxa"/>
          </w:tcPr>
          <w:p w:rsidR="00FE2FC0" w:rsidRPr="00E80962" w:rsidRDefault="00FE2FC0" w:rsidP="00FE2FC0">
            <w:pPr>
              <w:tabs>
                <w:tab w:val="left" w:pos="6828"/>
              </w:tabs>
              <w:jc w:val="right"/>
            </w:pPr>
            <w:r w:rsidRPr="00E80962">
              <w:t>2.</w:t>
            </w:r>
            <w:r>
              <w:t>119</w:t>
            </w:r>
            <w:r w:rsidRPr="00E80962">
              <w:t>,</w:t>
            </w:r>
            <w:r>
              <w:t>4</w:t>
            </w:r>
          </w:p>
        </w:tc>
      </w:tr>
      <w:tr w:rsidR="00FE2FC0" w:rsidRPr="00E80962" w:rsidTr="00FE2FC0">
        <w:trPr>
          <w:jc w:val="center"/>
        </w:trPr>
        <w:tc>
          <w:tcPr>
            <w:tcW w:w="3789" w:type="dxa"/>
          </w:tcPr>
          <w:p w:rsidR="00FE2FC0" w:rsidRPr="007C0C8B" w:rsidRDefault="00FE2FC0" w:rsidP="00FE2FC0">
            <w:pPr>
              <w:tabs>
                <w:tab w:val="left" w:pos="6828"/>
              </w:tabs>
            </w:pPr>
            <w:r w:rsidRPr="000D35F9">
              <w:rPr>
                <w:rFonts w:cstheme="minorHAnsi"/>
              </w:rPr>
              <w:t>250 kW-5 MW (dahil)</w:t>
            </w:r>
          </w:p>
        </w:tc>
        <w:tc>
          <w:tcPr>
            <w:tcW w:w="3724" w:type="dxa"/>
          </w:tcPr>
          <w:p w:rsidR="00FE2FC0" w:rsidRPr="00E80962" w:rsidRDefault="00FE2FC0" w:rsidP="00FE2FC0">
            <w:pPr>
              <w:tabs>
                <w:tab w:val="left" w:pos="6828"/>
              </w:tabs>
              <w:jc w:val="right"/>
            </w:pPr>
            <w:r>
              <w:t>4238,7</w:t>
            </w:r>
          </w:p>
        </w:tc>
      </w:tr>
      <w:tr w:rsidR="00FE2FC0" w:rsidRPr="00E80962" w:rsidTr="00FE2FC0">
        <w:trPr>
          <w:jc w:val="center"/>
        </w:trPr>
        <w:tc>
          <w:tcPr>
            <w:tcW w:w="3789" w:type="dxa"/>
          </w:tcPr>
          <w:p w:rsidR="00FE2FC0" w:rsidRPr="007C0C8B" w:rsidRDefault="00FE2FC0" w:rsidP="00FE2FC0">
            <w:pPr>
              <w:tabs>
                <w:tab w:val="left" w:pos="6828"/>
              </w:tabs>
            </w:pPr>
            <w:r w:rsidRPr="000D35F9">
              <w:rPr>
                <w:rFonts w:cstheme="minorHAnsi"/>
              </w:rPr>
              <w:t xml:space="preserve">5 MW üzeri </w:t>
            </w:r>
          </w:p>
        </w:tc>
        <w:tc>
          <w:tcPr>
            <w:tcW w:w="3724" w:type="dxa"/>
          </w:tcPr>
          <w:p w:rsidR="00FE2FC0" w:rsidRPr="00E80962" w:rsidRDefault="00FE2FC0" w:rsidP="00FE2FC0">
            <w:pPr>
              <w:tabs>
                <w:tab w:val="left" w:pos="6828"/>
              </w:tabs>
              <w:jc w:val="right"/>
            </w:pPr>
            <w:r>
              <w:t>8477,3</w:t>
            </w:r>
          </w:p>
        </w:tc>
      </w:tr>
    </w:tbl>
    <w:p w:rsidR="00FE2FC0" w:rsidRDefault="00FE2FC0" w:rsidP="00FE2FC0">
      <w:pPr>
        <w:spacing w:after="0"/>
      </w:pPr>
    </w:p>
    <w:p w:rsidR="00FE2FC0" w:rsidRPr="00D3422D" w:rsidRDefault="00FE2FC0" w:rsidP="00FE2FC0">
      <w:pPr>
        <w:spacing w:after="0"/>
        <w:rPr>
          <w:rStyle w:val="Gl"/>
          <w:b w:val="0"/>
          <w:bCs w:val="0"/>
        </w:rPr>
      </w:pPr>
      <w:r w:rsidRPr="00E068BB">
        <w:t xml:space="preserve">- </w:t>
      </w:r>
      <w:r w:rsidRPr="009B1414">
        <w:t>3</w:t>
      </w:r>
      <w:r>
        <w:t>0</w:t>
      </w:r>
      <w:r w:rsidRPr="009B1414">
        <w:t>.12.202</w:t>
      </w:r>
      <w:r>
        <w:t>2</w:t>
      </w:r>
      <w:r w:rsidRPr="009B1414">
        <w:t xml:space="preserve"> tarihli ve </w:t>
      </w:r>
      <w:r>
        <w:t xml:space="preserve">32059 </w:t>
      </w:r>
      <w:r w:rsidRPr="009B1414">
        <w:t>(</w:t>
      </w:r>
      <w:r>
        <w:t>2</w:t>
      </w:r>
      <w:r w:rsidRPr="009B1414">
        <w:t xml:space="preserve">.Mükerrer) sayılı </w:t>
      </w:r>
      <w:r w:rsidRPr="00DF5344">
        <w:t xml:space="preserve">Resmî </w:t>
      </w:r>
      <w:r w:rsidR="00274939">
        <w:t>Gazetede</w:t>
      </w:r>
      <w:r w:rsidRPr="00DF5344">
        <w:t xml:space="preserve"> yayımlanan </w:t>
      </w:r>
      <w:r>
        <w:t>29</w:t>
      </w:r>
      <w:r w:rsidRPr="00DF5344">
        <w:t>.12.202</w:t>
      </w:r>
      <w:r>
        <w:t>2</w:t>
      </w:r>
      <w:r w:rsidRPr="00DF5344">
        <w:t xml:space="preserve"> tarihli ve </w:t>
      </w:r>
      <w:r>
        <w:t>11529-7</w:t>
      </w:r>
      <w:r w:rsidRPr="00DF5344">
        <w:t xml:space="preserve"> sayılı Kurul Kararı ile elektrik dağıtım şirketlerinin Elektrik Piyasasında Lisanssız Elektrik Üretimine İlişkin Yönetmeliğin 36 ncı maddesinin ikinci fıkrası gereğince 202</w:t>
      </w:r>
      <w:r>
        <w:t>3</w:t>
      </w:r>
      <w:r w:rsidRPr="00DF5344">
        <w:t xml:space="preserve"> yılı için tahsil edebileceği yıllık </w:t>
      </w:r>
      <w:r>
        <w:t xml:space="preserve">lisanssız üretim </w:t>
      </w:r>
      <w:r w:rsidRPr="00DF5344">
        <w:t xml:space="preserve">işletim bedeli </w:t>
      </w:r>
      <w:r>
        <w:t>Tablo 4.14’deki</w:t>
      </w:r>
      <w:r w:rsidRPr="00DF5344">
        <w:t xml:space="preserve"> gibi belirlenmiştir.</w:t>
      </w:r>
    </w:p>
    <w:p w:rsidR="00FE2FC0" w:rsidRPr="00E9291A" w:rsidRDefault="00FE2FC0" w:rsidP="00FE2FC0">
      <w:pPr>
        <w:pStyle w:val="Balk5"/>
        <w:jc w:val="center"/>
      </w:pPr>
      <w:bookmarkStart w:id="246" w:name="_Toc132713917"/>
      <w:r w:rsidRPr="00FA1354">
        <w:rPr>
          <w:rStyle w:val="Gl"/>
          <w:color w:val="000000" w:themeColor="text1"/>
        </w:rPr>
        <w:t>Tablo 4.1</w:t>
      </w:r>
      <w:r>
        <w:rPr>
          <w:rStyle w:val="Gl"/>
          <w:color w:val="000000" w:themeColor="text1"/>
        </w:rPr>
        <w:t>4</w:t>
      </w:r>
      <w:r w:rsidRPr="00FA1354">
        <w:rPr>
          <w:rStyle w:val="Gl"/>
          <w:color w:val="000000" w:themeColor="text1"/>
        </w:rPr>
        <w:t>: Lisanssız Üretim İşletim Bedeli (Elektrik Dağıtım Şirketleri)</w:t>
      </w:r>
      <w:bookmarkEnd w:id="246"/>
    </w:p>
    <w:tbl>
      <w:tblPr>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3789"/>
        <w:gridCol w:w="3724"/>
      </w:tblGrid>
      <w:tr w:rsidR="00FE2FC0" w:rsidRPr="00E80962" w:rsidTr="00FE2FC0">
        <w:trPr>
          <w:jc w:val="center"/>
        </w:trPr>
        <w:tc>
          <w:tcPr>
            <w:tcW w:w="3789" w:type="dxa"/>
            <w:shd w:val="clear" w:color="auto" w:fill="6E9ECA"/>
            <w:vAlign w:val="center"/>
          </w:tcPr>
          <w:p w:rsidR="00FE2FC0" w:rsidRPr="00E80962" w:rsidRDefault="00FE2FC0" w:rsidP="00FE2FC0">
            <w:pPr>
              <w:tabs>
                <w:tab w:val="left" w:pos="6828"/>
              </w:tabs>
              <w:jc w:val="center"/>
              <w:rPr>
                <w:b/>
                <w:color w:val="FFFFFF" w:themeColor="background1"/>
              </w:rPr>
            </w:pPr>
            <w:r w:rsidRPr="00E80962">
              <w:rPr>
                <w:b/>
                <w:color w:val="FFFFFF" w:themeColor="background1"/>
              </w:rPr>
              <w:t>Kurulu Güç</w:t>
            </w:r>
          </w:p>
        </w:tc>
        <w:tc>
          <w:tcPr>
            <w:tcW w:w="3724" w:type="dxa"/>
            <w:shd w:val="clear" w:color="auto" w:fill="6E9ECA"/>
            <w:vAlign w:val="center"/>
          </w:tcPr>
          <w:p w:rsidR="00FE2FC0" w:rsidRPr="00E80962" w:rsidRDefault="00FE2FC0" w:rsidP="00FE2FC0">
            <w:pPr>
              <w:tabs>
                <w:tab w:val="left" w:pos="6828"/>
              </w:tabs>
              <w:jc w:val="center"/>
              <w:rPr>
                <w:b/>
                <w:color w:val="FFFFFF" w:themeColor="background1"/>
              </w:rPr>
            </w:pPr>
            <w:r w:rsidRPr="00E80962">
              <w:rPr>
                <w:b/>
                <w:color w:val="FFFFFF" w:themeColor="background1"/>
              </w:rPr>
              <w:t>İşletim Bedeli (TL/yıl)</w:t>
            </w:r>
          </w:p>
        </w:tc>
      </w:tr>
      <w:tr w:rsidR="00FE2FC0" w:rsidRPr="00E80962" w:rsidTr="00FE2FC0">
        <w:trPr>
          <w:jc w:val="center"/>
        </w:trPr>
        <w:tc>
          <w:tcPr>
            <w:tcW w:w="3789" w:type="dxa"/>
          </w:tcPr>
          <w:p w:rsidR="00FE2FC0" w:rsidRPr="00E80962" w:rsidRDefault="00FE2FC0" w:rsidP="00FE2FC0">
            <w:pPr>
              <w:tabs>
                <w:tab w:val="left" w:pos="6828"/>
              </w:tabs>
            </w:pPr>
            <w:r w:rsidRPr="000D35F9">
              <w:rPr>
                <w:rFonts w:cstheme="minorHAnsi"/>
              </w:rPr>
              <w:t>0-25 kW (dâhil)</w:t>
            </w:r>
          </w:p>
        </w:tc>
        <w:tc>
          <w:tcPr>
            <w:tcW w:w="3724" w:type="dxa"/>
          </w:tcPr>
          <w:p w:rsidR="00FE2FC0" w:rsidRPr="00E80962" w:rsidRDefault="00FE2FC0" w:rsidP="00FE2FC0">
            <w:pPr>
              <w:tabs>
                <w:tab w:val="left" w:pos="6828"/>
              </w:tabs>
              <w:jc w:val="right"/>
            </w:pPr>
            <w:r w:rsidRPr="00E80962">
              <w:t>0</w:t>
            </w:r>
          </w:p>
        </w:tc>
      </w:tr>
      <w:tr w:rsidR="00FE2FC0" w:rsidRPr="00E80962" w:rsidTr="00FE2FC0">
        <w:trPr>
          <w:jc w:val="center"/>
        </w:trPr>
        <w:tc>
          <w:tcPr>
            <w:tcW w:w="3789" w:type="dxa"/>
          </w:tcPr>
          <w:p w:rsidR="00FE2FC0" w:rsidRPr="00E80962" w:rsidRDefault="00FE2FC0" w:rsidP="00FE2FC0">
            <w:pPr>
              <w:tabs>
                <w:tab w:val="left" w:pos="6828"/>
              </w:tabs>
            </w:pPr>
            <w:r w:rsidRPr="000D35F9">
              <w:rPr>
                <w:rFonts w:cstheme="minorHAnsi"/>
              </w:rPr>
              <w:t xml:space="preserve">25-250 kW (dâhil) </w:t>
            </w:r>
          </w:p>
        </w:tc>
        <w:tc>
          <w:tcPr>
            <w:tcW w:w="3724" w:type="dxa"/>
          </w:tcPr>
          <w:p w:rsidR="00FE2FC0" w:rsidRPr="00E80962" w:rsidRDefault="00FE2FC0" w:rsidP="00FE2FC0">
            <w:pPr>
              <w:tabs>
                <w:tab w:val="left" w:pos="6828"/>
              </w:tabs>
              <w:jc w:val="right"/>
            </w:pPr>
            <w:r>
              <w:t>2963,3</w:t>
            </w:r>
          </w:p>
        </w:tc>
      </w:tr>
      <w:tr w:rsidR="00FE2FC0" w:rsidRPr="00E80962" w:rsidTr="00FE2FC0">
        <w:trPr>
          <w:jc w:val="center"/>
        </w:trPr>
        <w:tc>
          <w:tcPr>
            <w:tcW w:w="3789" w:type="dxa"/>
          </w:tcPr>
          <w:p w:rsidR="00FE2FC0" w:rsidRPr="00E80962" w:rsidRDefault="00FE2FC0" w:rsidP="00FE2FC0">
            <w:pPr>
              <w:tabs>
                <w:tab w:val="left" w:pos="6828"/>
              </w:tabs>
            </w:pPr>
            <w:r w:rsidRPr="000D35F9">
              <w:rPr>
                <w:rFonts w:cstheme="minorHAnsi"/>
              </w:rPr>
              <w:t>250 kW-5 MW (dahil)</w:t>
            </w:r>
          </w:p>
        </w:tc>
        <w:tc>
          <w:tcPr>
            <w:tcW w:w="3724" w:type="dxa"/>
          </w:tcPr>
          <w:p w:rsidR="00FE2FC0" w:rsidRPr="00E80962" w:rsidRDefault="00FE2FC0" w:rsidP="00FE2FC0">
            <w:pPr>
              <w:tabs>
                <w:tab w:val="left" w:pos="6828"/>
              </w:tabs>
              <w:jc w:val="right"/>
            </w:pPr>
            <w:r>
              <w:t>5926,5</w:t>
            </w:r>
          </w:p>
        </w:tc>
      </w:tr>
      <w:tr w:rsidR="00FE2FC0" w:rsidRPr="00E80962" w:rsidTr="00FE2FC0">
        <w:trPr>
          <w:jc w:val="center"/>
        </w:trPr>
        <w:tc>
          <w:tcPr>
            <w:tcW w:w="3789" w:type="dxa"/>
          </w:tcPr>
          <w:p w:rsidR="00FE2FC0" w:rsidRPr="000D35F9" w:rsidRDefault="00FE2FC0" w:rsidP="00FE2FC0">
            <w:pPr>
              <w:tabs>
                <w:tab w:val="left" w:pos="6828"/>
              </w:tabs>
              <w:rPr>
                <w:rFonts w:cstheme="minorHAnsi"/>
              </w:rPr>
            </w:pPr>
            <w:r w:rsidRPr="000D35F9">
              <w:rPr>
                <w:rFonts w:cstheme="minorHAnsi"/>
              </w:rPr>
              <w:t xml:space="preserve">5 MW üzeri </w:t>
            </w:r>
          </w:p>
        </w:tc>
        <w:tc>
          <w:tcPr>
            <w:tcW w:w="3724" w:type="dxa"/>
          </w:tcPr>
          <w:p w:rsidR="00FE2FC0" w:rsidRPr="00E80962" w:rsidRDefault="00FE2FC0" w:rsidP="00FE2FC0">
            <w:pPr>
              <w:tabs>
                <w:tab w:val="left" w:pos="6828"/>
              </w:tabs>
              <w:jc w:val="right"/>
            </w:pPr>
            <w:r>
              <w:t>11852,8</w:t>
            </w:r>
          </w:p>
        </w:tc>
      </w:tr>
    </w:tbl>
    <w:p w:rsidR="0017770B" w:rsidRDefault="0017770B" w:rsidP="0017770B">
      <w:pPr>
        <w:pStyle w:val="Balk3"/>
        <w:spacing w:before="0"/>
        <w:ind w:left="720"/>
        <w:rPr>
          <w:rFonts w:asciiTheme="minorHAnsi" w:hAnsiTheme="minorHAnsi"/>
          <w:color w:val="000000" w:themeColor="text1"/>
        </w:rPr>
      </w:pPr>
      <w:bookmarkStart w:id="247" w:name="_Toc66267378"/>
      <w:bookmarkEnd w:id="244"/>
    </w:p>
    <w:p w:rsidR="002C3099" w:rsidRPr="00FA1354" w:rsidRDefault="002C3099" w:rsidP="000A5A56">
      <w:pPr>
        <w:pStyle w:val="Balk3"/>
        <w:numPr>
          <w:ilvl w:val="2"/>
          <w:numId w:val="11"/>
        </w:numPr>
        <w:spacing w:before="0"/>
        <w:rPr>
          <w:rFonts w:asciiTheme="minorHAnsi" w:hAnsiTheme="minorHAnsi"/>
          <w:color w:val="000000" w:themeColor="text1"/>
        </w:rPr>
      </w:pPr>
      <w:bookmarkStart w:id="248" w:name="_Toc132713807"/>
      <w:r w:rsidRPr="00FA1354">
        <w:rPr>
          <w:rFonts w:asciiTheme="minorHAnsi" w:hAnsiTheme="minorHAnsi"/>
          <w:color w:val="000000" w:themeColor="text1"/>
        </w:rPr>
        <w:t>Piyasa İşletim Tarifesi</w:t>
      </w:r>
      <w:bookmarkEnd w:id="247"/>
      <w:bookmarkEnd w:id="248"/>
    </w:p>
    <w:p w:rsidR="00FE2FC0" w:rsidRDefault="00FE2FC0" w:rsidP="00FE2FC0">
      <w:pPr>
        <w:spacing w:before="120" w:after="120"/>
      </w:pPr>
      <w:r>
        <w:rPr>
          <w:rFonts w:eastAsia="Batang"/>
          <w:lang w:eastAsia="ko-KR"/>
        </w:rPr>
        <w:t>13</w:t>
      </w:r>
      <w:r w:rsidRPr="00DF5344">
        <w:rPr>
          <w:rFonts w:eastAsia="Batang"/>
          <w:lang w:eastAsia="ko-KR"/>
        </w:rPr>
        <w:t>.12.202</w:t>
      </w:r>
      <w:r>
        <w:rPr>
          <w:rFonts w:eastAsia="Batang"/>
          <w:lang w:eastAsia="ko-KR"/>
        </w:rPr>
        <w:t>2</w:t>
      </w:r>
      <w:r w:rsidRPr="00DF5344">
        <w:rPr>
          <w:rFonts w:eastAsia="Batang"/>
          <w:lang w:eastAsia="ko-KR"/>
        </w:rPr>
        <w:t xml:space="preserve"> tarihli ve </w:t>
      </w:r>
      <w:r>
        <w:rPr>
          <w:rFonts w:eastAsia="Batang"/>
          <w:lang w:eastAsia="ko-KR"/>
        </w:rPr>
        <w:t xml:space="preserve">32042 </w:t>
      </w:r>
      <w:r w:rsidRPr="00DF5344">
        <w:rPr>
          <w:rFonts w:eastAsia="Batang"/>
          <w:lang w:eastAsia="ko-KR"/>
        </w:rPr>
        <w:t xml:space="preserve">sayılı Resmî </w:t>
      </w:r>
      <w:r w:rsidR="00274939">
        <w:rPr>
          <w:rFonts w:eastAsia="Batang"/>
          <w:lang w:eastAsia="ko-KR"/>
        </w:rPr>
        <w:t>Gazetede</w:t>
      </w:r>
      <w:r w:rsidRPr="00DF5344">
        <w:rPr>
          <w:rFonts w:eastAsia="Batang"/>
          <w:lang w:eastAsia="ko-KR"/>
        </w:rPr>
        <w:t xml:space="preserve"> yayımlanan </w:t>
      </w:r>
      <w:r>
        <w:t>08</w:t>
      </w:r>
      <w:r w:rsidRPr="00DF5344">
        <w:t>.12.202</w:t>
      </w:r>
      <w:r>
        <w:t>2</w:t>
      </w:r>
      <w:r w:rsidRPr="00DF5344">
        <w:t xml:space="preserve"> tarihli ve </w:t>
      </w:r>
      <w:r>
        <w:t xml:space="preserve">11435 </w:t>
      </w:r>
      <w:r w:rsidRPr="00DF5344">
        <w:t>sayılı Kurul Kararıyla, EPİAŞ’ın 202</w:t>
      </w:r>
      <w:r>
        <w:t>3</w:t>
      </w:r>
      <w:r w:rsidRPr="00DF5344">
        <w:t xml:space="preserve"> yılı piyasa işletim gelir tavanı Tablo 4.1</w:t>
      </w:r>
      <w:r>
        <w:t>5</w:t>
      </w:r>
      <w:r w:rsidRPr="00DF5344">
        <w:t>’</w:t>
      </w:r>
      <w:r>
        <w:t>te</w:t>
      </w:r>
      <w:r w:rsidRPr="00DF5344">
        <w:t xml:space="preserve">ki gibi belirlenmiş ve </w:t>
      </w:r>
    </w:p>
    <w:p w:rsidR="00FE2FC0" w:rsidRDefault="00FE2FC0" w:rsidP="00FE2FC0">
      <w:pPr>
        <w:pStyle w:val="ListeParagraf"/>
        <w:numPr>
          <w:ilvl w:val="0"/>
          <w:numId w:val="42"/>
        </w:numPr>
        <w:spacing w:before="120" w:after="120"/>
      </w:pPr>
      <w:r>
        <w:t>13</w:t>
      </w:r>
      <w:r w:rsidRPr="005D42FA">
        <w:t>.12.202</w:t>
      </w:r>
      <w:r>
        <w:t>2</w:t>
      </w:r>
      <w:r w:rsidRPr="005D42FA">
        <w:t xml:space="preserve"> tarihli ve </w:t>
      </w:r>
      <w:r>
        <w:t xml:space="preserve">32042 </w:t>
      </w:r>
      <w:r w:rsidRPr="005D42FA">
        <w:t xml:space="preserve">sayılı Resmî </w:t>
      </w:r>
      <w:r w:rsidR="00274939">
        <w:t>Gazetede</w:t>
      </w:r>
      <w:r w:rsidRPr="005D42FA">
        <w:t xml:space="preserve"> yayımlanan </w:t>
      </w:r>
      <w:r>
        <w:t>08</w:t>
      </w:r>
      <w:r w:rsidRPr="005D42FA">
        <w:t>.12.202</w:t>
      </w:r>
      <w:r>
        <w:t>2</w:t>
      </w:r>
      <w:r w:rsidRPr="005D42FA">
        <w:t xml:space="preserve"> tarihli ve </w:t>
      </w:r>
      <w:r>
        <w:t>11436</w:t>
      </w:r>
      <w:r w:rsidRPr="005D42FA">
        <w:t>-1 sayılı Kurul Kararı ile</w:t>
      </w:r>
      <w:r>
        <w:t xml:space="preserve"> 2023 yılı için </w:t>
      </w:r>
      <w:r w:rsidRPr="0010376A">
        <w:t>Elektrik Piyasası İşletim Gelir Tavanının Karşılanması İçin Uygulanacak Bedeller ve Uygulamaya İlişkin Yöntem Bildirimi,</w:t>
      </w:r>
    </w:p>
    <w:p w:rsidR="00FE2FC0" w:rsidRPr="0010376A" w:rsidRDefault="00FE2FC0" w:rsidP="00FE2FC0">
      <w:pPr>
        <w:pStyle w:val="ListeParagraf"/>
        <w:numPr>
          <w:ilvl w:val="0"/>
          <w:numId w:val="42"/>
        </w:numPr>
        <w:spacing w:before="120" w:after="120"/>
      </w:pPr>
      <w:r>
        <w:t>13</w:t>
      </w:r>
      <w:r w:rsidRPr="002424B5">
        <w:t>.</w:t>
      </w:r>
      <w:r>
        <w:t>12</w:t>
      </w:r>
      <w:r w:rsidRPr="002424B5">
        <w:t>.202</w:t>
      </w:r>
      <w:r>
        <w:t>2</w:t>
      </w:r>
      <w:r w:rsidRPr="002424B5">
        <w:t xml:space="preserve"> tarihli ve </w:t>
      </w:r>
      <w:r>
        <w:t xml:space="preserve">32042 </w:t>
      </w:r>
      <w:r w:rsidRPr="002424B5">
        <w:t xml:space="preserve">sayılı Resmî </w:t>
      </w:r>
      <w:r w:rsidR="00274939">
        <w:t>Gazetede</w:t>
      </w:r>
      <w:r w:rsidRPr="002424B5">
        <w:t xml:space="preserve"> yayımlanan </w:t>
      </w:r>
      <w:r>
        <w:t>08</w:t>
      </w:r>
      <w:r w:rsidRPr="002424B5">
        <w:t>.</w:t>
      </w:r>
      <w:r>
        <w:t>12</w:t>
      </w:r>
      <w:r w:rsidRPr="002424B5">
        <w:t>.202</w:t>
      </w:r>
      <w:r>
        <w:t>2</w:t>
      </w:r>
      <w:r w:rsidRPr="002424B5">
        <w:t xml:space="preserve"> tarihli ve </w:t>
      </w:r>
      <w:r>
        <w:t>11436-2</w:t>
      </w:r>
      <w:r w:rsidRPr="002424B5">
        <w:t xml:space="preserve"> sayılı Kurul Kararı ile</w:t>
      </w:r>
      <w:r>
        <w:t xml:space="preserve"> 2023 yılı için </w:t>
      </w:r>
      <w:r w:rsidRPr="0010376A">
        <w:t>Vadeli Elektrik Piyasası İşletim Gelir Tavanının Karşılanması İçin Uygulanacak Bedel ve Komisyonlar ile Uygulamaya İlişkin Yöntem Bildirimi,</w:t>
      </w:r>
    </w:p>
    <w:p w:rsidR="00FE2FC0" w:rsidRPr="0010376A" w:rsidRDefault="00FE2FC0" w:rsidP="00FE2FC0">
      <w:pPr>
        <w:pStyle w:val="ListeParagraf"/>
        <w:numPr>
          <w:ilvl w:val="0"/>
          <w:numId w:val="42"/>
        </w:numPr>
        <w:spacing w:before="120" w:after="120"/>
      </w:pPr>
      <w:r>
        <w:t>13</w:t>
      </w:r>
      <w:r w:rsidRPr="005D3D71">
        <w:t>.</w:t>
      </w:r>
      <w:r>
        <w:t>12</w:t>
      </w:r>
      <w:r w:rsidRPr="005D3D71">
        <w:t>.202</w:t>
      </w:r>
      <w:r>
        <w:t>2</w:t>
      </w:r>
      <w:r w:rsidRPr="005D3D71">
        <w:t xml:space="preserve"> tarihli ve </w:t>
      </w:r>
      <w:r>
        <w:t xml:space="preserve">32042 </w:t>
      </w:r>
      <w:r w:rsidRPr="005D3D71">
        <w:t xml:space="preserve">sayılı Resmî </w:t>
      </w:r>
      <w:r w:rsidR="00274939">
        <w:t>Gazetede</w:t>
      </w:r>
      <w:r w:rsidRPr="005D3D71">
        <w:t xml:space="preserve"> yayımlanan </w:t>
      </w:r>
      <w:r>
        <w:t>08</w:t>
      </w:r>
      <w:r w:rsidRPr="005D3D71">
        <w:t>.</w:t>
      </w:r>
      <w:r>
        <w:t>12</w:t>
      </w:r>
      <w:r w:rsidRPr="005D3D71">
        <w:t>.202</w:t>
      </w:r>
      <w:r>
        <w:t>2</w:t>
      </w:r>
      <w:r w:rsidRPr="005D3D71">
        <w:t xml:space="preserve"> tarihli ve </w:t>
      </w:r>
      <w:r>
        <w:t>11436</w:t>
      </w:r>
      <w:r w:rsidRPr="005D3D71">
        <w:t>-</w:t>
      </w:r>
      <w:r>
        <w:t>3</w:t>
      </w:r>
      <w:r w:rsidRPr="005D3D71">
        <w:t xml:space="preserve"> sayılı Kurul Kararı ile </w:t>
      </w:r>
      <w:r>
        <w:t xml:space="preserve">2023 yılı için </w:t>
      </w:r>
      <w:r w:rsidRPr="0010376A">
        <w:t>Yenilenebilir Enerji Kaynak Garanti Sistemi Ve Organize Yek-G Piyasası İşletim Gelir Tavanının Karşılanması İçin Uygulanacak Bedel Ve Komisyonlar İle Uygulamaya İlişkin Yöntem Bildirimi,</w:t>
      </w:r>
    </w:p>
    <w:p w:rsidR="00FE2FC0" w:rsidRPr="0010376A" w:rsidRDefault="00FE2FC0" w:rsidP="00FE2FC0">
      <w:pPr>
        <w:pStyle w:val="ListeParagraf"/>
        <w:numPr>
          <w:ilvl w:val="0"/>
          <w:numId w:val="41"/>
        </w:numPr>
        <w:spacing w:before="120" w:after="120"/>
      </w:pPr>
      <w:r w:rsidRPr="00E05835">
        <w:t>1</w:t>
      </w:r>
      <w:r>
        <w:t>3</w:t>
      </w:r>
      <w:r w:rsidRPr="00E05835">
        <w:t>.12.202</w:t>
      </w:r>
      <w:r>
        <w:t>2</w:t>
      </w:r>
      <w:r w:rsidRPr="00E05835">
        <w:t xml:space="preserve"> tarihli ve </w:t>
      </w:r>
      <w:r>
        <w:t xml:space="preserve">32042 </w:t>
      </w:r>
      <w:r w:rsidRPr="00E05835">
        <w:t xml:space="preserve">sayılı Resmî </w:t>
      </w:r>
      <w:r w:rsidR="00274939">
        <w:t>Gazetede</w:t>
      </w:r>
      <w:r w:rsidRPr="00E05835">
        <w:t xml:space="preserve"> yayımlanan </w:t>
      </w:r>
      <w:r>
        <w:t>08</w:t>
      </w:r>
      <w:r w:rsidRPr="00E05835">
        <w:t>.12.202</w:t>
      </w:r>
      <w:r>
        <w:t>2</w:t>
      </w:r>
      <w:r w:rsidRPr="00E05835">
        <w:t xml:space="preserve"> tarihli ve </w:t>
      </w:r>
      <w:r>
        <w:t xml:space="preserve">11439 </w:t>
      </w:r>
      <w:r w:rsidRPr="00E05835">
        <w:t xml:space="preserve">sayılı Kurul Kararı </w:t>
      </w:r>
      <w:r w:rsidRPr="0010376A">
        <w:t xml:space="preserve">ile </w:t>
      </w:r>
      <w:r>
        <w:t xml:space="preserve">2023 yılı için </w:t>
      </w:r>
      <w:r w:rsidRPr="0010376A">
        <w:t xml:space="preserve">Vadeli Elektrik Piyasası İşletim Gelir Tavanının Karşılanması İçin Uygulanacak Bedel </w:t>
      </w:r>
      <w:r w:rsidRPr="0010376A">
        <w:lastRenderedPageBreak/>
        <w:t>Ve Komisyonlar İle Uygulamaya İlişkin Yöntem Bildirimi</w:t>
      </w:r>
      <w:r>
        <w:t xml:space="preserve"> ile </w:t>
      </w:r>
      <w:r w:rsidRPr="0010376A">
        <w:t>Yenilenebilir Enerji Kaynak Garanti Sistemi Ve Organize Yek-G Piyasası İşletim Gelir Tavanının Karşılanması İçin Uygulanacak Bedel Ve Komisyonlar İle Uygulamaya İlişkin Yöntem Bildirimi</w:t>
      </w:r>
      <w:r>
        <w:t>’nde ifade edilen ücretler</w:t>
      </w:r>
      <w:r w:rsidRPr="004F11C6">
        <w:t xml:space="preserve"> </w:t>
      </w:r>
      <w:r>
        <w:t>onaylanmıştır.</w:t>
      </w:r>
    </w:p>
    <w:p w:rsidR="00FE2FC0" w:rsidRPr="00E9291A" w:rsidRDefault="00FE2FC0" w:rsidP="00FE2FC0">
      <w:pPr>
        <w:pStyle w:val="Balk5"/>
        <w:jc w:val="center"/>
      </w:pPr>
      <w:bookmarkStart w:id="249" w:name="_Toc132713918"/>
      <w:bookmarkStart w:id="250" w:name="_Toc66267482"/>
      <w:r w:rsidRPr="00FA1354">
        <w:rPr>
          <w:rStyle w:val="Gl"/>
          <w:color w:val="000000" w:themeColor="text1"/>
        </w:rPr>
        <w:t>Tablo 4.1</w:t>
      </w:r>
      <w:r>
        <w:rPr>
          <w:rStyle w:val="Gl"/>
          <w:color w:val="000000" w:themeColor="text1"/>
        </w:rPr>
        <w:t>5</w:t>
      </w:r>
      <w:r w:rsidRPr="00FA1354">
        <w:rPr>
          <w:rStyle w:val="Gl"/>
          <w:color w:val="000000" w:themeColor="text1"/>
        </w:rPr>
        <w:t>: EPİAŞ 202</w:t>
      </w:r>
      <w:r>
        <w:rPr>
          <w:rStyle w:val="Gl"/>
          <w:color w:val="000000" w:themeColor="text1"/>
        </w:rPr>
        <w:t>3</w:t>
      </w:r>
      <w:r w:rsidRPr="00FA1354">
        <w:rPr>
          <w:rStyle w:val="Gl"/>
          <w:color w:val="000000" w:themeColor="text1"/>
        </w:rPr>
        <w:t xml:space="preserve"> Yılı Piyasa İşletim Gelir Tavanı</w:t>
      </w:r>
      <w:r>
        <w:rPr>
          <w:rStyle w:val="Gl"/>
          <w:color w:val="000000" w:themeColor="text1"/>
        </w:rPr>
        <w:t xml:space="preserve"> (TL)</w:t>
      </w:r>
      <w:bookmarkEnd w:id="249"/>
    </w:p>
    <w:tbl>
      <w:tblPr>
        <w:tblW w:w="5000" w:type="pct"/>
        <w:jc w:val="center"/>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left w:w="70" w:type="dxa"/>
          <w:right w:w="70" w:type="dxa"/>
        </w:tblCellMar>
        <w:tblLook w:val="04A0" w:firstRow="1" w:lastRow="0" w:firstColumn="1" w:lastColumn="0" w:noHBand="0" w:noVBand="1"/>
      </w:tblPr>
      <w:tblGrid>
        <w:gridCol w:w="7743"/>
        <w:gridCol w:w="2169"/>
      </w:tblGrid>
      <w:tr w:rsidR="00FE2FC0" w:rsidRPr="00E80962" w:rsidTr="00FE2FC0">
        <w:trPr>
          <w:trHeight w:val="315"/>
          <w:jc w:val="center"/>
        </w:trPr>
        <w:tc>
          <w:tcPr>
            <w:tcW w:w="3906" w:type="pct"/>
            <w:shd w:val="clear" w:color="auto" w:fill="auto"/>
            <w:noWrap/>
            <w:vAlign w:val="center"/>
            <w:hideMark/>
          </w:tcPr>
          <w:p w:rsidR="00FE2FC0" w:rsidRPr="00E80962" w:rsidRDefault="00FE2FC0" w:rsidP="00FE2FC0">
            <w:pPr>
              <w:spacing w:after="0" w:line="240" w:lineRule="auto"/>
              <w:rPr>
                <w:rFonts w:eastAsia="Times New Roman" w:cs="Calibri"/>
                <w:bCs/>
                <w:lang w:eastAsia="tr-TR"/>
              </w:rPr>
            </w:pPr>
            <w:r w:rsidRPr="00E80962">
              <w:rPr>
                <w:rFonts w:eastAsia="Times New Roman" w:cs="Calibri"/>
                <w:bCs/>
                <w:lang w:eastAsia="tr-TR"/>
              </w:rPr>
              <w:t>202</w:t>
            </w:r>
            <w:r>
              <w:rPr>
                <w:rFonts w:eastAsia="Times New Roman" w:cs="Calibri"/>
                <w:bCs/>
                <w:lang w:eastAsia="tr-TR"/>
              </w:rPr>
              <w:t>3</w:t>
            </w:r>
            <w:r w:rsidRPr="00E80962">
              <w:rPr>
                <w:rFonts w:eastAsia="Times New Roman" w:cs="Calibri"/>
                <w:bCs/>
                <w:lang w:eastAsia="tr-TR"/>
              </w:rPr>
              <w:t xml:space="preserve"> Yılı Piyasa İşletim Gelir Tavanı - Elektrik Piyasası Payı </w:t>
            </w:r>
            <w:r w:rsidRPr="00E80962">
              <w:rPr>
                <w:rFonts w:eastAsia="Times New Roman" w:cs="Calibri"/>
                <w:lang w:eastAsia="tr-TR"/>
              </w:rPr>
              <w:t>(TL - TÜFE=</w:t>
            </w:r>
            <w:r>
              <w:rPr>
                <w:rFonts w:eastAsia="Times New Roman" w:cs="Calibri"/>
                <w:lang w:eastAsia="tr-TR"/>
              </w:rPr>
              <w:t>1353,61</w:t>
            </w:r>
            <w:r w:rsidRPr="00E80962">
              <w:rPr>
                <w:rFonts w:eastAsia="Times New Roman" w:cs="Calibri"/>
                <w:lang w:eastAsia="tr-TR"/>
              </w:rPr>
              <w:t>)</w:t>
            </w:r>
          </w:p>
        </w:tc>
        <w:tc>
          <w:tcPr>
            <w:tcW w:w="1094" w:type="pct"/>
            <w:shd w:val="clear" w:color="auto" w:fill="auto"/>
            <w:noWrap/>
            <w:vAlign w:val="center"/>
            <w:hideMark/>
          </w:tcPr>
          <w:p w:rsidR="00FE2FC0" w:rsidRPr="00E80962" w:rsidRDefault="00FE2FC0" w:rsidP="00FE2FC0">
            <w:pPr>
              <w:spacing w:after="0" w:line="240" w:lineRule="auto"/>
              <w:jc w:val="right"/>
              <w:rPr>
                <w:rFonts w:eastAsia="Times New Roman" w:cs="Calibri"/>
                <w:bCs/>
                <w:lang w:eastAsia="tr-TR"/>
              </w:rPr>
            </w:pPr>
            <w:r>
              <w:rPr>
                <w:rFonts w:eastAsia="Times New Roman" w:cs="Calibri"/>
                <w:bCs/>
                <w:lang w:eastAsia="tr-TR"/>
              </w:rPr>
              <w:t>553.307.554</w:t>
            </w:r>
          </w:p>
        </w:tc>
      </w:tr>
    </w:tbl>
    <w:p w:rsidR="002C3099" w:rsidRPr="00FA1354" w:rsidRDefault="002C3099" w:rsidP="00931DEA">
      <w:pPr>
        <w:pStyle w:val="Balk3"/>
        <w:numPr>
          <w:ilvl w:val="2"/>
          <w:numId w:val="11"/>
        </w:numPr>
        <w:spacing w:before="120" w:after="120"/>
        <w:rPr>
          <w:rFonts w:asciiTheme="minorHAnsi" w:hAnsiTheme="minorHAnsi"/>
          <w:color w:val="000000" w:themeColor="text1"/>
        </w:rPr>
      </w:pPr>
      <w:bookmarkStart w:id="251" w:name="_Toc66267379"/>
      <w:bookmarkStart w:id="252" w:name="_Toc132713808"/>
      <w:bookmarkEnd w:id="250"/>
      <w:r w:rsidRPr="00FA1354">
        <w:rPr>
          <w:rFonts w:asciiTheme="minorHAnsi" w:hAnsiTheme="minorHAnsi"/>
          <w:color w:val="000000" w:themeColor="text1"/>
        </w:rPr>
        <w:t>OSB Dağıtım Bedeli</w:t>
      </w:r>
      <w:bookmarkEnd w:id="251"/>
      <w:bookmarkEnd w:id="252"/>
    </w:p>
    <w:p w:rsidR="00FE2FC0" w:rsidRPr="000B7717" w:rsidRDefault="00FE2FC0" w:rsidP="00FE2FC0">
      <w:pPr>
        <w:rPr>
          <w:lang w:bidi="he-IL"/>
        </w:rPr>
      </w:pPr>
      <w:r w:rsidRPr="00DF5344">
        <w:rPr>
          <w:lang w:bidi="he-IL"/>
        </w:rPr>
        <w:t>Dağıtım lisansı sahibi Organize Sanayi Bölgelerinin 202</w:t>
      </w:r>
      <w:r>
        <w:rPr>
          <w:lang w:bidi="he-IL"/>
        </w:rPr>
        <w:t>3</w:t>
      </w:r>
      <w:r w:rsidRPr="00DF5344">
        <w:rPr>
          <w:lang w:bidi="he-IL"/>
        </w:rPr>
        <w:t xml:space="preserve"> yılında onaylı sınırları içerisindeki katılımcılarına uygulayacağı dağıtım bedelleri, </w:t>
      </w:r>
      <w:r>
        <w:rPr>
          <w:lang w:bidi="he-IL"/>
        </w:rPr>
        <w:t>25.</w:t>
      </w:r>
      <w:r w:rsidRPr="00DF5344">
        <w:rPr>
          <w:lang w:bidi="he-IL"/>
        </w:rPr>
        <w:t>1</w:t>
      </w:r>
      <w:r>
        <w:rPr>
          <w:lang w:bidi="he-IL"/>
        </w:rPr>
        <w:t>2.</w:t>
      </w:r>
      <w:r w:rsidRPr="00DF5344">
        <w:rPr>
          <w:lang w:bidi="he-IL"/>
        </w:rPr>
        <w:t>202</w:t>
      </w:r>
      <w:r>
        <w:rPr>
          <w:lang w:bidi="he-IL"/>
        </w:rPr>
        <w:t>2</w:t>
      </w:r>
      <w:r w:rsidRPr="00DF5344">
        <w:rPr>
          <w:lang w:bidi="he-IL"/>
        </w:rPr>
        <w:t xml:space="preserve"> tarihli ve </w:t>
      </w:r>
      <w:r>
        <w:rPr>
          <w:lang w:bidi="he-IL"/>
        </w:rPr>
        <w:t xml:space="preserve">32054 </w:t>
      </w:r>
      <w:r w:rsidRPr="00DF5344">
        <w:rPr>
          <w:lang w:bidi="he-IL"/>
        </w:rPr>
        <w:t xml:space="preserve">sayılı Resmî </w:t>
      </w:r>
      <w:r w:rsidR="00274939">
        <w:rPr>
          <w:lang w:bidi="he-IL"/>
        </w:rPr>
        <w:t>Gazetede</w:t>
      </w:r>
      <w:r w:rsidRPr="00DF5344">
        <w:rPr>
          <w:lang w:bidi="he-IL"/>
        </w:rPr>
        <w:t xml:space="preserve"> yayımlanan </w:t>
      </w:r>
      <w:r>
        <w:rPr>
          <w:lang w:bidi="he-IL"/>
        </w:rPr>
        <w:t>15.</w:t>
      </w:r>
      <w:r w:rsidRPr="00DF5344">
        <w:rPr>
          <w:lang w:bidi="he-IL"/>
        </w:rPr>
        <w:t>1</w:t>
      </w:r>
      <w:r>
        <w:rPr>
          <w:lang w:bidi="he-IL"/>
        </w:rPr>
        <w:t>2.</w:t>
      </w:r>
      <w:r w:rsidRPr="00DF5344">
        <w:rPr>
          <w:lang w:bidi="he-IL"/>
        </w:rPr>
        <w:t>202</w:t>
      </w:r>
      <w:r>
        <w:rPr>
          <w:lang w:bidi="he-IL"/>
        </w:rPr>
        <w:t>2</w:t>
      </w:r>
      <w:r w:rsidRPr="00DF5344">
        <w:rPr>
          <w:lang w:bidi="he-IL"/>
        </w:rPr>
        <w:t xml:space="preserve"> tarihli ve </w:t>
      </w:r>
      <w:r>
        <w:rPr>
          <w:lang w:bidi="he-IL"/>
        </w:rPr>
        <w:t>11455</w:t>
      </w:r>
      <w:r w:rsidRPr="00DF5344">
        <w:rPr>
          <w:lang w:bidi="he-IL"/>
        </w:rPr>
        <w:t xml:space="preserve">-1 ila </w:t>
      </w:r>
      <w:r>
        <w:rPr>
          <w:lang w:bidi="he-IL"/>
        </w:rPr>
        <w:t>11455</w:t>
      </w:r>
      <w:r w:rsidRPr="00DF5344">
        <w:rPr>
          <w:lang w:bidi="he-IL"/>
        </w:rPr>
        <w:t>-1</w:t>
      </w:r>
      <w:r>
        <w:rPr>
          <w:lang w:bidi="he-IL"/>
        </w:rPr>
        <w:t>96</w:t>
      </w:r>
      <w:r w:rsidRPr="00DF5344">
        <w:rPr>
          <w:lang w:bidi="he-IL"/>
        </w:rPr>
        <w:t xml:space="preserve"> sayılı Kurul Kararları ile onaylanmıştır.</w:t>
      </w:r>
    </w:p>
    <w:p w:rsidR="002C3099" w:rsidRPr="000B7717" w:rsidRDefault="002C3099" w:rsidP="002C3099">
      <w:pPr>
        <w:rPr>
          <w:lang w:bidi="he-IL"/>
        </w:rPr>
      </w:pPr>
      <w:r w:rsidRPr="000B7717">
        <w:rPr>
          <w:lang w:bidi="he-IL"/>
        </w:rPr>
        <w:t xml:space="preserve">OSB yönetimleri Organize Sanayi Bölgelerinin Elektrik Piyasası Faaliyetlerine İlişkin Yönetmelik çerçevesinde dağıtım bedeli tekliflerini Sanayi veya Sanayi Harici tüketicileri ile Üreticiler için AG, OG, tek terimli ve çift terimli olarak sunabilmektedirler. Dağıtım bedeli değerlendirmeleri OSB’lerin birim enerji maliyet tahminleri, yatırım giderleri, işletme giderleri, kayıp enerji giderleri ve içinde bulundukları dağıtım bölgeleri için öngörülen dağıtım tarife öngörüleri göz önüne alınarak </w:t>
      </w:r>
      <w:r w:rsidRPr="000B7717">
        <w:rPr>
          <w:i/>
          <w:iCs/>
          <w:lang w:bidi="he-IL"/>
        </w:rPr>
        <w:t xml:space="preserve">“kıyaslama modeli” </w:t>
      </w:r>
      <w:r w:rsidRPr="000B7717">
        <w:rPr>
          <w:lang w:bidi="he-IL"/>
        </w:rPr>
        <w:t>çerçevesinde yapılmaktadır.</w:t>
      </w:r>
    </w:p>
    <w:p w:rsidR="002C3099" w:rsidRPr="00FA1354" w:rsidRDefault="002C3099" w:rsidP="000A5A56">
      <w:pPr>
        <w:pStyle w:val="Balk3"/>
        <w:numPr>
          <w:ilvl w:val="2"/>
          <w:numId w:val="11"/>
        </w:numPr>
        <w:spacing w:before="0" w:after="240"/>
        <w:rPr>
          <w:rFonts w:asciiTheme="minorHAnsi" w:hAnsiTheme="minorHAnsi"/>
          <w:color w:val="000000" w:themeColor="text1"/>
        </w:rPr>
      </w:pPr>
      <w:bookmarkStart w:id="253" w:name="_Toc66267380"/>
      <w:bookmarkStart w:id="254" w:name="_Toc132713809"/>
      <w:r w:rsidRPr="00FA1354">
        <w:rPr>
          <w:rFonts w:asciiTheme="minorHAnsi" w:hAnsiTheme="minorHAnsi"/>
          <w:color w:val="000000" w:themeColor="text1"/>
        </w:rPr>
        <w:t>EÜAŞ Toptan Satış Tarifesi</w:t>
      </w:r>
      <w:bookmarkEnd w:id="253"/>
      <w:bookmarkEnd w:id="254"/>
    </w:p>
    <w:p w:rsidR="00FE2FC0" w:rsidRPr="00DF5344" w:rsidRDefault="00FE2FC0" w:rsidP="00FE2FC0">
      <w:pPr>
        <w:spacing w:after="0"/>
        <w:rPr>
          <w:rStyle w:val="Gl"/>
          <w:b w:val="0"/>
          <w:bCs w:val="0"/>
          <w:color w:val="000000" w:themeColor="text1"/>
        </w:rPr>
      </w:pPr>
      <w:r w:rsidRPr="00DF5344">
        <w:t>EÜAŞ’ın 202</w:t>
      </w:r>
      <w:r>
        <w:t>2</w:t>
      </w:r>
      <w:r w:rsidRPr="00DF5344">
        <w:t xml:space="preserve"> yılının tamamı ve 202</w:t>
      </w:r>
      <w:r>
        <w:t>3</w:t>
      </w:r>
      <w:r w:rsidRPr="00DF5344">
        <w:t xml:space="preserve"> yılının ilk tarife dönemi için onaylanan toptan satış tarifeleri Tablo 4.1</w:t>
      </w:r>
      <w:r>
        <w:t>6</w:t>
      </w:r>
      <w:r w:rsidRPr="00DF5344">
        <w:t xml:space="preserve"> ve 4.</w:t>
      </w:r>
      <w:r>
        <w:t>17</w:t>
      </w:r>
      <w:r w:rsidRPr="00DF5344">
        <w:t xml:space="preserve">’de </w:t>
      </w:r>
      <w:r w:rsidRPr="00DF5344">
        <w:rPr>
          <w:color w:val="000000" w:themeColor="text1"/>
        </w:rPr>
        <w:t>yer almaktadır.</w:t>
      </w:r>
    </w:p>
    <w:p w:rsidR="002C3099" w:rsidRPr="00DF5344" w:rsidRDefault="002C3099" w:rsidP="002C3099">
      <w:pPr>
        <w:spacing w:after="0"/>
        <w:rPr>
          <w:rStyle w:val="Gl"/>
          <w:b w:val="0"/>
          <w:bCs w:val="0"/>
          <w:color w:val="000000" w:themeColor="text1"/>
        </w:rPr>
      </w:pPr>
    </w:p>
    <w:p w:rsidR="00DC783D" w:rsidRPr="00DC783D" w:rsidRDefault="00FE2FC0" w:rsidP="00DC783D">
      <w:pPr>
        <w:pStyle w:val="Balk5"/>
        <w:spacing w:after="240"/>
        <w:jc w:val="center"/>
        <w:rPr>
          <w:rFonts w:asciiTheme="minorHAnsi" w:hAnsiTheme="minorHAnsi"/>
          <w:b/>
          <w:color w:val="auto"/>
        </w:rPr>
      </w:pPr>
      <w:bookmarkStart w:id="255" w:name="_Toc132713919"/>
      <w:bookmarkStart w:id="256" w:name="_Toc66267483"/>
      <w:r w:rsidRPr="00FA1354">
        <w:rPr>
          <w:rStyle w:val="Gl"/>
          <w:color w:val="auto"/>
        </w:rPr>
        <w:t>Tablo 4.1</w:t>
      </w:r>
      <w:r>
        <w:rPr>
          <w:rStyle w:val="Gl"/>
          <w:color w:val="auto"/>
        </w:rPr>
        <w:t>6</w:t>
      </w:r>
      <w:r w:rsidRPr="00FA1354">
        <w:rPr>
          <w:rStyle w:val="Gl"/>
          <w:color w:val="auto"/>
        </w:rPr>
        <w:t xml:space="preserve">: EÜAŞ Toptan Satış Tarifeleri </w:t>
      </w:r>
      <w:r w:rsidRPr="00FA1354">
        <w:rPr>
          <w:rStyle w:val="Gl"/>
          <w:b w:val="0"/>
          <w:color w:val="auto"/>
        </w:rPr>
        <w:t>(</w:t>
      </w:r>
      <w:r w:rsidRPr="00FA1354">
        <w:rPr>
          <w:rFonts w:asciiTheme="minorHAnsi" w:hAnsiTheme="minorHAnsi"/>
          <w:b/>
          <w:color w:val="auto"/>
        </w:rPr>
        <w:t>Dağıtım Şirketlerine Teknik ve Teknik Olmayan Kayıp Enerji Satışları İle Görevli Tedarik Şirketlerine Yapılan Satışlarda)</w:t>
      </w:r>
      <w:bookmarkEnd w:id="255"/>
    </w:p>
    <w:tbl>
      <w:tblPr>
        <w:tblW w:w="10343"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0A0" w:firstRow="1" w:lastRow="0" w:firstColumn="1" w:lastColumn="0" w:noHBand="0" w:noVBand="0"/>
      </w:tblPr>
      <w:tblGrid>
        <w:gridCol w:w="2147"/>
        <w:gridCol w:w="1146"/>
        <w:gridCol w:w="2147"/>
        <w:gridCol w:w="1723"/>
        <w:gridCol w:w="1693"/>
        <w:gridCol w:w="1487"/>
      </w:tblGrid>
      <w:tr w:rsidR="00FE2FC0" w:rsidRPr="00E80962" w:rsidTr="007677C9">
        <w:trPr>
          <w:trHeight w:val="397"/>
          <w:jc w:val="center"/>
        </w:trPr>
        <w:tc>
          <w:tcPr>
            <w:tcW w:w="2147" w:type="dxa"/>
            <w:shd w:val="clear" w:color="auto" w:fill="6E9ECA"/>
            <w:vAlign w:val="center"/>
          </w:tcPr>
          <w:p w:rsidR="00FE2FC0" w:rsidRPr="00E80962" w:rsidRDefault="00FE2FC0" w:rsidP="00FE2FC0">
            <w:pPr>
              <w:spacing w:after="0" w:line="240" w:lineRule="auto"/>
              <w:jc w:val="center"/>
              <w:rPr>
                <w:b/>
                <w:bCs/>
                <w:color w:val="FFFFFF" w:themeColor="background1"/>
              </w:rPr>
            </w:pPr>
            <w:r w:rsidRPr="00E80962">
              <w:rPr>
                <w:b/>
                <w:bCs/>
                <w:color w:val="FFFFFF" w:themeColor="background1"/>
              </w:rPr>
              <w:t>Kurul Karar Tarihi</w:t>
            </w:r>
          </w:p>
        </w:tc>
        <w:tc>
          <w:tcPr>
            <w:tcW w:w="1146" w:type="dxa"/>
            <w:shd w:val="clear" w:color="auto" w:fill="6E9ECA"/>
            <w:vAlign w:val="center"/>
          </w:tcPr>
          <w:p w:rsidR="00FE2FC0" w:rsidRPr="00E80962" w:rsidRDefault="00FE2FC0" w:rsidP="00FE2FC0">
            <w:pPr>
              <w:spacing w:after="0" w:line="240" w:lineRule="auto"/>
              <w:jc w:val="center"/>
              <w:rPr>
                <w:b/>
                <w:bCs/>
                <w:color w:val="FFFFFF" w:themeColor="background1"/>
              </w:rPr>
            </w:pPr>
            <w:r w:rsidRPr="00E80962">
              <w:rPr>
                <w:b/>
                <w:bCs/>
                <w:color w:val="FFFFFF" w:themeColor="background1"/>
              </w:rPr>
              <w:t>Kurul Karar Sayısı</w:t>
            </w:r>
          </w:p>
        </w:tc>
        <w:tc>
          <w:tcPr>
            <w:tcW w:w="2147" w:type="dxa"/>
            <w:shd w:val="clear" w:color="auto" w:fill="6E9ECA"/>
            <w:vAlign w:val="center"/>
          </w:tcPr>
          <w:p w:rsidR="00FE2FC0" w:rsidRPr="00E80962" w:rsidRDefault="00FE2FC0" w:rsidP="00FE2FC0">
            <w:pPr>
              <w:spacing w:after="0" w:line="240" w:lineRule="auto"/>
              <w:jc w:val="center"/>
              <w:rPr>
                <w:b/>
                <w:bCs/>
                <w:color w:val="FFFFFF" w:themeColor="background1"/>
              </w:rPr>
            </w:pPr>
            <w:r w:rsidRPr="00E80962">
              <w:rPr>
                <w:b/>
                <w:bCs/>
                <w:color w:val="FFFFFF" w:themeColor="background1"/>
              </w:rPr>
              <w:t>Yürürlük Tarihi</w:t>
            </w:r>
          </w:p>
        </w:tc>
        <w:tc>
          <w:tcPr>
            <w:tcW w:w="1723" w:type="dxa"/>
            <w:shd w:val="clear" w:color="auto" w:fill="6E9ECA"/>
          </w:tcPr>
          <w:p w:rsidR="00FE2FC0" w:rsidRPr="00E80962" w:rsidRDefault="00FE2FC0" w:rsidP="00FE2FC0">
            <w:pPr>
              <w:spacing w:after="0" w:line="240" w:lineRule="auto"/>
              <w:jc w:val="center"/>
              <w:rPr>
                <w:b/>
                <w:bCs/>
                <w:color w:val="FFFFFF" w:themeColor="background1"/>
              </w:rPr>
            </w:pPr>
            <w:r w:rsidRPr="00E80962">
              <w:rPr>
                <w:b/>
                <w:bCs/>
                <w:color w:val="FFFFFF" w:themeColor="background1"/>
              </w:rPr>
              <w:t xml:space="preserve">Yayımlandığı </w:t>
            </w:r>
            <w:r w:rsidR="00DC783D" w:rsidRPr="00E80962">
              <w:rPr>
                <w:b/>
                <w:bCs/>
                <w:color w:val="FFFFFF" w:themeColor="background1"/>
              </w:rPr>
              <w:t>Resmî</w:t>
            </w:r>
            <w:r w:rsidRPr="00E80962">
              <w:rPr>
                <w:b/>
                <w:bCs/>
                <w:color w:val="FFFFFF" w:themeColor="background1"/>
              </w:rPr>
              <w:t xml:space="preserve"> Gazete Tarih ve Sayısı</w:t>
            </w:r>
          </w:p>
        </w:tc>
        <w:tc>
          <w:tcPr>
            <w:tcW w:w="1693" w:type="dxa"/>
            <w:shd w:val="clear" w:color="auto" w:fill="6E9ECA"/>
            <w:vAlign w:val="center"/>
          </w:tcPr>
          <w:p w:rsidR="00FE2FC0" w:rsidRPr="00E80962" w:rsidRDefault="00FE2FC0" w:rsidP="00FE2FC0">
            <w:pPr>
              <w:spacing w:after="0" w:line="240" w:lineRule="auto"/>
              <w:jc w:val="center"/>
              <w:rPr>
                <w:b/>
                <w:bCs/>
                <w:color w:val="FFFFFF" w:themeColor="background1"/>
              </w:rPr>
            </w:pPr>
            <w:r>
              <w:rPr>
                <w:b/>
                <w:bCs/>
                <w:color w:val="FFFFFF" w:themeColor="background1"/>
              </w:rPr>
              <w:t>Teknik ve Teknik Olmayan Kayıp Enerji Kapsamında Yapılan Satışlar</w:t>
            </w:r>
            <w:r w:rsidRPr="00E80962">
              <w:rPr>
                <w:b/>
                <w:bCs/>
                <w:color w:val="FFFFFF" w:themeColor="background1"/>
              </w:rPr>
              <w:t xml:space="preserve"> (Krş/kWh)</w:t>
            </w:r>
          </w:p>
        </w:tc>
        <w:tc>
          <w:tcPr>
            <w:tcW w:w="1487" w:type="dxa"/>
            <w:shd w:val="clear" w:color="auto" w:fill="6E9ECA"/>
          </w:tcPr>
          <w:p w:rsidR="00FE2FC0" w:rsidRDefault="00FE2FC0" w:rsidP="00FE2FC0">
            <w:pPr>
              <w:spacing w:after="0" w:line="240" w:lineRule="auto"/>
              <w:jc w:val="center"/>
              <w:rPr>
                <w:b/>
                <w:bCs/>
                <w:color w:val="FFFFFF" w:themeColor="background1"/>
              </w:rPr>
            </w:pPr>
            <w:r>
              <w:rPr>
                <w:b/>
                <w:bCs/>
                <w:color w:val="FFFFFF" w:themeColor="background1"/>
              </w:rPr>
              <w:t>Görevli Tedarik Şirketlerine Yapılan Satışlar (kr/kWh)</w:t>
            </w:r>
          </w:p>
        </w:tc>
      </w:tr>
      <w:tr w:rsidR="00FE2FC0" w:rsidRPr="00E80962" w:rsidTr="007677C9">
        <w:trPr>
          <w:trHeight w:val="397"/>
          <w:jc w:val="center"/>
        </w:trPr>
        <w:tc>
          <w:tcPr>
            <w:tcW w:w="2147" w:type="dxa"/>
            <w:noWrap/>
          </w:tcPr>
          <w:p w:rsidR="00FE2FC0" w:rsidRPr="00E80962" w:rsidRDefault="00FE2FC0" w:rsidP="00FE2FC0">
            <w:pPr>
              <w:spacing w:after="0" w:line="240" w:lineRule="auto"/>
              <w:jc w:val="center"/>
              <w:rPr>
                <w:color w:val="000000" w:themeColor="text1"/>
              </w:rPr>
            </w:pPr>
            <w:r w:rsidRPr="007E2939">
              <w:rPr>
                <w:color w:val="000000" w:themeColor="text1"/>
              </w:rPr>
              <w:t>31.12.2021</w:t>
            </w:r>
          </w:p>
        </w:tc>
        <w:tc>
          <w:tcPr>
            <w:tcW w:w="1146" w:type="dxa"/>
          </w:tcPr>
          <w:p w:rsidR="00FE2FC0" w:rsidRPr="00E80962" w:rsidRDefault="00FE2FC0" w:rsidP="00FE2FC0">
            <w:pPr>
              <w:spacing w:after="0" w:line="240" w:lineRule="auto"/>
              <w:jc w:val="center"/>
              <w:rPr>
                <w:color w:val="000000" w:themeColor="text1"/>
              </w:rPr>
            </w:pPr>
            <w:r w:rsidRPr="007E2939">
              <w:rPr>
                <w:color w:val="000000" w:themeColor="text1"/>
              </w:rPr>
              <w:t>10706</w:t>
            </w:r>
          </w:p>
        </w:tc>
        <w:tc>
          <w:tcPr>
            <w:tcW w:w="2147" w:type="dxa"/>
            <w:noWrap/>
          </w:tcPr>
          <w:p w:rsidR="00FE2FC0" w:rsidRPr="00E80962" w:rsidRDefault="00FE2FC0" w:rsidP="00FE2FC0">
            <w:pPr>
              <w:spacing w:after="0" w:line="240" w:lineRule="auto"/>
              <w:jc w:val="center"/>
              <w:rPr>
                <w:color w:val="000000" w:themeColor="text1"/>
              </w:rPr>
            </w:pPr>
            <w:r w:rsidRPr="007E2939">
              <w:rPr>
                <w:color w:val="000000" w:themeColor="text1"/>
              </w:rPr>
              <w:t>01.01.2022</w:t>
            </w:r>
          </w:p>
        </w:tc>
        <w:tc>
          <w:tcPr>
            <w:tcW w:w="1723" w:type="dxa"/>
          </w:tcPr>
          <w:p w:rsidR="00FE2FC0" w:rsidRPr="00E80962" w:rsidRDefault="00FE2FC0" w:rsidP="00FE2FC0">
            <w:pPr>
              <w:spacing w:after="0" w:line="240" w:lineRule="auto"/>
              <w:jc w:val="center"/>
              <w:rPr>
                <w:color w:val="000000" w:themeColor="text1"/>
              </w:rPr>
            </w:pPr>
            <w:r w:rsidRPr="007E2939">
              <w:rPr>
                <w:color w:val="000000" w:themeColor="text1"/>
              </w:rPr>
              <w:t>31.12.2021-31706</w:t>
            </w:r>
          </w:p>
        </w:tc>
        <w:tc>
          <w:tcPr>
            <w:tcW w:w="1693" w:type="dxa"/>
            <w:noWrap/>
          </w:tcPr>
          <w:p w:rsidR="00FE2FC0" w:rsidRPr="00E80962" w:rsidRDefault="00FE2FC0" w:rsidP="00FE2FC0">
            <w:pPr>
              <w:spacing w:after="0" w:line="240" w:lineRule="auto"/>
              <w:jc w:val="center"/>
              <w:rPr>
                <w:color w:val="000000" w:themeColor="text1"/>
              </w:rPr>
            </w:pPr>
            <w:r w:rsidRPr="007E2939">
              <w:rPr>
                <w:color w:val="000000" w:themeColor="text1"/>
              </w:rPr>
              <w:t>31,8592</w:t>
            </w:r>
          </w:p>
        </w:tc>
        <w:tc>
          <w:tcPr>
            <w:tcW w:w="1487" w:type="dxa"/>
          </w:tcPr>
          <w:p w:rsidR="00FE2FC0" w:rsidRDefault="00FE2FC0" w:rsidP="00FE2FC0">
            <w:pPr>
              <w:spacing w:after="0" w:line="240" w:lineRule="auto"/>
              <w:jc w:val="center"/>
              <w:rPr>
                <w:color w:val="000000" w:themeColor="text1"/>
              </w:rPr>
            </w:pPr>
            <w:r>
              <w:rPr>
                <w:color w:val="000000" w:themeColor="text1"/>
              </w:rPr>
              <w:t>31,8592</w:t>
            </w:r>
          </w:p>
        </w:tc>
      </w:tr>
      <w:tr w:rsidR="00FE2FC0" w:rsidRPr="00E80962" w:rsidTr="007677C9">
        <w:trPr>
          <w:trHeight w:val="397"/>
          <w:jc w:val="center"/>
        </w:trPr>
        <w:tc>
          <w:tcPr>
            <w:tcW w:w="2147" w:type="dxa"/>
            <w:noWrap/>
          </w:tcPr>
          <w:p w:rsidR="00FE2FC0" w:rsidRPr="00E80962" w:rsidRDefault="00FE2FC0" w:rsidP="00FE2FC0">
            <w:pPr>
              <w:spacing w:after="0" w:line="240" w:lineRule="auto"/>
              <w:jc w:val="center"/>
              <w:rPr>
                <w:color w:val="000000" w:themeColor="text1"/>
              </w:rPr>
            </w:pPr>
            <w:r>
              <w:rPr>
                <w:color w:val="000000" w:themeColor="text1"/>
              </w:rPr>
              <w:t>31</w:t>
            </w:r>
            <w:r w:rsidRPr="00E80962">
              <w:rPr>
                <w:color w:val="000000" w:themeColor="text1"/>
              </w:rPr>
              <w:t>.03.202</w:t>
            </w:r>
            <w:r>
              <w:rPr>
                <w:color w:val="000000" w:themeColor="text1"/>
              </w:rPr>
              <w:t>2</w:t>
            </w:r>
          </w:p>
        </w:tc>
        <w:tc>
          <w:tcPr>
            <w:tcW w:w="1146" w:type="dxa"/>
          </w:tcPr>
          <w:p w:rsidR="00FE2FC0" w:rsidRPr="00E80962" w:rsidRDefault="00FE2FC0" w:rsidP="00FE2FC0">
            <w:pPr>
              <w:spacing w:after="0" w:line="240" w:lineRule="auto"/>
              <w:jc w:val="center"/>
              <w:rPr>
                <w:color w:val="000000" w:themeColor="text1"/>
              </w:rPr>
            </w:pPr>
            <w:r>
              <w:rPr>
                <w:color w:val="000000" w:themeColor="text1"/>
              </w:rPr>
              <w:t>10908</w:t>
            </w:r>
          </w:p>
        </w:tc>
        <w:tc>
          <w:tcPr>
            <w:tcW w:w="2147" w:type="dxa"/>
            <w:noWrap/>
          </w:tcPr>
          <w:p w:rsidR="00FE2FC0" w:rsidRPr="00E80962" w:rsidRDefault="00FE2FC0" w:rsidP="00FE2FC0">
            <w:pPr>
              <w:spacing w:after="0" w:line="240" w:lineRule="auto"/>
              <w:jc w:val="center"/>
              <w:rPr>
                <w:color w:val="000000" w:themeColor="text1"/>
              </w:rPr>
            </w:pPr>
            <w:r w:rsidRPr="00E80962">
              <w:rPr>
                <w:color w:val="000000" w:themeColor="text1"/>
              </w:rPr>
              <w:t>01.04.202</w:t>
            </w:r>
            <w:r>
              <w:rPr>
                <w:color w:val="000000" w:themeColor="text1"/>
              </w:rPr>
              <w:t>2</w:t>
            </w:r>
          </w:p>
        </w:tc>
        <w:tc>
          <w:tcPr>
            <w:tcW w:w="1723" w:type="dxa"/>
          </w:tcPr>
          <w:p w:rsidR="00FE2FC0" w:rsidRPr="00E80962" w:rsidRDefault="00FE2FC0" w:rsidP="00FE2FC0">
            <w:pPr>
              <w:spacing w:after="0" w:line="240" w:lineRule="auto"/>
              <w:jc w:val="center"/>
              <w:rPr>
                <w:color w:val="000000" w:themeColor="text1"/>
              </w:rPr>
            </w:pPr>
            <w:r>
              <w:rPr>
                <w:color w:val="000000" w:themeColor="text1"/>
              </w:rPr>
              <w:t>01</w:t>
            </w:r>
            <w:r w:rsidRPr="00E80962">
              <w:rPr>
                <w:color w:val="000000" w:themeColor="text1"/>
              </w:rPr>
              <w:t>.0</w:t>
            </w:r>
            <w:r>
              <w:rPr>
                <w:color w:val="000000" w:themeColor="text1"/>
              </w:rPr>
              <w:t>4</w:t>
            </w:r>
            <w:r w:rsidRPr="00E80962">
              <w:rPr>
                <w:color w:val="000000" w:themeColor="text1"/>
              </w:rPr>
              <w:t>.202</w:t>
            </w:r>
            <w:r>
              <w:rPr>
                <w:color w:val="000000" w:themeColor="text1"/>
              </w:rPr>
              <w:t>2</w:t>
            </w:r>
            <w:r w:rsidRPr="00E80962">
              <w:rPr>
                <w:color w:val="000000" w:themeColor="text1"/>
              </w:rPr>
              <w:t>-</w:t>
            </w:r>
            <w:r>
              <w:rPr>
                <w:color w:val="000000" w:themeColor="text1"/>
              </w:rPr>
              <w:t>31796</w:t>
            </w:r>
          </w:p>
        </w:tc>
        <w:tc>
          <w:tcPr>
            <w:tcW w:w="1693" w:type="dxa"/>
            <w:noWrap/>
          </w:tcPr>
          <w:p w:rsidR="00FE2FC0" w:rsidRPr="00E80962" w:rsidRDefault="00FE2FC0" w:rsidP="00FE2FC0">
            <w:pPr>
              <w:spacing w:after="0" w:line="240" w:lineRule="auto"/>
              <w:jc w:val="center"/>
              <w:rPr>
                <w:color w:val="000000" w:themeColor="text1"/>
              </w:rPr>
            </w:pPr>
            <w:r>
              <w:rPr>
                <w:color w:val="000000" w:themeColor="text1"/>
              </w:rPr>
              <w:t>31,8592</w:t>
            </w:r>
          </w:p>
        </w:tc>
        <w:tc>
          <w:tcPr>
            <w:tcW w:w="1487" w:type="dxa"/>
          </w:tcPr>
          <w:p w:rsidR="00FE2FC0" w:rsidRDefault="00FE2FC0" w:rsidP="00FE2FC0">
            <w:pPr>
              <w:spacing w:after="0" w:line="240" w:lineRule="auto"/>
              <w:jc w:val="center"/>
              <w:rPr>
                <w:color w:val="000000" w:themeColor="text1"/>
              </w:rPr>
            </w:pPr>
            <w:r>
              <w:rPr>
                <w:color w:val="000000" w:themeColor="text1"/>
              </w:rPr>
              <w:t>31,8592</w:t>
            </w:r>
          </w:p>
        </w:tc>
      </w:tr>
      <w:tr w:rsidR="00FE2FC0" w:rsidRPr="00E80962" w:rsidTr="007677C9">
        <w:trPr>
          <w:trHeight w:val="397"/>
          <w:jc w:val="center"/>
        </w:trPr>
        <w:tc>
          <w:tcPr>
            <w:tcW w:w="2147" w:type="dxa"/>
            <w:noWrap/>
          </w:tcPr>
          <w:p w:rsidR="00FE2FC0" w:rsidRPr="00E80962" w:rsidRDefault="00FE2FC0" w:rsidP="00FE2FC0">
            <w:pPr>
              <w:spacing w:after="0" w:line="240" w:lineRule="auto"/>
              <w:jc w:val="center"/>
              <w:rPr>
                <w:color w:val="000000" w:themeColor="text1"/>
              </w:rPr>
            </w:pPr>
            <w:r w:rsidRPr="00E80962">
              <w:rPr>
                <w:color w:val="000000" w:themeColor="text1"/>
              </w:rPr>
              <w:t>30.06.202</w:t>
            </w:r>
            <w:r>
              <w:rPr>
                <w:color w:val="000000" w:themeColor="text1"/>
              </w:rPr>
              <w:t>2</w:t>
            </w:r>
          </w:p>
        </w:tc>
        <w:tc>
          <w:tcPr>
            <w:tcW w:w="1146" w:type="dxa"/>
          </w:tcPr>
          <w:p w:rsidR="00FE2FC0" w:rsidRPr="00E80962" w:rsidRDefault="00FE2FC0" w:rsidP="00FE2FC0">
            <w:pPr>
              <w:spacing w:after="0" w:line="240" w:lineRule="auto"/>
              <w:jc w:val="center"/>
              <w:rPr>
                <w:color w:val="000000" w:themeColor="text1"/>
              </w:rPr>
            </w:pPr>
            <w:r>
              <w:rPr>
                <w:color w:val="000000" w:themeColor="text1"/>
              </w:rPr>
              <w:t>11054</w:t>
            </w:r>
          </w:p>
        </w:tc>
        <w:tc>
          <w:tcPr>
            <w:tcW w:w="2147" w:type="dxa"/>
            <w:noWrap/>
          </w:tcPr>
          <w:p w:rsidR="00FE2FC0" w:rsidRPr="00E80962" w:rsidRDefault="00FE2FC0" w:rsidP="00FE2FC0">
            <w:pPr>
              <w:spacing w:after="0" w:line="240" w:lineRule="auto"/>
              <w:jc w:val="center"/>
              <w:rPr>
                <w:color w:val="000000" w:themeColor="text1"/>
              </w:rPr>
            </w:pPr>
            <w:r w:rsidRPr="00E80962">
              <w:rPr>
                <w:color w:val="000000" w:themeColor="text1"/>
              </w:rPr>
              <w:t>01.07.202</w:t>
            </w:r>
            <w:r>
              <w:rPr>
                <w:color w:val="000000" w:themeColor="text1"/>
              </w:rPr>
              <w:t>2</w:t>
            </w:r>
          </w:p>
        </w:tc>
        <w:tc>
          <w:tcPr>
            <w:tcW w:w="1723" w:type="dxa"/>
          </w:tcPr>
          <w:p w:rsidR="00FE2FC0" w:rsidRPr="00E80962" w:rsidRDefault="00FE2FC0" w:rsidP="00FE2FC0">
            <w:pPr>
              <w:spacing w:after="0" w:line="240" w:lineRule="auto"/>
              <w:jc w:val="center"/>
              <w:rPr>
                <w:color w:val="000000" w:themeColor="text1"/>
              </w:rPr>
            </w:pPr>
            <w:r w:rsidRPr="00E80962">
              <w:rPr>
                <w:color w:val="000000" w:themeColor="text1"/>
              </w:rPr>
              <w:t>01.07.202</w:t>
            </w:r>
            <w:r>
              <w:rPr>
                <w:color w:val="000000" w:themeColor="text1"/>
              </w:rPr>
              <w:t>2</w:t>
            </w:r>
            <w:r w:rsidRPr="00E80962">
              <w:rPr>
                <w:color w:val="000000" w:themeColor="text1"/>
              </w:rPr>
              <w:t>-</w:t>
            </w:r>
            <w:r>
              <w:rPr>
                <w:color w:val="000000" w:themeColor="text1"/>
              </w:rPr>
              <w:t>31883</w:t>
            </w:r>
          </w:p>
        </w:tc>
        <w:tc>
          <w:tcPr>
            <w:tcW w:w="1693" w:type="dxa"/>
            <w:noWrap/>
          </w:tcPr>
          <w:p w:rsidR="00FE2FC0" w:rsidRPr="00E80962" w:rsidRDefault="00FE2FC0" w:rsidP="00FE2FC0">
            <w:pPr>
              <w:spacing w:after="0" w:line="240" w:lineRule="auto"/>
              <w:jc w:val="center"/>
              <w:rPr>
                <w:color w:val="000000" w:themeColor="text1"/>
              </w:rPr>
            </w:pPr>
            <w:r>
              <w:rPr>
                <w:color w:val="000000" w:themeColor="text1"/>
              </w:rPr>
              <w:t>31,8592</w:t>
            </w:r>
          </w:p>
        </w:tc>
        <w:tc>
          <w:tcPr>
            <w:tcW w:w="1487" w:type="dxa"/>
          </w:tcPr>
          <w:p w:rsidR="00FE2FC0" w:rsidRDefault="00FE2FC0" w:rsidP="00FE2FC0">
            <w:pPr>
              <w:spacing w:after="0" w:line="240" w:lineRule="auto"/>
              <w:jc w:val="center"/>
              <w:rPr>
                <w:color w:val="000000" w:themeColor="text1"/>
              </w:rPr>
            </w:pPr>
            <w:r>
              <w:rPr>
                <w:color w:val="000000" w:themeColor="text1"/>
              </w:rPr>
              <w:t>31,8592</w:t>
            </w:r>
          </w:p>
        </w:tc>
      </w:tr>
      <w:tr w:rsidR="00FE2FC0" w:rsidRPr="00E80962" w:rsidTr="007677C9">
        <w:trPr>
          <w:trHeight w:val="397"/>
          <w:jc w:val="center"/>
        </w:trPr>
        <w:tc>
          <w:tcPr>
            <w:tcW w:w="2147" w:type="dxa"/>
            <w:noWrap/>
          </w:tcPr>
          <w:p w:rsidR="00FE2FC0" w:rsidRPr="00E80962" w:rsidRDefault="00FE2FC0" w:rsidP="00FE2FC0">
            <w:pPr>
              <w:spacing w:after="0" w:line="240" w:lineRule="auto"/>
              <w:jc w:val="center"/>
              <w:rPr>
                <w:color w:val="000000" w:themeColor="text1"/>
              </w:rPr>
            </w:pPr>
            <w:r>
              <w:rPr>
                <w:color w:val="000000" w:themeColor="text1"/>
              </w:rPr>
              <w:t>08.08.2022</w:t>
            </w:r>
          </w:p>
        </w:tc>
        <w:tc>
          <w:tcPr>
            <w:tcW w:w="1146" w:type="dxa"/>
          </w:tcPr>
          <w:p w:rsidR="00FE2FC0" w:rsidRPr="00E80962" w:rsidRDefault="00FE2FC0" w:rsidP="00FE2FC0">
            <w:pPr>
              <w:spacing w:after="0" w:line="240" w:lineRule="auto"/>
              <w:jc w:val="center"/>
              <w:rPr>
                <w:color w:val="000000" w:themeColor="text1"/>
              </w:rPr>
            </w:pPr>
            <w:r>
              <w:rPr>
                <w:color w:val="000000" w:themeColor="text1"/>
              </w:rPr>
              <w:t>11114</w:t>
            </w:r>
          </w:p>
        </w:tc>
        <w:tc>
          <w:tcPr>
            <w:tcW w:w="2147" w:type="dxa"/>
            <w:noWrap/>
          </w:tcPr>
          <w:p w:rsidR="00FE2FC0" w:rsidRPr="00E80962" w:rsidRDefault="00FE2FC0" w:rsidP="00FE2FC0">
            <w:pPr>
              <w:spacing w:after="0" w:line="240" w:lineRule="auto"/>
              <w:jc w:val="center"/>
              <w:rPr>
                <w:color w:val="000000" w:themeColor="text1"/>
              </w:rPr>
            </w:pPr>
            <w:r>
              <w:rPr>
                <w:color w:val="000000" w:themeColor="text1"/>
              </w:rPr>
              <w:t>09</w:t>
            </w:r>
            <w:r w:rsidRPr="00E80962">
              <w:rPr>
                <w:color w:val="000000" w:themeColor="text1"/>
              </w:rPr>
              <w:t>.</w:t>
            </w:r>
            <w:r>
              <w:rPr>
                <w:color w:val="000000" w:themeColor="text1"/>
              </w:rPr>
              <w:t>08</w:t>
            </w:r>
            <w:r w:rsidRPr="00E80962">
              <w:rPr>
                <w:color w:val="000000" w:themeColor="text1"/>
              </w:rPr>
              <w:t>.2022</w:t>
            </w:r>
          </w:p>
        </w:tc>
        <w:tc>
          <w:tcPr>
            <w:tcW w:w="1723" w:type="dxa"/>
          </w:tcPr>
          <w:p w:rsidR="00FE2FC0" w:rsidRPr="00E80962" w:rsidRDefault="00FE2FC0" w:rsidP="00FE2FC0">
            <w:pPr>
              <w:spacing w:after="0" w:line="240" w:lineRule="auto"/>
              <w:jc w:val="center"/>
              <w:rPr>
                <w:color w:val="000000" w:themeColor="text1"/>
              </w:rPr>
            </w:pPr>
            <w:r>
              <w:rPr>
                <w:color w:val="000000" w:themeColor="text1"/>
              </w:rPr>
              <w:t>09.08</w:t>
            </w:r>
            <w:r w:rsidRPr="00E80962">
              <w:rPr>
                <w:color w:val="000000" w:themeColor="text1"/>
              </w:rPr>
              <w:t>.202</w:t>
            </w:r>
            <w:r>
              <w:rPr>
                <w:color w:val="000000" w:themeColor="text1"/>
              </w:rPr>
              <w:t>2</w:t>
            </w:r>
            <w:r w:rsidRPr="00E80962">
              <w:rPr>
                <w:color w:val="000000" w:themeColor="text1"/>
              </w:rPr>
              <w:t>-</w:t>
            </w:r>
            <w:r>
              <w:rPr>
                <w:color w:val="000000" w:themeColor="text1"/>
              </w:rPr>
              <w:t>31918</w:t>
            </w:r>
          </w:p>
        </w:tc>
        <w:tc>
          <w:tcPr>
            <w:tcW w:w="1693" w:type="dxa"/>
            <w:noWrap/>
          </w:tcPr>
          <w:p w:rsidR="00FE2FC0" w:rsidRPr="00E80962" w:rsidRDefault="00FE2FC0" w:rsidP="00FE2FC0">
            <w:pPr>
              <w:spacing w:after="0" w:line="240" w:lineRule="auto"/>
              <w:jc w:val="center"/>
              <w:rPr>
                <w:color w:val="000000" w:themeColor="text1"/>
              </w:rPr>
            </w:pPr>
            <w:r w:rsidRPr="00E80962">
              <w:rPr>
                <w:color w:val="000000" w:themeColor="text1"/>
              </w:rPr>
              <w:t>31,8592</w:t>
            </w:r>
          </w:p>
        </w:tc>
        <w:tc>
          <w:tcPr>
            <w:tcW w:w="1487" w:type="dxa"/>
          </w:tcPr>
          <w:p w:rsidR="00FE2FC0" w:rsidRDefault="00FE2FC0" w:rsidP="00FE2FC0">
            <w:pPr>
              <w:spacing w:after="0" w:line="240" w:lineRule="auto"/>
              <w:jc w:val="center"/>
              <w:rPr>
                <w:color w:val="000000" w:themeColor="text1"/>
              </w:rPr>
            </w:pPr>
            <w:r>
              <w:rPr>
                <w:color w:val="000000" w:themeColor="text1"/>
              </w:rPr>
              <w:t>110,0321</w:t>
            </w:r>
          </w:p>
        </w:tc>
      </w:tr>
      <w:tr w:rsidR="00FE2FC0" w:rsidRPr="00E80962" w:rsidTr="007677C9">
        <w:trPr>
          <w:trHeight w:val="397"/>
          <w:jc w:val="center"/>
        </w:trPr>
        <w:tc>
          <w:tcPr>
            <w:tcW w:w="2147" w:type="dxa"/>
            <w:noWrap/>
          </w:tcPr>
          <w:p w:rsidR="00FE2FC0" w:rsidRPr="00E80962" w:rsidDel="00290466" w:rsidRDefault="00FE2FC0" w:rsidP="00FE2FC0">
            <w:pPr>
              <w:spacing w:after="0" w:line="240" w:lineRule="auto"/>
              <w:jc w:val="center"/>
              <w:rPr>
                <w:color w:val="000000" w:themeColor="text1"/>
              </w:rPr>
            </w:pPr>
            <w:r>
              <w:rPr>
                <w:color w:val="000000" w:themeColor="text1"/>
              </w:rPr>
              <w:t>29.09.2022</w:t>
            </w:r>
          </w:p>
        </w:tc>
        <w:tc>
          <w:tcPr>
            <w:tcW w:w="1146" w:type="dxa"/>
          </w:tcPr>
          <w:p w:rsidR="00FE2FC0" w:rsidRPr="00E80962" w:rsidDel="00290466" w:rsidRDefault="00FE2FC0" w:rsidP="00FE2FC0">
            <w:pPr>
              <w:spacing w:after="0" w:line="240" w:lineRule="auto"/>
              <w:jc w:val="center"/>
              <w:rPr>
                <w:color w:val="000000" w:themeColor="text1"/>
              </w:rPr>
            </w:pPr>
            <w:r>
              <w:rPr>
                <w:color w:val="000000" w:themeColor="text1"/>
              </w:rPr>
              <w:t>11271</w:t>
            </w:r>
          </w:p>
        </w:tc>
        <w:tc>
          <w:tcPr>
            <w:tcW w:w="2147" w:type="dxa"/>
            <w:noWrap/>
          </w:tcPr>
          <w:p w:rsidR="00FE2FC0" w:rsidRPr="00E80962" w:rsidDel="007A1CB6" w:rsidRDefault="00FE2FC0" w:rsidP="00FE2FC0">
            <w:pPr>
              <w:spacing w:after="0" w:line="240" w:lineRule="auto"/>
              <w:jc w:val="center"/>
              <w:rPr>
                <w:color w:val="000000" w:themeColor="text1"/>
              </w:rPr>
            </w:pPr>
            <w:r>
              <w:rPr>
                <w:color w:val="000000" w:themeColor="text1"/>
              </w:rPr>
              <w:t>01.10.2022</w:t>
            </w:r>
          </w:p>
        </w:tc>
        <w:tc>
          <w:tcPr>
            <w:tcW w:w="1723" w:type="dxa"/>
          </w:tcPr>
          <w:p w:rsidR="00FE2FC0" w:rsidRPr="00E80962" w:rsidDel="007A1CB6" w:rsidRDefault="00FE2FC0" w:rsidP="00FE2FC0">
            <w:pPr>
              <w:spacing w:after="0" w:line="240" w:lineRule="auto"/>
              <w:jc w:val="center"/>
              <w:rPr>
                <w:color w:val="000000" w:themeColor="text1"/>
              </w:rPr>
            </w:pPr>
            <w:r>
              <w:rPr>
                <w:color w:val="000000" w:themeColor="text1"/>
              </w:rPr>
              <w:t>30.09.2022-31969</w:t>
            </w:r>
          </w:p>
        </w:tc>
        <w:tc>
          <w:tcPr>
            <w:tcW w:w="1693" w:type="dxa"/>
            <w:noWrap/>
          </w:tcPr>
          <w:p w:rsidR="00FE2FC0" w:rsidRPr="00E80962" w:rsidRDefault="00FE2FC0" w:rsidP="00FE2FC0">
            <w:pPr>
              <w:spacing w:after="0" w:line="240" w:lineRule="auto"/>
              <w:jc w:val="center"/>
              <w:rPr>
                <w:color w:val="000000" w:themeColor="text1"/>
              </w:rPr>
            </w:pPr>
            <w:r>
              <w:rPr>
                <w:color w:val="000000" w:themeColor="text1"/>
              </w:rPr>
              <w:t>31,8592</w:t>
            </w:r>
          </w:p>
        </w:tc>
        <w:tc>
          <w:tcPr>
            <w:tcW w:w="1487" w:type="dxa"/>
          </w:tcPr>
          <w:p w:rsidR="00FE2FC0" w:rsidRDefault="00FE2FC0" w:rsidP="00FE2FC0">
            <w:pPr>
              <w:spacing w:after="0" w:line="240" w:lineRule="auto"/>
              <w:jc w:val="center"/>
              <w:rPr>
                <w:color w:val="000000" w:themeColor="text1"/>
              </w:rPr>
            </w:pPr>
            <w:r>
              <w:rPr>
                <w:color w:val="000000" w:themeColor="text1"/>
              </w:rPr>
              <w:t>110,0321</w:t>
            </w:r>
          </w:p>
        </w:tc>
      </w:tr>
      <w:tr w:rsidR="00FE2FC0" w:rsidRPr="00E80962" w:rsidTr="007677C9">
        <w:trPr>
          <w:trHeight w:val="397"/>
          <w:jc w:val="center"/>
        </w:trPr>
        <w:tc>
          <w:tcPr>
            <w:tcW w:w="2147" w:type="dxa"/>
            <w:noWrap/>
          </w:tcPr>
          <w:p w:rsidR="00FE2FC0" w:rsidRDefault="00FE2FC0" w:rsidP="00FE2FC0">
            <w:pPr>
              <w:spacing w:after="0" w:line="240" w:lineRule="auto"/>
              <w:jc w:val="center"/>
              <w:rPr>
                <w:color w:val="000000" w:themeColor="text1"/>
              </w:rPr>
            </w:pPr>
            <w:r>
              <w:rPr>
                <w:color w:val="000000" w:themeColor="text1"/>
              </w:rPr>
              <w:t>29.12.2022</w:t>
            </w:r>
          </w:p>
        </w:tc>
        <w:tc>
          <w:tcPr>
            <w:tcW w:w="1146" w:type="dxa"/>
          </w:tcPr>
          <w:p w:rsidR="00FE2FC0" w:rsidRDefault="00FE2FC0" w:rsidP="00FE2FC0">
            <w:pPr>
              <w:spacing w:after="0" w:line="240" w:lineRule="auto"/>
              <w:jc w:val="center"/>
              <w:rPr>
                <w:color w:val="000000" w:themeColor="text1"/>
              </w:rPr>
            </w:pPr>
            <w:r>
              <w:rPr>
                <w:color w:val="000000" w:themeColor="text1"/>
              </w:rPr>
              <w:t>11513</w:t>
            </w:r>
          </w:p>
        </w:tc>
        <w:tc>
          <w:tcPr>
            <w:tcW w:w="2147" w:type="dxa"/>
            <w:noWrap/>
          </w:tcPr>
          <w:p w:rsidR="00FE2FC0" w:rsidRDefault="00FE2FC0" w:rsidP="00FE2FC0">
            <w:pPr>
              <w:spacing w:after="0" w:line="240" w:lineRule="auto"/>
              <w:jc w:val="center"/>
              <w:rPr>
                <w:color w:val="000000" w:themeColor="text1"/>
              </w:rPr>
            </w:pPr>
            <w:r>
              <w:rPr>
                <w:color w:val="000000" w:themeColor="text1"/>
              </w:rPr>
              <w:t>01.01.2023</w:t>
            </w:r>
          </w:p>
        </w:tc>
        <w:tc>
          <w:tcPr>
            <w:tcW w:w="1723" w:type="dxa"/>
          </w:tcPr>
          <w:p w:rsidR="00FE2FC0" w:rsidRDefault="00FE2FC0" w:rsidP="00FE2FC0">
            <w:pPr>
              <w:spacing w:after="0" w:line="240" w:lineRule="auto"/>
              <w:jc w:val="center"/>
              <w:rPr>
                <w:color w:val="000000" w:themeColor="text1"/>
              </w:rPr>
            </w:pPr>
            <w:r>
              <w:rPr>
                <w:color w:val="000000" w:themeColor="text1"/>
              </w:rPr>
              <w:t>30.12.2022-32059</w:t>
            </w:r>
          </w:p>
        </w:tc>
        <w:tc>
          <w:tcPr>
            <w:tcW w:w="1693" w:type="dxa"/>
            <w:noWrap/>
          </w:tcPr>
          <w:p w:rsidR="00FE2FC0" w:rsidRDefault="00FE2FC0" w:rsidP="00FE2FC0">
            <w:pPr>
              <w:spacing w:after="0" w:line="240" w:lineRule="auto"/>
              <w:jc w:val="center"/>
              <w:rPr>
                <w:color w:val="000000" w:themeColor="text1"/>
              </w:rPr>
            </w:pPr>
            <w:r>
              <w:rPr>
                <w:color w:val="000000" w:themeColor="text1"/>
              </w:rPr>
              <w:t>50,0000</w:t>
            </w:r>
          </w:p>
        </w:tc>
        <w:tc>
          <w:tcPr>
            <w:tcW w:w="1487" w:type="dxa"/>
          </w:tcPr>
          <w:p w:rsidR="00FE2FC0" w:rsidRDefault="00FE2FC0" w:rsidP="00FE2FC0">
            <w:pPr>
              <w:spacing w:after="0" w:line="240" w:lineRule="auto"/>
              <w:jc w:val="center"/>
              <w:rPr>
                <w:color w:val="000000" w:themeColor="text1"/>
              </w:rPr>
            </w:pPr>
            <w:r>
              <w:rPr>
                <w:color w:val="000000" w:themeColor="text1"/>
              </w:rPr>
              <w:t>-</w:t>
            </w:r>
          </w:p>
        </w:tc>
      </w:tr>
    </w:tbl>
    <w:p w:rsidR="00FE2FC0" w:rsidRPr="001C7D38" w:rsidRDefault="00FE2FC0" w:rsidP="00FE2FC0">
      <w:pPr>
        <w:rPr>
          <w:rStyle w:val="Gl"/>
        </w:rPr>
      </w:pPr>
    </w:p>
    <w:p w:rsidR="00FE2FC0" w:rsidRPr="001C7D38" w:rsidRDefault="00FE2FC0" w:rsidP="00FE2FC0">
      <w:pPr>
        <w:pStyle w:val="Balk5"/>
        <w:jc w:val="center"/>
        <w:rPr>
          <w:rStyle w:val="Gl"/>
          <w:color w:val="auto"/>
        </w:rPr>
      </w:pPr>
      <w:bookmarkStart w:id="257" w:name="_Toc132713920"/>
      <w:r w:rsidRPr="00FA1354">
        <w:rPr>
          <w:rStyle w:val="Gl"/>
          <w:color w:val="auto"/>
        </w:rPr>
        <w:lastRenderedPageBreak/>
        <w:t>Tablo 4.1</w:t>
      </w:r>
      <w:r>
        <w:rPr>
          <w:rStyle w:val="Gl"/>
          <w:color w:val="auto"/>
        </w:rPr>
        <w:t>7</w:t>
      </w:r>
      <w:r w:rsidRPr="00FA1354">
        <w:rPr>
          <w:rStyle w:val="Gl"/>
          <w:color w:val="auto"/>
        </w:rPr>
        <w:t>: EÜAŞ Toptan Satış Tarifeleri</w:t>
      </w:r>
      <w:r w:rsidRPr="00FA1354">
        <w:rPr>
          <w:rStyle w:val="Gl"/>
          <w:color w:val="auto"/>
        </w:rPr>
        <w:br/>
      </w:r>
      <w:r w:rsidRPr="00FA1354">
        <w:rPr>
          <w:rStyle w:val="Gl"/>
          <w:b w:val="0"/>
          <w:color w:val="auto"/>
        </w:rPr>
        <w:t>(</w:t>
      </w:r>
      <w:r w:rsidRPr="00FA1354">
        <w:rPr>
          <w:rFonts w:asciiTheme="minorHAnsi" w:hAnsiTheme="minorHAnsi"/>
          <w:b/>
          <w:color w:val="auto"/>
        </w:rPr>
        <w:t>Dağıtım Şirketlerine Genel Aydınlatma Kapsamında Yapılan Satışlarda)</w:t>
      </w:r>
      <w:bookmarkEnd w:id="257"/>
    </w:p>
    <w:tbl>
      <w:tblPr>
        <w:tblW w:w="10062"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0A0" w:firstRow="1" w:lastRow="0" w:firstColumn="1" w:lastColumn="0" w:noHBand="0" w:noVBand="0"/>
      </w:tblPr>
      <w:tblGrid>
        <w:gridCol w:w="2055"/>
        <w:gridCol w:w="1843"/>
        <w:gridCol w:w="1842"/>
        <w:gridCol w:w="2268"/>
        <w:gridCol w:w="2054"/>
      </w:tblGrid>
      <w:tr w:rsidR="00FE2FC0" w:rsidRPr="00E80962" w:rsidTr="00FE2FC0">
        <w:trPr>
          <w:trHeight w:val="397"/>
          <w:tblHeader/>
          <w:jc w:val="center"/>
        </w:trPr>
        <w:tc>
          <w:tcPr>
            <w:tcW w:w="2055" w:type="dxa"/>
            <w:shd w:val="clear" w:color="auto" w:fill="6E9ECA"/>
          </w:tcPr>
          <w:p w:rsidR="00FE2FC0" w:rsidRPr="00E80962" w:rsidRDefault="00FE2FC0" w:rsidP="00FE2FC0">
            <w:pPr>
              <w:spacing w:after="0" w:line="240" w:lineRule="auto"/>
              <w:jc w:val="center"/>
              <w:rPr>
                <w:b/>
                <w:bCs/>
                <w:color w:val="FFFFFF" w:themeColor="background1"/>
              </w:rPr>
            </w:pPr>
            <w:r w:rsidRPr="00E80962">
              <w:rPr>
                <w:b/>
                <w:bCs/>
                <w:color w:val="FFFFFF" w:themeColor="background1"/>
              </w:rPr>
              <w:t>Kurul Karar Tarihi</w:t>
            </w:r>
          </w:p>
        </w:tc>
        <w:tc>
          <w:tcPr>
            <w:tcW w:w="1843" w:type="dxa"/>
            <w:shd w:val="clear" w:color="auto" w:fill="6E9ECA"/>
          </w:tcPr>
          <w:p w:rsidR="00FE2FC0" w:rsidRPr="00E80962" w:rsidRDefault="00FE2FC0" w:rsidP="00FE2FC0">
            <w:pPr>
              <w:spacing w:after="0" w:line="240" w:lineRule="auto"/>
              <w:jc w:val="center"/>
              <w:rPr>
                <w:b/>
                <w:bCs/>
                <w:color w:val="FFFFFF" w:themeColor="background1"/>
              </w:rPr>
            </w:pPr>
            <w:r w:rsidRPr="00E80962">
              <w:rPr>
                <w:b/>
                <w:bCs/>
                <w:color w:val="FFFFFF" w:themeColor="background1"/>
              </w:rPr>
              <w:t>Kurul Karar Sayısı</w:t>
            </w:r>
          </w:p>
        </w:tc>
        <w:tc>
          <w:tcPr>
            <w:tcW w:w="1842" w:type="dxa"/>
            <w:shd w:val="clear" w:color="auto" w:fill="6E9ECA"/>
          </w:tcPr>
          <w:p w:rsidR="00FE2FC0" w:rsidRPr="00E80962" w:rsidRDefault="00FE2FC0" w:rsidP="00FE2FC0">
            <w:pPr>
              <w:spacing w:after="0" w:line="240" w:lineRule="auto"/>
              <w:jc w:val="center"/>
              <w:rPr>
                <w:b/>
                <w:bCs/>
                <w:color w:val="FFFFFF" w:themeColor="background1"/>
              </w:rPr>
            </w:pPr>
            <w:r w:rsidRPr="00E80962">
              <w:rPr>
                <w:b/>
                <w:bCs/>
                <w:color w:val="FFFFFF" w:themeColor="background1"/>
              </w:rPr>
              <w:t>Yürürlük Tarihi</w:t>
            </w:r>
          </w:p>
        </w:tc>
        <w:tc>
          <w:tcPr>
            <w:tcW w:w="2268" w:type="dxa"/>
            <w:shd w:val="clear" w:color="auto" w:fill="6E9ECA"/>
          </w:tcPr>
          <w:p w:rsidR="00FE2FC0" w:rsidRPr="00E80962" w:rsidRDefault="00FE2FC0" w:rsidP="00FE2FC0">
            <w:pPr>
              <w:spacing w:after="0" w:line="240" w:lineRule="auto"/>
              <w:jc w:val="center"/>
              <w:rPr>
                <w:b/>
                <w:bCs/>
                <w:color w:val="FFFFFF" w:themeColor="background1"/>
              </w:rPr>
            </w:pPr>
            <w:r w:rsidRPr="00E80962">
              <w:rPr>
                <w:b/>
                <w:bCs/>
                <w:color w:val="FFFFFF" w:themeColor="background1"/>
              </w:rPr>
              <w:t xml:space="preserve">Yayımlandığı </w:t>
            </w:r>
            <w:r w:rsidR="00DC783D">
              <w:rPr>
                <w:b/>
                <w:bCs/>
                <w:color w:val="FFFFFF" w:themeColor="background1"/>
              </w:rPr>
              <w:t>Resmî</w:t>
            </w:r>
            <w:r w:rsidRPr="00E80962">
              <w:rPr>
                <w:b/>
                <w:bCs/>
                <w:color w:val="FFFFFF" w:themeColor="background1"/>
              </w:rPr>
              <w:t xml:space="preserve"> Gazete Tarih ve Sayısı</w:t>
            </w:r>
          </w:p>
        </w:tc>
        <w:tc>
          <w:tcPr>
            <w:tcW w:w="2054" w:type="dxa"/>
            <w:shd w:val="clear" w:color="auto" w:fill="6E9ECA"/>
          </w:tcPr>
          <w:p w:rsidR="00FE2FC0" w:rsidRPr="00E80962" w:rsidRDefault="00FE2FC0" w:rsidP="00FE2FC0">
            <w:pPr>
              <w:spacing w:after="0" w:line="240" w:lineRule="auto"/>
              <w:jc w:val="center"/>
              <w:rPr>
                <w:b/>
                <w:bCs/>
                <w:color w:val="FFFFFF" w:themeColor="background1"/>
              </w:rPr>
            </w:pPr>
            <w:r w:rsidRPr="00E80962">
              <w:rPr>
                <w:b/>
                <w:bCs/>
                <w:color w:val="FFFFFF" w:themeColor="background1"/>
              </w:rPr>
              <w:t>Aktif Elektrik Enerjisi Bedeli (Krş/kWh)</w:t>
            </w:r>
          </w:p>
        </w:tc>
      </w:tr>
      <w:tr w:rsidR="00FE2FC0" w:rsidRPr="00E80962" w:rsidTr="00FE2FC0">
        <w:trPr>
          <w:trHeight w:val="397"/>
          <w:jc w:val="center"/>
        </w:trPr>
        <w:tc>
          <w:tcPr>
            <w:tcW w:w="2055" w:type="dxa"/>
            <w:noWrap/>
          </w:tcPr>
          <w:p w:rsidR="00FE2FC0" w:rsidRPr="00E80962" w:rsidRDefault="00FE2FC0" w:rsidP="00FE2FC0">
            <w:pPr>
              <w:spacing w:after="0" w:line="240" w:lineRule="auto"/>
              <w:jc w:val="center"/>
              <w:rPr>
                <w:color w:val="000000" w:themeColor="text1"/>
              </w:rPr>
            </w:pPr>
            <w:r w:rsidRPr="00290466">
              <w:rPr>
                <w:color w:val="000000" w:themeColor="text1"/>
              </w:rPr>
              <w:t>31.12.2021</w:t>
            </w:r>
          </w:p>
        </w:tc>
        <w:tc>
          <w:tcPr>
            <w:tcW w:w="1843" w:type="dxa"/>
          </w:tcPr>
          <w:p w:rsidR="00FE2FC0" w:rsidRPr="00E80962" w:rsidRDefault="00FE2FC0" w:rsidP="00FE2FC0">
            <w:pPr>
              <w:spacing w:after="0" w:line="240" w:lineRule="auto"/>
              <w:jc w:val="center"/>
              <w:rPr>
                <w:color w:val="000000" w:themeColor="text1"/>
              </w:rPr>
            </w:pPr>
            <w:r w:rsidRPr="00290466">
              <w:rPr>
                <w:color w:val="000000" w:themeColor="text1"/>
              </w:rPr>
              <w:t>10706</w:t>
            </w:r>
          </w:p>
        </w:tc>
        <w:tc>
          <w:tcPr>
            <w:tcW w:w="1842" w:type="dxa"/>
            <w:noWrap/>
          </w:tcPr>
          <w:p w:rsidR="00FE2FC0" w:rsidRPr="00E80962" w:rsidRDefault="00FE2FC0" w:rsidP="00FE2FC0">
            <w:pPr>
              <w:spacing w:after="0" w:line="240" w:lineRule="auto"/>
              <w:jc w:val="center"/>
              <w:rPr>
                <w:color w:val="000000" w:themeColor="text1"/>
              </w:rPr>
            </w:pPr>
            <w:r w:rsidRPr="00290466">
              <w:rPr>
                <w:color w:val="000000" w:themeColor="text1"/>
              </w:rPr>
              <w:t>01.01.2022</w:t>
            </w:r>
          </w:p>
        </w:tc>
        <w:tc>
          <w:tcPr>
            <w:tcW w:w="2268" w:type="dxa"/>
          </w:tcPr>
          <w:p w:rsidR="00FE2FC0" w:rsidRPr="00E80962" w:rsidRDefault="00FE2FC0" w:rsidP="00FE2FC0">
            <w:pPr>
              <w:spacing w:after="0" w:line="240" w:lineRule="auto"/>
              <w:jc w:val="center"/>
              <w:rPr>
                <w:color w:val="000000" w:themeColor="text1"/>
              </w:rPr>
            </w:pPr>
            <w:r w:rsidRPr="00290466">
              <w:rPr>
                <w:color w:val="000000" w:themeColor="text1"/>
              </w:rPr>
              <w:t>31.12.2021-31706</w:t>
            </w:r>
          </w:p>
        </w:tc>
        <w:tc>
          <w:tcPr>
            <w:tcW w:w="2054" w:type="dxa"/>
            <w:noWrap/>
          </w:tcPr>
          <w:p w:rsidR="00FE2FC0" w:rsidRPr="00E80962" w:rsidRDefault="00FE2FC0" w:rsidP="00FE2FC0">
            <w:pPr>
              <w:spacing w:after="0" w:line="240" w:lineRule="auto"/>
              <w:jc w:val="center"/>
              <w:rPr>
                <w:color w:val="000000" w:themeColor="text1"/>
              </w:rPr>
            </w:pPr>
            <w:r w:rsidRPr="00290466">
              <w:rPr>
                <w:color w:val="000000" w:themeColor="text1"/>
              </w:rPr>
              <w:t>135,0000</w:t>
            </w:r>
          </w:p>
        </w:tc>
      </w:tr>
      <w:tr w:rsidR="00FE2FC0" w:rsidRPr="00E80962" w:rsidTr="00FE2FC0">
        <w:trPr>
          <w:trHeight w:val="397"/>
          <w:jc w:val="center"/>
        </w:trPr>
        <w:tc>
          <w:tcPr>
            <w:tcW w:w="2055" w:type="dxa"/>
            <w:noWrap/>
          </w:tcPr>
          <w:p w:rsidR="00FE2FC0" w:rsidRPr="00E80962" w:rsidRDefault="00FE2FC0" w:rsidP="00FE2FC0">
            <w:pPr>
              <w:spacing w:after="0" w:line="240" w:lineRule="auto"/>
              <w:jc w:val="center"/>
              <w:rPr>
                <w:color w:val="000000" w:themeColor="text1"/>
              </w:rPr>
            </w:pPr>
            <w:r w:rsidRPr="00290466">
              <w:rPr>
                <w:color w:val="000000" w:themeColor="text1"/>
              </w:rPr>
              <w:t>31.03.2022</w:t>
            </w:r>
          </w:p>
        </w:tc>
        <w:tc>
          <w:tcPr>
            <w:tcW w:w="1843" w:type="dxa"/>
          </w:tcPr>
          <w:p w:rsidR="00FE2FC0" w:rsidRPr="00E80962" w:rsidRDefault="00FE2FC0" w:rsidP="00FE2FC0">
            <w:pPr>
              <w:spacing w:after="0" w:line="240" w:lineRule="auto"/>
              <w:jc w:val="center"/>
              <w:rPr>
                <w:color w:val="000000" w:themeColor="text1"/>
              </w:rPr>
            </w:pPr>
            <w:r w:rsidRPr="00290466">
              <w:rPr>
                <w:color w:val="000000" w:themeColor="text1"/>
              </w:rPr>
              <w:t>10908</w:t>
            </w:r>
          </w:p>
        </w:tc>
        <w:tc>
          <w:tcPr>
            <w:tcW w:w="1842" w:type="dxa"/>
            <w:noWrap/>
          </w:tcPr>
          <w:p w:rsidR="00FE2FC0" w:rsidRPr="00E80962" w:rsidRDefault="00FE2FC0" w:rsidP="00FE2FC0">
            <w:pPr>
              <w:spacing w:after="0" w:line="240" w:lineRule="auto"/>
              <w:jc w:val="center"/>
              <w:rPr>
                <w:color w:val="000000" w:themeColor="text1"/>
              </w:rPr>
            </w:pPr>
            <w:r w:rsidRPr="00E80962">
              <w:rPr>
                <w:color w:val="000000" w:themeColor="text1"/>
              </w:rPr>
              <w:t>01.04.202</w:t>
            </w:r>
            <w:r>
              <w:rPr>
                <w:color w:val="000000" w:themeColor="text1"/>
              </w:rPr>
              <w:t>2</w:t>
            </w:r>
          </w:p>
        </w:tc>
        <w:tc>
          <w:tcPr>
            <w:tcW w:w="2268" w:type="dxa"/>
          </w:tcPr>
          <w:p w:rsidR="00FE2FC0" w:rsidRPr="00E80962" w:rsidRDefault="00FE2FC0" w:rsidP="00FE2FC0">
            <w:pPr>
              <w:spacing w:after="0" w:line="240" w:lineRule="auto"/>
              <w:jc w:val="center"/>
              <w:rPr>
                <w:color w:val="000000" w:themeColor="text1"/>
              </w:rPr>
            </w:pPr>
            <w:r w:rsidRPr="00290466">
              <w:rPr>
                <w:color w:val="000000" w:themeColor="text1"/>
              </w:rPr>
              <w:t>01.04.2022-31796</w:t>
            </w:r>
          </w:p>
        </w:tc>
        <w:tc>
          <w:tcPr>
            <w:tcW w:w="2054" w:type="dxa"/>
            <w:noWrap/>
          </w:tcPr>
          <w:p w:rsidR="00FE2FC0" w:rsidRPr="00E80962" w:rsidRDefault="00FE2FC0" w:rsidP="00FE2FC0">
            <w:pPr>
              <w:spacing w:after="0" w:line="240" w:lineRule="auto"/>
              <w:jc w:val="center"/>
              <w:rPr>
                <w:color w:val="000000" w:themeColor="text1"/>
              </w:rPr>
            </w:pPr>
            <w:r>
              <w:rPr>
                <w:color w:val="000000" w:themeColor="text1"/>
              </w:rPr>
              <w:t>200</w:t>
            </w:r>
            <w:r w:rsidRPr="00E80962">
              <w:rPr>
                <w:color w:val="000000" w:themeColor="text1"/>
              </w:rPr>
              <w:t>,0000</w:t>
            </w:r>
          </w:p>
        </w:tc>
      </w:tr>
      <w:tr w:rsidR="00FE2FC0" w:rsidRPr="00E80962" w:rsidTr="00FE2FC0">
        <w:trPr>
          <w:trHeight w:val="397"/>
          <w:jc w:val="center"/>
        </w:trPr>
        <w:tc>
          <w:tcPr>
            <w:tcW w:w="2055" w:type="dxa"/>
            <w:noWrap/>
          </w:tcPr>
          <w:p w:rsidR="00FE2FC0" w:rsidRPr="00E80962" w:rsidRDefault="00FE2FC0" w:rsidP="00FE2FC0">
            <w:pPr>
              <w:spacing w:after="0" w:line="240" w:lineRule="auto"/>
              <w:jc w:val="center"/>
              <w:rPr>
                <w:color w:val="000000" w:themeColor="text1"/>
              </w:rPr>
            </w:pPr>
            <w:r w:rsidRPr="00E80962">
              <w:rPr>
                <w:color w:val="000000" w:themeColor="text1"/>
              </w:rPr>
              <w:t>30.06.202</w:t>
            </w:r>
            <w:r>
              <w:rPr>
                <w:color w:val="000000" w:themeColor="text1"/>
              </w:rPr>
              <w:t>2</w:t>
            </w:r>
          </w:p>
        </w:tc>
        <w:tc>
          <w:tcPr>
            <w:tcW w:w="1843" w:type="dxa"/>
          </w:tcPr>
          <w:p w:rsidR="00FE2FC0" w:rsidRPr="00E80962" w:rsidRDefault="00FE2FC0" w:rsidP="00FE2FC0">
            <w:pPr>
              <w:spacing w:after="0" w:line="240" w:lineRule="auto"/>
              <w:jc w:val="center"/>
              <w:rPr>
                <w:color w:val="000000" w:themeColor="text1"/>
              </w:rPr>
            </w:pPr>
            <w:r w:rsidRPr="00290466">
              <w:rPr>
                <w:color w:val="000000" w:themeColor="text1"/>
              </w:rPr>
              <w:t>11054</w:t>
            </w:r>
          </w:p>
        </w:tc>
        <w:tc>
          <w:tcPr>
            <w:tcW w:w="1842" w:type="dxa"/>
            <w:noWrap/>
          </w:tcPr>
          <w:p w:rsidR="00FE2FC0" w:rsidRPr="00E80962" w:rsidRDefault="00FE2FC0" w:rsidP="00FE2FC0">
            <w:pPr>
              <w:spacing w:after="0" w:line="240" w:lineRule="auto"/>
              <w:jc w:val="center"/>
              <w:rPr>
                <w:color w:val="000000" w:themeColor="text1"/>
              </w:rPr>
            </w:pPr>
            <w:r w:rsidRPr="00E80962">
              <w:rPr>
                <w:color w:val="000000" w:themeColor="text1"/>
              </w:rPr>
              <w:t>01.07.202</w:t>
            </w:r>
            <w:r>
              <w:rPr>
                <w:color w:val="000000" w:themeColor="text1"/>
              </w:rPr>
              <w:t>2</w:t>
            </w:r>
          </w:p>
        </w:tc>
        <w:tc>
          <w:tcPr>
            <w:tcW w:w="2268" w:type="dxa"/>
          </w:tcPr>
          <w:p w:rsidR="00FE2FC0" w:rsidRPr="00E80962" w:rsidRDefault="00FE2FC0" w:rsidP="00FE2FC0">
            <w:pPr>
              <w:spacing w:after="0" w:line="240" w:lineRule="auto"/>
              <w:jc w:val="center"/>
              <w:rPr>
                <w:color w:val="000000" w:themeColor="text1"/>
              </w:rPr>
            </w:pPr>
            <w:r w:rsidRPr="00290466">
              <w:rPr>
                <w:color w:val="000000" w:themeColor="text1"/>
              </w:rPr>
              <w:t>01.07.2022-31883</w:t>
            </w:r>
          </w:p>
        </w:tc>
        <w:tc>
          <w:tcPr>
            <w:tcW w:w="2054" w:type="dxa"/>
            <w:noWrap/>
          </w:tcPr>
          <w:p w:rsidR="00FE2FC0" w:rsidRPr="00E80962" w:rsidRDefault="00FE2FC0" w:rsidP="00FE2FC0">
            <w:pPr>
              <w:spacing w:after="0" w:line="240" w:lineRule="auto"/>
              <w:jc w:val="center"/>
              <w:rPr>
                <w:color w:val="000000" w:themeColor="text1"/>
              </w:rPr>
            </w:pPr>
            <w:r>
              <w:rPr>
                <w:color w:val="000000" w:themeColor="text1"/>
              </w:rPr>
              <w:t>256</w:t>
            </w:r>
            <w:r w:rsidRPr="00E80962">
              <w:rPr>
                <w:color w:val="000000" w:themeColor="text1"/>
              </w:rPr>
              <w:t>,0000</w:t>
            </w:r>
          </w:p>
        </w:tc>
      </w:tr>
      <w:tr w:rsidR="00FE2FC0" w:rsidRPr="00E80962" w:rsidTr="00FE2FC0">
        <w:trPr>
          <w:trHeight w:val="397"/>
          <w:jc w:val="center"/>
        </w:trPr>
        <w:tc>
          <w:tcPr>
            <w:tcW w:w="2055" w:type="dxa"/>
            <w:noWrap/>
          </w:tcPr>
          <w:p w:rsidR="00FE2FC0" w:rsidRPr="00E80962" w:rsidRDefault="00FE2FC0" w:rsidP="00FE2FC0">
            <w:pPr>
              <w:spacing w:after="0" w:line="240" w:lineRule="auto"/>
              <w:jc w:val="center"/>
              <w:rPr>
                <w:color w:val="000000" w:themeColor="text1"/>
              </w:rPr>
            </w:pPr>
            <w:r>
              <w:rPr>
                <w:color w:val="000000" w:themeColor="text1"/>
              </w:rPr>
              <w:t>08.08.2022</w:t>
            </w:r>
          </w:p>
        </w:tc>
        <w:tc>
          <w:tcPr>
            <w:tcW w:w="1843" w:type="dxa"/>
          </w:tcPr>
          <w:p w:rsidR="00FE2FC0" w:rsidRPr="00E80962" w:rsidRDefault="00FE2FC0" w:rsidP="00FE2FC0">
            <w:pPr>
              <w:spacing w:after="0" w:line="240" w:lineRule="auto"/>
              <w:jc w:val="center"/>
              <w:rPr>
                <w:color w:val="000000" w:themeColor="text1"/>
              </w:rPr>
            </w:pPr>
            <w:r>
              <w:rPr>
                <w:color w:val="000000" w:themeColor="text1"/>
              </w:rPr>
              <w:t>11114</w:t>
            </w:r>
          </w:p>
        </w:tc>
        <w:tc>
          <w:tcPr>
            <w:tcW w:w="1842" w:type="dxa"/>
            <w:noWrap/>
          </w:tcPr>
          <w:p w:rsidR="00FE2FC0" w:rsidRPr="00E80962" w:rsidRDefault="00FE2FC0" w:rsidP="00FE2FC0">
            <w:pPr>
              <w:spacing w:after="0" w:line="240" w:lineRule="auto"/>
              <w:jc w:val="center"/>
              <w:rPr>
                <w:color w:val="000000" w:themeColor="text1"/>
              </w:rPr>
            </w:pPr>
            <w:r>
              <w:rPr>
                <w:color w:val="000000" w:themeColor="text1"/>
              </w:rPr>
              <w:t>09</w:t>
            </w:r>
            <w:r w:rsidRPr="00E80962">
              <w:rPr>
                <w:color w:val="000000" w:themeColor="text1"/>
              </w:rPr>
              <w:t>.</w:t>
            </w:r>
            <w:r>
              <w:rPr>
                <w:color w:val="000000" w:themeColor="text1"/>
              </w:rPr>
              <w:t>08</w:t>
            </w:r>
            <w:r w:rsidRPr="00E80962">
              <w:rPr>
                <w:color w:val="000000" w:themeColor="text1"/>
              </w:rPr>
              <w:t>.2022</w:t>
            </w:r>
          </w:p>
        </w:tc>
        <w:tc>
          <w:tcPr>
            <w:tcW w:w="2268" w:type="dxa"/>
          </w:tcPr>
          <w:p w:rsidR="00FE2FC0" w:rsidRPr="00E80962" w:rsidRDefault="00FE2FC0" w:rsidP="00FE2FC0">
            <w:pPr>
              <w:spacing w:after="0" w:line="240" w:lineRule="auto"/>
              <w:jc w:val="center"/>
              <w:rPr>
                <w:color w:val="000000" w:themeColor="text1"/>
              </w:rPr>
            </w:pPr>
            <w:r>
              <w:rPr>
                <w:color w:val="000000" w:themeColor="text1"/>
              </w:rPr>
              <w:t>09.08.2022</w:t>
            </w:r>
            <w:r w:rsidRPr="00E80962">
              <w:rPr>
                <w:color w:val="000000" w:themeColor="text1"/>
              </w:rPr>
              <w:t>-</w:t>
            </w:r>
            <w:r>
              <w:rPr>
                <w:color w:val="000000" w:themeColor="text1"/>
              </w:rPr>
              <w:t>31918</w:t>
            </w:r>
          </w:p>
        </w:tc>
        <w:tc>
          <w:tcPr>
            <w:tcW w:w="2054" w:type="dxa"/>
            <w:noWrap/>
          </w:tcPr>
          <w:p w:rsidR="00FE2FC0" w:rsidRPr="00E80962" w:rsidRDefault="00FE2FC0" w:rsidP="00FE2FC0">
            <w:pPr>
              <w:spacing w:after="0" w:line="240" w:lineRule="auto"/>
              <w:jc w:val="center"/>
              <w:rPr>
                <w:color w:val="000000" w:themeColor="text1"/>
              </w:rPr>
            </w:pPr>
            <w:r>
              <w:rPr>
                <w:color w:val="000000" w:themeColor="text1"/>
              </w:rPr>
              <w:t>256</w:t>
            </w:r>
            <w:r w:rsidRPr="00E80962">
              <w:rPr>
                <w:color w:val="000000" w:themeColor="text1"/>
              </w:rPr>
              <w:t>,0000</w:t>
            </w:r>
          </w:p>
        </w:tc>
      </w:tr>
      <w:tr w:rsidR="00FE2FC0" w:rsidRPr="00E80962" w:rsidTr="00FE2FC0">
        <w:trPr>
          <w:trHeight w:val="397"/>
          <w:jc w:val="center"/>
        </w:trPr>
        <w:tc>
          <w:tcPr>
            <w:tcW w:w="2055" w:type="dxa"/>
            <w:noWrap/>
          </w:tcPr>
          <w:p w:rsidR="00FE2FC0" w:rsidRPr="00E80962" w:rsidDel="007A1CB6" w:rsidRDefault="00FE2FC0" w:rsidP="00FE2FC0">
            <w:pPr>
              <w:spacing w:after="0" w:line="240" w:lineRule="auto"/>
              <w:jc w:val="center"/>
              <w:rPr>
                <w:color w:val="000000" w:themeColor="text1"/>
              </w:rPr>
            </w:pPr>
            <w:r w:rsidRPr="007A1CB6">
              <w:rPr>
                <w:color w:val="000000" w:themeColor="text1"/>
              </w:rPr>
              <w:t>29.09.2022</w:t>
            </w:r>
          </w:p>
        </w:tc>
        <w:tc>
          <w:tcPr>
            <w:tcW w:w="1843" w:type="dxa"/>
          </w:tcPr>
          <w:p w:rsidR="00FE2FC0" w:rsidRPr="00E80962" w:rsidDel="007A1CB6" w:rsidRDefault="00FE2FC0" w:rsidP="00FE2FC0">
            <w:pPr>
              <w:spacing w:after="0" w:line="240" w:lineRule="auto"/>
              <w:jc w:val="center"/>
              <w:rPr>
                <w:color w:val="000000" w:themeColor="text1"/>
              </w:rPr>
            </w:pPr>
            <w:r w:rsidRPr="007A1CB6">
              <w:rPr>
                <w:color w:val="000000" w:themeColor="text1"/>
              </w:rPr>
              <w:t>11271</w:t>
            </w:r>
          </w:p>
        </w:tc>
        <w:tc>
          <w:tcPr>
            <w:tcW w:w="1842" w:type="dxa"/>
            <w:noWrap/>
          </w:tcPr>
          <w:p w:rsidR="00FE2FC0" w:rsidRDefault="00FE2FC0" w:rsidP="00FE2FC0">
            <w:pPr>
              <w:spacing w:after="0" w:line="240" w:lineRule="auto"/>
              <w:jc w:val="center"/>
              <w:rPr>
                <w:color w:val="000000" w:themeColor="text1"/>
              </w:rPr>
            </w:pPr>
            <w:r w:rsidRPr="007A1CB6">
              <w:rPr>
                <w:color w:val="000000" w:themeColor="text1"/>
              </w:rPr>
              <w:t>01.10.2022</w:t>
            </w:r>
          </w:p>
        </w:tc>
        <w:tc>
          <w:tcPr>
            <w:tcW w:w="2268" w:type="dxa"/>
          </w:tcPr>
          <w:p w:rsidR="00FE2FC0" w:rsidRPr="00E80962" w:rsidDel="007A1CB6" w:rsidRDefault="00FE2FC0" w:rsidP="00FE2FC0">
            <w:pPr>
              <w:spacing w:after="0" w:line="240" w:lineRule="auto"/>
              <w:jc w:val="center"/>
              <w:rPr>
                <w:color w:val="000000" w:themeColor="text1"/>
              </w:rPr>
            </w:pPr>
            <w:r w:rsidRPr="007A1CB6">
              <w:rPr>
                <w:color w:val="000000" w:themeColor="text1"/>
              </w:rPr>
              <w:t>30.09.2022-31969</w:t>
            </w:r>
          </w:p>
        </w:tc>
        <w:tc>
          <w:tcPr>
            <w:tcW w:w="2054" w:type="dxa"/>
            <w:noWrap/>
          </w:tcPr>
          <w:p w:rsidR="00FE2FC0" w:rsidRPr="00E80962" w:rsidDel="007A1CB6" w:rsidRDefault="00FE2FC0" w:rsidP="00FE2FC0">
            <w:pPr>
              <w:spacing w:after="0" w:line="240" w:lineRule="auto"/>
              <w:jc w:val="center"/>
              <w:rPr>
                <w:color w:val="000000" w:themeColor="text1"/>
              </w:rPr>
            </w:pPr>
            <w:r>
              <w:rPr>
                <w:color w:val="000000" w:themeColor="text1"/>
              </w:rPr>
              <w:t>350,0000</w:t>
            </w:r>
          </w:p>
        </w:tc>
      </w:tr>
      <w:tr w:rsidR="00FE2FC0" w:rsidRPr="00E80962" w:rsidTr="00FE2FC0">
        <w:trPr>
          <w:trHeight w:val="397"/>
          <w:jc w:val="center"/>
        </w:trPr>
        <w:tc>
          <w:tcPr>
            <w:tcW w:w="2055" w:type="dxa"/>
            <w:noWrap/>
          </w:tcPr>
          <w:p w:rsidR="00FE2FC0" w:rsidRPr="007A1CB6" w:rsidRDefault="00FE2FC0" w:rsidP="00FE2FC0">
            <w:pPr>
              <w:spacing w:after="0" w:line="240" w:lineRule="auto"/>
              <w:jc w:val="center"/>
              <w:rPr>
                <w:color w:val="000000" w:themeColor="text1"/>
              </w:rPr>
            </w:pPr>
            <w:r w:rsidRPr="00CB6A17">
              <w:rPr>
                <w:color w:val="000000" w:themeColor="text1"/>
              </w:rPr>
              <w:t>29.12.2022</w:t>
            </w:r>
          </w:p>
        </w:tc>
        <w:tc>
          <w:tcPr>
            <w:tcW w:w="1843" w:type="dxa"/>
          </w:tcPr>
          <w:p w:rsidR="00FE2FC0" w:rsidRPr="007A1CB6" w:rsidRDefault="00FE2FC0" w:rsidP="00FE2FC0">
            <w:pPr>
              <w:spacing w:after="0" w:line="240" w:lineRule="auto"/>
              <w:jc w:val="center"/>
              <w:rPr>
                <w:color w:val="000000" w:themeColor="text1"/>
              </w:rPr>
            </w:pPr>
            <w:r w:rsidRPr="00CB6A17">
              <w:rPr>
                <w:color w:val="000000" w:themeColor="text1"/>
              </w:rPr>
              <w:t>11513</w:t>
            </w:r>
          </w:p>
        </w:tc>
        <w:tc>
          <w:tcPr>
            <w:tcW w:w="1842" w:type="dxa"/>
            <w:noWrap/>
          </w:tcPr>
          <w:p w:rsidR="00FE2FC0" w:rsidRPr="007A1CB6" w:rsidRDefault="00FE2FC0" w:rsidP="00FE2FC0">
            <w:pPr>
              <w:spacing w:after="0" w:line="240" w:lineRule="auto"/>
              <w:jc w:val="center"/>
              <w:rPr>
                <w:color w:val="000000" w:themeColor="text1"/>
              </w:rPr>
            </w:pPr>
            <w:r w:rsidRPr="00CB6A17">
              <w:rPr>
                <w:color w:val="000000" w:themeColor="text1"/>
              </w:rPr>
              <w:t>01.01.2023</w:t>
            </w:r>
          </w:p>
        </w:tc>
        <w:tc>
          <w:tcPr>
            <w:tcW w:w="2268" w:type="dxa"/>
          </w:tcPr>
          <w:p w:rsidR="00FE2FC0" w:rsidRPr="007A1CB6" w:rsidRDefault="00FE2FC0" w:rsidP="00FE2FC0">
            <w:pPr>
              <w:spacing w:after="0" w:line="240" w:lineRule="auto"/>
              <w:jc w:val="center"/>
              <w:rPr>
                <w:color w:val="000000" w:themeColor="text1"/>
              </w:rPr>
            </w:pPr>
            <w:r w:rsidRPr="00CB6A17">
              <w:rPr>
                <w:color w:val="000000" w:themeColor="text1"/>
              </w:rPr>
              <w:t>30.12.2022-32059</w:t>
            </w:r>
          </w:p>
        </w:tc>
        <w:tc>
          <w:tcPr>
            <w:tcW w:w="2054" w:type="dxa"/>
            <w:noWrap/>
          </w:tcPr>
          <w:p w:rsidR="00FE2FC0" w:rsidRDefault="00FE2FC0" w:rsidP="00FE2FC0">
            <w:pPr>
              <w:spacing w:after="0" w:line="240" w:lineRule="auto"/>
              <w:jc w:val="center"/>
              <w:rPr>
                <w:color w:val="000000" w:themeColor="text1"/>
              </w:rPr>
            </w:pPr>
            <w:r>
              <w:rPr>
                <w:color w:val="000000" w:themeColor="text1"/>
              </w:rPr>
              <w:t>380,0000</w:t>
            </w:r>
          </w:p>
        </w:tc>
      </w:tr>
    </w:tbl>
    <w:p w:rsidR="002C3099" w:rsidRPr="00FA1354" w:rsidRDefault="002C3099" w:rsidP="000A5A56">
      <w:pPr>
        <w:pStyle w:val="Balk3"/>
        <w:numPr>
          <w:ilvl w:val="2"/>
          <w:numId w:val="11"/>
        </w:numPr>
        <w:spacing w:after="240"/>
        <w:rPr>
          <w:rFonts w:asciiTheme="minorHAnsi" w:hAnsiTheme="minorHAnsi"/>
          <w:color w:val="000000" w:themeColor="text1"/>
        </w:rPr>
      </w:pPr>
      <w:bookmarkStart w:id="258" w:name="_Toc66267381"/>
      <w:bookmarkStart w:id="259" w:name="_Toc132713810"/>
      <w:bookmarkEnd w:id="256"/>
      <w:r w:rsidRPr="00FA1354">
        <w:rPr>
          <w:rFonts w:asciiTheme="minorHAnsi" w:eastAsia="Times New Roman" w:hAnsiTheme="minorHAnsi" w:cs="Times New Roman"/>
          <w:color w:val="000000" w:themeColor="text1"/>
        </w:rPr>
        <w:t>Türkiye Ortalama Elektrik Toptan Satış Fiyatı</w:t>
      </w:r>
      <w:bookmarkEnd w:id="258"/>
      <w:bookmarkEnd w:id="259"/>
    </w:p>
    <w:p w:rsidR="00D3422D" w:rsidRDefault="00FE2FC0" w:rsidP="002C3099">
      <w:pPr>
        <w:spacing w:after="240"/>
        <w:rPr>
          <w:color w:val="000000" w:themeColor="text1"/>
        </w:rPr>
      </w:pPr>
      <w:r>
        <w:rPr>
          <w:color w:val="000000" w:themeColor="text1"/>
        </w:rPr>
        <w:t>13</w:t>
      </w:r>
      <w:r w:rsidRPr="004417E9">
        <w:rPr>
          <w:color w:val="000000" w:themeColor="text1"/>
        </w:rPr>
        <w:t>.</w:t>
      </w:r>
      <w:r>
        <w:rPr>
          <w:color w:val="000000" w:themeColor="text1"/>
        </w:rPr>
        <w:t>05</w:t>
      </w:r>
      <w:r w:rsidRPr="004417E9">
        <w:rPr>
          <w:color w:val="000000" w:themeColor="text1"/>
        </w:rPr>
        <w:t>.202</w:t>
      </w:r>
      <w:r>
        <w:rPr>
          <w:color w:val="000000" w:themeColor="text1"/>
        </w:rPr>
        <w:t>2</w:t>
      </w:r>
      <w:r w:rsidRPr="004417E9">
        <w:rPr>
          <w:color w:val="000000" w:themeColor="text1"/>
        </w:rPr>
        <w:t xml:space="preserve"> tarihli ve </w:t>
      </w:r>
      <w:r>
        <w:rPr>
          <w:color w:val="000000" w:themeColor="text1"/>
        </w:rPr>
        <w:t xml:space="preserve">31834 </w:t>
      </w:r>
      <w:r w:rsidRPr="004417E9">
        <w:rPr>
          <w:color w:val="000000" w:themeColor="text1"/>
        </w:rPr>
        <w:t xml:space="preserve">sayılı Resmî </w:t>
      </w:r>
      <w:r w:rsidR="00274939">
        <w:rPr>
          <w:color w:val="000000" w:themeColor="text1"/>
        </w:rPr>
        <w:t>Gazetede</w:t>
      </w:r>
      <w:r w:rsidRPr="004417E9">
        <w:rPr>
          <w:color w:val="000000" w:themeColor="text1"/>
        </w:rPr>
        <w:t xml:space="preserve"> yayımlanan </w:t>
      </w:r>
      <w:r>
        <w:rPr>
          <w:color w:val="000000" w:themeColor="text1"/>
        </w:rPr>
        <w:t xml:space="preserve">12.05.2022 </w:t>
      </w:r>
      <w:r w:rsidRPr="004417E9">
        <w:rPr>
          <w:color w:val="000000" w:themeColor="text1"/>
        </w:rPr>
        <w:t xml:space="preserve">tarihli ve </w:t>
      </w:r>
      <w:r>
        <w:rPr>
          <w:color w:val="000000" w:themeColor="text1"/>
        </w:rPr>
        <w:t xml:space="preserve">10973 </w:t>
      </w:r>
      <w:r w:rsidRPr="004417E9">
        <w:rPr>
          <w:color w:val="000000" w:themeColor="text1"/>
        </w:rPr>
        <w:t xml:space="preserve">sayılı Kurul Kararı ile </w:t>
      </w:r>
      <w:r w:rsidRPr="004417E9">
        <w:rPr>
          <w:i/>
          <w:color w:val="000000" w:themeColor="text1"/>
        </w:rPr>
        <w:t>5346 sayılı Yenilenebilir Enerji Kaynaklarının Elektrik Enerjisi Üretimi Amaçlı Kullanımına İlişkin Kanun</w:t>
      </w:r>
      <w:r w:rsidRPr="004417E9">
        <w:rPr>
          <w:color w:val="000000" w:themeColor="text1"/>
        </w:rPr>
        <w:t xml:space="preserve"> kapsamında, 202</w:t>
      </w:r>
      <w:r>
        <w:rPr>
          <w:color w:val="000000" w:themeColor="text1"/>
        </w:rPr>
        <w:t>1</w:t>
      </w:r>
      <w:r w:rsidRPr="004417E9">
        <w:rPr>
          <w:color w:val="000000" w:themeColor="text1"/>
        </w:rPr>
        <w:t xml:space="preserve"> yılına ait Türkiye Ortalama Elektrik Toptan Satış Fiyatının (TORETOSAF) </w:t>
      </w:r>
      <w:r>
        <w:rPr>
          <w:color w:val="000000" w:themeColor="text1"/>
        </w:rPr>
        <w:t xml:space="preserve">51,47 </w:t>
      </w:r>
      <w:r w:rsidRPr="004417E9">
        <w:rPr>
          <w:color w:val="000000" w:themeColor="text1"/>
        </w:rPr>
        <w:t>Kr/kWh olarak belirlenmesine karar verilmiştir.</w:t>
      </w:r>
    </w:p>
    <w:p w:rsidR="002C3099" w:rsidRDefault="002C3099" w:rsidP="00DC783D">
      <w:pPr>
        <w:pStyle w:val="Balk3"/>
        <w:numPr>
          <w:ilvl w:val="2"/>
          <w:numId w:val="11"/>
        </w:numPr>
        <w:spacing w:after="240"/>
        <w:rPr>
          <w:rFonts w:asciiTheme="minorHAnsi" w:eastAsia="Times New Roman" w:hAnsiTheme="minorHAnsi" w:cs="Times New Roman"/>
          <w:color w:val="000000" w:themeColor="text1"/>
        </w:rPr>
      </w:pPr>
      <w:bookmarkStart w:id="260" w:name="_Toc66267382"/>
      <w:bookmarkStart w:id="261" w:name="_Toc132713811"/>
      <w:r>
        <w:rPr>
          <w:rFonts w:asciiTheme="minorHAnsi" w:eastAsia="Times New Roman" w:hAnsiTheme="minorHAnsi" w:cs="Times New Roman"/>
          <w:color w:val="000000" w:themeColor="text1"/>
        </w:rPr>
        <w:t>Elektrik Piyasası ile İlgili Alınan Diğer Tarife Kurul Kararları</w:t>
      </w:r>
      <w:bookmarkEnd w:id="260"/>
      <w:bookmarkEnd w:id="261"/>
    </w:p>
    <w:p w:rsidR="001823C5" w:rsidRDefault="001823C5" w:rsidP="000A5A56">
      <w:pPr>
        <w:pStyle w:val="ListeParagraf"/>
        <w:numPr>
          <w:ilvl w:val="0"/>
          <w:numId w:val="8"/>
        </w:numPr>
        <w:spacing w:after="160" w:line="259" w:lineRule="auto"/>
        <w:rPr>
          <w:rFonts w:ascii="Calibri" w:hAnsi="Calibri" w:cs="Calibri"/>
          <w:color w:val="000000"/>
        </w:rPr>
      </w:pPr>
      <w:r>
        <w:rPr>
          <w:rFonts w:ascii="Calibri" w:hAnsi="Calibri" w:cs="Calibri"/>
          <w:color w:val="000000"/>
        </w:rPr>
        <w:t>22</w:t>
      </w:r>
      <w:r w:rsidRPr="005B3935">
        <w:rPr>
          <w:rFonts w:ascii="Calibri" w:hAnsi="Calibri" w:cs="Calibri"/>
          <w:color w:val="000000"/>
        </w:rPr>
        <w:t>.</w:t>
      </w:r>
      <w:r>
        <w:rPr>
          <w:rFonts w:ascii="Calibri" w:hAnsi="Calibri" w:cs="Calibri"/>
          <w:color w:val="000000"/>
        </w:rPr>
        <w:t>01</w:t>
      </w:r>
      <w:r w:rsidRPr="005B3935">
        <w:rPr>
          <w:rFonts w:ascii="Calibri" w:hAnsi="Calibri" w:cs="Calibri"/>
          <w:color w:val="000000"/>
        </w:rPr>
        <w:t>.202</w:t>
      </w:r>
      <w:r>
        <w:rPr>
          <w:rFonts w:ascii="Calibri" w:hAnsi="Calibri" w:cs="Calibri"/>
          <w:color w:val="000000"/>
        </w:rPr>
        <w:t>2</w:t>
      </w:r>
      <w:r w:rsidRPr="005B3935">
        <w:rPr>
          <w:rFonts w:ascii="Calibri" w:hAnsi="Calibri" w:cs="Calibri"/>
          <w:color w:val="000000"/>
        </w:rPr>
        <w:t xml:space="preserve"> tarihli ve 31</w:t>
      </w:r>
      <w:r>
        <w:rPr>
          <w:rFonts w:ascii="Calibri" w:hAnsi="Calibri" w:cs="Calibri"/>
          <w:color w:val="000000"/>
        </w:rPr>
        <w:t>727</w:t>
      </w:r>
      <w:r w:rsidRPr="005B3935">
        <w:rPr>
          <w:rFonts w:ascii="Calibri" w:hAnsi="Calibri" w:cs="Calibri"/>
          <w:color w:val="000000"/>
        </w:rPr>
        <w:t xml:space="preserve"> sayılı Resmî </w:t>
      </w:r>
      <w:r w:rsidR="00274939">
        <w:rPr>
          <w:rFonts w:ascii="Calibri" w:hAnsi="Calibri" w:cs="Calibri"/>
          <w:color w:val="000000"/>
        </w:rPr>
        <w:t>Gazetede</w:t>
      </w:r>
      <w:r w:rsidRPr="005B3935">
        <w:rPr>
          <w:rFonts w:ascii="Calibri" w:hAnsi="Calibri" w:cs="Calibri"/>
          <w:color w:val="000000"/>
        </w:rPr>
        <w:t xml:space="preserve"> yayımlanan </w:t>
      </w:r>
      <w:r>
        <w:rPr>
          <w:rFonts w:ascii="Calibri" w:hAnsi="Calibri" w:cs="Calibri"/>
          <w:color w:val="000000"/>
        </w:rPr>
        <w:t>20</w:t>
      </w:r>
      <w:r w:rsidRPr="005B3935">
        <w:rPr>
          <w:rFonts w:ascii="Calibri" w:hAnsi="Calibri" w:cs="Calibri"/>
          <w:color w:val="000000"/>
        </w:rPr>
        <w:t>.</w:t>
      </w:r>
      <w:r>
        <w:rPr>
          <w:rFonts w:ascii="Calibri" w:hAnsi="Calibri" w:cs="Calibri"/>
          <w:color w:val="000000"/>
        </w:rPr>
        <w:t>01</w:t>
      </w:r>
      <w:r w:rsidRPr="005B3935">
        <w:rPr>
          <w:rFonts w:ascii="Calibri" w:hAnsi="Calibri" w:cs="Calibri"/>
          <w:color w:val="000000"/>
        </w:rPr>
        <w:t>.202</w:t>
      </w:r>
      <w:r>
        <w:rPr>
          <w:rFonts w:ascii="Calibri" w:hAnsi="Calibri" w:cs="Calibri"/>
          <w:color w:val="000000"/>
        </w:rPr>
        <w:t>2</w:t>
      </w:r>
      <w:r w:rsidRPr="005B3935">
        <w:rPr>
          <w:rFonts w:ascii="Calibri" w:hAnsi="Calibri" w:cs="Calibri"/>
          <w:color w:val="000000"/>
        </w:rPr>
        <w:t xml:space="preserve"> tarihli ve 10</w:t>
      </w:r>
      <w:r>
        <w:rPr>
          <w:rFonts w:ascii="Calibri" w:hAnsi="Calibri" w:cs="Calibri"/>
          <w:color w:val="000000"/>
        </w:rPr>
        <w:t>740</w:t>
      </w:r>
      <w:r w:rsidRPr="005B3935">
        <w:rPr>
          <w:rFonts w:ascii="Calibri" w:hAnsi="Calibri" w:cs="Calibri"/>
          <w:color w:val="000000"/>
        </w:rPr>
        <w:t xml:space="preserve"> sayılı Kurul Kararı ile</w:t>
      </w:r>
      <w:r>
        <w:rPr>
          <w:rFonts w:ascii="Calibri" w:hAnsi="Calibri" w:cs="Calibri"/>
          <w:color w:val="000000"/>
        </w:rPr>
        <w:t xml:space="preserve"> </w:t>
      </w:r>
      <w:r w:rsidRPr="00CF662F">
        <w:rPr>
          <w:rFonts w:ascii="Calibri" w:hAnsi="Calibri" w:cs="Calibri"/>
          <w:color w:val="000000"/>
        </w:rPr>
        <w:t>21</w:t>
      </w:r>
      <w:r>
        <w:rPr>
          <w:rFonts w:ascii="Calibri" w:hAnsi="Calibri" w:cs="Calibri"/>
          <w:color w:val="000000"/>
        </w:rPr>
        <w:t>.</w:t>
      </w:r>
      <w:r w:rsidRPr="00CF662F">
        <w:rPr>
          <w:rFonts w:ascii="Calibri" w:hAnsi="Calibri" w:cs="Calibri"/>
          <w:color w:val="000000"/>
        </w:rPr>
        <w:t>12</w:t>
      </w:r>
      <w:r>
        <w:rPr>
          <w:rFonts w:ascii="Calibri" w:hAnsi="Calibri" w:cs="Calibri"/>
          <w:color w:val="000000"/>
        </w:rPr>
        <w:t>.</w:t>
      </w:r>
      <w:r w:rsidRPr="00CF662F">
        <w:rPr>
          <w:rFonts w:ascii="Calibri" w:hAnsi="Calibri" w:cs="Calibri"/>
          <w:color w:val="000000"/>
        </w:rPr>
        <w:t>2006 tarihli ve 1030 sayılı Kurul Kararının iptali ve yürütmesinin durdurulması talebiyle açılan davada Danıştay 13. Dairesi Başkanlığının 7/6/2021 tarihli ve E:2021/1019 sayılı yürütmeyi durdurma kararının gereğinin yerine getirilmesini teminen 2006 yılına ait Türkiye Ortalama Elektrik Toptan Satış Fiyatının (TORETOSAF) 9,06 kr/kWh olarak belirlenmesine</w:t>
      </w:r>
      <w:r>
        <w:rPr>
          <w:rFonts w:ascii="Calibri" w:hAnsi="Calibri" w:cs="Calibri"/>
          <w:color w:val="000000"/>
        </w:rPr>
        <w:t xml:space="preserve"> </w:t>
      </w:r>
      <w:r w:rsidRPr="00CF662F">
        <w:rPr>
          <w:rFonts w:ascii="Calibri" w:hAnsi="Calibri" w:cs="Calibri"/>
          <w:color w:val="000000"/>
        </w:rPr>
        <w:t>karar verilmiştir.</w:t>
      </w:r>
    </w:p>
    <w:p w:rsidR="00ED44E4" w:rsidRDefault="00ED44E4" w:rsidP="00ED44E4">
      <w:pPr>
        <w:pStyle w:val="ListeParagraf"/>
        <w:spacing w:after="160" w:line="259" w:lineRule="auto"/>
        <w:rPr>
          <w:rFonts w:ascii="Calibri" w:hAnsi="Calibri" w:cs="Calibri"/>
          <w:color w:val="000000"/>
        </w:rPr>
      </w:pPr>
    </w:p>
    <w:p w:rsidR="00745081" w:rsidRDefault="00745081" w:rsidP="000A5A56">
      <w:pPr>
        <w:pStyle w:val="ListeParagraf"/>
        <w:numPr>
          <w:ilvl w:val="0"/>
          <w:numId w:val="29"/>
        </w:numPr>
        <w:spacing w:after="160" w:line="259" w:lineRule="auto"/>
        <w:rPr>
          <w:rFonts w:ascii="Calibri" w:hAnsi="Calibri" w:cs="Calibri"/>
          <w:color w:val="000000"/>
        </w:rPr>
      </w:pPr>
      <w:bookmarkStart w:id="262" w:name="_Hlk113238515"/>
      <w:bookmarkStart w:id="263" w:name="_Hlk113238716"/>
      <w:r>
        <w:rPr>
          <w:rFonts w:ascii="Calibri" w:hAnsi="Calibri" w:cs="Calibri"/>
          <w:color w:val="000000"/>
        </w:rPr>
        <w:t>01</w:t>
      </w:r>
      <w:r w:rsidRPr="005B3935">
        <w:rPr>
          <w:rFonts w:ascii="Calibri" w:hAnsi="Calibri" w:cs="Calibri"/>
          <w:color w:val="000000"/>
        </w:rPr>
        <w:t>.</w:t>
      </w:r>
      <w:r w:rsidRPr="00B961FD">
        <w:rPr>
          <w:rFonts w:ascii="Calibri" w:hAnsi="Calibri" w:cs="Calibri"/>
          <w:color w:val="000000"/>
        </w:rPr>
        <w:t>0</w:t>
      </w:r>
      <w:r>
        <w:rPr>
          <w:rFonts w:ascii="Calibri" w:hAnsi="Calibri" w:cs="Calibri"/>
          <w:color w:val="000000"/>
        </w:rPr>
        <w:t>2</w:t>
      </w:r>
      <w:r w:rsidRPr="005B3935">
        <w:rPr>
          <w:rFonts w:ascii="Calibri" w:hAnsi="Calibri" w:cs="Calibri"/>
          <w:color w:val="000000"/>
        </w:rPr>
        <w:t>.202</w:t>
      </w:r>
      <w:r w:rsidRPr="00B961FD">
        <w:rPr>
          <w:rFonts w:ascii="Calibri" w:hAnsi="Calibri" w:cs="Calibri"/>
          <w:color w:val="000000"/>
        </w:rPr>
        <w:t>2</w:t>
      </w:r>
      <w:r w:rsidRPr="005B3935">
        <w:rPr>
          <w:rFonts w:ascii="Calibri" w:hAnsi="Calibri" w:cs="Calibri"/>
          <w:color w:val="000000"/>
        </w:rPr>
        <w:t xml:space="preserve"> tarihli ve 31</w:t>
      </w:r>
      <w:r w:rsidRPr="00B961FD">
        <w:rPr>
          <w:rFonts w:ascii="Calibri" w:hAnsi="Calibri" w:cs="Calibri"/>
          <w:color w:val="000000"/>
        </w:rPr>
        <w:t>7</w:t>
      </w:r>
      <w:r>
        <w:rPr>
          <w:rFonts w:ascii="Calibri" w:hAnsi="Calibri" w:cs="Calibri"/>
          <w:color w:val="000000"/>
        </w:rPr>
        <w:t>37</w:t>
      </w:r>
      <w:r w:rsidRPr="005B3935">
        <w:rPr>
          <w:rFonts w:ascii="Calibri" w:hAnsi="Calibri" w:cs="Calibri"/>
          <w:color w:val="000000"/>
        </w:rPr>
        <w:t xml:space="preserve"> sayılı Resmî </w:t>
      </w:r>
      <w:r w:rsidR="00274939">
        <w:rPr>
          <w:rFonts w:ascii="Calibri" w:hAnsi="Calibri" w:cs="Calibri"/>
          <w:color w:val="000000"/>
        </w:rPr>
        <w:t>Gazetede</w:t>
      </w:r>
      <w:r w:rsidRPr="005B3935">
        <w:rPr>
          <w:rFonts w:ascii="Calibri" w:hAnsi="Calibri" w:cs="Calibri"/>
          <w:color w:val="000000"/>
        </w:rPr>
        <w:t xml:space="preserve"> yayımlanan </w:t>
      </w:r>
      <w:r>
        <w:rPr>
          <w:rFonts w:ascii="Calibri" w:hAnsi="Calibri" w:cs="Calibri"/>
          <w:color w:val="000000"/>
        </w:rPr>
        <w:t>31</w:t>
      </w:r>
      <w:r w:rsidRPr="005B3935">
        <w:rPr>
          <w:rFonts w:ascii="Calibri" w:hAnsi="Calibri" w:cs="Calibri"/>
          <w:color w:val="000000"/>
        </w:rPr>
        <w:t>.</w:t>
      </w:r>
      <w:r w:rsidRPr="00B961FD">
        <w:rPr>
          <w:rFonts w:ascii="Calibri" w:hAnsi="Calibri" w:cs="Calibri"/>
          <w:color w:val="000000"/>
        </w:rPr>
        <w:t>01</w:t>
      </w:r>
      <w:r w:rsidRPr="005B3935">
        <w:rPr>
          <w:rFonts w:ascii="Calibri" w:hAnsi="Calibri" w:cs="Calibri"/>
          <w:color w:val="000000"/>
        </w:rPr>
        <w:t>.202</w:t>
      </w:r>
      <w:r w:rsidRPr="00B961FD">
        <w:rPr>
          <w:rFonts w:ascii="Calibri" w:hAnsi="Calibri" w:cs="Calibri"/>
          <w:color w:val="000000"/>
        </w:rPr>
        <w:t>2</w:t>
      </w:r>
      <w:r w:rsidRPr="005B3935">
        <w:rPr>
          <w:rFonts w:ascii="Calibri" w:hAnsi="Calibri" w:cs="Calibri"/>
          <w:color w:val="000000"/>
        </w:rPr>
        <w:t xml:space="preserve"> tarihli ve 10</w:t>
      </w:r>
      <w:r w:rsidRPr="00B961FD">
        <w:rPr>
          <w:rFonts w:ascii="Calibri" w:hAnsi="Calibri" w:cs="Calibri"/>
          <w:color w:val="000000"/>
        </w:rPr>
        <w:t>7</w:t>
      </w:r>
      <w:r>
        <w:rPr>
          <w:rFonts w:ascii="Calibri" w:hAnsi="Calibri" w:cs="Calibri"/>
          <w:color w:val="000000"/>
        </w:rPr>
        <w:t>56</w:t>
      </w:r>
      <w:r w:rsidRPr="005B3935">
        <w:rPr>
          <w:rFonts w:ascii="Calibri" w:hAnsi="Calibri" w:cs="Calibri"/>
          <w:color w:val="000000"/>
        </w:rPr>
        <w:t xml:space="preserve"> sayılı Kurul Kararı ile</w:t>
      </w:r>
      <w:bookmarkEnd w:id="262"/>
      <w:r>
        <w:rPr>
          <w:rFonts w:ascii="Calibri" w:hAnsi="Calibri" w:cs="Calibri"/>
          <w:color w:val="000000"/>
        </w:rPr>
        <w:t xml:space="preserve"> </w:t>
      </w:r>
      <w:bookmarkEnd w:id="263"/>
      <w:r w:rsidRPr="00B961FD">
        <w:rPr>
          <w:rFonts w:ascii="Calibri" w:hAnsi="Calibri" w:cs="Calibri"/>
          <w:color w:val="000000"/>
        </w:rPr>
        <w:t>31</w:t>
      </w:r>
      <w:r>
        <w:rPr>
          <w:rFonts w:ascii="Calibri" w:hAnsi="Calibri" w:cs="Calibri"/>
          <w:color w:val="000000"/>
        </w:rPr>
        <w:t>.</w:t>
      </w:r>
      <w:r w:rsidRPr="00B961FD">
        <w:rPr>
          <w:rFonts w:ascii="Calibri" w:hAnsi="Calibri" w:cs="Calibri"/>
          <w:color w:val="000000"/>
        </w:rPr>
        <w:t>12</w:t>
      </w:r>
      <w:r>
        <w:rPr>
          <w:rFonts w:ascii="Calibri" w:hAnsi="Calibri" w:cs="Calibri"/>
          <w:color w:val="000000"/>
        </w:rPr>
        <w:t>.</w:t>
      </w:r>
      <w:r w:rsidRPr="00B961FD">
        <w:rPr>
          <w:rFonts w:ascii="Calibri" w:hAnsi="Calibri" w:cs="Calibri"/>
          <w:color w:val="000000"/>
        </w:rPr>
        <w:t>2021 tarihli ve 10707 sayılı Kurul Kararı ile mesken alçak gerilim tek zamanlı abone grubu için faturaya esas günlük ortalama 5 kWh olarak belirlenen tüketim miktarının, 1/2/2022 tarihinden itibaren düzenlenecek faturalar için günlük ortalama 7 kWh olarak güncellenmesine,</w:t>
      </w:r>
      <w:r>
        <w:rPr>
          <w:rFonts w:ascii="Calibri" w:hAnsi="Calibri" w:cs="Calibri"/>
          <w:color w:val="000000"/>
        </w:rPr>
        <w:t xml:space="preserve"> </w:t>
      </w:r>
      <w:r w:rsidRPr="00B961FD">
        <w:rPr>
          <w:rFonts w:ascii="Calibri" w:hAnsi="Calibri" w:cs="Calibri"/>
          <w:color w:val="000000"/>
        </w:rPr>
        <w:t>karar verilmiştir.</w:t>
      </w:r>
    </w:p>
    <w:p w:rsidR="00ED44E4" w:rsidRDefault="00ED44E4" w:rsidP="00ED44E4">
      <w:pPr>
        <w:pStyle w:val="ListeParagraf"/>
        <w:spacing w:after="160" w:line="259" w:lineRule="auto"/>
        <w:rPr>
          <w:rFonts w:ascii="Calibri" w:hAnsi="Calibri" w:cs="Calibri"/>
          <w:color w:val="000000"/>
        </w:rPr>
      </w:pPr>
    </w:p>
    <w:p w:rsidR="00EE59CF" w:rsidRDefault="00EE59CF" w:rsidP="000A5A56">
      <w:pPr>
        <w:numPr>
          <w:ilvl w:val="0"/>
          <w:numId w:val="29"/>
        </w:numPr>
        <w:spacing w:after="160" w:line="259" w:lineRule="auto"/>
      </w:pPr>
      <w:bookmarkStart w:id="264" w:name="_Hlk113629376"/>
      <w:r>
        <w:t>01</w:t>
      </w:r>
      <w:r w:rsidRPr="00F86ECA">
        <w:t>.0</w:t>
      </w:r>
      <w:r>
        <w:t>3</w:t>
      </w:r>
      <w:r w:rsidRPr="00F86ECA">
        <w:t>.2022 tarihli ve 317</w:t>
      </w:r>
      <w:r>
        <w:t>65</w:t>
      </w:r>
      <w:r w:rsidRPr="00F86ECA">
        <w:t xml:space="preserve"> sayılı Resmî </w:t>
      </w:r>
      <w:r w:rsidR="00274939">
        <w:t>Gazetede</w:t>
      </w:r>
      <w:r w:rsidRPr="00F86ECA">
        <w:t xml:space="preserve"> yayımlanan </w:t>
      </w:r>
      <w:r>
        <w:t>24</w:t>
      </w:r>
      <w:r w:rsidRPr="00F86ECA">
        <w:t>.0</w:t>
      </w:r>
      <w:r>
        <w:t>2</w:t>
      </w:r>
      <w:r w:rsidRPr="00F86ECA">
        <w:t>.2022 tarihli ve 10</w:t>
      </w:r>
      <w:r>
        <w:t>817</w:t>
      </w:r>
      <w:r w:rsidRPr="00F86ECA">
        <w:t xml:space="preserve"> sayılı Kurul Kararı ile 31</w:t>
      </w:r>
      <w:r>
        <w:t>.</w:t>
      </w:r>
      <w:r w:rsidRPr="00F86ECA">
        <w:t>12</w:t>
      </w:r>
      <w:r>
        <w:t>.</w:t>
      </w:r>
      <w:r w:rsidRPr="00F86ECA">
        <w:t xml:space="preserve">2015 tarihli ve 29579 4. Mükerrer sayılı Resmî </w:t>
      </w:r>
      <w:r w:rsidR="00274939">
        <w:t>Gazetede</w:t>
      </w:r>
      <w:r w:rsidRPr="00F86ECA">
        <w:t xml:space="preserve"> yayımlanarak yürürlüğe giren </w:t>
      </w:r>
      <w:r w:rsidRPr="00D34E94">
        <w:rPr>
          <w:b/>
        </w:rPr>
        <w:t>Dağıtım Lisansı Sahibi Tüzel Kişiler ve Görevli Tedarik Şirketlerinin Tarife Uygulamalarına İlişkin Usul ve Esasların</w:t>
      </w:r>
      <w:r w:rsidRPr="00F86ECA">
        <w:t xml:space="preserve"> 4 üncü maddesinin birinci fıkrası aşağıdaki şekilde değiştirilmiştir:</w:t>
      </w:r>
    </w:p>
    <w:bookmarkEnd w:id="264"/>
    <w:p w:rsidR="00EE59CF" w:rsidRPr="00C66064" w:rsidRDefault="00EE59CF" w:rsidP="00EE59CF">
      <w:pPr>
        <w:tabs>
          <w:tab w:val="right" w:pos="9072"/>
        </w:tabs>
        <w:spacing w:after="0" w:line="240" w:lineRule="auto"/>
        <w:ind w:left="851"/>
        <w:rPr>
          <w:rFonts w:eastAsia="Times New Roman" w:cstheme="minorHAnsi"/>
          <w:spacing w:val="-2"/>
          <w:lang w:eastAsia="tr-TR"/>
        </w:rPr>
      </w:pPr>
      <w:r w:rsidRPr="00F86ECA">
        <w:rPr>
          <w:i/>
          <w:iCs/>
        </w:rPr>
        <w:t xml:space="preserve">“(1) Mesken olarak kullanılan müstakil binalar, apartmanlar ve apartmanlar içindeki bağımsız bölümler, konut kooperatifleri ve konut siteleri ile bu yerlerin ayrı sayaç ile ölçümleri yapılan kalorifer, asansör, hidrofor, merdiven otomatiği, kapıcı dairesi ve benzeri ortak kullanım yerleri, ibadethanelerin 27/7/2013 tarihli ve 28720 sayılı Resmî </w:t>
      </w:r>
      <w:r w:rsidR="00274939">
        <w:rPr>
          <w:i/>
          <w:iCs/>
        </w:rPr>
        <w:t>Gazetede</w:t>
      </w:r>
      <w:r w:rsidRPr="00F86ECA">
        <w:rPr>
          <w:i/>
          <w:iCs/>
        </w:rPr>
        <w:t xml:space="preserve"> yayımlanarak yürürlüğe giren Genel Aydınlatma Yönetmeliği kapsamında yer almayan tüketimleri ile müştemilatı niteliğindeki lojman ve benzeri yerleri, T.C. İçişleri Bakanlığı Afet ve Acil Durum Yönetimi Başkanlığı (AFAD) tarafından kurulan geçici barınma merkezleri, iktisadi işletmeleri hariç olmak üzere demek ve vakıf merkezleri ile bunların şubeleri, </w:t>
      </w:r>
      <w:r w:rsidR="00DC783D" w:rsidRPr="00F86ECA">
        <w:rPr>
          <w:i/>
          <w:iCs/>
        </w:rPr>
        <w:t>ce</w:t>
      </w:r>
      <w:r w:rsidR="00DC783D">
        <w:rPr>
          <w:i/>
          <w:iCs/>
        </w:rPr>
        <w:t>m</w:t>
      </w:r>
      <w:r w:rsidR="00DC783D" w:rsidRPr="00F86ECA">
        <w:rPr>
          <w:i/>
          <w:iCs/>
        </w:rPr>
        <w:t>evleri</w:t>
      </w:r>
      <w:r w:rsidRPr="00F86ECA">
        <w:rPr>
          <w:i/>
          <w:iCs/>
        </w:rPr>
        <w:t>, köylerde içme suyu temini ve dağıtımı amaçlı kullanılan tesisler mesken abone grubu kapsamındadır.”</w:t>
      </w:r>
    </w:p>
    <w:p w:rsidR="00745081" w:rsidRDefault="00745081" w:rsidP="00745081">
      <w:pPr>
        <w:pStyle w:val="ListeParagraf"/>
        <w:spacing w:after="160" w:line="259" w:lineRule="auto"/>
      </w:pPr>
    </w:p>
    <w:p w:rsidR="004C03A3" w:rsidRDefault="004C03A3" w:rsidP="004C03A3">
      <w:pPr>
        <w:pStyle w:val="ListeParagraf"/>
        <w:numPr>
          <w:ilvl w:val="0"/>
          <w:numId w:val="29"/>
        </w:numPr>
        <w:spacing w:after="160" w:line="259" w:lineRule="auto"/>
      </w:pPr>
      <w:r>
        <w:lastRenderedPageBreak/>
        <w:t xml:space="preserve">01.03.2022 tarih ve 31765 sayılı </w:t>
      </w:r>
      <w:r w:rsidRPr="00FB5D3F">
        <w:t>Resmî</w:t>
      </w:r>
      <w:r>
        <w:t xml:space="preserve"> </w:t>
      </w:r>
      <w:r w:rsidR="00274939">
        <w:t>Gazetede</w:t>
      </w:r>
      <w:r>
        <w:t xml:space="preserve"> yayımlanan 28</w:t>
      </w:r>
      <w:r w:rsidRPr="00AB0B60">
        <w:t>.0</w:t>
      </w:r>
      <w:r>
        <w:t>2</w:t>
      </w:r>
      <w:r w:rsidRPr="00AB0B60">
        <w:t>.202</w:t>
      </w:r>
      <w:r>
        <w:t>2</w:t>
      </w:r>
      <w:r w:rsidRPr="00AB0B60">
        <w:t xml:space="preserve"> tarihli ve </w:t>
      </w:r>
      <w:r>
        <w:t>10818</w:t>
      </w:r>
      <w:r w:rsidRPr="00AB0B60">
        <w:t xml:space="preserve"> </w:t>
      </w:r>
      <w:r>
        <w:t>s</w:t>
      </w:r>
      <w:r w:rsidRPr="00B27810">
        <w:t>ayılı</w:t>
      </w:r>
      <w:r>
        <w:t xml:space="preserve"> Kurul</w:t>
      </w:r>
      <w:r w:rsidRPr="00B27810">
        <w:t xml:space="preserve"> Kararı</w:t>
      </w:r>
      <w:r>
        <w:t xml:space="preserve"> ile </w:t>
      </w:r>
      <w:r w:rsidRPr="002978D3">
        <w:t>31</w:t>
      </w:r>
      <w:r>
        <w:t>.0</w:t>
      </w:r>
      <w:r w:rsidRPr="002978D3">
        <w:t>1</w:t>
      </w:r>
      <w:r>
        <w:t>.</w:t>
      </w:r>
      <w:r w:rsidRPr="002978D3">
        <w:t xml:space="preserve">2022 tarihli ve 10756 sayılı Kurul Kararı ile mesken alçak gerilim tek zamanlı abone grubu için faturaya esas günlük ortalama 7 kWh olarak belirlenen tüketim miktarının, </w:t>
      </w:r>
      <w:r>
        <w:t>0</w:t>
      </w:r>
      <w:r w:rsidRPr="002978D3">
        <w:t>1</w:t>
      </w:r>
      <w:r>
        <w:t>.0</w:t>
      </w:r>
      <w:r w:rsidRPr="002978D3">
        <w:t>3</w:t>
      </w:r>
      <w:r>
        <w:t>.</w:t>
      </w:r>
      <w:r w:rsidRPr="002978D3">
        <w:t>2022 tarihinden itibaren düzenlenecek faturalar için günlük ortalama 8 kWh olarak güncellenmesine karar verilmiştir.</w:t>
      </w:r>
    </w:p>
    <w:p w:rsidR="004C03A3" w:rsidRDefault="004C03A3" w:rsidP="004C03A3">
      <w:pPr>
        <w:pStyle w:val="ListeParagraf"/>
        <w:spacing w:after="160" w:line="259" w:lineRule="auto"/>
      </w:pPr>
    </w:p>
    <w:p w:rsidR="004C03A3" w:rsidRDefault="004C03A3" w:rsidP="004C03A3">
      <w:pPr>
        <w:pStyle w:val="ListeParagraf"/>
        <w:numPr>
          <w:ilvl w:val="0"/>
          <w:numId w:val="29"/>
        </w:numPr>
        <w:spacing w:after="160" w:line="259" w:lineRule="auto"/>
      </w:pPr>
      <w:r>
        <w:t xml:space="preserve">01.03.2022 tarihli ve 31765 sayılı Resmî </w:t>
      </w:r>
      <w:r w:rsidR="00274939">
        <w:t>Gazetede</w:t>
      </w:r>
      <w:r>
        <w:t xml:space="preserve"> yayımlanan 28</w:t>
      </w:r>
      <w:r w:rsidRPr="00AB0B60">
        <w:t>.0</w:t>
      </w:r>
      <w:r>
        <w:t>2</w:t>
      </w:r>
      <w:r w:rsidRPr="00AB0B60">
        <w:t>.202</w:t>
      </w:r>
      <w:r>
        <w:t>2</w:t>
      </w:r>
      <w:r w:rsidRPr="00AB0B60">
        <w:t xml:space="preserve"> tarihli ve </w:t>
      </w:r>
      <w:r>
        <w:t>10819</w:t>
      </w:r>
      <w:r w:rsidRPr="00AB0B60">
        <w:t xml:space="preserve"> sayılı</w:t>
      </w:r>
      <w:r>
        <w:t xml:space="preserve"> </w:t>
      </w:r>
      <w:r w:rsidRPr="00E467D4">
        <w:t>Kurul</w:t>
      </w:r>
      <w:r w:rsidRPr="004560FF">
        <w:t xml:space="preserve"> Kararı</w:t>
      </w:r>
      <w:r>
        <w:t xml:space="preserve"> ile </w:t>
      </w:r>
      <w:r w:rsidRPr="002978D3">
        <w:t xml:space="preserve">6446 sayılı Elektrik Piyasası Kanununun 17 nci maddesinin dördüncü fıkrası kapsamında, </w:t>
      </w:r>
      <w:r>
        <w:t>01.0</w:t>
      </w:r>
      <w:r w:rsidRPr="002978D3">
        <w:t>3</w:t>
      </w:r>
      <w:r>
        <w:t>.</w:t>
      </w:r>
      <w:r w:rsidRPr="002978D3">
        <w:t>2022 tarihinden itibaren ticarethane alçak gerilim tek zamanlı abone grubu için faturaya esas günlük ortalama 30 kWh tüketim miktarına kadar olan tüketimlere düşük kademeli tarife uygulanmasına; faturaya esas günlük ortalama 30 kWh tüketim miktarının üzerinde olan tüketimlerin belirtilen limite kadar olan kısmına düşük kademeli tarife, limiti aşan kısmına yüksek kademeli tarife uygulanmasına karar verilmiştir.</w:t>
      </w:r>
    </w:p>
    <w:p w:rsidR="00554C63" w:rsidRDefault="00554C63" w:rsidP="00554C63">
      <w:pPr>
        <w:pStyle w:val="ListeParagraf"/>
      </w:pPr>
    </w:p>
    <w:p w:rsidR="00554C63" w:rsidRDefault="00554C63" w:rsidP="00554C63">
      <w:pPr>
        <w:pStyle w:val="ListeParagraf"/>
        <w:spacing w:after="160" w:line="259" w:lineRule="auto"/>
        <w:rPr>
          <w:rFonts w:ascii="Calibri" w:hAnsi="Calibri" w:cs="Calibri"/>
          <w:color w:val="000000"/>
        </w:rPr>
      </w:pPr>
    </w:p>
    <w:p w:rsidR="00554C63" w:rsidRPr="00E06798" w:rsidRDefault="00554C63" w:rsidP="00554C63">
      <w:pPr>
        <w:pStyle w:val="ListeParagraf"/>
        <w:numPr>
          <w:ilvl w:val="0"/>
          <w:numId w:val="57"/>
        </w:numPr>
        <w:spacing w:after="160" w:line="259" w:lineRule="auto"/>
        <w:rPr>
          <w:rFonts w:ascii="Calibri" w:hAnsi="Calibri" w:cs="Calibri"/>
          <w:color w:val="000000"/>
        </w:rPr>
      </w:pPr>
      <w:r w:rsidRPr="0096477E">
        <w:rPr>
          <w:rFonts w:ascii="Calibri" w:hAnsi="Calibri" w:cs="Calibri"/>
          <w:color w:val="000000"/>
        </w:rPr>
        <w:t>0</w:t>
      </w:r>
      <w:r>
        <w:rPr>
          <w:rFonts w:ascii="Calibri" w:hAnsi="Calibri" w:cs="Calibri"/>
          <w:color w:val="000000"/>
        </w:rPr>
        <w:t>2</w:t>
      </w:r>
      <w:r w:rsidRPr="005B3935">
        <w:rPr>
          <w:rFonts w:ascii="Calibri" w:hAnsi="Calibri" w:cs="Calibri"/>
          <w:color w:val="000000"/>
        </w:rPr>
        <w:t>.</w:t>
      </w:r>
      <w:r w:rsidRPr="0096477E">
        <w:rPr>
          <w:rFonts w:ascii="Calibri" w:hAnsi="Calibri" w:cs="Calibri"/>
          <w:color w:val="000000"/>
        </w:rPr>
        <w:t>0</w:t>
      </w:r>
      <w:r>
        <w:rPr>
          <w:rFonts w:ascii="Calibri" w:hAnsi="Calibri" w:cs="Calibri"/>
          <w:color w:val="000000"/>
        </w:rPr>
        <w:t>4</w:t>
      </w:r>
      <w:r w:rsidRPr="005B3935">
        <w:rPr>
          <w:rFonts w:ascii="Calibri" w:hAnsi="Calibri" w:cs="Calibri"/>
          <w:color w:val="000000"/>
        </w:rPr>
        <w:t>.202</w:t>
      </w:r>
      <w:r w:rsidRPr="0096477E">
        <w:rPr>
          <w:rFonts w:ascii="Calibri" w:hAnsi="Calibri" w:cs="Calibri"/>
          <w:color w:val="000000"/>
        </w:rPr>
        <w:t>2</w:t>
      </w:r>
      <w:r w:rsidRPr="005B3935">
        <w:rPr>
          <w:rFonts w:ascii="Calibri" w:hAnsi="Calibri" w:cs="Calibri"/>
          <w:color w:val="000000"/>
        </w:rPr>
        <w:t xml:space="preserve"> tarihli ve 31</w:t>
      </w:r>
      <w:r w:rsidRPr="0096477E">
        <w:rPr>
          <w:rFonts w:ascii="Calibri" w:hAnsi="Calibri" w:cs="Calibri"/>
          <w:color w:val="000000"/>
        </w:rPr>
        <w:t>7</w:t>
      </w:r>
      <w:r>
        <w:rPr>
          <w:rFonts w:ascii="Calibri" w:hAnsi="Calibri" w:cs="Calibri"/>
          <w:color w:val="000000"/>
        </w:rPr>
        <w:t>9</w:t>
      </w:r>
      <w:r w:rsidRPr="0096477E">
        <w:rPr>
          <w:rFonts w:ascii="Calibri" w:hAnsi="Calibri" w:cs="Calibri"/>
          <w:color w:val="000000"/>
        </w:rPr>
        <w:t>7</w:t>
      </w:r>
      <w:r w:rsidRPr="005B3935">
        <w:rPr>
          <w:rFonts w:ascii="Calibri" w:hAnsi="Calibri" w:cs="Calibri"/>
          <w:color w:val="000000"/>
        </w:rPr>
        <w:t xml:space="preserve"> sayılı Resmî </w:t>
      </w:r>
      <w:r w:rsidR="00274939">
        <w:rPr>
          <w:rFonts w:ascii="Calibri" w:hAnsi="Calibri" w:cs="Calibri"/>
          <w:color w:val="000000"/>
        </w:rPr>
        <w:t>Gazetede</w:t>
      </w:r>
      <w:r w:rsidRPr="005B3935">
        <w:rPr>
          <w:rFonts w:ascii="Calibri" w:hAnsi="Calibri" w:cs="Calibri"/>
          <w:color w:val="000000"/>
        </w:rPr>
        <w:t xml:space="preserve"> yayımlanan </w:t>
      </w:r>
      <w:r>
        <w:rPr>
          <w:rFonts w:ascii="Calibri" w:hAnsi="Calibri" w:cs="Calibri"/>
          <w:color w:val="000000"/>
        </w:rPr>
        <w:t>31</w:t>
      </w:r>
      <w:r w:rsidRPr="005B3935">
        <w:rPr>
          <w:rFonts w:ascii="Calibri" w:hAnsi="Calibri" w:cs="Calibri"/>
          <w:color w:val="000000"/>
        </w:rPr>
        <w:t>.</w:t>
      </w:r>
      <w:r w:rsidRPr="0096477E">
        <w:rPr>
          <w:rFonts w:ascii="Calibri" w:hAnsi="Calibri" w:cs="Calibri"/>
          <w:color w:val="000000"/>
        </w:rPr>
        <w:t>0</w:t>
      </w:r>
      <w:r>
        <w:rPr>
          <w:rFonts w:ascii="Calibri" w:hAnsi="Calibri" w:cs="Calibri"/>
          <w:color w:val="000000"/>
        </w:rPr>
        <w:t>3</w:t>
      </w:r>
      <w:r w:rsidRPr="005B3935">
        <w:rPr>
          <w:rFonts w:ascii="Calibri" w:hAnsi="Calibri" w:cs="Calibri"/>
          <w:color w:val="000000"/>
        </w:rPr>
        <w:t>.202</w:t>
      </w:r>
      <w:r w:rsidRPr="0096477E">
        <w:rPr>
          <w:rFonts w:ascii="Calibri" w:hAnsi="Calibri" w:cs="Calibri"/>
          <w:color w:val="000000"/>
        </w:rPr>
        <w:t>2</w:t>
      </w:r>
      <w:r w:rsidRPr="005B3935">
        <w:rPr>
          <w:rFonts w:ascii="Calibri" w:hAnsi="Calibri" w:cs="Calibri"/>
          <w:color w:val="000000"/>
        </w:rPr>
        <w:t xml:space="preserve"> tarihli ve 10</w:t>
      </w:r>
      <w:r>
        <w:rPr>
          <w:rFonts w:ascii="Calibri" w:hAnsi="Calibri" w:cs="Calibri"/>
          <w:color w:val="000000"/>
        </w:rPr>
        <w:t xml:space="preserve">906 </w:t>
      </w:r>
      <w:r w:rsidRPr="005B3935">
        <w:rPr>
          <w:rFonts w:ascii="Calibri" w:hAnsi="Calibri" w:cs="Calibri"/>
          <w:color w:val="000000"/>
        </w:rPr>
        <w:t>sayılı Kurul Kararı ile</w:t>
      </w:r>
      <w:r>
        <w:rPr>
          <w:rFonts w:ascii="Calibri" w:hAnsi="Calibri" w:cs="Calibri"/>
          <w:color w:val="000000"/>
        </w:rPr>
        <w:t xml:space="preserve"> </w:t>
      </w:r>
      <w:r w:rsidRPr="00E06798">
        <w:rPr>
          <w:rFonts w:ascii="Calibri" w:hAnsi="Calibri" w:cs="Calibri"/>
          <w:color w:val="000000"/>
        </w:rPr>
        <w:t>Yenilenebilir Enerji Kaynaklarının Belgelendirilmesi ve Desteklenmesine İlişkin Yönetmeliğin 13 üncü maddesinin dördüncü fıkrası ve 14 üncü maddesinin ikinci fıkrası kapsamında;</w:t>
      </w:r>
    </w:p>
    <w:p w:rsidR="00554C63" w:rsidRPr="00E06798" w:rsidRDefault="00554C63" w:rsidP="00554C63">
      <w:pPr>
        <w:pStyle w:val="ListeParagraf"/>
        <w:rPr>
          <w:rFonts w:ascii="Calibri" w:hAnsi="Calibri" w:cs="Calibri"/>
          <w:color w:val="000000"/>
        </w:rPr>
      </w:pPr>
    </w:p>
    <w:p w:rsidR="00554C63" w:rsidRDefault="00554C63" w:rsidP="00554C63">
      <w:pPr>
        <w:pStyle w:val="ListeParagraf"/>
        <w:ind w:left="1440"/>
        <w:rPr>
          <w:rFonts w:ascii="Calibri" w:hAnsi="Calibri" w:cs="Calibri"/>
          <w:color w:val="000000"/>
        </w:rPr>
      </w:pPr>
      <w:r>
        <w:rPr>
          <w:rFonts w:ascii="Calibri" w:hAnsi="Calibri" w:cs="Calibri"/>
          <w:color w:val="000000"/>
        </w:rPr>
        <w:t xml:space="preserve">1) </w:t>
      </w:r>
      <w:r w:rsidRPr="00E06798">
        <w:rPr>
          <w:rFonts w:ascii="Calibri" w:hAnsi="Calibri" w:cs="Calibri"/>
          <w:color w:val="000000"/>
        </w:rPr>
        <w:t>31/12/2021 tarihli ve 10709 sayılı Kurul Kararı ile kabul edilen 2022 yılı için tedarik edilen birim enerji miktarı başına öngörülen YEKDEM maliyetinin, 2022 yılının Mart ayı ve sonrası için aşağıda yer alan şekilde revize edilmesine,</w:t>
      </w:r>
    </w:p>
    <w:tbl>
      <w:tblPr>
        <w:tblStyle w:val="TabloKlavuzu"/>
        <w:tblW w:w="7507" w:type="dxa"/>
        <w:tblInd w:w="1552" w:type="dxa"/>
        <w:tblLook w:val="04A0" w:firstRow="1" w:lastRow="0" w:firstColumn="1" w:lastColumn="0" w:noHBand="0" w:noVBand="1"/>
      </w:tblPr>
      <w:tblGrid>
        <w:gridCol w:w="3388"/>
        <w:gridCol w:w="4119"/>
      </w:tblGrid>
      <w:tr w:rsidR="00554C63" w:rsidRPr="00E06798" w:rsidTr="008F2A61">
        <w:trPr>
          <w:trHeight w:val="659"/>
        </w:trPr>
        <w:tc>
          <w:tcPr>
            <w:tcW w:w="3388" w:type="dxa"/>
            <w:shd w:val="clear" w:color="auto" w:fill="F5F5DC"/>
          </w:tcPr>
          <w:p w:rsidR="00554C63" w:rsidRPr="00E06798" w:rsidRDefault="00554C63" w:rsidP="008F2A61">
            <w:pPr>
              <w:jc w:val="center"/>
              <w:rPr>
                <w:color w:val="484848"/>
              </w:rPr>
            </w:pPr>
            <w:r w:rsidRPr="00E06798">
              <w:rPr>
                <w:color w:val="484848"/>
              </w:rPr>
              <w:t>Aylar</w:t>
            </w:r>
          </w:p>
        </w:tc>
        <w:tc>
          <w:tcPr>
            <w:tcW w:w="4119" w:type="dxa"/>
            <w:shd w:val="clear" w:color="auto" w:fill="F5F5DC"/>
          </w:tcPr>
          <w:p w:rsidR="00554C63" w:rsidRPr="00E06798" w:rsidRDefault="00554C63" w:rsidP="00DC783D">
            <w:pPr>
              <w:spacing w:after="180"/>
              <w:jc w:val="center"/>
              <w:rPr>
                <w:color w:val="484848"/>
              </w:rPr>
            </w:pPr>
            <w:r w:rsidRPr="00E06798">
              <w:rPr>
                <w:color w:val="484848"/>
              </w:rPr>
              <w:t>2022 Öngörülen YEKDEM Maliyeti (TL/MWh)</w:t>
            </w:r>
          </w:p>
        </w:tc>
      </w:tr>
      <w:tr w:rsidR="00554C63" w:rsidRPr="00E06798" w:rsidTr="008F2A61">
        <w:trPr>
          <w:trHeight w:val="402"/>
        </w:trPr>
        <w:tc>
          <w:tcPr>
            <w:tcW w:w="3388" w:type="dxa"/>
            <w:shd w:val="clear" w:color="auto" w:fill="F5F5DC"/>
          </w:tcPr>
          <w:p w:rsidR="00554C63" w:rsidRPr="00E06798" w:rsidRDefault="00554C63" w:rsidP="008F2A61">
            <w:pPr>
              <w:jc w:val="center"/>
              <w:rPr>
                <w:color w:val="484848"/>
              </w:rPr>
            </w:pPr>
            <w:r w:rsidRPr="00E06798">
              <w:rPr>
                <w:color w:val="484848"/>
              </w:rPr>
              <w:t>Mart</w:t>
            </w:r>
          </w:p>
        </w:tc>
        <w:tc>
          <w:tcPr>
            <w:tcW w:w="4119" w:type="dxa"/>
            <w:shd w:val="clear" w:color="auto" w:fill="F5F5DC"/>
          </w:tcPr>
          <w:p w:rsidR="00554C63" w:rsidRPr="00E06798" w:rsidRDefault="00554C63" w:rsidP="008F2A61">
            <w:pPr>
              <w:jc w:val="center"/>
              <w:rPr>
                <w:color w:val="484848"/>
              </w:rPr>
            </w:pPr>
            <w:r w:rsidRPr="00E06798">
              <w:rPr>
                <w:color w:val="484848"/>
              </w:rPr>
              <w:t>-284,36</w:t>
            </w:r>
          </w:p>
        </w:tc>
      </w:tr>
      <w:tr w:rsidR="00554C63" w:rsidRPr="00E06798" w:rsidTr="008F2A61">
        <w:trPr>
          <w:trHeight w:val="411"/>
        </w:trPr>
        <w:tc>
          <w:tcPr>
            <w:tcW w:w="3388" w:type="dxa"/>
            <w:shd w:val="clear" w:color="auto" w:fill="F5F5DC"/>
          </w:tcPr>
          <w:p w:rsidR="00554C63" w:rsidRPr="00E06798" w:rsidRDefault="00554C63" w:rsidP="008F2A61">
            <w:pPr>
              <w:jc w:val="center"/>
              <w:rPr>
                <w:color w:val="484848"/>
              </w:rPr>
            </w:pPr>
            <w:r w:rsidRPr="00E06798">
              <w:rPr>
                <w:color w:val="484848"/>
              </w:rPr>
              <w:t>Nisan</w:t>
            </w:r>
          </w:p>
        </w:tc>
        <w:tc>
          <w:tcPr>
            <w:tcW w:w="4119" w:type="dxa"/>
            <w:shd w:val="clear" w:color="auto" w:fill="F5F5DC"/>
          </w:tcPr>
          <w:p w:rsidR="00554C63" w:rsidRPr="00E06798" w:rsidRDefault="00554C63" w:rsidP="008F2A61">
            <w:pPr>
              <w:jc w:val="center"/>
              <w:rPr>
                <w:color w:val="484848"/>
              </w:rPr>
            </w:pPr>
            <w:r w:rsidRPr="00E06798">
              <w:rPr>
                <w:color w:val="484848"/>
              </w:rPr>
              <w:t>-532,12</w:t>
            </w:r>
          </w:p>
        </w:tc>
      </w:tr>
      <w:tr w:rsidR="00554C63" w:rsidRPr="00E06798" w:rsidTr="008F2A61">
        <w:trPr>
          <w:trHeight w:val="402"/>
        </w:trPr>
        <w:tc>
          <w:tcPr>
            <w:tcW w:w="3388" w:type="dxa"/>
            <w:shd w:val="clear" w:color="auto" w:fill="F5F5DC"/>
          </w:tcPr>
          <w:p w:rsidR="00554C63" w:rsidRPr="00E06798" w:rsidRDefault="00554C63" w:rsidP="008F2A61">
            <w:pPr>
              <w:jc w:val="center"/>
              <w:rPr>
                <w:color w:val="484848"/>
              </w:rPr>
            </w:pPr>
            <w:r w:rsidRPr="00E06798">
              <w:rPr>
                <w:color w:val="484848"/>
              </w:rPr>
              <w:t>Mayıs</w:t>
            </w:r>
          </w:p>
        </w:tc>
        <w:tc>
          <w:tcPr>
            <w:tcW w:w="4119" w:type="dxa"/>
            <w:shd w:val="clear" w:color="auto" w:fill="F5F5DC"/>
          </w:tcPr>
          <w:p w:rsidR="00554C63" w:rsidRPr="00E06798" w:rsidRDefault="00554C63" w:rsidP="008F2A61">
            <w:pPr>
              <w:jc w:val="center"/>
              <w:rPr>
                <w:color w:val="484848"/>
              </w:rPr>
            </w:pPr>
            <w:r w:rsidRPr="00E06798">
              <w:rPr>
                <w:color w:val="484848"/>
              </w:rPr>
              <w:t>-588.83</w:t>
            </w:r>
          </w:p>
        </w:tc>
      </w:tr>
      <w:tr w:rsidR="00554C63" w:rsidRPr="00E06798" w:rsidTr="008F2A61">
        <w:trPr>
          <w:trHeight w:val="411"/>
        </w:trPr>
        <w:tc>
          <w:tcPr>
            <w:tcW w:w="3388" w:type="dxa"/>
            <w:shd w:val="clear" w:color="auto" w:fill="F5F5DC"/>
          </w:tcPr>
          <w:p w:rsidR="00554C63" w:rsidRPr="00E06798" w:rsidRDefault="00554C63" w:rsidP="008F2A61">
            <w:pPr>
              <w:jc w:val="center"/>
              <w:rPr>
                <w:color w:val="484848"/>
              </w:rPr>
            </w:pPr>
            <w:r w:rsidRPr="00E06798">
              <w:rPr>
                <w:color w:val="484848"/>
              </w:rPr>
              <w:t>Haziran</w:t>
            </w:r>
          </w:p>
        </w:tc>
        <w:tc>
          <w:tcPr>
            <w:tcW w:w="4119" w:type="dxa"/>
            <w:shd w:val="clear" w:color="auto" w:fill="F5F5DC"/>
          </w:tcPr>
          <w:p w:rsidR="00554C63" w:rsidRPr="00E06798" w:rsidRDefault="00554C63" w:rsidP="008F2A61">
            <w:pPr>
              <w:jc w:val="center"/>
              <w:rPr>
                <w:color w:val="484848"/>
              </w:rPr>
            </w:pPr>
            <w:r w:rsidRPr="00E06798">
              <w:rPr>
                <w:color w:val="484848"/>
              </w:rPr>
              <w:t>-435,69</w:t>
            </w:r>
          </w:p>
        </w:tc>
      </w:tr>
      <w:tr w:rsidR="00554C63" w:rsidRPr="00E06798" w:rsidTr="008F2A61">
        <w:trPr>
          <w:trHeight w:val="411"/>
        </w:trPr>
        <w:tc>
          <w:tcPr>
            <w:tcW w:w="3388" w:type="dxa"/>
            <w:shd w:val="clear" w:color="auto" w:fill="F5F5DC"/>
          </w:tcPr>
          <w:p w:rsidR="00554C63" w:rsidRPr="00E06798" w:rsidRDefault="00554C63" w:rsidP="008F2A61">
            <w:pPr>
              <w:jc w:val="center"/>
              <w:rPr>
                <w:color w:val="484848"/>
              </w:rPr>
            </w:pPr>
            <w:r w:rsidRPr="00E06798">
              <w:rPr>
                <w:color w:val="484848"/>
              </w:rPr>
              <w:t>Temmuz</w:t>
            </w:r>
          </w:p>
        </w:tc>
        <w:tc>
          <w:tcPr>
            <w:tcW w:w="4119" w:type="dxa"/>
            <w:shd w:val="clear" w:color="auto" w:fill="F5F5DC"/>
          </w:tcPr>
          <w:p w:rsidR="00554C63" w:rsidRPr="00E06798" w:rsidRDefault="00554C63" w:rsidP="008F2A61">
            <w:pPr>
              <w:jc w:val="center"/>
              <w:rPr>
                <w:color w:val="484848"/>
              </w:rPr>
            </w:pPr>
            <w:r w:rsidRPr="00E06798">
              <w:rPr>
                <w:color w:val="484848"/>
              </w:rPr>
              <w:t>-504,97</w:t>
            </w:r>
          </w:p>
        </w:tc>
      </w:tr>
      <w:tr w:rsidR="00554C63" w:rsidRPr="00E06798" w:rsidTr="008F2A61">
        <w:trPr>
          <w:trHeight w:val="402"/>
        </w:trPr>
        <w:tc>
          <w:tcPr>
            <w:tcW w:w="3388" w:type="dxa"/>
            <w:shd w:val="clear" w:color="auto" w:fill="F5F5DC"/>
          </w:tcPr>
          <w:p w:rsidR="00554C63" w:rsidRPr="00E06798" w:rsidRDefault="00554C63" w:rsidP="008F2A61">
            <w:pPr>
              <w:jc w:val="center"/>
              <w:rPr>
                <w:color w:val="484848"/>
              </w:rPr>
            </w:pPr>
            <w:r w:rsidRPr="00E06798">
              <w:rPr>
                <w:color w:val="484848"/>
              </w:rPr>
              <w:t>Ağustos</w:t>
            </w:r>
          </w:p>
        </w:tc>
        <w:tc>
          <w:tcPr>
            <w:tcW w:w="4119" w:type="dxa"/>
            <w:shd w:val="clear" w:color="auto" w:fill="F5F5DC"/>
          </w:tcPr>
          <w:p w:rsidR="00554C63" w:rsidRPr="00E06798" w:rsidRDefault="00554C63" w:rsidP="008F2A61">
            <w:pPr>
              <w:jc w:val="center"/>
              <w:rPr>
                <w:color w:val="484848"/>
              </w:rPr>
            </w:pPr>
            <w:r w:rsidRPr="00E06798">
              <w:rPr>
                <w:color w:val="484848"/>
              </w:rPr>
              <w:t>-466,33</w:t>
            </w:r>
          </w:p>
        </w:tc>
      </w:tr>
      <w:tr w:rsidR="00554C63" w:rsidRPr="00E06798" w:rsidTr="008F2A61">
        <w:trPr>
          <w:trHeight w:val="411"/>
        </w:trPr>
        <w:tc>
          <w:tcPr>
            <w:tcW w:w="3388" w:type="dxa"/>
            <w:shd w:val="clear" w:color="auto" w:fill="F5F5DC"/>
          </w:tcPr>
          <w:p w:rsidR="00554C63" w:rsidRPr="00E06798" w:rsidRDefault="00554C63" w:rsidP="008F2A61">
            <w:pPr>
              <w:jc w:val="center"/>
              <w:rPr>
                <w:color w:val="484848"/>
              </w:rPr>
            </w:pPr>
            <w:r w:rsidRPr="00E06798">
              <w:rPr>
                <w:color w:val="484848"/>
              </w:rPr>
              <w:t>Eylül</w:t>
            </w:r>
          </w:p>
        </w:tc>
        <w:tc>
          <w:tcPr>
            <w:tcW w:w="4119" w:type="dxa"/>
            <w:shd w:val="clear" w:color="auto" w:fill="F5F5DC"/>
          </w:tcPr>
          <w:p w:rsidR="00554C63" w:rsidRPr="00E06798" w:rsidRDefault="00554C63" w:rsidP="008F2A61">
            <w:pPr>
              <w:jc w:val="center"/>
              <w:rPr>
                <w:color w:val="484848"/>
              </w:rPr>
            </w:pPr>
            <w:r w:rsidRPr="00E06798">
              <w:rPr>
                <w:color w:val="484848"/>
              </w:rPr>
              <w:t>-358,49</w:t>
            </w:r>
          </w:p>
        </w:tc>
      </w:tr>
      <w:tr w:rsidR="00554C63" w:rsidRPr="00E06798" w:rsidTr="008F2A61">
        <w:trPr>
          <w:trHeight w:val="402"/>
        </w:trPr>
        <w:tc>
          <w:tcPr>
            <w:tcW w:w="3388" w:type="dxa"/>
            <w:shd w:val="clear" w:color="auto" w:fill="F5F5DC"/>
          </w:tcPr>
          <w:p w:rsidR="00554C63" w:rsidRPr="00E06798" w:rsidRDefault="00554C63" w:rsidP="008F2A61">
            <w:pPr>
              <w:jc w:val="center"/>
              <w:rPr>
                <w:color w:val="484848"/>
              </w:rPr>
            </w:pPr>
            <w:r w:rsidRPr="00E06798">
              <w:rPr>
                <w:color w:val="484848"/>
              </w:rPr>
              <w:t>Ekim</w:t>
            </w:r>
          </w:p>
        </w:tc>
        <w:tc>
          <w:tcPr>
            <w:tcW w:w="4119" w:type="dxa"/>
            <w:shd w:val="clear" w:color="auto" w:fill="F5F5DC"/>
          </w:tcPr>
          <w:p w:rsidR="00554C63" w:rsidRPr="00E06798" w:rsidRDefault="00554C63" w:rsidP="008F2A61">
            <w:pPr>
              <w:jc w:val="center"/>
              <w:rPr>
                <w:color w:val="484848"/>
              </w:rPr>
            </w:pPr>
            <w:r w:rsidRPr="00E06798">
              <w:rPr>
                <w:color w:val="484848"/>
              </w:rPr>
              <w:t>-318,16</w:t>
            </w:r>
          </w:p>
        </w:tc>
      </w:tr>
      <w:tr w:rsidR="00554C63" w:rsidRPr="00E06798" w:rsidTr="008F2A61">
        <w:trPr>
          <w:trHeight w:val="411"/>
        </w:trPr>
        <w:tc>
          <w:tcPr>
            <w:tcW w:w="3388" w:type="dxa"/>
            <w:shd w:val="clear" w:color="auto" w:fill="F5F5DC"/>
          </w:tcPr>
          <w:p w:rsidR="00554C63" w:rsidRPr="00E06798" w:rsidRDefault="00554C63" w:rsidP="008F2A61">
            <w:pPr>
              <w:jc w:val="center"/>
              <w:rPr>
                <w:color w:val="484848"/>
              </w:rPr>
            </w:pPr>
            <w:r w:rsidRPr="00E06798">
              <w:rPr>
                <w:color w:val="484848"/>
              </w:rPr>
              <w:t>Kasım</w:t>
            </w:r>
          </w:p>
        </w:tc>
        <w:tc>
          <w:tcPr>
            <w:tcW w:w="4119" w:type="dxa"/>
            <w:shd w:val="clear" w:color="auto" w:fill="F5F5DC"/>
          </w:tcPr>
          <w:p w:rsidR="00554C63" w:rsidRPr="00E06798" w:rsidRDefault="00554C63" w:rsidP="008F2A61">
            <w:pPr>
              <w:jc w:val="center"/>
              <w:rPr>
                <w:color w:val="484848"/>
              </w:rPr>
            </w:pPr>
            <w:r w:rsidRPr="00E06798">
              <w:rPr>
                <w:color w:val="484848"/>
              </w:rPr>
              <w:t>-298,98</w:t>
            </w:r>
          </w:p>
        </w:tc>
      </w:tr>
      <w:tr w:rsidR="00554C63" w:rsidRPr="00E06798" w:rsidTr="008F2A61">
        <w:trPr>
          <w:trHeight w:val="411"/>
        </w:trPr>
        <w:tc>
          <w:tcPr>
            <w:tcW w:w="3388" w:type="dxa"/>
            <w:shd w:val="clear" w:color="auto" w:fill="F5F5DC"/>
          </w:tcPr>
          <w:p w:rsidR="00554C63" w:rsidRPr="00E06798" w:rsidRDefault="00554C63" w:rsidP="008F2A61">
            <w:pPr>
              <w:jc w:val="center"/>
              <w:rPr>
                <w:color w:val="484848"/>
              </w:rPr>
            </w:pPr>
            <w:r w:rsidRPr="00E06798">
              <w:rPr>
                <w:color w:val="484848"/>
              </w:rPr>
              <w:t>Aralık</w:t>
            </w:r>
          </w:p>
        </w:tc>
        <w:tc>
          <w:tcPr>
            <w:tcW w:w="4119" w:type="dxa"/>
            <w:shd w:val="clear" w:color="auto" w:fill="F5F5DC"/>
          </w:tcPr>
          <w:p w:rsidR="00554C63" w:rsidRPr="00E06798" w:rsidRDefault="00554C63" w:rsidP="008F2A61">
            <w:pPr>
              <w:jc w:val="center"/>
              <w:rPr>
                <w:color w:val="484848"/>
              </w:rPr>
            </w:pPr>
            <w:r w:rsidRPr="00E06798">
              <w:rPr>
                <w:color w:val="484848"/>
              </w:rPr>
              <w:t>-355,02</w:t>
            </w:r>
          </w:p>
        </w:tc>
      </w:tr>
    </w:tbl>
    <w:p w:rsidR="00554C63" w:rsidRDefault="00554C63" w:rsidP="00554C63">
      <w:pPr>
        <w:pStyle w:val="ListeParagraf"/>
        <w:ind w:left="1440"/>
      </w:pPr>
    </w:p>
    <w:p w:rsidR="00554C63" w:rsidRDefault="00554C63" w:rsidP="00554C63">
      <w:pPr>
        <w:pStyle w:val="ListeParagraf"/>
        <w:ind w:left="1440"/>
      </w:pPr>
      <w:r>
        <w:t>2) Öngörülen YEKDEM maliyetinin negatif olduğu aylarda, ikili anlaşmalara ilişkin referans niteliğinde olan öngörülen YEKDEM maliyetinin ve yüksek tüketimli tüketicilere ilişkin son kaynak tedarik tarifesi hesaplamalarında kullanılan öngörülen YEKDEM maliyetinin “0 TL/MWh” olarak belirlenmesine,</w:t>
      </w:r>
    </w:p>
    <w:p w:rsidR="00554C63" w:rsidRDefault="00554C63" w:rsidP="00554C63">
      <w:pPr>
        <w:pStyle w:val="ListeParagraf"/>
      </w:pPr>
      <w:r>
        <w:t>karar vermiştir.</w:t>
      </w:r>
    </w:p>
    <w:p w:rsidR="00554C63" w:rsidRPr="00E6446B" w:rsidRDefault="00554C63" w:rsidP="00554C63">
      <w:pPr>
        <w:pStyle w:val="ListeParagraf"/>
        <w:numPr>
          <w:ilvl w:val="0"/>
          <w:numId w:val="79"/>
        </w:numPr>
        <w:spacing w:after="160" w:line="259" w:lineRule="auto"/>
        <w:rPr>
          <w:rFonts w:ascii="Calibri" w:hAnsi="Calibri"/>
          <w:color w:val="000000"/>
        </w:rPr>
      </w:pPr>
      <w:r w:rsidRPr="00880D64">
        <w:rPr>
          <w:rFonts w:ascii="Calibri" w:hAnsi="Calibri" w:cs="Calibri"/>
          <w:color w:val="000000"/>
        </w:rPr>
        <w:t xml:space="preserve">02.04.2022 tarihli ve 31797 sayılı Resmî </w:t>
      </w:r>
      <w:r w:rsidR="00274939">
        <w:rPr>
          <w:rFonts w:ascii="Calibri" w:hAnsi="Calibri" w:cs="Calibri"/>
          <w:color w:val="000000"/>
        </w:rPr>
        <w:t>Gazetede</w:t>
      </w:r>
      <w:r w:rsidRPr="00880D64">
        <w:rPr>
          <w:rFonts w:ascii="Calibri" w:hAnsi="Calibri" w:cs="Calibri"/>
          <w:color w:val="000000"/>
        </w:rPr>
        <w:t xml:space="preserve"> yayımlanan 31.03.2022 tarihli ve 10907 sayılı Kurul Kararı ile </w:t>
      </w:r>
      <w:r>
        <w:t xml:space="preserve">Son Kaynak </w:t>
      </w:r>
      <w:r w:rsidRPr="00E6446B">
        <w:rPr>
          <w:rFonts w:ascii="Calibri" w:hAnsi="Calibri" w:cs="Calibri"/>
          <w:color w:val="000000"/>
        </w:rPr>
        <w:t>Tedarik Tarifesinin Düzenlenmesi Hakkında Tebliğ’in 5 inci maddesi</w:t>
      </w:r>
      <w:r w:rsidRPr="00880D64">
        <w:rPr>
          <w:rFonts w:ascii="Calibri" w:hAnsi="Calibri" w:cs="Calibri"/>
          <w:color w:val="000000"/>
        </w:rPr>
        <w:t xml:space="preserve">nde yer alan </w:t>
      </w:r>
      <w:r w:rsidRPr="00880D64">
        <w:rPr>
          <w:rFonts w:ascii="Calibri" w:hAnsi="Calibri" w:cs="Calibri"/>
          <w:color w:val="000000"/>
        </w:rPr>
        <w:lastRenderedPageBreak/>
        <w:t xml:space="preserve">tüketim miktarının 01.07.2022 itibariyle </w:t>
      </w:r>
      <w:r w:rsidRPr="00E6446B">
        <w:rPr>
          <w:rFonts w:ascii="Calibri" w:hAnsi="Calibri" w:cs="Calibri"/>
          <w:color w:val="000000"/>
        </w:rPr>
        <w:t xml:space="preserve">mesken </w:t>
      </w:r>
      <w:r w:rsidRPr="00880D64">
        <w:rPr>
          <w:rFonts w:ascii="Calibri" w:hAnsi="Calibri" w:cs="Calibri"/>
          <w:color w:val="000000"/>
        </w:rPr>
        <w:t xml:space="preserve">abone grubu için 50 milyon kWh/yıl, </w:t>
      </w:r>
      <w:r w:rsidRPr="00E6446B">
        <w:rPr>
          <w:rFonts w:ascii="Calibri" w:hAnsi="Calibri" w:cs="Calibri"/>
          <w:color w:val="000000"/>
        </w:rPr>
        <w:t xml:space="preserve">tarımsal faaliyetler abone </w:t>
      </w:r>
      <w:r w:rsidRPr="00880D64">
        <w:rPr>
          <w:rFonts w:ascii="Calibri" w:hAnsi="Calibri" w:cs="Calibri"/>
          <w:color w:val="000000"/>
        </w:rPr>
        <w:t xml:space="preserve">grubu </w:t>
      </w:r>
      <w:r w:rsidRPr="00E6446B">
        <w:rPr>
          <w:rFonts w:ascii="Calibri" w:hAnsi="Calibri" w:cs="Calibri"/>
          <w:color w:val="000000"/>
        </w:rPr>
        <w:t xml:space="preserve">için </w:t>
      </w:r>
      <w:r w:rsidRPr="00880D64">
        <w:rPr>
          <w:rFonts w:ascii="Calibri" w:hAnsi="Calibri" w:cs="Calibri"/>
          <w:color w:val="000000"/>
        </w:rPr>
        <w:t xml:space="preserve">7 milyon kWh/yıl ve diğer tüketici grupları için 1 milyon kWh/yıl olarak </w:t>
      </w:r>
      <w:r>
        <w:t>uygulanmasına karar verilmiştir.</w:t>
      </w:r>
    </w:p>
    <w:p w:rsidR="00554C63" w:rsidRDefault="00554C63" w:rsidP="00554C63">
      <w:pPr>
        <w:pStyle w:val="ListeParagraf"/>
      </w:pPr>
    </w:p>
    <w:p w:rsidR="00EE59CF" w:rsidRDefault="00EE59CF" w:rsidP="000A5A56">
      <w:pPr>
        <w:pStyle w:val="ListeParagraf"/>
        <w:numPr>
          <w:ilvl w:val="0"/>
          <w:numId w:val="57"/>
        </w:numPr>
        <w:spacing w:after="160" w:line="259" w:lineRule="auto"/>
        <w:rPr>
          <w:rFonts w:ascii="Calibri" w:hAnsi="Calibri" w:cs="Calibri"/>
          <w:color w:val="000000"/>
        </w:rPr>
      </w:pPr>
      <w:r w:rsidRPr="00962C78">
        <w:rPr>
          <w:rFonts w:ascii="Calibri" w:hAnsi="Calibri" w:cs="Calibri"/>
          <w:color w:val="000000"/>
        </w:rPr>
        <w:t xml:space="preserve">30.04.2022 tarihli ve 31825 sayılı Resmî </w:t>
      </w:r>
      <w:r w:rsidR="00274939">
        <w:rPr>
          <w:rFonts w:ascii="Calibri" w:hAnsi="Calibri" w:cs="Calibri"/>
          <w:color w:val="000000"/>
        </w:rPr>
        <w:t>Gazetede</w:t>
      </w:r>
      <w:r w:rsidRPr="00962C78">
        <w:rPr>
          <w:rFonts w:ascii="Calibri" w:hAnsi="Calibri" w:cs="Calibri"/>
          <w:color w:val="000000"/>
        </w:rPr>
        <w:t xml:space="preserve"> yayımlanan 28.04.2022 tarihli ve 10961 sayılı Kurul Kararı ile “Dağıtım Lisansı Sahibi Tüzel Kişiler ve Görevli Tedarik Şirketlerinin Tarife Uygulamalarına İlişkin Usul ve Esaslar”</w:t>
      </w:r>
      <w:r w:rsidR="00554C63" w:rsidRPr="00554C63">
        <w:rPr>
          <w:rFonts w:ascii="Calibri" w:hAnsi="Calibri" w:cs="Calibri"/>
          <w:color w:val="000000"/>
        </w:rPr>
        <w:t xml:space="preserve"> </w:t>
      </w:r>
      <w:r w:rsidR="00554C63" w:rsidRPr="009D25FC">
        <w:rPr>
          <w:rFonts w:ascii="Calibri" w:hAnsi="Calibri" w:cs="Calibri"/>
          <w:color w:val="000000"/>
        </w:rPr>
        <w:t xml:space="preserve">ın 5 inci maddesinin </w:t>
      </w:r>
      <w:r w:rsidR="00554C63" w:rsidRPr="00554C63">
        <w:rPr>
          <w:rFonts w:ascii="Calibri" w:hAnsi="Calibri" w:cs="Calibri"/>
          <w:color w:val="000000"/>
        </w:rPr>
        <w:t>başlığının “Tarımsal faaliyetler abone grubu” olarak</w:t>
      </w:r>
      <w:r w:rsidR="00554C63" w:rsidRPr="009D25FC">
        <w:rPr>
          <w:rFonts w:ascii="Calibri" w:hAnsi="Calibri" w:cs="Calibri"/>
          <w:color w:val="000000"/>
        </w:rPr>
        <w:t xml:space="preserve">, </w:t>
      </w:r>
      <w:r w:rsidR="00554C63" w:rsidRPr="00554C63">
        <w:rPr>
          <w:rFonts w:ascii="Calibri" w:hAnsi="Calibri" w:cs="Calibri"/>
          <w:color w:val="000000"/>
        </w:rPr>
        <w:t>7 nci maddesinin başlığının “Kamu ve özel hizmetler sektörü ile diğer abone grubu” olarak değiştirilmesine karar verilmiştir.</w:t>
      </w:r>
    </w:p>
    <w:p w:rsidR="001823C5" w:rsidRDefault="001823C5" w:rsidP="00745081">
      <w:pPr>
        <w:pStyle w:val="ListeParagraf"/>
        <w:spacing w:after="160" w:line="259" w:lineRule="auto"/>
      </w:pPr>
    </w:p>
    <w:p w:rsidR="00A85311" w:rsidRDefault="00554C63" w:rsidP="000A5A56">
      <w:pPr>
        <w:pStyle w:val="ListeParagraf"/>
        <w:numPr>
          <w:ilvl w:val="0"/>
          <w:numId w:val="29"/>
        </w:numPr>
        <w:spacing w:after="160" w:line="259" w:lineRule="auto"/>
      </w:pPr>
      <w:r w:rsidRPr="007A654A">
        <w:t>01.0</w:t>
      </w:r>
      <w:r>
        <w:t>7</w:t>
      </w:r>
      <w:r w:rsidRPr="007A654A">
        <w:t xml:space="preserve">.2022 tarihli ve </w:t>
      </w:r>
      <w:r>
        <w:t>31883</w:t>
      </w:r>
      <w:r w:rsidRPr="007A654A">
        <w:t xml:space="preserve"> sayılı Resmî </w:t>
      </w:r>
      <w:r w:rsidR="00274939">
        <w:t>Gazetede</w:t>
      </w:r>
      <w:r w:rsidRPr="007A654A">
        <w:t xml:space="preserve"> yayımlanan 3</w:t>
      </w:r>
      <w:r>
        <w:t>0</w:t>
      </w:r>
      <w:r w:rsidRPr="007A654A">
        <w:t>.</w:t>
      </w:r>
      <w:r>
        <w:t>06</w:t>
      </w:r>
      <w:r w:rsidRPr="007A654A">
        <w:t xml:space="preserve">.2022 tarihli ve </w:t>
      </w:r>
      <w:r>
        <w:t>11053</w:t>
      </w:r>
      <w:r w:rsidRPr="007A654A">
        <w:t xml:space="preserve"> </w:t>
      </w:r>
      <w:r w:rsidRPr="00485431">
        <w:t>sayılı Kurul Kararı ile</w:t>
      </w:r>
      <w:r>
        <w:t xml:space="preserve"> </w:t>
      </w:r>
      <w:r w:rsidRPr="00A85311">
        <w:t xml:space="preserve">Dağıtım Lisansı Sahibi Tüzel Kişiler Ve Görevli Tedarik Şirketlerinin Tarife Uygulamalarına İlişkin Usul </w:t>
      </w:r>
      <w:r>
        <w:t>v</w:t>
      </w:r>
      <w:r w:rsidRPr="00A85311">
        <w:t xml:space="preserve">e </w:t>
      </w:r>
      <w:r w:rsidR="00DC783D">
        <w:t>Esasların</w:t>
      </w:r>
      <w:r>
        <w:t xml:space="preserve"> </w:t>
      </w:r>
      <w:r w:rsidRPr="008E6DAF">
        <w:rPr>
          <w:rFonts w:ascii="Calibri" w:hAnsi="Calibri" w:cs="Calibri"/>
          <w:color w:val="000000"/>
        </w:rPr>
        <w:t>4 üncü maddesinin birinci fıkrasında yer alan “ibadethanelerin 27.07.20</w:t>
      </w:r>
      <w:r>
        <w:rPr>
          <w:rFonts w:ascii="Calibri" w:hAnsi="Calibri" w:cs="Calibri"/>
          <w:color w:val="000000"/>
        </w:rPr>
        <w:t>13</w:t>
      </w:r>
      <w:r w:rsidRPr="008E6DAF">
        <w:rPr>
          <w:rFonts w:ascii="Calibri" w:hAnsi="Calibri" w:cs="Calibri"/>
          <w:color w:val="000000"/>
        </w:rPr>
        <w:t xml:space="preserve"> tarihli ve 28720 sayılı </w:t>
      </w:r>
      <w:r w:rsidR="00DC783D">
        <w:rPr>
          <w:rFonts w:ascii="Calibri" w:hAnsi="Calibri" w:cs="Calibri"/>
          <w:color w:val="000000"/>
        </w:rPr>
        <w:t>Resmî</w:t>
      </w:r>
      <w:r w:rsidRPr="008E6DAF">
        <w:rPr>
          <w:rFonts w:ascii="Calibri" w:hAnsi="Calibri" w:cs="Calibri"/>
          <w:color w:val="000000"/>
        </w:rPr>
        <w:t xml:space="preserve"> </w:t>
      </w:r>
      <w:r w:rsidR="00274939">
        <w:rPr>
          <w:rFonts w:ascii="Calibri" w:hAnsi="Calibri" w:cs="Calibri"/>
          <w:color w:val="000000"/>
        </w:rPr>
        <w:t>Gazetede</w:t>
      </w:r>
      <w:r w:rsidRPr="008E6DAF">
        <w:rPr>
          <w:rFonts w:ascii="Calibri" w:hAnsi="Calibri" w:cs="Calibri"/>
          <w:color w:val="000000"/>
        </w:rPr>
        <w:t xml:space="preserve"> yayımlanarak yürürlüğe giren Genel Aydınlatma Yönetmeliği kapsamında yer almayan tüketimleri” ibaresi</w:t>
      </w:r>
      <w:r>
        <w:rPr>
          <w:rFonts w:ascii="Calibri" w:hAnsi="Calibri" w:cs="Calibri"/>
          <w:color w:val="000000"/>
        </w:rPr>
        <w:t>nin</w:t>
      </w:r>
      <w:r w:rsidRPr="008E6DAF">
        <w:rPr>
          <w:rFonts w:ascii="Calibri" w:hAnsi="Calibri" w:cs="Calibri"/>
          <w:color w:val="000000"/>
        </w:rPr>
        <w:t xml:space="preserve"> “ibadethaneler” olarak değiştirilmesine karar verilmiştir.</w:t>
      </w:r>
    </w:p>
    <w:p w:rsidR="009259C1" w:rsidRDefault="009259C1" w:rsidP="009259C1">
      <w:pPr>
        <w:pStyle w:val="ListeParagraf"/>
        <w:spacing w:after="160" w:line="259" w:lineRule="auto"/>
      </w:pPr>
    </w:p>
    <w:p w:rsidR="00EE59CF" w:rsidRPr="00EE59CF" w:rsidRDefault="00EE59CF" w:rsidP="000A5A56">
      <w:pPr>
        <w:pStyle w:val="ListeParagraf"/>
        <w:numPr>
          <w:ilvl w:val="0"/>
          <w:numId w:val="28"/>
        </w:numPr>
        <w:spacing w:after="160" w:line="259" w:lineRule="auto"/>
        <w:rPr>
          <w:b/>
        </w:rPr>
      </w:pPr>
      <w:r>
        <w:t>30</w:t>
      </w:r>
      <w:r w:rsidRPr="00507559">
        <w:t>.</w:t>
      </w:r>
      <w:r>
        <w:t>10</w:t>
      </w:r>
      <w:r w:rsidRPr="00507559">
        <w:t>.202</w:t>
      </w:r>
      <w:r>
        <w:t>2</w:t>
      </w:r>
      <w:r w:rsidRPr="00507559">
        <w:t xml:space="preserve"> tarihli ve </w:t>
      </w:r>
      <w:r>
        <w:t>31998</w:t>
      </w:r>
      <w:r w:rsidRPr="00507559">
        <w:t xml:space="preserve"> sayılı Resmî </w:t>
      </w:r>
      <w:r w:rsidR="00274939">
        <w:t>Gazetede</w:t>
      </w:r>
      <w:r w:rsidRPr="00507559">
        <w:t xml:space="preserve"> yayımlanan </w:t>
      </w:r>
      <w:r>
        <w:t>27</w:t>
      </w:r>
      <w:r w:rsidRPr="00507559">
        <w:t>.</w:t>
      </w:r>
      <w:r>
        <w:t>10</w:t>
      </w:r>
      <w:r w:rsidRPr="00507559">
        <w:t>.202</w:t>
      </w:r>
      <w:r>
        <w:t>2</w:t>
      </w:r>
      <w:r w:rsidRPr="00507559">
        <w:t xml:space="preserve"> tarihli ve </w:t>
      </w:r>
      <w:r>
        <w:t xml:space="preserve">11338 </w:t>
      </w:r>
      <w:r w:rsidRPr="00507559">
        <w:t>sayılı Kurul Karar</w:t>
      </w:r>
      <w:r>
        <w:t>ı</w:t>
      </w:r>
      <w:r w:rsidRPr="00507559">
        <w:t xml:space="preserve"> ile</w:t>
      </w:r>
      <w:r>
        <w:t xml:space="preserve"> </w:t>
      </w:r>
      <w:r w:rsidRPr="00EE59CF">
        <w:t xml:space="preserve">31/12/2015 tarihli ve 29579 4. mükerrer sayılı Resmî </w:t>
      </w:r>
      <w:r w:rsidR="00274939">
        <w:t>Gazetede</w:t>
      </w:r>
      <w:r w:rsidRPr="00EE59CF">
        <w:t xml:space="preserve"> yayımlanan Dağıtım Lisansı Sahibi Tüzel Kişiler ve Görevli Tedarik Şirketlerinin Tarife Uygulamalarına İlişkin Usul ve </w:t>
      </w:r>
      <w:r w:rsidR="00DC783D">
        <w:t>Esasların</w:t>
      </w:r>
    </w:p>
    <w:p w:rsidR="00EE59CF" w:rsidRDefault="00EE59CF" w:rsidP="00EE59CF">
      <w:pPr>
        <w:pStyle w:val="ListeParagraf"/>
        <w:spacing w:after="160" w:line="259" w:lineRule="auto"/>
      </w:pPr>
    </w:p>
    <w:p w:rsidR="00EE59CF" w:rsidRDefault="00EE59CF" w:rsidP="000A5A56">
      <w:pPr>
        <w:pStyle w:val="ListeParagraf"/>
        <w:numPr>
          <w:ilvl w:val="0"/>
          <w:numId w:val="61"/>
        </w:numPr>
        <w:spacing w:after="160" w:line="259" w:lineRule="auto"/>
      </w:pPr>
      <w:r w:rsidRPr="00EE59CF">
        <w:t xml:space="preserve">4 üncü maddesinin birinci fıkrasında yer alan </w:t>
      </w:r>
      <w:r w:rsidRPr="00EE59CF">
        <w:rPr>
          <w:i/>
        </w:rPr>
        <w:t>“ibadethaneler ile müştemilatı niteliğindeki lojman ve benzeri yerleri,”</w:t>
      </w:r>
      <w:r w:rsidRPr="00EE59CF">
        <w:t xml:space="preserve"> ibaresinden sonra gelmek üzere </w:t>
      </w:r>
      <w:r w:rsidRPr="00EE59CF">
        <w:rPr>
          <w:i/>
        </w:rPr>
        <w:t>“muhtarlık hizmet binaları,”</w:t>
      </w:r>
      <w:r w:rsidRPr="00EE59CF">
        <w:t xml:space="preserve"> ibaresi eklenmiştir.</w:t>
      </w:r>
    </w:p>
    <w:p w:rsidR="00ED44E4" w:rsidRDefault="00ED44E4" w:rsidP="00ED44E4">
      <w:pPr>
        <w:pStyle w:val="ListeParagraf"/>
        <w:spacing w:after="160" w:line="259" w:lineRule="auto"/>
        <w:ind w:left="1491"/>
      </w:pPr>
    </w:p>
    <w:p w:rsidR="00ED44E4" w:rsidRDefault="00ED44E4" w:rsidP="000A5A56">
      <w:pPr>
        <w:pStyle w:val="ListeParagraf"/>
        <w:numPr>
          <w:ilvl w:val="0"/>
          <w:numId w:val="55"/>
        </w:numPr>
        <w:spacing w:after="160" w:line="259" w:lineRule="auto"/>
      </w:pPr>
      <w:r>
        <w:t>30</w:t>
      </w:r>
      <w:r w:rsidRPr="007A654A">
        <w:t>.</w:t>
      </w:r>
      <w:r>
        <w:t>10</w:t>
      </w:r>
      <w:r w:rsidRPr="007A654A">
        <w:t>.2022 tarihli ve 31</w:t>
      </w:r>
      <w:r>
        <w:t>998</w:t>
      </w:r>
      <w:r w:rsidRPr="007A654A">
        <w:t xml:space="preserve"> sayılı Resmî </w:t>
      </w:r>
      <w:r w:rsidR="00274939">
        <w:t>Gazetede</w:t>
      </w:r>
      <w:r w:rsidRPr="007A654A">
        <w:t xml:space="preserve"> yayımlanan </w:t>
      </w:r>
      <w:r>
        <w:t>27</w:t>
      </w:r>
      <w:r w:rsidRPr="007A654A">
        <w:t>.</w:t>
      </w:r>
      <w:r>
        <w:t>10</w:t>
      </w:r>
      <w:r w:rsidRPr="007A654A">
        <w:t>.2022 tarihli ve 1</w:t>
      </w:r>
      <w:r>
        <w:t xml:space="preserve">1357 </w:t>
      </w:r>
      <w:r w:rsidRPr="007A654A">
        <w:t>sayılı Kurul Kararı ile</w:t>
      </w:r>
      <w:r>
        <w:t xml:space="preserve"> </w:t>
      </w:r>
      <w:r w:rsidR="00CF3B06" w:rsidRPr="00CF3B06">
        <w:t>Son Kaynak Tedarik Tarifesinin Düzenlenmesi Hakkında Tebliğ’in</w:t>
      </w:r>
    </w:p>
    <w:p w:rsidR="00ED44E4" w:rsidRDefault="00ED44E4" w:rsidP="00ED44E4">
      <w:pPr>
        <w:pStyle w:val="ListeParagraf"/>
      </w:pPr>
    </w:p>
    <w:p w:rsidR="00ED44E4" w:rsidRDefault="00CF3B06" w:rsidP="000A5A56">
      <w:pPr>
        <w:pStyle w:val="ListeParagraf"/>
        <w:numPr>
          <w:ilvl w:val="0"/>
          <w:numId w:val="61"/>
        </w:numPr>
        <w:spacing w:after="160" w:line="259" w:lineRule="auto"/>
      </w:pPr>
      <w:r w:rsidRPr="00CF3B06">
        <w:t>5 inci maddesinin üçüncü fıkrasında yer alan tüketim miktarı</w:t>
      </w:r>
      <w:r w:rsidR="00554C63">
        <w:t>nın</w:t>
      </w:r>
      <w:r w:rsidRPr="00CF3B06">
        <w:t>, 2023 yılı için mesken ve tarımsal faaliyetler tüketici gruplarına yönelik 100 milyon kWh/yıl olarak, diğer tüketici gruplarına yönelik 1 milyon kWh/yıl olarak uygulan</w:t>
      </w:r>
      <w:r w:rsidR="00554C63">
        <w:t>masına;</w:t>
      </w:r>
    </w:p>
    <w:p w:rsidR="00ED44E4" w:rsidRDefault="00ED44E4" w:rsidP="00ED44E4">
      <w:pPr>
        <w:pStyle w:val="ListeParagraf"/>
      </w:pPr>
    </w:p>
    <w:p w:rsidR="00CF3B06" w:rsidRDefault="00CF3B06" w:rsidP="008F2A61">
      <w:pPr>
        <w:pStyle w:val="ListeParagraf"/>
        <w:numPr>
          <w:ilvl w:val="0"/>
          <w:numId w:val="61"/>
        </w:numPr>
        <w:spacing w:after="160" w:line="259" w:lineRule="auto"/>
      </w:pPr>
      <w:r w:rsidRPr="00CF3B06">
        <w:t>6 ncı maddesinin beşinci fıkrasında yer alan ve 1/1/2019 tarihinden itibaren 1,0938 olarak uygulanmakta olan KBK</w:t>
      </w:r>
      <w:r w:rsidR="00554C63">
        <w:t>’nın</w:t>
      </w:r>
      <w:r w:rsidRPr="00CF3B06">
        <w:t xml:space="preserve"> 1/1/2023 tarihinden itibaren de 1,0938 olarak uygulan</w:t>
      </w:r>
      <w:r w:rsidR="00554C63">
        <w:t>masına karar verilmiştir.</w:t>
      </w:r>
    </w:p>
    <w:p w:rsidR="00ED44E4" w:rsidRDefault="00ED44E4" w:rsidP="00EE59CF">
      <w:pPr>
        <w:pStyle w:val="ListeParagraf"/>
        <w:spacing w:after="160" w:line="259" w:lineRule="auto"/>
        <w:ind w:left="1491"/>
      </w:pPr>
    </w:p>
    <w:p w:rsidR="001823C5" w:rsidRPr="00E61F9A" w:rsidRDefault="001823C5" w:rsidP="000A5A56">
      <w:pPr>
        <w:pStyle w:val="ListeParagraf"/>
        <w:numPr>
          <w:ilvl w:val="0"/>
          <w:numId w:val="29"/>
        </w:numPr>
        <w:spacing w:after="160" w:line="259" w:lineRule="auto"/>
      </w:pPr>
      <w:r w:rsidRPr="00E61F9A">
        <w:t xml:space="preserve">30.12.2022 tarihli ve 32059 sayılı (2. Mükerrer) Resmî </w:t>
      </w:r>
      <w:r w:rsidR="00274939">
        <w:t>Gazetede</w:t>
      </w:r>
      <w:r w:rsidRPr="00E61F9A">
        <w:t xml:space="preserve"> yayımlanan 29.12.2022 tarihli ve 11529-</w:t>
      </w:r>
      <w:r>
        <w:t>4</w:t>
      </w:r>
      <w:r w:rsidRPr="00E61F9A">
        <w:t xml:space="preserve"> sayılı Kurul Kararı </w:t>
      </w:r>
      <w:r>
        <w:t xml:space="preserve">ile </w:t>
      </w:r>
      <w:r w:rsidRPr="001823C5">
        <w:t>24/12/2020 tarihli ve 9871 sayılı Kurul Kararı’nın 2 nci maddesi uyarınca görevli tedarik şirketlerinin dağıtım şirketlerinden aldıkları ödeme bildirimi ve ikinci bildirim bırakma hizmetlerine ilişkin bedellerin 1/1/2023 tarihinden itibaren aşağıda yer alan şekilde uygulanmasına,</w:t>
      </w:r>
    </w:p>
    <w:tbl>
      <w:tblPr>
        <w:tblW w:w="77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20"/>
        <w:gridCol w:w="1480"/>
        <w:gridCol w:w="1320"/>
      </w:tblGrid>
      <w:tr w:rsidR="001823C5" w:rsidRPr="001823C5" w:rsidTr="00ED44E4">
        <w:trPr>
          <w:trHeight w:val="320"/>
          <w:jc w:val="center"/>
        </w:trPr>
        <w:tc>
          <w:tcPr>
            <w:tcW w:w="7720" w:type="dxa"/>
            <w:gridSpan w:val="3"/>
            <w:shd w:val="clear" w:color="auto" w:fill="auto"/>
            <w:vAlign w:val="center"/>
            <w:hideMark/>
          </w:tcPr>
          <w:p w:rsidR="001823C5" w:rsidRPr="001823C5" w:rsidRDefault="001823C5" w:rsidP="00ED44E4">
            <w:pPr>
              <w:spacing w:after="0" w:line="240" w:lineRule="auto"/>
              <w:jc w:val="center"/>
              <w:rPr>
                <w:rFonts w:cstheme="minorHAnsi"/>
                <w:b/>
                <w:bCs/>
                <w:color w:val="000000"/>
              </w:rPr>
            </w:pPr>
            <w:r w:rsidRPr="001823C5">
              <w:rPr>
                <w:rFonts w:cstheme="minorHAnsi"/>
                <w:b/>
                <w:bCs/>
                <w:color w:val="000000"/>
              </w:rPr>
              <w:t>Ödeme Bildirimi ve İkinci Bildirim Bırakma Bedelleri</w:t>
            </w:r>
          </w:p>
        </w:tc>
      </w:tr>
      <w:tr w:rsidR="001823C5" w:rsidRPr="001823C5" w:rsidTr="00ED44E4">
        <w:trPr>
          <w:trHeight w:val="323"/>
          <w:jc w:val="center"/>
        </w:trPr>
        <w:tc>
          <w:tcPr>
            <w:tcW w:w="4920" w:type="dxa"/>
            <w:vMerge w:val="restart"/>
            <w:shd w:val="clear" w:color="auto" w:fill="auto"/>
            <w:noWrap/>
            <w:vAlign w:val="center"/>
            <w:hideMark/>
          </w:tcPr>
          <w:p w:rsidR="001823C5" w:rsidRPr="001823C5" w:rsidRDefault="001823C5" w:rsidP="00ED44E4">
            <w:pPr>
              <w:spacing w:after="0" w:line="240" w:lineRule="auto"/>
              <w:jc w:val="center"/>
              <w:rPr>
                <w:rFonts w:cstheme="minorHAnsi"/>
                <w:b/>
                <w:bCs/>
                <w:color w:val="000000"/>
              </w:rPr>
            </w:pPr>
            <w:r w:rsidRPr="001823C5">
              <w:rPr>
                <w:rFonts w:cstheme="minorHAnsi"/>
                <w:b/>
                <w:bCs/>
                <w:color w:val="000000"/>
              </w:rPr>
              <w:t>2023</w:t>
            </w:r>
          </w:p>
        </w:tc>
        <w:tc>
          <w:tcPr>
            <w:tcW w:w="2800" w:type="dxa"/>
            <w:gridSpan w:val="2"/>
            <w:shd w:val="clear" w:color="auto" w:fill="auto"/>
            <w:vAlign w:val="center"/>
            <w:hideMark/>
          </w:tcPr>
          <w:p w:rsidR="001823C5" w:rsidRPr="001823C5" w:rsidRDefault="001823C5" w:rsidP="00ED44E4">
            <w:pPr>
              <w:spacing w:after="0" w:line="240" w:lineRule="auto"/>
              <w:jc w:val="center"/>
              <w:rPr>
                <w:rFonts w:cstheme="minorHAnsi"/>
                <w:b/>
                <w:bCs/>
                <w:color w:val="000000"/>
              </w:rPr>
            </w:pPr>
            <w:r w:rsidRPr="001823C5">
              <w:rPr>
                <w:rFonts w:cstheme="minorHAnsi"/>
                <w:b/>
                <w:bCs/>
                <w:color w:val="000000"/>
              </w:rPr>
              <w:t>Bedel (TL/İşlem)</w:t>
            </w:r>
          </w:p>
        </w:tc>
      </w:tr>
      <w:tr w:rsidR="001823C5" w:rsidRPr="001823C5" w:rsidTr="00ED44E4">
        <w:trPr>
          <w:trHeight w:val="323"/>
          <w:jc w:val="center"/>
        </w:trPr>
        <w:tc>
          <w:tcPr>
            <w:tcW w:w="4920" w:type="dxa"/>
            <w:vMerge/>
            <w:shd w:val="clear" w:color="auto" w:fill="auto"/>
            <w:noWrap/>
            <w:vAlign w:val="center"/>
          </w:tcPr>
          <w:p w:rsidR="001823C5" w:rsidRPr="001823C5" w:rsidRDefault="001823C5" w:rsidP="00ED44E4">
            <w:pPr>
              <w:spacing w:after="0" w:line="240" w:lineRule="auto"/>
              <w:jc w:val="center"/>
              <w:rPr>
                <w:rFonts w:cstheme="minorHAnsi"/>
                <w:b/>
                <w:bCs/>
                <w:color w:val="000000"/>
              </w:rPr>
            </w:pPr>
          </w:p>
        </w:tc>
        <w:tc>
          <w:tcPr>
            <w:tcW w:w="1480" w:type="dxa"/>
            <w:shd w:val="clear" w:color="auto" w:fill="auto"/>
            <w:vAlign w:val="center"/>
          </w:tcPr>
          <w:p w:rsidR="001823C5" w:rsidRPr="001823C5" w:rsidRDefault="001823C5" w:rsidP="00ED44E4">
            <w:pPr>
              <w:spacing w:after="0" w:line="240" w:lineRule="auto"/>
              <w:jc w:val="center"/>
              <w:rPr>
                <w:rFonts w:cstheme="minorHAnsi"/>
                <w:b/>
                <w:bCs/>
                <w:color w:val="000000"/>
              </w:rPr>
            </w:pPr>
            <w:r w:rsidRPr="001823C5">
              <w:rPr>
                <w:rFonts w:cstheme="minorHAnsi"/>
                <w:b/>
                <w:bCs/>
                <w:color w:val="000000"/>
              </w:rPr>
              <w:t>AG</w:t>
            </w:r>
          </w:p>
        </w:tc>
        <w:tc>
          <w:tcPr>
            <w:tcW w:w="1320" w:type="dxa"/>
            <w:shd w:val="clear" w:color="auto" w:fill="auto"/>
            <w:vAlign w:val="center"/>
          </w:tcPr>
          <w:p w:rsidR="001823C5" w:rsidRPr="001823C5" w:rsidRDefault="001823C5" w:rsidP="00ED44E4">
            <w:pPr>
              <w:spacing w:after="0" w:line="240" w:lineRule="auto"/>
              <w:jc w:val="center"/>
              <w:rPr>
                <w:rFonts w:cstheme="minorHAnsi"/>
                <w:b/>
                <w:bCs/>
                <w:color w:val="000000"/>
              </w:rPr>
            </w:pPr>
            <w:r w:rsidRPr="001823C5">
              <w:rPr>
                <w:rFonts w:cstheme="minorHAnsi"/>
                <w:b/>
                <w:bCs/>
                <w:color w:val="000000"/>
              </w:rPr>
              <w:t>OG</w:t>
            </w:r>
          </w:p>
        </w:tc>
      </w:tr>
      <w:tr w:rsidR="001823C5" w:rsidRPr="001823C5" w:rsidTr="00ED44E4">
        <w:trPr>
          <w:trHeight w:val="323"/>
          <w:jc w:val="center"/>
        </w:trPr>
        <w:tc>
          <w:tcPr>
            <w:tcW w:w="4920" w:type="dxa"/>
            <w:shd w:val="clear" w:color="auto" w:fill="auto"/>
            <w:vAlign w:val="center"/>
            <w:hideMark/>
          </w:tcPr>
          <w:p w:rsidR="001823C5" w:rsidRPr="001823C5" w:rsidRDefault="001823C5" w:rsidP="00ED44E4">
            <w:pPr>
              <w:spacing w:after="0" w:line="240" w:lineRule="auto"/>
              <w:ind w:left="212"/>
              <w:rPr>
                <w:rFonts w:cstheme="minorHAnsi"/>
                <w:color w:val="000000"/>
              </w:rPr>
            </w:pPr>
            <w:r w:rsidRPr="001823C5">
              <w:rPr>
                <w:rFonts w:cstheme="minorHAnsi"/>
                <w:color w:val="000000"/>
              </w:rPr>
              <w:t xml:space="preserve">Ödeme Bildirimi Bırakma Bedeli </w:t>
            </w:r>
          </w:p>
        </w:tc>
        <w:tc>
          <w:tcPr>
            <w:tcW w:w="1480" w:type="dxa"/>
            <w:shd w:val="clear" w:color="auto" w:fill="auto"/>
            <w:noWrap/>
            <w:vAlign w:val="center"/>
            <w:hideMark/>
          </w:tcPr>
          <w:p w:rsidR="001823C5" w:rsidRPr="001823C5" w:rsidRDefault="001823C5" w:rsidP="00ED44E4">
            <w:pPr>
              <w:spacing w:after="0" w:line="240" w:lineRule="auto"/>
              <w:jc w:val="center"/>
              <w:rPr>
                <w:rFonts w:cstheme="minorHAnsi"/>
                <w:color w:val="000000"/>
              </w:rPr>
            </w:pPr>
            <w:r w:rsidRPr="001823C5">
              <w:rPr>
                <w:rFonts w:cstheme="minorHAnsi"/>
                <w:color w:val="000000"/>
              </w:rPr>
              <w:t>0,133</w:t>
            </w:r>
          </w:p>
        </w:tc>
        <w:tc>
          <w:tcPr>
            <w:tcW w:w="1320" w:type="dxa"/>
            <w:shd w:val="clear" w:color="auto" w:fill="auto"/>
            <w:noWrap/>
            <w:vAlign w:val="center"/>
            <w:hideMark/>
          </w:tcPr>
          <w:p w:rsidR="001823C5" w:rsidRPr="001823C5" w:rsidRDefault="001823C5" w:rsidP="00ED44E4">
            <w:pPr>
              <w:spacing w:after="0" w:line="240" w:lineRule="auto"/>
              <w:jc w:val="center"/>
              <w:rPr>
                <w:rFonts w:cstheme="minorHAnsi"/>
                <w:color w:val="000000"/>
              </w:rPr>
            </w:pPr>
            <w:r w:rsidRPr="001823C5">
              <w:rPr>
                <w:rFonts w:cstheme="minorHAnsi"/>
                <w:color w:val="000000"/>
              </w:rPr>
              <w:t>1,33</w:t>
            </w:r>
          </w:p>
        </w:tc>
      </w:tr>
      <w:tr w:rsidR="001823C5" w:rsidRPr="001823C5" w:rsidTr="00ED44E4">
        <w:trPr>
          <w:trHeight w:val="323"/>
          <w:jc w:val="center"/>
        </w:trPr>
        <w:tc>
          <w:tcPr>
            <w:tcW w:w="4920" w:type="dxa"/>
            <w:shd w:val="clear" w:color="auto" w:fill="auto"/>
            <w:vAlign w:val="center"/>
            <w:hideMark/>
          </w:tcPr>
          <w:p w:rsidR="001823C5" w:rsidRPr="001823C5" w:rsidRDefault="001823C5" w:rsidP="00ED44E4">
            <w:pPr>
              <w:spacing w:after="0" w:line="240" w:lineRule="auto"/>
              <w:ind w:left="212"/>
              <w:rPr>
                <w:rFonts w:cstheme="minorHAnsi"/>
                <w:color w:val="000000"/>
              </w:rPr>
            </w:pPr>
            <w:r w:rsidRPr="001823C5">
              <w:rPr>
                <w:rFonts w:cstheme="minorHAnsi"/>
                <w:color w:val="000000"/>
              </w:rPr>
              <w:t xml:space="preserve">İkinci Bildirim Bırakma Bedeli </w:t>
            </w:r>
          </w:p>
        </w:tc>
        <w:tc>
          <w:tcPr>
            <w:tcW w:w="1480" w:type="dxa"/>
            <w:shd w:val="clear" w:color="auto" w:fill="auto"/>
            <w:noWrap/>
            <w:vAlign w:val="center"/>
            <w:hideMark/>
          </w:tcPr>
          <w:p w:rsidR="001823C5" w:rsidRPr="001823C5" w:rsidRDefault="001823C5" w:rsidP="00ED44E4">
            <w:pPr>
              <w:spacing w:after="0" w:line="240" w:lineRule="auto"/>
              <w:jc w:val="center"/>
              <w:rPr>
                <w:rFonts w:cstheme="minorHAnsi"/>
                <w:color w:val="000000"/>
              </w:rPr>
            </w:pPr>
            <w:r w:rsidRPr="001823C5">
              <w:rPr>
                <w:rFonts w:cstheme="minorHAnsi"/>
                <w:color w:val="000000"/>
              </w:rPr>
              <w:t>2,66</w:t>
            </w:r>
          </w:p>
        </w:tc>
        <w:tc>
          <w:tcPr>
            <w:tcW w:w="1320" w:type="dxa"/>
            <w:shd w:val="clear" w:color="auto" w:fill="auto"/>
            <w:noWrap/>
            <w:vAlign w:val="center"/>
            <w:hideMark/>
          </w:tcPr>
          <w:p w:rsidR="001823C5" w:rsidRPr="001823C5" w:rsidRDefault="001823C5" w:rsidP="00ED44E4">
            <w:pPr>
              <w:spacing w:after="0" w:line="240" w:lineRule="auto"/>
              <w:jc w:val="center"/>
              <w:rPr>
                <w:rFonts w:cstheme="minorHAnsi"/>
                <w:color w:val="000000"/>
              </w:rPr>
            </w:pPr>
            <w:r w:rsidRPr="001823C5">
              <w:rPr>
                <w:rFonts w:cstheme="minorHAnsi"/>
                <w:color w:val="000000"/>
              </w:rPr>
              <w:t>26,68</w:t>
            </w:r>
          </w:p>
        </w:tc>
      </w:tr>
      <w:tr w:rsidR="001823C5" w:rsidRPr="001823C5" w:rsidTr="00ED44E4">
        <w:trPr>
          <w:trHeight w:val="624"/>
          <w:jc w:val="center"/>
        </w:trPr>
        <w:tc>
          <w:tcPr>
            <w:tcW w:w="4920" w:type="dxa"/>
            <w:shd w:val="clear" w:color="auto" w:fill="auto"/>
            <w:vAlign w:val="center"/>
            <w:hideMark/>
          </w:tcPr>
          <w:p w:rsidR="001823C5" w:rsidRPr="001823C5" w:rsidRDefault="001823C5" w:rsidP="00ED44E4">
            <w:pPr>
              <w:spacing w:after="0" w:line="240" w:lineRule="auto"/>
              <w:ind w:left="212"/>
              <w:rPr>
                <w:rFonts w:cstheme="minorHAnsi"/>
                <w:color w:val="000000"/>
              </w:rPr>
            </w:pPr>
            <w:r w:rsidRPr="001823C5">
              <w:rPr>
                <w:rFonts w:cstheme="minorHAnsi"/>
                <w:color w:val="000000"/>
              </w:rPr>
              <w:t xml:space="preserve">Ödeme Bildirimi ile Birlikte İkinci Bildirim Bırakılması Durumunda Uygulanacak Bedel </w:t>
            </w:r>
          </w:p>
        </w:tc>
        <w:tc>
          <w:tcPr>
            <w:tcW w:w="2800" w:type="dxa"/>
            <w:gridSpan w:val="2"/>
            <w:shd w:val="clear" w:color="auto" w:fill="auto"/>
            <w:noWrap/>
            <w:vAlign w:val="center"/>
            <w:hideMark/>
          </w:tcPr>
          <w:p w:rsidR="001823C5" w:rsidRPr="001823C5" w:rsidRDefault="001823C5" w:rsidP="00ED44E4">
            <w:pPr>
              <w:spacing w:after="0" w:line="240" w:lineRule="auto"/>
              <w:jc w:val="center"/>
              <w:rPr>
                <w:rFonts w:cstheme="minorHAnsi"/>
                <w:color w:val="000000"/>
              </w:rPr>
            </w:pPr>
            <w:r w:rsidRPr="001823C5">
              <w:rPr>
                <w:rFonts w:cstheme="minorHAnsi"/>
                <w:color w:val="000000"/>
              </w:rPr>
              <w:t>0</w:t>
            </w:r>
          </w:p>
        </w:tc>
      </w:tr>
    </w:tbl>
    <w:p w:rsidR="001823C5" w:rsidRDefault="001823C5" w:rsidP="001823C5">
      <w:pPr>
        <w:spacing w:after="160" w:line="259" w:lineRule="auto"/>
        <w:ind w:left="720"/>
        <w:contextualSpacing/>
      </w:pPr>
      <w:r w:rsidRPr="00E61F9A">
        <w:rPr>
          <w:rFonts w:cstheme="minorHAnsi"/>
          <w:bCs/>
        </w:rPr>
        <w:lastRenderedPageBreak/>
        <w:t>karar verilmiştir.</w:t>
      </w:r>
    </w:p>
    <w:p w:rsidR="000D35F9" w:rsidRPr="00E61F9A" w:rsidRDefault="000D35F9" w:rsidP="000A5A56">
      <w:pPr>
        <w:pStyle w:val="ListeParagraf"/>
        <w:numPr>
          <w:ilvl w:val="0"/>
          <w:numId w:val="29"/>
        </w:numPr>
        <w:spacing w:after="160" w:line="259" w:lineRule="auto"/>
      </w:pPr>
      <w:bookmarkStart w:id="265" w:name="_Hlk92465473"/>
      <w:r w:rsidRPr="00E61F9A">
        <w:t xml:space="preserve">30.12.2022 tarihli ve 32059 sayılı (2. Mükerrer) Resmî </w:t>
      </w:r>
      <w:r w:rsidR="00274939">
        <w:t>Gazetede</w:t>
      </w:r>
      <w:r w:rsidRPr="00E61F9A">
        <w:t xml:space="preserve"> yayımlanan 29.12.2022 tarihli ve 11529-</w:t>
      </w:r>
      <w:r>
        <w:t>8</w:t>
      </w:r>
      <w:r w:rsidRPr="00E61F9A">
        <w:t xml:space="preserve"> sayılı Kurul Kararı </w:t>
      </w:r>
      <w:r>
        <w:t xml:space="preserve">ile </w:t>
      </w:r>
      <w:r w:rsidRPr="000D35F9">
        <w:t>Elektrik Piyasasında Lisanssız Elektrik Üretim Yönetmeliğinin 36 ncı maddesinin ikinci fıkrasının (c) bendi uyarınca ilgili şebeke işletmecisi ve görevli tedarik şirketlerinin tahsil edeceği işlem bedelinin 2023 yılı için aşağıda yer alan şekilde uygulanmasına,</w:t>
      </w:r>
    </w:p>
    <w:p w:rsidR="000D35F9" w:rsidRPr="000D35F9" w:rsidRDefault="000D35F9" w:rsidP="000D35F9">
      <w:pPr>
        <w:pStyle w:val="ListeParagraf"/>
        <w:tabs>
          <w:tab w:val="left" w:pos="1800"/>
        </w:tabs>
        <w:spacing w:after="0" w:line="240" w:lineRule="auto"/>
        <w:rPr>
          <w:rFonts w:cstheme="minorHAnsi"/>
        </w:rPr>
      </w:pPr>
    </w:p>
    <w:tbl>
      <w:tblPr>
        <w:tblW w:w="48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20"/>
        <w:gridCol w:w="1795"/>
      </w:tblGrid>
      <w:tr w:rsidR="000D35F9" w:rsidRPr="000D35F9" w:rsidTr="00ED44E4">
        <w:trPr>
          <w:trHeight w:val="323"/>
          <w:jc w:val="center"/>
        </w:trPr>
        <w:tc>
          <w:tcPr>
            <w:tcW w:w="4815" w:type="dxa"/>
            <w:gridSpan w:val="2"/>
            <w:shd w:val="clear" w:color="auto" w:fill="auto"/>
            <w:vAlign w:val="center"/>
            <w:hideMark/>
          </w:tcPr>
          <w:p w:rsidR="000D35F9" w:rsidRPr="000D35F9" w:rsidRDefault="000D35F9" w:rsidP="00ED44E4">
            <w:pPr>
              <w:spacing w:after="0" w:line="240" w:lineRule="auto"/>
              <w:jc w:val="center"/>
              <w:rPr>
                <w:rFonts w:cstheme="minorHAnsi"/>
                <w:b/>
                <w:bCs/>
                <w:color w:val="000000"/>
              </w:rPr>
            </w:pPr>
            <w:r w:rsidRPr="000D35F9">
              <w:rPr>
                <w:rFonts w:cstheme="minorHAnsi"/>
                <w:b/>
                <w:bCs/>
                <w:color w:val="000000"/>
              </w:rPr>
              <w:t>İşlem Bedelleri</w:t>
            </w:r>
          </w:p>
        </w:tc>
      </w:tr>
      <w:tr w:rsidR="000D35F9" w:rsidRPr="000D35F9" w:rsidTr="00ED44E4">
        <w:trPr>
          <w:trHeight w:val="323"/>
          <w:jc w:val="center"/>
        </w:trPr>
        <w:tc>
          <w:tcPr>
            <w:tcW w:w="4815" w:type="dxa"/>
            <w:gridSpan w:val="2"/>
            <w:shd w:val="clear" w:color="auto" w:fill="auto"/>
            <w:vAlign w:val="center"/>
            <w:hideMark/>
          </w:tcPr>
          <w:p w:rsidR="000D35F9" w:rsidRPr="000D35F9" w:rsidRDefault="000D35F9" w:rsidP="00ED44E4">
            <w:pPr>
              <w:spacing w:after="0" w:line="240" w:lineRule="auto"/>
              <w:jc w:val="center"/>
              <w:rPr>
                <w:rFonts w:cstheme="minorHAnsi"/>
                <w:b/>
                <w:bCs/>
                <w:color w:val="000000"/>
              </w:rPr>
            </w:pPr>
            <w:r w:rsidRPr="000D35F9">
              <w:rPr>
                <w:rFonts w:cstheme="minorHAnsi"/>
                <w:b/>
                <w:bCs/>
                <w:color w:val="000000"/>
              </w:rPr>
              <w:t>2023</w:t>
            </w:r>
          </w:p>
        </w:tc>
      </w:tr>
      <w:tr w:rsidR="000D35F9" w:rsidRPr="000D35F9" w:rsidTr="00ED44E4">
        <w:trPr>
          <w:trHeight w:val="323"/>
          <w:jc w:val="center"/>
        </w:trPr>
        <w:tc>
          <w:tcPr>
            <w:tcW w:w="3020" w:type="dxa"/>
            <w:shd w:val="clear" w:color="auto" w:fill="auto"/>
            <w:vAlign w:val="center"/>
            <w:hideMark/>
          </w:tcPr>
          <w:p w:rsidR="000D35F9" w:rsidRPr="000D35F9" w:rsidRDefault="000D35F9" w:rsidP="00ED44E4">
            <w:pPr>
              <w:spacing w:after="0" w:line="240" w:lineRule="auto"/>
              <w:jc w:val="center"/>
              <w:rPr>
                <w:rFonts w:cstheme="minorHAnsi"/>
                <w:b/>
                <w:bCs/>
                <w:color w:val="000000"/>
              </w:rPr>
            </w:pPr>
            <w:r w:rsidRPr="000D35F9">
              <w:rPr>
                <w:rFonts w:cstheme="minorHAnsi"/>
                <w:b/>
                <w:bCs/>
                <w:color w:val="000000"/>
              </w:rPr>
              <w:t>İşlem Türü</w:t>
            </w:r>
          </w:p>
        </w:tc>
        <w:tc>
          <w:tcPr>
            <w:tcW w:w="1795" w:type="dxa"/>
            <w:shd w:val="clear" w:color="auto" w:fill="auto"/>
            <w:vAlign w:val="center"/>
            <w:hideMark/>
          </w:tcPr>
          <w:p w:rsidR="000D35F9" w:rsidRPr="000D35F9" w:rsidRDefault="000D35F9" w:rsidP="00ED44E4">
            <w:pPr>
              <w:spacing w:after="0" w:line="240" w:lineRule="auto"/>
              <w:jc w:val="center"/>
              <w:rPr>
                <w:rFonts w:cstheme="minorHAnsi"/>
                <w:b/>
                <w:bCs/>
                <w:color w:val="000000"/>
              </w:rPr>
            </w:pPr>
            <w:r w:rsidRPr="000D35F9">
              <w:rPr>
                <w:rFonts w:cstheme="minorHAnsi"/>
                <w:b/>
                <w:bCs/>
                <w:color w:val="000000"/>
              </w:rPr>
              <w:t>Bedel (TL)</w:t>
            </w:r>
          </w:p>
        </w:tc>
      </w:tr>
      <w:tr w:rsidR="000D35F9" w:rsidRPr="000D35F9" w:rsidTr="00ED44E4">
        <w:trPr>
          <w:trHeight w:val="323"/>
          <w:jc w:val="center"/>
        </w:trPr>
        <w:tc>
          <w:tcPr>
            <w:tcW w:w="3020" w:type="dxa"/>
            <w:shd w:val="clear" w:color="auto" w:fill="auto"/>
            <w:noWrap/>
            <w:vAlign w:val="center"/>
            <w:hideMark/>
          </w:tcPr>
          <w:p w:rsidR="000D35F9" w:rsidRPr="000D35F9" w:rsidRDefault="000D35F9" w:rsidP="00ED44E4">
            <w:pPr>
              <w:spacing w:after="0" w:line="240" w:lineRule="auto"/>
              <w:ind w:firstLineChars="100" w:firstLine="220"/>
              <w:rPr>
                <w:rFonts w:cstheme="minorHAnsi"/>
                <w:color w:val="000000"/>
              </w:rPr>
            </w:pPr>
            <w:r w:rsidRPr="000D35F9">
              <w:rPr>
                <w:rFonts w:cstheme="minorHAnsi"/>
                <w:color w:val="000000"/>
              </w:rPr>
              <w:t>Pay Devri</w:t>
            </w:r>
          </w:p>
        </w:tc>
        <w:tc>
          <w:tcPr>
            <w:tcW w:w="1795" w:type="dxa"/>
            <w:shd w:val="clear" w:color="auto" w:fill="auto"/>
            <w:noWrap/>
            <w:vAlign w:val="center"/>
            <w:hideMark/>
          </w:tcPr>
          <w:p w:rsidR="000D35F9" w:rsidRPr="000D35F9" w:rsidRDefault="000D35F9" w:rsidP="00ED44E4">
            <w:pPr>
              <w:spacing w:after="0" w:line="240" w:lineRule="auto"/>
              <w:jc w:val="center"/>
              <w:rPr>
                <w:rFonts w:cstheme="minorHAnsi"/>
                <w:color w:val="000000"/>
              </w:rPr>
            </w:pPr>
            <w:r w:rsidRPr="000D35F9">
              <w:rPr>
                <w:rFonts w:cstheme="minorHAnsi"/>
                <w:color w:val="000000"/>
              </w:rPr>
              <w:t>0</w:t>
            </w:r>
          </w:p>
        </w:tc>
      </w:tr>
      <w:tr w:rsidR="000D35F9" w:rsidRPr="000D35F9" w:rsidTr="00ED44E4">
        <w:trPr>
          <w:trHeight w:val="323"/>
          <w:jc w:val="center"/>
        </w:trPr>
        <w:tc>
          <w:tcPr>
            <w:tcW w:w="3020" w:type="dxa"/>
            <w:shd w:val="clear" w:color="auto" w:fill="auto"/>
            <w:noWrap/>
            <w:vAlign w:val="center"/>
            <w:hideMark/>
          </w:tcPr>
          <w:p w:rsidR="000D35F9" w:rsidRPr="000D35F9" w:rsidRDefault="000D35F9" w:rsidP="00ED44E4">
            <w:pPr>
              <w:spacing w:after="0" w:line="240" w:lineRule="auto"/>
              <w:ind w:firstLineChars="100" w:firstLine="220"/>
              <w:rPr>
                <w:rFonts w:cstheme="minorHAnsi"/>
                <w:color w:val="000000"/>
              </w:rPr>
            </w:pPr>
            <w:r w:rsidRPr="000D35F9">
              <w:rPr>
                <w:rFonts w:cstheme="minorHAnsi"/>
                <w:color w:val="000000"/>
              </w:rPr>
              <w:t>Diğer İşlemler</w:t>
            </w:r>
          </w:p>
        </w:tc>
        <w:tc>
          <w:tcPr>
            <w:tcW w:w="1795" w:type="dxa"/>
            <w:shd w:val="clear" w:color="auto" w:fill="auto"/>
            <w:noWrap/>
            <w:vAlign w:val="center"/>
            <w:hideMark/>
          </w:tcPr>
          <w:p w:rsidR="000D35F9" w:rsidRPr="000D35F9" w:rsidRDefault="000D35F9" w:rsidP="00ED44E4">
            <w:pPr>
              <w:spacing w:after="0" w:line="240" w:lineRule="auto"/>
              <w:jc w:val="center"/>
              <w:rPr>
                <w:rFonts w:cstheme="minorHAnsi"/>
                <w:color w:val="000000"/>
              </w:rPr>
            </w:pPr>
            <w:r w:rsidRPr="000D35F9">
              <w:rPr>
                <w:rFonts w:cstheme="minorHAnsi"/>
                <w:color w:val="000000"/>
              </w:rPr>
              <w:t>1348,1</w:t>
            </w:r>
          </w:p>
        </w:tc>
      </w:tr>
    </w:tbl>
    <w:p w:rsidR="009F5196" w:rsidRDefault="009F5196" w:rsidP="001823C5">
      <w:pPr>
        <w:spacing w:after="160" w:line="259" w:lineRule="auto"/>
        <w:ind w:left="720"/>
        <w:contextualSpacing/>
        <w:rPr>
          <w:rFonts w:cstheme="minorHAnsi"/>
          <w:bCs/>
        </w:rPr>
      </w:pPr>
    </w:p>
    <w:p w:rsidR="000D35F9" w:rsidRDefault="000D35F9" w:rsidP="001823C5">
      <w:pPr>
        <w:spacing w:after="160" w:line="259" w:lineRule="auto"/>
        <w:ind w:left="720"/>
        <w:contextualSpacing/>
        <w:rPr>
          <w:rFonts w:cstheme="minorHAnsi"/>
          <w:bCs/>
        </w:rPr>
      </w:pPr>
      <w:r w:rsidRPr="00E61F9A">
        <w:rPr>
          <w:rFonts w:cstheme="minorHAnsi"/>
          <w:bCs/>
        </w:rPr>
        <w:t>karar verilmiştir.</w:t>
      </w:r>
    </w:p>
    <w:p w:rsidR="009F5196" w:rsidRPr="00E61F9A" w:rsidRDefault="009F5196" w:rsidP="000A5A56">
      <w:pPr>
        <w:pStyle w:val="ListeParagraf"/>
        <w:numPr>
          <w:ilvl w:val="0"/>
          <w:numId w:val="29"/>
        </w:numPr>
        <w:spacing w:after="160" w:line="259" w:lineRule="auto"/>
      </w:pPr>
      <w:r w:rsidRPr="00E61F9A">
        <w:t xml:space="preserve">30.12.2022 tarihli ve 32059 sayılı (2. Mükerrer) Resmî </w:t>
      </w:r>
      <w:r w:rsidR="00274939">
        <w:t>Gazetede</w:t>
      </w:r>
      <w:r w:rsidRPr="00E61F9A">
        <w:t xml:space="preserve"> yayımlanan 29.12.2022 tarihli ve 11529-</w:t>
      </w:r>
      <w:r>
        <w:t>9</w:t>
      </w:r>
      <w:r w:rsidRPr="00E61F9A">
        <w:t xml:space="preserve"> sayılı Kurul Kararı </w:t>
      </w:r>
      <w:r>
        <w:t xml:space="preserve">ile </w:t>
      </w:r>
      <w:r w:rsidRPr="009F5196">
        <w:t>Elektrik Piyasasında Lisanssız Elektrik Üretim Yönetmeliği kapsamında 25 kW ve altı çatı ve cephe uygulamalı güneş enerjisine dayalı elektrik üretim tesisleri için elektrik dağıtım şirketleri tarafından yapılacak proje onay ve kabul işlemleri bedellerinin 1/1/2023 tarihinden itibaren aşağıda yer alan şekilde uygulanmasına,</w:t>
      </w:r>
    </w:p>
    <w:tbl>
      <w:tblPr>
        <w:tblW w:w="53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597"/>
        <w:gridCol w:w="1785"/>
      </w:tblGrid>
      <w:tr w:rsidR="009F5196" w:rsidTr="00ED44E4">
        <w:trPr>
          <w:trHeight w:val="907"/>
          <w:jc w:val="center"/>
        </w:trPr>
        <w:tc>
          <w:tcPr>
            <w:tcW w:w="5382" w:type="dxa"/>
            <w:gridSpan w:val="2"/>
            <w:shd w:val="clear" w:color="auto" w:fill="auto"/>
            <w:hideMark/>
          </w:tcPr>
          <w:p w:rsidR="009F5196" w:rsidRPr="009F5196" w:rsidRDefault="009F5196" w:rsidP="00ED44E4">
            <w:pPr>
              <w:spacing w:after="0" w:line="240" w:lineRule="auto"/>
              <w:jc w:val="center"/>
              <w:rPr>
                <w:rFonts w:cstheme="minorHAnsi"/>
                <w:b/>
                <w:bCs/>
                <w:color w:val="000000"/>
              </w:rPr>
            </w:pPr>
            <w:r w:rsidRPr="009F5196">
              <w:rPr>
                <w:rFonts w:cstheme="minorHAnsi"/>
                <w:b/>
              </w:rPr>
              <w:t>25 kW ve Altı Çatı ve Cephe Uygulamalı Güneş Enerjisine Dayalı Üretim Tesisleri için Proje Onay ve Kabul İşlem Bedelleri</w:t>
            </w:r>
          </w:p>
        </w:tc>
      </w:tr>
      <w:tr w:rsidR="009F5196" w:rsidTr="00ED44E4">
        <w:trPr>
          <w:trHeight w:val="323"/>
          <w:jc w:val="center"/>
        </w:trPr>
        <w:tc>
          <w:tcPr>
            <w:tcW w:w="5382" w:type="dxa"/>
            <w:gridSpan w:val="2"/>
            <w:shd w:val="clear" w:color="auto" w:fill="auto"/>
            <w:hideMark/>
          </w:tcPr>
          <w:p w:rsidR="009F5196" w:rsidRPr="009F5196" w:rsidRDefault="009F5196" w:rsidP="00ED44E4">
            <w:pPr>
              <w:spacing w:after="0" w:line="240" w:lineRule="auto"/>
              <w:jc w:val="center"/>
              <w:rPr>
                <w:rFonts w:cstheme="minorHAnsi"/>
                <w:b/>
                <w:bCs/>
                <w:color w:val="000000"/>
              </w:rPr>
            </w:pPr>
            <w:r w:rsidRPr="009F5196">
              <w:rPr>
                <w:rFonts w:cstheme="minorHAnsi"/>
                <w:b/>
              </w:rPr>
              <w:t>2023</w:t>
            </w:r>
          </w:p>
        </w:tc>
      </w:tr>
      <w:tr w:rsidR="009F5196" w:rsidTr="00ED44E4">
        <w:trPr>
          <w:trHeight w:val="323"/>
          <w:jc w:val="center"/>
        </w:trPr>
        <w:tc>
          <w:tcPr>
            <w:tcW w:w="3597" w:type="dxa"/>
            <w:shd w:val="clear" w:color="auto" w:fill="auto"/>
            <w:hideMark/>
          </w:tcPr>
          <w:p w:rsidR="009F5196" w:rsidRPr="009F5196" w:rsidRDefault="009F5196" w:rsidP="00ED44E4">
            <w:pPr>
              <w:spacing w:after="0" w:line="240" w:lineRule="auto"/>
              <w:jc w:val="center"/>
              <w:rPr>
                <w:rFonts w:cstheme="minorHAnsi"/>
                <w:b/>
                <w:bCs/>
                <w:color w:val="000000"/>
              </w:rPr>
            </w:pPr>
            <w:r w:rsidRPr="009F5196">
              <w:rPr>
                <w:rFonts w:cstheme="minorHAnsi"/>
                <w:b/>
              </w:rPr>
              <w:t>İşlem Türü</w:t>
            </w:r>
          </w:p>
        </w:tc>
        <w:tc>
          <w:tcPr>
            <w:tcW w:w="1785" w:type="dxa"/>
            <w:shd w:val="clear" w:color="auto" w:fill="auto"/>
            <w:hideMark/>
          </w:tcPr>
          <w:p w:rsidR="009F5196" w:rsidRPr="009F5196" w:rsidRDefault="009F5196" w:rsidP="00ED44E4">
            <w:pPr>
              <w:spacing w:after="0" w:line="240" w:lineRule="auto"/>
              <w:jc w:val="center"/>
              <w:rPr>
                <w:rFonts w:cstheme="minorHAnsi"/>
                <w:b/>
                <w:bCs/>
                <w:color w:val="000000"/>
              </w:rPr>
            </w:pPr>
            <w:r w:rsidRPr="009F5196">
              <w:rPr>
                <w:rFonts w:cstheme="minorHAnsi"/>
                <w:b/>
              </w:rPr>
              <w:t>Bedel (TL)</w:t>
            </w:r>
          </w:p>
        </w:tc>
      </w:tr>
      <w:tr w:rsidR="009F5196" w:rsidTr="00ED44E4">
        <w:trPr>
          <w:trHeight w:val="323"/>
          <w:jc w:val="center"/>
        </w:trPr>
        <w:tc>
          <w:tcPr>
            <w:tcW w:w="3597" w:type="dxa"/>
            <w:shd w:val="clear" w:color="auto" w:fill="auto"/>
            <w:hideMark/>
          </w:tcPr>
          <w:p w:rsidR="009F5196" w:rsidRPr="009F5196" w:rsidRDefault="009F5196" w:rsidP="00ED44E4">
            <w:pPr>
              <w:spacing w:after="0" w:line="240" w:lineRule="auto"/>
              <w:ind w:firstLineChars="100" w:firstLine="220"/>
              <w:rPr>
                <w:rFonts w:cstheme="minorHAnsi"/>
                <w:color w:val="000000"/>
              </w:rPr>
            </w:pPr>
            <w:r w:rsidRPr="009F5196">
              <w:rPr>
                <w:rFonts w:cstheme="minorHAnsi"/>
              </w:rPr>
              <w:t>Proje Onayı</w:t>
            </w:r>
          </w:p>
        </w:tc>
        <w:tc>
          <w:tcPr>
            <w:tcW w:w="1785" w:type="dxa"/>
            <w:shd w:val="clear" w:color="auto" w:fill="auto"/>
            <w:noWrap/>
            <w:hideMark/>
          </w:tcPr>
          <w:p w:rsidR="009F5196" w:rsidRPr="009F5196" w:rsidRDefault="009F5196" w:rsidP="00ED44E4">
            <w:pPr>
              <w:spacing w:after="0" w:line="240" w:lineRule="auto"/>
              <w:jc w:val="center"/>
              <w:rPr>
                <w:rFonts w:cstheme="minorHAnsi"/>
                <w:color w:val="000000"/>
              </w:rPr>
            </w:pPr>
            <w:r w:rsidRPr="009F5196">
              <w:rPr>
                <w:rFonts w:cstheme="minorHAnsi"/>
              </w:rPr>
              <w:t>0</w:t>
            </w:r>
          </w:p>
        </w:tc>
      </w:tr>
      <w:tr w:rsidR="009F5196" w:rsidTr="00ED44E4">
        <w:trPr>
          <w:trHeight w:val="323"/>
          <w:jc w:val="center"/>
        </w:trPr>
        <w:tc>
          <w:tcPr>
            <w:tcW w:w="3597" w:type="dxa"/>
            <w:shd w:val="clear" w:color="auto" w:fill="auto"/>
            <w:hideMark/>
          </w:tcPr>
          <w:p w:rsidR="009F5196" w:rsidRPr="009F5196" w:rsidRDefault="009F5196" w:rsidP="00ED44E4">
            <w:pPr>
              <w:spacing w:after="0" w:line="240" w:lineRule="auto"/>
              <w:ind w:firstLineChars="100" w:firstLine="220"/>
              <w:rPr>
                <w:rFonts w:cstheme="minorHAnsi"/>
                <w:color w:val="000000"/>
              </w:rPr>
            </w:pPr>
            <w:r w:rsidRPr="009F5196">
              <w:rPr>
                <w:rFonts w:cstheme="minorHAnsi"/>
              </w:rPr>
              <w:t>Proje Kabulü</w:t>
            </w:r>
          </w:p>
        </w:tc>
        <w:tc>
          <w:tcPr>
            <w:tcW w:w="1785" w:type="dxa"/>
            <w:shd w:val="clear" w:color="auto" w:fill="auto"/>
            <w:noWrap/>
            <w:hideMark/>
          </w:tcPr>
          <w:p w:rsidR="009F5196" w:rsidRPr="009F5196" w:rsidRDefault="009F5196" w:rsidP="00ED44E4">
            <w:pPr>
              <w:spacing w:after="0" w:line="240" w:lineRule="auto"/>
              <w:jc w:val="center"/>
              <w:rPr>
                <w:rFonts w:cstheme="minorHAnsi"/>
                <w:color w:val="000000"/>
              </w:rPr>
            </w:pPr>
            <w:r w:rsidRPr="009F5196">
              <w:rPr>
                <w:rFonts w:cstheme="minorHAnsi"/>
              </w:rPr>
              <w:t>0</w:t>
            </w:r>
          </w:p>
        </w:tc>
      </w:tr>
    </w:tbl>
    <w:p w:rsidR="009F5196" w:rsidRDefault="009F5196" w:rsidP="009F5196">
      <w:pPr>
        <w:spacing w:after="160" w:line="259" w:lineRule="auto"/>
        <w:ind w:left="720"/>
        <w:contextualSpacing/>
        <w:rPr>
          <w:rFonts w:cstheme="minorHAnsi"/>
          <w:bCs/>
        </w:rPr>
      </w:pPr>
    </w:p>
    <w:p w:rsidR="009F5196" w:rsidRDefault="009F5196" w:rsidP="009F5196">
      <w:pPr>
        <w:spacing w:after="160" w:line="259" w:lineRule="auto"/>
        <w:ind w:left="720"/>
        <w:contextualSpacing/>
        <w:rPr>
          <w:rFonts w:cstheme="minorHAnsi"/>
          <w:bCs/>
        </w:rPr>
      </w:pPr>
      <w:r w:rsidRPr="00E61F9A">
        <w:rPr>
          <w:rFonts w:cstheme="minorHAnsi"/>
          <w:bCs/>
        </w:rPr>
        <w:t>karar verilmiştir.</w:t>
      </w:r>
    </w:p>
    <w:p w:rsidR="009F5196" w:rsidRPr="00E61F9A" w:rsidRDefault="009F5196" w:rsidP="000A5A56">
      <w:pPr>
        <w:pStyle w:val="ListeParagraf"/>
        <w:numPr>
          <w:ilvl w:val="0"/>
          <w:numId w:val="29"/>
        </w:numPr>
        <w:spacing w:after="160" w:line="259" w:lineRule="auto"/>
      </w:pPr>
      <w:r w:rsidRPr="00E61F9A">
        <w:t xml:space="preserve">30.12.2022 tarihli ve 32059 sayılı (2. Mükerrer) Resmî </w:t>
      </w:r>
      <w:r w:rsidR="00274939">
        <w:t>Gazetede</w:t>
      </w:r>
      <w:r w:rsidRPr="00E61F9A">
        <w:t xml:space="preserve"> yayımlanan 29.12.2022 tarihli ve 11529-</w:t>
      </w:r>
      <w:r>
        <w:t>10</w:t>
      </w:r>
      <w:r w:rsidRPr="00E61F9A">
        <w:t xml:space="preserve"> sayılı Kurul Kararı </w:t>
      </w:r>
      <w:r>
        <w:t xml:space="preserve">ile </w:t>
      </w:r>
      <w:r w:rsidRPr="009F5196">
        <w:t>5/10/2016 tarihli ve 6520 sayılı Kurul Kararı’nın 4 üncü maddesi uyarınca Otomatik Sayaç Okuma Sistemi kapsamında ilave veri talep edilmesi halinde tahsil edilecek bedelin 1/1/2023 tarihinden itibaren aşağıda yer alan şekilde uygulanmasına,</w:t>
      </w:r>
    </w:p>
    <w:p w:rsidR="009F5196" w:rsidRPr="009F5196" w:rsidRDefault="009F5196" w:rsidP="009F5196">
      <w:pPr>
        <w:pStyle w:val="ListeParagraf"/>
        <w:tabs>
          <w:tab w:val="left" w:pos="1800"/>
        </w:tabs>
        <w:spacing w:after="0" w:line="240" w:lineRule="auto"/>
        <w:rPr>
          <w:rFonts w:ascii="Times New Roman" w:hAnsi="Times New Roman"/>
          <w:sz w:val="24"/>
          <w:szCs w:val="24"/>
        </w:rPr>
      </w:pPr>
    </w:p>
    <w:tbl>
      <w:tblPr>
        <w:tblW w:w="50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93"/>
        <w:gridCol w:w="1905"/>
      </w:tblGrid>
      <w:tr w:rsidR="009F5196" w:rsidRPr="009F5196" w:rsidTr="00ED44E4">
        <w:trPr>
          <w:trHeight w:val="323"/>
          <w:jc w:val="center"/>
        </w:trPr>
        <w:tc>
          <w:tcPr>
            <w:tcW w:w="5098" w:type="dxa"/>
            <w:gridSpan w:val="2"/>
            <w:shd w:val="clear" w:color="auto" w:fill="auto"/>
            <w:noWrap/>
            <w:vAlign w:val="center"/>
            <w:hideMark/>
          </w:tcPr>
          <w:p w:rsidR="009F5196" w:rsidRPr="009F5196" w:rsidRDefault="009F5196" w:rsidP="00ED44E4">
            <w:pPr>
              <w:spacing w:after="0" w:line="240" w:lineRule="auto"/>
              <w:jc w:val="center"/>
              <w:rPr>
                <w:rFonts w:cstheme="minorHAnsi"/>
                <w:b/>
                <w:bCs/>
                <w:color w:val="000000"/>
              </w:rPr>
            </w:pPr>
            <w:r w:rsidRPr="009F5196">
              <w:rPr>
                <w:rFonts w:cstheme="minorHAnsi"/>
                <w:b/>
                <w:bCs/>
                <w:color w:val="000000"/>
              </w:rPr>
              <w:t>OSOS İlave Veri Talebi Bedeli</w:t>
            </w:r>
          </w:p>
        </w:tc>
      </w:tr>
      <w:tr w:rsidR="009F5196" w:rsidRPr="009F5196" w:rsidTr="00ED44E4">
        <w:trPr>
          <w:trHeight w:val="323"/>
          <w:jc w:val="center"/>
        </w:trPr>
        <w:tc>
          <w:tcPr>
            <w:tcW w:w="3193" w:type="dxa"/>
            <w:shd w:val="clear" w:color="auto" w:fill="auto"/>
            <w:noWrap/>
            <w:vAlign w:val="center"/>
            <w:hideMark/>
          </w:tcPr>
          <w:p w:rsidR="009F5196" w:rsidRPr="009F5196" w:rsidRDefault="009F5196" w:rsidP="00ED44E4">
            <w:pPr>
              <w:spacing w:after="0" w:line="240" w:lineRule="auto"/>
              <w:jc w:val="center"/>
              <w:rPr>
                <w:rFonts w:cstheme="minorHAnsi"/>
                <w:b/>
                <w:bCs/>
                <w:color w:val="000000"/>
              </w:rPr>
            </w:pPr>
            <w:r w:rsidRPr="009F5196">
              <w:rPr>
                <w:rFonts w:cstheme="minorHAnsi"/>
                <w:b/>
                <w:bCs/>
                <w:color w:val="000000"/>
              </w:rPr>
              <w:t>2023</w:t>
            </w:r>
          </w:p>
        </w:tc>
        <w:tc>
          <w:tcPr>
            <w:tcW w:w="1905" w:type="dxa"/>
            <w:shd w:val="clear" w:color="auto" w:fill="auto"/>
            <w:vAlign w:val="center"/>
            <w:hideMark/>
          </w:tcPr>
          <w:p w:rsidR="009F5196" w:rsidRPr="009F5196" w:rsidRDefault="009F5196" w:rsidP="00ED44E4">
            <w:pPr>
              <w:spacing w:after="0" w:line="240" w:lineRule="auto"/>
              <w:jc w:val="center"/>
              <w:rPr>
                <w:rFonts w:cstheme="minorHAnsi"/>
                <w:b/>
                <w:bCs/>
                <w:color w:val="000000"/>
              </w:rPr>
            </w:pPr>
            <w:r w:rsidRPr="009F5196">
              <w:rPr>
                <w:rFonts w:cstheme="minorHAnsi"/>
                <w:b/>
                <w:bCs/>
                <w:color w:val="000000"/>
              </w:rPr>
              <w:t>Bedel (TL)</w:t>
            </w:r>
          </w:p>
        </w:tc>
      </w:tr>
      <w:tr w:rsidR="009F5196" w:rsidRPr="009F5196" w:rsidTr="00ED44E4">
        <w:trPr>
          <w:trHeight w:val="323"/>
          <w:jc w:val="center"/>
        </w:trPr>
        <w:tc>
          <w:tcPr>
            <w:tcW w:w="3193" w:type="dxa"/>
            <w:shd w:val="clear" w:color="auto" w:fill="auto"/>
            <w:noWrap/>
            <w:vAlign w:val="center"/>
            <w:hideMark/>
          </w:tcPr>
          <w:p w:rsidR="009F5196" w:rsidRPr="009F5196" w:rsidRDefault="009F5196" w:rsidP="00ED44E4">
            <w:pPr>
              <w:spacing w:after="0" w:line="240" w:lineRule="auto"/>
              <w:jc w:val="center"/>
              <w:rPr>
                <w:rFonts w:cstheme="minorHAnsi"/>
                <w:b/>
                <w:bCs/>
                <w:color w:val="000000"/>
              </w:rPr>
            </w:pPr>
            <w:r w:rsidRPr="009F5196">
              <w:rPr>
                <w:rFonts w:cstheme="minorHAnsi"/>
                <w:b/>
                <w:bCs/>
                <w:color w:val="000000"/>
              </w:rPr>
              <w:t>Sayaç/Ay</w:t>
            </w:r>
          </w:p>
        </w:tc>
        <w:tc>
          <w:tcPr>
            <w:tcW w:w="1905" w:type="dxa"/>
            <w:shd w:val="clear" w:color="auto" w:fill="auto"/>
            <w:noWrap/>
            <w:vAlign w:val="center"/>
            <w:hideMark/>
          </w:tcPr>
          <w:p w:rsidR="009F5196" w:rsidRPr="009F5196" w:rsidRDefault="009F5196" w:rsidP="00ED44E4">
            <w:pPr>
              <w:spacing w:after="0" w:line="240" w:lineRule="auto"/>
              <w:jc w:val="center"/>
              <w:rPr>
                <w:rFonts w:cstheme="minorHAnsi"/>
                <w:color w:val="000000"/>
              </w:rPr>
            </w:pPr>
            <w:r w:rsidRPr="009F5196">
              <w:rPr>
                <w:rFonts w:cstheme="minorHAnsi"/>
                <w:color w:val="000000"/>
              </w:rPr>
              <w:t>19,7</w:t>
            </w:r>
          </w:p>
        </w:tc>
      </w:tr>
    </w:tbl>
    <w:p w:rsidR="009F5196" w:rsidRPr="009F5196" w:rsidRDefault="009F5196" w:rsidP="009F5196">
      <w:pPr>
        <w:pStyle w:val="ListeParagraf"/>
        <w:tabs>
          <w:tab w:val="left" w:pos="566"/>
        </w:tabs>
        <w:spacing w:after="0" w:line="240" w:lineRule="auto"/>
        <w:rPr>
          <w:rFonts w:eastAsia="ヒラギノ明朝 Pro W3" w:cstheme="minorHAnsi"/>
          <w:u w:val="single"/>
        </w:rPr>
      </w:pPr>
    </w:p>
    <w:p w:rsidR="009F5196" w:rsidRDefault="009F5196" w:rsidP="009F5196">
      <w:pPr>
        <w:spacing w:after="160" w:line="259" w:lineRule="auto"/>
        <w:ind w:left="720"/>
        <w:contextualSpacing/>
        <w:rPr>
          <w:rFonts w:cstheme="minorHAnsi"/>
          <w:bCs/>
        </w:rPr>
      </w:pPr>
      <w:r w:rsidRPr="00E61F9A">
        <w:rPr>
          <w:rFonts w:cstheme="minorHAnsi"/>
          <w:bCs/>
        </w:rPr>
        <w:t>karar verilmiştir.</w:t>
      </w:r>
    </w:p>
    <w:p w:rsidR="009F5196" w:rsidRDefault="009F5196" w:rsidP="001823C5">
      <w:pPr>
        <w:spacing w:after="160" w:line="259" w:lineRule="auto"/>
        <w:ind w:left="720"/>
        <w:contextualSpacing/>
        <w:rPr>
          <w:rFonts w:cstheme="minorHAnsi"/>
          <w:bCs/>
        </w:rPr>
      </w:pPr>
    </w:p>
    <w:p w:rsidR="000D35F9" w:rsidRPr="00E61F9A" w:rsidRDefault="000D35F9" w:rsidP="000A5A56">
      <w:pPr>
        <w:pStyle w:val="ListeParagraf"/>
        <w:numPr>
          <w:ilvl w:val="0"/>
          <w:numId w:val="29"/>
        </w:numPr>
        <w:spacing w:after="160" w:line="259" w:lineRule="auto"/>
      </w:pPr>
      <w:r w:rsidRPr="00E61F9A">
        <w:t xml:space="preserve">30.12.2022 tarihli ve 32059 sayılı (2. Mükerrer) Resmî </w:t>
      </w:r>
      <w:r w:rsidR="00274939">
        <w:t>Gazetede</w:t>
      </w:r>
      <w:r w:rsidRPr="00E61F9A">
        <w:t xml:space="preserve"> yayımlanan 29.12.2022 tarihli ve 11529-</w:t>
      </w:r>
      <w:r w:rsidR="009F5196">
        <w:t>12</w:t>
      </w:r>
      <w:r w:rsidRPr="00E61F9A">
        <w:t xml:space="preserve"> sayılı Kurul Kararı </w:t>
      </w:r>
      <w:r>
        <w:t xml:space="preserve">ile </w:t>
      </w:r>
      <w:r w:rsidR="009F5196" w:rsidRPr="009F5196">
        <w:t>Elektrik Piyasasında Lisanssız Elektrik Üretim Yönetmeliği kapsamında lisanssız güneş enerjisine dayalı elektrik üretim tesisleri için elektrik dağıtım şirketleri tarafından yapılacak proje onay ve kabul işlemleri bedellerinin 1/1/2023 tarihinden itibaren aşağıda yer alan şekilde uygulanmasına,</w:t>
      </w:r>
    </w:p>
    <w:p w:rsidR="009F5196" w:rsidRPr="009F5196" w:rsidRDefault="009F5196" w:rsidP="009F5196">
      <w:pPr>
        <w:pStyle w:val="ListeParagraf"/>
        <w:spacing w:after="0" w:line="240" w:lineRule="auto"/>
        <w:rPr>
          <w:rFonts w:ascii="Times New Roman" w:hAnsi="Times New Roman"/>
          <w:sz w:val="24"/>
          <w:szCs w:val="24"/>
        </w:rPr>
      </w:pPr>
    </w:p>
    <w:tbl>
      <w:tblPr>
        <w:tblW w:w="92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06"/>
        <w:gridCol w:w="920"/>
        <w:gridCol w:w="3780"/>
        <w:gridCol w:w="920"/>
      </w:tblGrid>
      <w:tr w:rsidR="009F5196" w:rsidTr="008E381C">
        <w:trPr>
          <w:trHeight w:val="491"/>
          <w:jc w:val="center"/>
        </w:trPr>
        <w:tc>
          <w:tcPr>
            <w:tcW w:w="9226" w:type="dxa"/>
            <w:gridSpan w:val="4"/>
            <w:shd w:val="clear" w:color="auto" w:fill="auto"/>
            <w:vAlign w:val="center"/>
            <w:hideMark/>
          </w:tcPr>
          <w:p w:rsidR="009F5196" w:rsidRPr="009F5196" w:rsidRDefault="009F5196" w:rsidP="00ED44E4">
            <w:pPr>
              <w:spacing w:after="0" w:line="240" w:lineRule="auto"/>
              <w:jc w:val="center"/>
              <w:rPr>
                <w:rFonts w:cstheme="minorHAnsi"/>
                <w:b/>
                <w:bCs/>
                <w:color w:val="000000"/>
              </w:rPr>
            </w:pPr>
            <w:r w:rsidRPr="009F5196">
              <w:rPr>
                <w:rFonts w:cstheme="minorHAnsi"/>
                <w:b/>
                <w:bCs/>
                <w:color w:val="000000"/>
              </w:rPr>
              <w:t xml:space="preserve">Güneş Enerjisine Dayalı Lisanssız Elektrik Üretim Tesisleri </w:t>
            </w:r>
            <w:r w:rsidRPr="009F5196">
              <w:rPr>
                <w:rFonts w:cstheme="minorHAnsi"/>
                <w:b/>
                <w:bCs/>
                <w:color w:val="000000"/>
              </w:rPr>
              <w:br/>
              <w:t>Proje Onay ve Kabul Bedelleri</w:t>
            </w:r>
          </w:p>
        </w:tc>
      </w:tr>
      <w:tr w:rsidR="009F5196" w:rsidTr="008E381C">
        <w:trPr>
          <w:trHeight w:val="60"/>
          <w:jc w:val="center"/>
        </w:trPr>
        <w:tc>
          <w:tcPr>
            <w:tcW w:w="9226" w:type="dxa"/>
            <w:gridSpan w:val="4"/>
            <w:shd w:val="clear" w:color="auto" w:fill="auto"/>
            <w:vAlign w:val="center"/>
            <w:hideMark/>
          </w:tcPr>
          <w:p w:rsidR="009F5196" w:rsidRPr="009F5196" w:rsidRDefault="009F5196" w:rsidP="00ED44E4">
            <w:pPr>
              <w:spacing w:after="0" w:line="240" w:lineRule="auto"/>
              <w:jc w:val="center"/>
              <w:rPr>
                <w:rFonts w:cstheme="minorHAnsi"/>
                <w:b/>
                <w:bCs/>
                <w:color w:val="000000"/>
              </w:rPr>
            </w:pPr>
            <w:r w:rsidRPr="009F5196">
              <w:rPr>
                <w:rFonts w:cstheme="minorHAnsi"/>
                <w:b/>
                <w:bCs/>
                <w:color w:val="000000"/>
              </w:rPr>
              <w:t>2023</w:t>
            </w:r>
          </w:p>
        </w:tc>
      </w:tr>
      <w:tr w:rsidR="009F5196" w:rsidTr="008E381C">
        <w:trPr>
          <w:trHeight w:val="342"/>
          <w:jc w:val="center"/>
        </w:trPr>
        <w:tc>
          <w:tcPr>
            <w:tcW w:w="3606" w:type="dxa"/>
            <w:shd w:val="clear" w:color="auto" w:fill="auto"/>
            <w:vAlign w:val="center"/>
            <w:hideMark/>
          </w:tcPr>
          <w:p w:rsidR="009F5196" w:rsidRPr="009F5196" w:rsidRDefault="009F5196" w:rsidP="00ED44E4">
            <w:pPr>
              <w:spacing w:after="0" w:line="240" w:lineRule="auto"/>
              <w:jc w:val="center"/>
              <w:rPr>
                <w:rFonts w:cstheme="minorHAnsi"/>
                <w:b/>
                <w:bCs/>
                <w:color w:val="000000"/>
              </w:rPr>
            </w:pPr>
            <w:r w:rsidRPr="009F5196">
              <w:rPr>
                <w:rFonts w:cstheme="minorHAnsi"/>
                <w:b/>
                <w:bCs/>
                <w:color w:val="000000"/>
              </w:rPr>
              <w:t>Proje Onay Kapsamı</w:t>
            </w:r>
          </w:p>
        </w:tc>
        <w:tc>
          <w:tcPr>
            <w:tcW w:w="920" w:type="dxa"/>
            <w:shd w:val="clear" w:color="auto" w:fill="auto"/>
            <w:vAlign w:val="center"/>
            <w:hideMark/>
          </w:tcPr>
          <w:p w:rsidR="009F5196" w:rsidRPr="009F5196" w:rsidRDefault="009F5196" w:rsidP="00ED44E4">
            <w:pPr>
              <w:spacing w:after="0" w:line="240" w:lineRule="auto"/>
              <w:jc w:val="center"/>
              <w:rPr>
                <w:rFonts w:cstheme="minorHAnsi"/>
                <w:b/>
                <w:bCs/>
                <w:color w:val="000000"/>
              </w:rPr>
            </w:pPr>
            <w:r w:rsidRPr="009F5196">
              <w:rPr>
                <w:rFonts w:cstheme="minorHAnsi"/>
                <w:b/>
                <w:bCs/>
                <w:color w:val="000000"/>
              </w:rPr>
              <w:t xml:space="preserve">Bedel </w:t>
            </w:r>
            <w:r w:rsidRPr="009F5196">
              <w:rPr>
                <w:rFonts w:cstheme="minorHAnsi"/>
                <w:b/>
                <w:bCs/>
                <w:color w:val="000000"/>
              </w:rPr>
              <w:br/>
              <w:t>(TL)</w:t>
            </w:r>
          </w:p>
        </w:tc>
        <w:tc>
          <w:tcPr>
            <w:tcW w:w="3780" w:type="dxa"/>
            <w:shd w:val="clear" w:color="auto" w:fill="auto"/>
            <w:vAlign w:val="center"/>
            <w:hideMark/>
          </w:tcPr>
          <w:p w:rsidR="009F5196" w:rsidRPr="009F5196" w:rsidRDefault="009F5196" w:rsidP="00ED44E4">
            <w:pPr>
              <w:spacing w:after="0" w:line="240" w:lineRule="auto"/>
              <w:jc w:val="center"/>
              <w:rPr>
                <w:rFonts w:cstheme="minorHAnsi"/>
                <w:b/>
                <w:bCs/>
                <w:color w:val="000000"/>
              </w:rPr>
            </w:pPr>
            <w:r w:rsidRPr="009F5196">
              <w:rPr>
                <w:rFonts w:cstheme="minorHAnsi"/>
                <w:b/>
                <w:bCs/>
                <w:color w:val="000000"/>
              </w:rPr>
              <w:t>Tesis Kabul Kapsamı</w:t>
            </w:r>
          </w:p>
        </w:tc>
        <w:tc>
          <w:tcPr>
            <w:tcW w:w="920" w:type="dxa"/>
            <w:shd w:val="clear" w:color="auto" w:fill="auto"/>
            <w:vAlign w:val="center"/>
            <w:hideMark/>
          </w:tcPr>
          <w:p w:rsidR="009F5196" w:rsidRPr="009F5196" w:rsidRDefault="009F5196" w:rsidP="00ED44E4">
            <w:pPr>
              <w:spacing w:after="0" w:line="240" w:lineRule="auto"/>
              <w:jc w:val="center"/>
              <w:rPr>
                <w:rFonts w:cstheme="minorHAnsi"/>
                <w:b/>
                <w:bCs/>
                <w:color w:val="000000"/>
              </w:rPr>
            </w:pPr>
            <w:r w:rsidRPr="009F5196">
              <w:rPr>
                <w:rFonts w:cstheme="minorHAnsi"/>
                <w:b/>
                <w:bCs/>
                <w:color w:val="000000"/>
              </w:rPr>
              <w:t xml:space="preserve">Bedel </w:t>
            </w:r>
            <w:r w:rsidRPr="009F5196">
              <w:rPr>
                <w:rFonts w:cstheme="minorHAnsi"/>
                <w:b/>
                <w:bCs/>
                <w:color w:val="000000"/>
              </w:rPr>
              <w:br/>
              <w:t>(TL)</w:t>
            </w:r>
          </w:p>
        </w:tc>
      </w:tr>
      <w:tr w:rsidR="009F5196" w:rsidTr="008E381C">
        <w:trPr>
          <w:trHeight w:val="611"/>
          <w:jc w:val="center"/>
        </w:trPr>
        <w:tc>
          <w:tcPr>
            <w:tcW w:w="3606" w:type="dxa"/>
            <w:shd w:val="clear" w:color="auto" w:fill="auto"/>
            <w:vAlign w:val="center"/>
            <w:hideMark/>
          </w:tcPr>
          <w:p w:rsidR="009F5196" w:rsidRPr="009F5196" w:rsidRDefault="009F5196" w:rsidP="00ED44E4">
            <w:pPr>
              <w:spacing w:after="0" w:line="240" w:lineRule="auto"/>
              <w:rPr>
                <w:rFonts w:cstheme="minorHAnsi"/>
                <w:color w:val="000000"/>
              </w:rPr>
            </w:pPr>
            <w:r w:rsidRPr="009F5196">
              <w:rPr>
                <w:rFonts w:cstheme="minorHAnsi"/>
              </w:rPr>
              <w:t>25 kWe ve altı LÜY Kapsamında GES Üretim Tesislerinin Elektrik Proje Onayı</w:t>
            </w:r>
          </w:p>
        </w:tc>
        <w:tc>
          <w:tcPr>
            <w:tcW w:w="920" w:type="dxa"/>
            <w:shd w:val="clear" w:color="auto" w:fill="auto"/>
            <w:vAlign w:val="center"/>
            <w:hideMark/>
          </w:tcPr>
          <w:p w:rsidR="009F5196" w:rsidRPr="009F5196" w:rsidRDefault="009F5196" w:rsidP="00ED44E4">
            <w:pPr>
              <w:spacing w:after="0" w:line="240" w:lineRule="auto"/>
              <w:rPr>
                <w:rFonts w:cstheme="minorHAnsi"/>
                <w:color w:val="000000"/>
              </w:rPr>
            </w:pPr>
            <w:r w:rsidRPr="009F5196">
              <w:rPr>
                <w:rFonts w:cstheme="minorHAnsi"/>
              </w:rPr>
              <w:t>0</w:t>
            </w:r>
          </w:p>
        </w:tc>
        <w:tc>
          <w:tcPr>
            <w:tcW w:w="3780" w:type="dxa"/>
            <w:shd w:val="clear" w:color="auto" w:fill="auto"/>
            <w:vAlign w:val="center"/>
            <w:hideMark/>
          </w:tcPr>
          <w:p w:rsidR="009F5196" w:rsidRPr="009F5196" w:rsidRDefault="009F5196" w:rsidP="00ED44E4">
            <w:pPr>
              <w:spacing w:after="0" w:line="240" w:lineRule="auto"/>
              <w:rPr>
                <w:rFonts w:cstheme="minorHAnsi"/>
                <w:color w:val="000000"/>
              </w:rPr>
            </w:pPr>
            <w:r w:rsidRPr="009F5196">
              <w:rPr>
                <w:rFonts w:cstheme="minorHAnsi"/>
              </w:rPr>
              <w:t>25 kWe ve altı LÜY Kapsamında GES Üretim Tesislerinin Kabulü</w:t>
            </w:r>
          </w:p>
        </w:tc>
        <w:tc>
          <w:tcPr>
            <w:tcW w:w="920" w:type="dxa"/>
            <w:shd w:val="clear" w:color="auto" w:fill="auto"/>
            <w:vAlign w:val="center"/>
            <w:hideMark/>
          </w:tcPr>
          <w:p w:rsidR="009F5196" w:rsidRPr="009F5196" w:rsidRDefault="009F5196" w:rsidP="00ED44E4">
            <w:pPr>
              <w:spacing w:after="0" w:line="240" w:lineRule="auto"/>
              <w:jc w:val="center"/>
              <w:rPr>
                <w:rFonts w:cstheme="minorHAnsi"/>
                <w:color w:val="000000"/>
              </w:rPr>
            </w:pPr>
            <w:r w:rsidRPr="009F5196">
              <w:rPr>
                <w:rFonts w:cstheme="minorHAnsi"/>
              </w:rPr>
              <w:t>0</w:t>
            </w:r>
          </w:p>
        </w:tc>
      </w:tr>
      <w:tr w:rsidR="009F5196" w:rsidTr="008E381C">
        <w:trPr>
          <w:trHeight w:val="549"/>
          <w:jc w:val="center"/>
        </w:trPr>
        <w:tc>
          <w:tcPr>
            <w:tcW w:w="3606" w:type="dxa"/>
            <w:shd w:val="clear" w:color="auto" w:fill="auto"/>
            <w:vAlign w:val="center"/>
            <w:hideMark/>
          </w:tcPr>
          <w:p w:rsidR="009F5196" w:rsidRPr="009F5196" w:rsidRDefault="009F5196" w:rsidP="00ED44E4">
            <w:pPr>
              <w:spacing w:after="0" w:line="240" w:lineRule="auto"/>
              <w:rPr>
                <w:rFonts w:cstheme="minorHAnsi"/>
                <w:color w:val="000000"/>
              </w:rPr>
            </w:pPr>
            <w:r w:rsidRPr="009F5196">
              <w:rPr>
                <w:rFonts w:cstheme="minorHAnsi"/>
              </w:rPr>
              <w:t>25 kWe - 100 kWe (100 kWe dâhil) LÜY Kapsamında GES Üretim Tesislerinin Elektrik Proje Onayı</w:t>
            </w:r>
          </w:p>
        </w:tc>
        <w:tc>
          <w:tcPr>
            <w:tcW w:w="920" w:type="dxa"/>
            <w:shd w:val="clear" w:color="auto" w:fill="auto"/>
            <w:vAlign w:val="center"/>
            <w:hideMark/>
          </w:tcPr>
          <w:p w:rsidR="009F5196" w:rsidRPr="009F5196" w:rsidRDefault="009F5196" w:rsidP="00ED44E4">
            <w:pPr>
              <w:spacing w:after="0" w:line="240" w:lineRule="auto"/>
              <w:rPr>
                <w:rFonts w:cstheme="minorHAnsi"/>
                <w:color w:val="000000"/>
              </w:rPr>
            </w:pPr>
            <w:r w:rsidRPr="009F5196">
              <w:rPr>
                <w:rFonts w:cstheme="minorHAnsi"/>
              </w:rPr>
              <w:t>692,0</w:t>
            </w:r>
          </w:p>
        </w:tc>
        <w:tc>
          <w:tcPr>
            <w:tcW w:w="3780" w:type="dxa"/>
            <w:shd w:val="clear" w:color="auto" w:fill="auto"/>
            <w:vAlign w:val="center"/>
            <w:hideMark/>
          </w:tcPr>
          <w:p w:rsidR="009F5196" w:rsidRPr="009F5196" w:rsidRDefault="009F5196" w:rsidP="00ED44E4">
            <w:pPr>
              <w:spacing w:after="0" w:line="240" w:lineRule="auto"/>
              <w:rPr>
                <w:rFonts w:cstheme="minorHAnsi"/>
                <w:color w:val="000000"/>
              </w:rPr>
            </w:pPr>
            <w:r w:rsidRPr="009F5196">
              <w:rPr>
                <w:rFonts w:cstheme="minorHAnsi"/>
              </w:rPr>
              <w:t>25 kWe - 100 kWe (100 kWe dâhil) LÜY Kapsamında GES Üretim Tesislerinin Kabulü</w:t>
            </w:r>
          </w:p>
        </w:tc>
        <w:tc>
          <w:tcPr>
            <w:tcW w:w="920" w:type="dxa"/>
            <w:shd w:val="clear" w:color="auto" w:fill="auto"/>
            <w:vAlign w:val="center"/>
            <w:hideMark/>
          </w:tcPr>
          <w:p w:rsidR="009F5196" w:rsidRPr="009F5196" w:rsidRDefault="009F5196" w:rsidP="00ED44E4">
            <w:pPr>
              <w:spacing w:after="0" w:line="240" w:lineRule="auto"/>
              <w:jc w:val="center"/>
              <w:rPr>
                <w:rFonts w:cstheme="minorHAnsi"/>
                <w:color w:val="000000"/>
              </w:rPr>
            </w:pPr>
            <w:r w:rsidRPr="009F5196">
              <w:rPr>
                <w:rFonts w:cstheme="minorHAnsi"/>
              </w:rPr>
              <w:t>1316,9</w:t>
            </w:r>
          </w:p>
        </w:tc>
      </w:tr>
      <w:tr w:rsidR="009F5196" w:rsidTr="008E381C">
        <w:trPr>
          <w:trHeight w:val="605"/>
          <w:jc w:val="center"/>
        </w:trPr>
        <w:tc>
          <w:tcPr>
            <w:tcW w:w="3606" w:type="dxa"/>
            <w:shd w:val="clear" w:color="auto" w:fill="auto"/>
            <w:vAlign w:val="center"/>
            <w:hideMark/>
          </w:tcPr>
          <w:p w:rsidR="009F5196" w:rsidRPr="009F5196" w:rsidRDefault="009F5196" w:rsidP="00ED44E4">
            <w:pPr>
              <w:spacing w:after="0" w:line="240" w:lineRule="auto"/>
              <w:rPr>
                <w:rFonts w:cstheme="minorHAnsi"/>
                <w:color w:val="000000"/>
              </w:rPr>
            </w:pPr>
            <w:r w:rsidRPr="009F5196">
              <w:rPr>
                <w:rFonts w:cstheme="minorHAnsi"/>
              </w:rPr>
              <w:t>100 kWe - 300 kWe (300 kWe dâhil) LÜY Kapsamında GES Üretim Tesislerinin Elektrik Proje Onayı</w:t>
            </w:r>
          </w:p>
        </w:tc>
        <w:tc>
          <w:tcPr>
            <w:tcW w:w="920" w:type="dxa"/>
            <w:shd w:val="clear" w:color="auto" w:fill="auto"/>
            <w:vAlign w:val="center"/>
            <w:hideMark/>
          </w:tcPr>
          <w:p w:rsidR="009F5196" w:rsidRPr="009F5196" w:rsidRDefault="009F5196" w:rsidP="00ED44E4">
            <w:pPr>
              <w:spacing w:after="0" w:line="240" w:lineRule="auto"/>
              <w:rPr>
                <w:rFonts w:cstheme="minorHAnsi"/>
                <w:color w:val="000000"/>
              </w:rPr>
            </w:pPr>
            <w:r w:rsidRPr="009F5196">
              <w:rPr>
                <w:rFonts w:cstheme="minorHAnsi"/>
              </w:rPr>
              <w:t>2633,6</w:t>
            </w:r>
          </w:p>
        </w:tc>
        <w:tc>
          <w:tcPr>
            <w:tcW w:w="3780" w:type="dxa"/>
            <w:shd w:val="clear" w:color="auto" w:fill="auto"/>
            <w:vAlign w:val="center"/>
            <w:hideMark/>
          </w:tcPr>
          <w:p w:rsidR="009F5196" w:rsidRPr="009F5196" w:rsidRDefault="009F5196" w:rsidP="00ED44E4">
            <w:pPr>
              <w:spacing w:after="0" w:line="240" w:lineRule="auto"/>
              <w:rPr>
                <w:rFonts w:cstheme="minorHAnsi"/>
                <w:color w:val="000000"/>
              </w:rPr>
            </w:pPr>
            <w:r w:rsidRPr="009F5196">
              <w:rPr>
                <w:rFonts w:cstheme="minorHAnsi"/>
              </w:rPr>
              <w:t>100 kWe - 300 kWe (300 kWe dâhil) LÜY kapsamında GES Üretim Tesislerinin Kabulü</w:t>
            </w:r>
          </w:p>
        </w:tc>
        <w:tc>
          <w:tcPr>
            <w:tcW w:w="920" w:type="dxa"/>
            <w:shd w:val="clear" w:color="auto" w:fill="auto"/>
            <w:vAlign w:val="center"/>
            <w:hideMark/>
          </w:tcPr>
          <w:p w:rsidR="009F5196" w:rsidRPr="009F5196" w:rsidRDefault="009F5196" w:rsidP="00ED44E4">
            <w:pPr>
              <w:spacing w:after="0" w:line="240" w:lineRule="auto"/>
              <w:jc w:val="center"/>
              <w:rPr>
                <w:rFonts w:cstheme="minorHAnsi"/>
                <w:color w:val="000000"/>
              </w:rPr>
            </w:pPr>
            <w:r w:rsidRPr="009F5196">
              <w:rPr>
                <w:rFonts w:cstheme="minorHAnsi"/>
              </w:rPr>
              <w:t>3804,9</w:t>
            </w:r>
          </w:p>
        </w:tc>
      </w:tr>
      <w:tr w:rsidR="009F5196" w:rsidTr="008E381C">
        <w:trPr>
          <w:trHeight w:val="817"/>
          <w:jc w:val="center"/>
        </w:trPr>
        <w:tc>
          <w:tcPr>
            <w:tcW w:w="3606" w:type="dxa"/>
            <w:shd w:val="clear" w:color="auto" w:fill="auto"/>
            <w:vAlign w:val="center"/>
            <w:hideMark/>
          </w:tcPr>
          <w:p w:rsidR="009F5196" w:rsidRPr="009F5196" w:rsidRDefault="009F5196" w:rsidP="00ED44E4">
            <w:pPr>
              <w:spacing w:after="0" w:line="240" w:lineRule="auto"/>
              <w:rPr>
                <w:rFonts w:cstheme="minorHAnsi"/>
                <w:color w:val="000000"/>
              </w:rPr>
            </w:pPr>
            <w:r w:rsidRPr="009F5196">
              <w:rPr>
                <w:rFonts w:cstheme="minorHAnsi"/>
              </w:rPr>
              <w:t>300 kWe - 500 kWe (500 kWe dâhil) LÜY Kapsamında GES Üretim Tesislerinin Elektrik Proje Onayı</w:t>
            </w:r>
          </w:p>
        </w:tc>
        <w:tc>
          <w:tcPr>
            <w:tcW w:w="920" w:type="dxa"/>
            <w:shd w:val="clear" w:color="auto" w:fill="auto"/>
            <w:vAlign w:val="center"/>
            <w:hideMark/>
          </w:tcPr>
          <w:p w:rsidR="009F5196" w:rsidRPr="009F5196" w:rsidRDefault="009F5196" w:rsidP="00ED44E4">
            <w:pPr>
              <w:spacing w:after="0" w:line="240" w:lineRule="auto"/>
              <w:rPr>
                <w:rFonts w:cstheme="minorHAnsi"/>
                <w:color w:val="000000"/>
              </w:rPr>
            </w:pPr>
            <w:r w:rsidRPr="009F5196">
              <w:rPr>
                <w:rFonts w:cstheme="minorHAnsi"/>
              </w:rPr>
              <w:t>5634,6</w:t>
            </w:r>
          </w:p>
        </w:tc>
        <w:tc>
          <w:tcPr>
            <w:tcW w:w="3780" w:type="dxa"/>
            <w:shd w:val="clear" w:color="auto" w:fill="auto"/>
            <w:vAlign w:val="center"/>
            <w:hideMark/>
          </w:tcPr>
          <w:p w:rsidR="009F5196" w:rsidRPr="009F5196" w:rsidRDefault="009F5196" w:rsidP="00ED44E4">
            <w:pPr>
              <w:spacing w:after="0" w:line="240" w:lineRule="auto"/>
              <w:rPr>
                <w:rFonts w:cstheme="minorHAnsi"/>
                <w:color w:val="000000"/>
              </w:rPr>
            </w:pPr>
            <w:r w:rsidRPr="009F5196">
              <w:rPr>
                <w:rFonts w:cstheme="minorHAnsi"/>
              </w:rPr>
              <w:t>300 kWe - 500 kWe (500 kWe dâhil) LÜY kapsamında GES Üretim Tesislerinin Kabulü</w:t>
            </w:r>
          </w:p>
        </w:tc>
        <w:tc>
          <w:tcPr>
            <w:tcW w:w="920" w:type="dxa"/>
            <w:shd w:val="clear" w:color="auto" w:fill="auto"/>
            <w:vAlign w:val="center"/>
            <w:hideMark/>
          </w:tcPr>
          <w:p w:rsidR="009F5196" w:rsidRPr="009F5196" w:rsidRDefault="009F5196" w:rsidP="00ED44E4">
            <w:pPr>
              <w:spacing w:after="0" w:line="240" w:lineRule="auto"/>
              <w:jc w:val="center"/>
              <w:rPr>
                <w:rFonts w:cstheme="minorHAnsi"/>
                <w:color w:val="000000"/>
              </w:rPr>
            </w:pPr>
            <w:r w:rsidRPr="009F5196">
              <w:rPr>
                <w:rFonts w:cstheme="minorHAnsi"/>
              </w:rPr>
              <w:t>5749,1</w:t>
            </w:r>
          </w:p>
        </w:tc>
      </w:tr>
      <w:tr w:rsidR="009F5196" w:rsidTr="008E381C">
        <w:trPr>
          <w:trHeight w:val="602"/>
          <w:jc w:val="center"/>
        </w:trPr>
        <w:tc>
          <w:tcPr>
            <w:tcW w:w="3606" w:type="dxa"/>
            <w:shd w:val="clear" w:color="auto" w:fill="auto"/>
            <w:vAlign w:val="center"/>
            <w:hideMark/>
          </w:tcPr>
          <w:p w:rsidR="009F5196" w:rsidRPr="009F5196" w:rsidRDefault="009F5196" w:rsidP="00ED44E4">
            <w:pPr>
              <w:spacing w:after="0" w:line="240" w:lineRule="auto"/>
              <w:rPr>
                <w:rFonts w:cstheme="minorHAnsi"/>
                <w:color w:val="000000"/>
              </w:rPr>
            </w:pPr>
            <w:r w:rsidRPr="009F5196">
              <w:rPr>
                <w:rFonts w:cstheme="minorHAnsi"/>
              </w:rPr>
              <w:t>500 kWe - 700 kWe (700 kWe dâhil) LÜY Kapsamında GES Üretim Tesislerinin Elektrik Proje Onayı</w:t>
            </w:r>
          </w:p>
        </w:tc>
        <w:tc>
          <w:tcPr>
            <w:tcW w:w="920" w:type="dxa"/>
            <w:shd w:val="clear" w:color="auto" w:fill="auto"/>
            <w:vAlign w:val="center"/>
            <w:hideMark/>
          </w:tcPr>
          <w:p w:rsidR="009F5196" w:rsidRPr="009F5196" w:rsidRDefault="009F5196" w:rsidP="00ED44E4">
            <w:pPr>
              <w:spacing w:after="0" w:line="240" w:lineRule="auto"/>
              <w:rPr>
                <w:rFonts w:cstheme="minorHAnsi"/>
                <w:color w:val="000000"/>
              </w:rPr>
            </w:pPr>
            <w:r w:rsidRPr="009F5196">
              <w:rPr>
                <w:rFonts w:cstheme="minorHAnsi"/>
              </w:rPr>
              <w:t>9292,7</w:t>
            </w:r>
          </w:p>
        </w:tc>
        <w:tc>
          <w:tcPr>
            <w:tcW w:w="3780" w:type="dxa"/>
            <w:shd w:val="clear" w:color="auto" w:fill="auto"/>
            <w:vAlign w:val="center"/>
            <w:hideMark/>
          </w:tcPr>
          <w:p w:rsidR="009F5196" w:rsidRPr="009F5196" w:rsidRDefault="009F5196" w:rsidP="00ED44E4">
            <w:pPr>
              <w:spacing w:after="0" w:line="240" w:lineRule="auto"/>
              <w:rPr>
                <w:rFonts w:cstheme="minorHAnsi"/>
                <w:color w:val="000000"/>
              </w:rPr>
            </w:pPr>
            <w:r w:rsidRPr="009F5196">
              <w:rPr>
                <w:rFonts w:cstheme="minorHAnsi"/>
              </w:rPr>
              <w:t>500 kWe - 700 kWe (700 kWe dâhil) LÜY kapsamında GES Üretim Tesislerinin Kabulü</w:t>
            </w:r>
          </w:p>
        </w:tc>
        <w:tc>
          <w:tcPr>
            <w:tcW w:w="920" w:type="dxa"/>
            <w:shd w:val="clear" w:color="auto" w:fill="auto"/>
            <w:vAlign w:val="center"/>
            <w:hideMark/>
          </w:tcPr>
          <w:p w:rsidR="009F5196" w:rsidRPr="009F5196" w:rsidRDefault="009F5196" w:rsidP="00ED44E4">
            <w:pPr>
              <w:spacing w:after="0" w:line="240" w:lineRule="auto"/>
              <w:jc w:val="center"/>
              <w:rPr>
                <w:rFonts w:cstheme="minorHAnsi"/>
                <w:color w:val="000000"/>
              </w:rPr>
            </w:pPr>
            <w:r w:rsidRPr="009F5196">
              <w:rPr>
                <w:rFonts w:cstheme="minorHAnsi"/>
              </w:rPr>
              <w:t>10179,9</w:t>
            </w:r>
          </w:p>
        </w:tc>
      </w:tr>
      <w:tr w:rsidR="009F5196" w:rsidTr="008E381C">
        <w:trPr>
          <w:trHeight w:val="531"/>
          <w:jc w:val="center"/>
        </w:trPr>
        <w:tc>
          <w:tcPr>
            <w:tcW w:w="3606" w:type="dxa"/>
            <w:shd w:val="clear" w:color="auto" w:fill="auto"/>
            <w:vAlign w:val="center"/>
            <w:hideMark/>
          </w:tcPr>
          <w:p w:rsidR="009F5196" w:rsidRPr="009F5196" w:rsidRDefault="009F5196" w:rsidP="00ED44E4">
            <w:pPr>
              <w:spacing w:after="0" w:line="240" w:lineRule="auto"/>
              <w:rPr>
                <w:rFonts w:cstheme="minorHAnsi"/>
                <w:color w:val="000000"/>
              </w:rPr>
            </w:pPr>
            <w:r w:rsidRPr="009F5196">
              <w:rPr>
                <w:rFonts w:cstheme="minorHAnsi"/>
              </w:rPr>
              <w:t>700 kWe - 1 MWe (1 MWe hariç) LÜY Kapsamında GES Üretim Tesislerinin Elektrik Proje Onayı</w:t>
            </w:r>
          </w:p>
        </w:tc>
        <w:tc>
          <w:tcPr>
            <w:tcW w:w="920" w:type="dxa"/>
            <w:shd w:val="clear" w:color="auto" w:fill="auto"/>
            <w:vAlign w:val="center"/>
            <w:hideMark/>
          </w:tcPr>
          <w:p w:rsidR="009F5196" w:rsidRPr="009F5196" w:rsidRDefault="009F5196" w:rsidP="00ED44E4">
            <w:pPr>
              <w:spacing w:after="0" w:line="240" w:lineRule="auto"/>
              <w:rPr>
                <w:rFonts w:cstheme="minorHAnsi"/>
                <w:color w:val="000000"/>
              </w:rPr>
            </w:pPr>
            <w:r w:rsidRPr="009F5196">
              <w:rPr>
                <w:rFonts w:cstheme="minorHAnsi"/>
              </w:rPr>
              <w:t>12813,8</w:t>
            </w:r>
          </w:p>
        </w:tc>
        <w:tc>
          <w:tcPr>
            <w:tcW w:w="3780" w:type="dxa"/>
            <w:shd w:val="clear" w:color="auto" w:fill="auto"/>
            <w:vAlign w:val="center"/>
            <w:hideMark/>
          </w:tcPr>
          <w:p w:rsidR="009F5196" w:rsidRPr="009F5196" w:rsidRDefault="009F5196" w:rsidP="00ED44E4">
            <w:pPr>
              <w:spacing w:after="0" w:line="240" w:lineRule="auto"/>
              <w:rPr>
                <w:rFonts w:cstheme="minorHAnsi"/>
                <w:color w:val="000000"/>
              </w:rPr>
            </w:pPr>
            <w:r w:rsidRPr="009F5196">
              <w:rPr>
                <w:rFonts w:cstheme="minorHAnsi"/>
              </w:rPr>
              <w:t>700 kWe - 1 MWe (1 MWe hariç) LÜY Kapsamında GES Üretim Tesislerinin Kabulü</w:t>
            </w:r>
          </w:p>
        </w:tc>
        <w:tc>
          <w:tcPr>
            <w:tcW w:w="920" w:type="dxa"/>
            <w:shd w:val="clear" w:color="auto" w:fill="auto"/>
            <w:vAlign w:val="center"/>
            <w:hideMark/>
          </w:tcPr>
          <w:p w:rsidR="009F5196" w:rsidRPr="009F5196" w:rsidRDefault="009F5196" w:rsidP="00ED44E4">
            <w:pPr>
              <w:spacing w:after="0" w:line="240" w:lineRule="auto"/>
              <w:jc w:val="center"/>
              <w:rPr>
                <w:rFonts w:cstheme="minorHAnsi"/>
                <w:color w:val="000000"/>
              </w:rPr>
            </w:pPr>
            <w:r w:rsidRPr="009F5196">
              <w:rPr>
                <w:rFonts w:cstheme="minorHAnsi"/>
              </w:rPr>
              <w:t>12950,6</w:t>
            </w:r>
          </w:p>
        </w:tc>
      </w:tr>
      <w:tr w:rsidR="009F5196" w:rsidTr="008E381C">
        <w:trPr>
          <w:trHeight w:val="1829"/>
          <w:jc w:val="center"/>
        </w:trPr>
        <w:tc>
          <w:tcPr>
            <w:tcW w:w="3606" w:type="dxa"/>
            <w:shd w:val="clear" w:color="auto" w:fill="auto"/>
            <w:vAlign w:val="center"/>
          </w:tcPr>
          <w:p w:rsidR="009F5196" w:rsidRPr="009F5196" w:rsidRDefault="009F5196" w:rsidP="00ED44E4">
            <w:pPr>
              <w:spacing w:after="0" w:line="240" w:lineRule="auto"/>
              <w:rPr>
                <w:rFonts w:cstheme="minorHAnsi"/>
                <w:color w:val="000000"/>
              </w:rPr>
            </w:pPr>
            <w:r w:rsidRPr="009F5196">
              <w:rPr>
                <w:rFonts w:cstheme="minorHAnsi"/>
              </w:rPr>
              <w:t>1 MWe ve üzeri LÜY Kapsamında GES Üretim Tesislerinin Beher MWe İçin Elektrik Proje Onayı; LÜY kapsamındaki 1 MWe ve üzeri GES üretim tesislerinde beher MWe için, 700 kWe - 1 MWe indisindeki hizmet bedelinin %50'si oranında ilave proje onayı hizmet bedeli alınır.</w:t>
            </w:r>
          </w:p>
        </w:tc>
        <w:tc>
          <w:tcPr>
            <w:tcW w:w="920" w:type="dxa"/>
            <w:shd w:val="clear" w:color="auto" w:fill="auto"/>
            <w:vAlign w:val="center"/>
          </w:tcPr>
          <w:p w:rsidR="009F5196" w:rsidRPr="009F5196" w:rsidRDefault="009F5196" w:rsidP="00ED44E4">
            <w:pPr>
              <w:spacing w:after="0" w:line="240" w:lineRule="auto"/>
              <w:rPr>
                <w:rFonts w:cstheme="minorHAnsi"/>
                <w:color w:val="000000"/>
              </w:rPr>
            </w:pPr>
            <w:r w:rsidRPr="009F5196">
              <w:rPr>
                <w:rFonts w:cstheme="minorHAnsi"/>
              </w:rPr>
              <w:t>6407,5</w:t>
            </w:r>
          </w:p>
        </w:tc>
        <w:tc>
          <w:tcPr>
            <w:tcW w:w="3780" w:type="dxa"/>
            <w:shd w:val="clear" w:color="auto" w:fill="auto"/>
            <w:vAlign w:val="center"/>
          </w:tcPr>
          <w:p w:rsidR="009F5196" w:rsidRPr="009F5196" w:rsidRDefault="009F5196" w:rsidP="00ED44E4">
            <w:pPr>
              <w:spacing w:after="0" w:line="240" w:lineRule="auto"/>
              <w:rPr>
                <w:rFonts w:cstheme="minorHAnsi"/>
                <w:color w:val="000000"/>
              </w:rPr>
            </w:pPr>
            <w:r w:rsidRPr="009F5196">
              <w:rPr>
                <w:rFonts w:cstheme="minorHAnsi"/>
              </w:rPr>
              <w:t>1 MWe ve üzeri LÜY Kapsamında GES Üretim Tesislerinin Beher MWe İçin Kabul Bedeli; LÜY kapsamındaki 1 MWe ve üzeri GES üretim tesislerinde beher MWe için, 700 kWe - 1 MWe indisindeki hizmet bedelinin %50'si oranında ilave kabul bedeli alınır.</w:t>
            </w:r>
          </w:p>
        </w:tc>
        <w:tc>
          <w:tcPr>
            <w:tcW w:w="920" w:type="dxa"/>
            <w:shd w:val="clear" w:color="auto" w:fill="auto"/>
            <w:vAlign w:val="center"/>
          </w:tcPr>
          <w:p w:rsidR="009F5196" w:rsidRPr="009F5196" w:rsidRDefault="009F5196" w:rsidP="00ED44E4">
            <w:pPr>
              <w:spacing w:after="0" w:line="240" w:lineRule="auto"/>
              <w:jc w:val="center"/>
              <w:rPr>
                <w:rFonts w:cstheme="minorHAnsi"/>
                <w:color w:val="000000"/>
              </w:rPr>
            </w:pPr>
            <w:r w:rsidRPr="009F5196">
              <w:rPr>
                <w:rFonts w:cstheme="minorHAnsi"/>
              </w:rPr>
              <w:t>6475,9</w:t>
            </w:r>
          </w:p>
        </w:tc>
      </w:tr>
    </w:tbl>
    <w:p w:rsidR="009F5196" w:rsidRPr="009F5196" w:rsidRDefault="009F5196" w:rsidP="009F5196">
      <w:pPr>
        <w:pStyle w:val="ListeParagraf"/>
        <w:tabs>
          <w:tab w:val="left" w:pos="566"/>
        </w:tabs>
        <w:spacing w:after="0" w:line="240" w:lineRule="auto"/>
        <w:rPr>
          <w:rFonts w:ascii="Times New Roman" w:eastAsia="ヒラギノ明朝 Pro W3" w:hAnsi="Times New Roman"/>
          <w:sz w:val="24"/>
          <w:szCs w:val="24"/>
          <w:u w:val="single"/>
        </w:rPr>
      </w:pPr>
    </w:p>
    <w:p w:rsidR="000D35F9" w:rsidRDefault="000D35F9" w:rsidP="000D35F9">
      <w:pPr>
        <w:pStyle w:val="ListeParagraf"/>
        <w:spacing w:after="160" w:line="259" w:lineRule="auto"/>
        <w:rPr>
          <w:rFonts w:cstheme="minorHAnsi"/>
          <w:bCs/>
        </w:rPr>
      </w:pPr>
      <w:r w:rsidRPr="00E61F9A">
        <w:rPr>
          <w:rFonts w:cstheme="minorHAnsi"/>
          <w:bCs/>
        </w:rPr>
        <w:t>karar verilmiştir.</w:t>
      </w:r>
    </w:p>
    <w:p w:rsidR="009F5196" w:rsidRPr="00E61F9A" w:rsidRDefault="009F5196" w:rsidP="000A5A56">
      <w:pPr>
        <w:pStyle w:val="ListeParagraf"/>
        <w:numPr>
          <w:ilvl w:val="0"/>
          <w:numId w:val="29"/>
        </w:numPr>
        <w:spacing w:after="160" w:line="259" w:lineRule="auto"/>
      </w:pPr>
      <w:r w:rsidRPr="00E61F9A">
        <w:t xml:space="preserve">30.12.2022 tarihli ve 32059 sayılı (2. Mükerrer) Resmî </w:t>
      </w:r>
      <w:r w:rsidR="00274939">
        <w:t>Gazetede</w:t>
      </w:r>
      <w:r w:rsidRPr="00E61F9A">
        <w:t xml:space="preserve"> yayımlanan 29.12.2022 tarihli ve 11529-</w:t>
      </w:r>
      <w:r>
        <w:t>13</w:t>
      </w:r>
      <w:r w:rsidRPr="00E61F9A">
        <w:t xml:space="preserve"> sayılı Kurul Kararı </w:t>
      </w:r>
      <w:r>
        <w:t xml:space="preserve">ile </w:t>
      </w:r>
      <w:r w:rsidRPr="001823C5">
        <w:t>21/10/2021 tarihli ve 10505 sayılı Kurul Kararı’nın 2 nci maddesi uyarınca teknik kalite ölçüm hizmeti bedelinin 1/1/2023 tarihinden itibaren aşağıda yer alan şekilde uygulanmasına,</w:t>
      </w:r>
    </w:p>
    <w:p w:rsidR="009F5196" w:rsidRPr="001823C5" w:rsidRDefault="009F5196" w:rsidP="009F5196">
      <w:pPr>
        <w:pStyle w:val="ListeParagraf"/>
        <w:shd w:val="clear" w:color="auto" w:fill="FFFFFF"/>
        <w:spacing w:after="0" w:line="240" w:lineRule="auto"/>
        <w:ind w:right="-50"/>
        <w:rPr>
          <w:rFonts w:cstheme="minorHAnsi"/>
          <w:bCs/>
          <w:color w:val="000000"/>
          <w:spacing w:val="4"/>
        </w:rPr>
      </w:pPr>
    </w:p>
    <w:tbl>
      <w:tblPr>
        <w:tblW w:w="53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20"/>
        <w:gridCol w:w="1444"/>
        <w:gridCol w:w="1418"/>
      </w:tblGrid>
      <w:tr w:rsidR="009F5196" w:rsidRPr="001823C5" w:rsidTr="00ED44E4">
        <w:trPr>
          <w:trHeight w:val="323"/>
          <w:jc w:val="center"/>
        </w:trPr>
        <w:tc>
          <w:tcPr>
            <w:tcW w:w="5382" w:type="dxa"/>
            <w:gridSpan w:val="3"/>
            <w:shd w:val="clear" w:color="auto" w:fill="auto"/>
            <w:vAlign w:val="center"/>
            <w:hideMark/>
          </w:tcPr>
          <w:p w:rsidR="009F5196" w:rsidRPr="001823C5" w:rsidRDefault="009F5196" w:rsidP="00ED44E4">
            <w:pPr>
              <w:spacing w:after="0" w:line="240" w:lineRule="auto"/>
              <w:jc w:val="center"/>
              <w:rPr>
                <w:rFonts w:cstheme="minorHAnsi"/>
                <w:b/>
                <w:bCs/>
                <w:color w:val="000000"/>
              </w:rPr>
            </w:pPr>
            <w:r w:rsidRPr="001823C5">
              <w:rPr>
                <w:rFonts w:cstheme="minorHAnsi"/>
                <w:b/>
                <w:bCs/>
                <w:color w:val="000000"/>
              </w:rPr>
              <w:t>Teknik Kalite Ölçüm Hizmeti Bedelleri</w:t>
            </w:r>
          </w:p>
        </w:tc>
      </w:tr>
      <w:tr w:rsidR="009F5196" w:rsidRPr="001823C5" w:rsidTr="00ED44E4">
        <w:trPr>
          <w:trHeight w:val="323"/>
          <w:jc w:val="center"/>
        </w:trPr>
        <w:tc>
          <w:tcPr>
            <w:tcW w:w="5382" w:type="dxa"/>
            <w:gridSpan w:val="3"/>
            <w:shd w:val="clear" w:color="auto" w:fill="auto"/>
            <w:vAlign w:val="center"/>
            <w:hideMark/>
          </w:tcPr>
          <w:p w:rsidR="009F5196" w:rsidRPr="001823C5" w:rsidRDefault="009F5196" w:rsidP="00ED44E4">
            <w:pPr>
              <w:spacing w:after="0" w:line="240" w:lineRule="auto"/>
              <w:jc w:val="center"/>
              <w:rPr>
                <w:rFonts w:cstheme="minorHAnsi"/>
                <w:b/>
                <w:bCs/>
                <w:color w:val="000000"/>
              </w:rPr>
            </w:pPr>
            <w:r w:rsidRPr="001823C5">
              <w:rPr>
                <w:rFonts w:cstheme="minorHAnsi"/>
                <w:b/>
                <w:bCs/>
                <w:color w:val="000000"/>
              </w:rPr>
              <w:t>2023</w:t>
            </w:r>
          </w:p>
        </w:tc>
      </w:tr>
      <w:tr w:rsidR="009F5196" w:rsidRPr="001823C5" w:rsidTr="00ED44E4">
        <w:trPr>
          <w:trHeight w:val="323"/>
          <w:jc w:val="center"/>
        </w:trPr>
        <w:tc>
          <w:tcPr>
            <w:tcW w:w="2520" w:type="dxa"/>
            <w:vMerge w:val="restart"/>
            <w:shd w:val="clear" w:color="auto" w:fill="auto"/>
            <w:noWrap/>
            <w:vAlign w:val="center"/>
            <w:hideMark/>
          </w:tcPr>
          <w:p w:rsidR="009F5196" w:rsidRPr="001823C5" w:rsidRDefault="009F5196" w:rsidP="00ED44E4">
            <w:pPr>
              <w:spacing w:after="0" w:line="240" w:lineRule="auto"/>
              <w:jc w:val="center"/>
              <w:rPr>
                <w:rFonts w:cstheme="minorHAnsi"/>
                <w:b/>
                <w:bCs/>
                <w:color w:val="000000"/>
              </w:rPr>
            </w:pPr>
            <w:r w:rsidRPr="001823C5">
              <w:rPr>
                <w:rFonts w:cstheme="minorHAnsi"/>
                <w:b/>
                <w:bCs/>
                <w:color w:val="000000"/>
              </w:rPr>
              <w:t xml:space="preserve">Cihaz Sınıfı </w:t>
            </w:r>
          </w:p>
        </w:tc>
        <w:tc>
          <w:tcPr>
            <w:tcW w:w="2862" w:type="dxa"/>
            <w:gridSpan w:val="2"/>
            <w:shd w:val="clear" w:color="auto" w:fill="auto"/>
            <w:vAlign w:val="center"/>
            <w:hideMark/>
          </w:tcPr>
          <w:p w:rsidR="009F5196" w:rsidRPr="001823C5" w:rsidRDefault="009F5196" w:rsidP="00ED44E4">
            <w:pPr>
              <w:spacing w:after="0" w:line="240" w:lineRule="auto"/>
              <w:jc w:val="center"/>
              <w:rPr>
                <w:rFonts w:cstheme="minorHAnsi"/>
                <w:b/>
                <w:bCs/>
                <w:color w:val="000000"/>
              </w:rPr>
            </w:pPr>
            <w:r w:rsidRPr="001823C5">
              <w:rPr>
                <w:rFonts w:cstheme="minorHAnsi"/>
                <w:b/>
                <w:bCs/>
                <w:color w:val="000000"/>
              </w:rPr>
              <w:t>Bedel (TL)</w:t>
            </w:r>
          </w:p>
        </w:tc>
      </w:tr>
      <w:tr w:rsidR="009F5196" w:rsidRPr="001823C5" w:rsidTr="00ED44E4">
        <w:trPr>
          <w:trHeight w:val="323"/>
          <w:jc w:val="center"/>
        </w:trPr>
        <w:tc>
          <w:tcPr>
            <w:tcW w:w="2520" w:type="dxa"/>
            <w:vMerge/>
            <w:shd w:val="clear" w:color="auto" w:fill="auto"/>
            <w:noWrap/>
            <w:vAlign w:val="center"/>
          </w:tcPr>
          <w:p w:rsidR="009F5196" w:rsidRPr="001823C5" w:rsidRDefault="009F5196" w:rsidP="00ED44E4">
            <w:pPr>
              <w:spacing w:after="0" w:line="240" w:lineRule="auto"/>
              <w:jc w:val="center"/>
              <w:rPr>
                <w:rFonts w:cstheme="minorHAnsi"/>
                <w:b/>
                <w:bCs/>
                <w:color w:val="000000"/>
              </w:rPr>
            </w:pPr>
          </w:p>
        </w:tc>
        <w:tc>
          <w:tcPr>
            <w:tcW w:w="1444" w:type="dxa"/>
            <w:shd w:val="clear" w:color="auto" w:fill="auto"/>
            <w:vAlign w:val="center"/>
          </w:tcPr>
          <w:p w:rsidR="009F5196" w:rsidRPr="001823C5" w:rsidRDefault="009F5196" w:rsidP="00ED44E4">
            <w:pPr>
              <w:spacing w:after="0" w:line="240" w:lineRule="auto"/>
              <w:jc w:val="center"/>
              <w:rPr>
                <w:rFonts w:cstheme="minorHAnsi"/>
                <w:b/>
                <w:bCs/>
                <w:color w:val="000000"/>
              </w:rPr>
            </w:pPr>
            <w:r w:rsidRPr="001823C5">
              <w:rPr>
                <w:rFonts w:cstheme="minorHAnsi"/>
                <w:b/>
                <w:bCs/>
                <w:color w:val="000000"/>
              </w:rPr>
              <w:t xml:space="preserve">AG </w:t>
            </w:r>
          </w:p>
        </w:tc>
        <w:tc>
          <w:tcPr>
            <w:tcW w:w="1418" w:type="dxa"/>
            <w:shd w:val="clear" w:color="auto" w:fill="auto"/>
            <w:vAlign w:val="center"/>
          </w:tcPr>
          <w:p w:rsidR="009F5196" w:rsidRPr="001823C5" w:rsidRDefault="009F5196" w:rsidP="00ED44E4">
            <w:pPr>
              <w:spacing w:after="0" w:line="240" w:lineRule="auto"/>
              <w:jc w:val="center"/>
              <w:rPr>
                <w:rFonts w:cstheme="minorHAnsi"/>
                <w:b/>
                <w:bCs/>
                <w:color w:val="000000"/>
              </w:rPr>
            </w:pPr>
            <w:r w:rsidRPr="001823C5">
              <w:rPr>
                <w:rFonts w:cstheme="minorHAnsi"/>
                <w:b/>
                <w:bCs/>
                <w:color w:val="000000"/>
              </w:rPr>
              <w:t>OG</w:t>
            </w:r>
          </w:p>
        </w:tc>
      </w:tr>
      <w:tr w:rsidR="009F5196" w:rsidRPr="001823C5" w:rsidTr="00ED44E4">
        <w:trPr>
          <w:trHeight w:val="324"/>
          <w:jc w:val="center"/>
        </w:trPr>
        <w:tc>
          <w:tcPr>
            <w:tcW w:w="2520" w:type="dxa"/>
            <w:shd w:val="clear" w:color="auto" w:fill="auto"/>
            <w:vAlign w:val="center"/>
            <w:hideMark/>
          </w:tcPr>
          <w:p w:rsidR="009F5196" w:rsidRPr="001823C5" w:rsidRDefault="009F5196" w:rsidP="00ED44E4">
            <w:pPr>
              <w:spacing w:after="0" w:line="240" w:lineRule="auto"/>
              <w:ind w:firstLineChars="100" w:firstLine="220"/>
              <w:rPr>
                <w:rFonts w:cstheme="minorHAnsi"/>
                <w:color w:val="000000"/>
              </w:rPr>
            </w:pPr>
            <w:r w:rsidRPr="001823C5">
              <w:rPr>
                <w:rFonts w:cstheme="minorHAnsi"/>
                <w:color w:val="000000"/>
              </w:rPr>
              <w:t xml:space="preserve">S sınıfı </w:t>
            </w:r>
          </w:p>
        </w:tc>
        <w:tc>
          <w:tcPr>
            <w:tcW w:w="1444" w:type="dxa"/>
            <w:shd w:val="clear" w:color="auto" w:fill="auto"/>
            <w:noWrap/>
            <w:hideMark/>
          </w:tcPr>
          <w:p w:rsidR="009F5196" w:rsidRPr="001823C5" w:rsidRDefault="009F5196" w:rsidP="00ED44E4">
            <w:pPr>
              <w:spacing w:after="0" w:line="240" w:lineRule="auto"/>
              <w:jc w:val="center"/>
              <w:rPr>
                <w:rFonts w:cstheme="minorHAnsi"/>
                <w:color w:val="000000"/>
              </w:rPr>
            </w:pPr>
            <w:r w:rsidRPr="001823C5">
              <w:rPr>
                <w:rFonts w:cstheme="minorHAnsi"/>
              </w:rPr>
              <w:t>202,5</w:t>
            </w:r>
          </w:p>
        </w:tc>
        <w:tc>
          <w:tcPr>
            <w:tcW w:w="1418" w:type="dxa"/>
            <w:shd w:val="clear" w:color="auto" w:fill="auto"/>
            <w:noWrap/>
            <w:hideMark/>
          </w:tcPr>
          <w:p w:rsidR="009F5196" w:rsidRPr="001823C5" w:rsidRDefault="009F5196" w:rsidP="00ED44E4">
            <w:pPr>
              <w:spacing w:after="0" w:line="240" w:lineRule="auto"/>
              <w:jc w:val="center"/>
              <w:rPr>
                <w:rFonts w:cstheme="minorHAnsi"/>
                <w:color w:val="000000"/>
              </w:rPr>
            </w:pPr>
            <w:r w:rsidRPr="001823C5">
              <w:rPr>
                <w:rFonts w:cstheme="minorHAnsi"/>
              </w:rPr>
              <w:t>540,3</w:t>
            </w:r>
          </w:p>
        </w:tc>
      </w:tr>
      <w:tr w:rsidR="009F5196" w:rsidRPr="001823C5" w:rsidTr="00ED44E4">
        <w:trPr>
          <w:trHeight w:val="324"/>
          <w:jc w:val="center"/>
        </w:trPr>
        <w:tc>
          <w:tcPr>
            <w:tcW w:w="2520" w:type="dxa"/>
            <w:shd w:val="clear" w:color="auto" w:fill="auto"/>
            <w:vAlign w:val="center"/>
            <w:hideMark/>
          </w:tcPr>
          <w:p w:rsidR="009F5196" w:rsidRPr="001823C5" w:rsidRDefault="009F5196" w:rsidP="00ED44E4">
            <w:pPr>
              <w:spacing w:after="0" w:line="240" w:lineRule="auto"/>
              <w:ind w:firstLineChars="100" w:firstLine="220"/>
              <w:rPr>
                <w:rFonts w:cstheme="minorHAnsi"/>
                <w:color w:val="000000"/>
              </w:rPr>
            </w:pPr>
            <w:r w:rsidRPr="001823C5">
              <w:rPr>
                <w:rFonts w:cstheme="minorHAnsi"/>
                <w:color w:val="000000"/>
              </w:rPr>
              <w:t xml:space="preserve">A sınıfı </w:t>
            </w:r>
          </w:p>
        </w:tc>
        <w:tc>
          <w:tcPr>
            <w:tcW w:w="1444" w:type="dxa"/>
            <w:shd w:val="clear" w:color="auto" w:fill="auto"/>
            <w:noWrap/>
            <w:hideMark/>
          </w:tcPr>
          <w:p w:rsidR="009F5196" w:rsidRPr="001823C5" w:rsidRDefault="009F5196" w:rsidP="00ED44E4">
            <w:pPr>
              <w:spacing w:after="0" w:line="240" w:lineRule="auto"/>
              <w:jc w:val="center"/>
              <w:rPr>
                <w:rFonts w:cstheme="minorHAnsi"/>
                <w:color w:val="000000"/>
              </w:rPr>
            </w:pPr>
            <w:r w:rsidRPr="001823C5">
              <w:rPr>
                <w:rFonts w:cstheme="minorHAnsi"/>
              </w:rPr>
              <w:t>311,6</w:t>
            </w:r>
          </w:p>
        </w:tc>
        <w:tc>
          <w:tcPr>
            <w:tcW w:w="1418" w:type="dxa"/>
            <w:shd w:val="clear" w:color="auto" w:fill="auto"/>
            <w:noWrap/>
            <w:hideMark/>
          </w:tcPr>
          <w:p w:rsidR="009F5196" w:rsidRPr="001823C5" w:rsidRDefault="009F5196" w:rsidP="00ED44E4">
            <w:pPr>
              <w:spacing w:after="0" w:line="240" w:lineRule="auto"/>
              <w:jc w:val="center"/>
              <w:rPr>
                <w:rFonts w:cstheme="minorHAnsi"/>
                <w:color w:val="000000"/>
              </w:rPr>
            </w:pPr>
            <w:r w:rsidRPr="001823C5">
              <w:rPr>
                <w:rFonts w:cstheme="minorHAnsi"/>
              </w:rPr>
              <w:t>831,2</w:t>
            </w:r>
          </w:p>
        </w:tc>
      </w:tr>
    </w:tbl>
    <w:p w:rsidR="009F5196" w:rsidRPr="001823C5" w:rsidRDefault="009F5196" w:rsidP="009F5196">
      <w:pPr>
        <w:pStyle w:val="ListeParagraf"/>
        <w:spacing w:after="0" w:line="240" w:lineRule="auto"/>
        <w:rPr>
          <w:rFonts w:ascii="Times New Roman" w:hAnsi="Times New Roman"/>
          <w:bCs/>
          <w:sz w:val="24"/>
          <w:szCs w:val="24"/>
        </w:rPr>
      </w:pPr>
    </w:p>
    <w:p w:rsidR="000D35F9" w:rsidRDefault="009F5196" w:rsidP="009F5196">
      <w:pPr>
        <w:pStyle w:val="ListeParagraf"/>
        <w:spacing w:after="160" w:line="259" w:lineRule="auto"/>
        <w:rPr>
          <w:rFonts w:cstheme="minorHAnsi"/>
          <w:bCs/>
        </w:rPr>
      </w:pPr>
      <w:r w:rsidRPr="00E61F9A">
        <w:rPr>
          <w:rFonts w:cstheme="minorHAnsi"/>
          <w:bCs/>
        </w:rPr>
        <w:t>karar verilmiştir.</w:t>
      </w:r>
    </w:p>
    <w:p w:rsidR="005A2C27" w:rsidRDefault="005A2C27" w:rsidP="009F5196">
      <w:pPr>
        <w:pStyle w:val="ListeParagraf"/>
        <w:spacing w:after="160" w:line="259" w:lineRule="auto"/>
        <w:rPr>
          <w:rFonts w:cstheme="minorHAnsi"/>
          <w:bCs/>
        </w:rPr>
      </w:pPr>
    </w:p>
    <w:p w:rsidR="005A2C27" w:rsidRDefault="005A2C27" w:rsidP="005A2C27">
      <w:pPr>
        <w:pStyle w:val="ListeParagraf"/>
        <w:numPr>
          <w:ilvl w:val="0"/>
          <w:numId w:val="79"/>
        </w:numPr>
        <w:spacing w:after="160" w:line="259" w:lineRule="auto"/>
        <w:rPr>
          <w:rFonts w:ascii="Calibri" w:hAnsi="Calibri" w:cs="Calibri"/>
          <w:color w:val="000000"/>
        </w:rPr>
      </w:pPr>
      <w:r w:rsidRPr="00E6446B">
        <w:rPr>
          <w:rFonts w:ascii="Calibri" w:hAnsi="Calibri"/>
          <w:color w:val="000000"/>
        </w:rPr>
        <w:t xml:space="preserve">30.12.2022 tarihli ve 32059 </w:t>
      </w:r>
      <w:r>
        <w:rPr>
          <w:rFonts w:ascii="Calibri" w:hAnsi="Calibri" w:cs="Calibri"/>
          <w:color w:val="000000"/>
        </w:rPr>
        <w:t xml:space="preserve">(2. Mükerrer) </w:t>
      </w:r>
      <w:r w:rsidRPr="00E6446B">
        <w:rPr>
          <w:rFonts w:ascii="Calibri" w:hAnsi="Calibri"/>
          <w:color w:val="000000"/>
        </w:rPr>
        <w:t xml:space="preserve">sayılı </w:t>
      </w:r>
      <w:r>
        <w:rPr>
          <w:rFonts w:ascii="Calibri" w:hAnsi="Calibri" w:cs="Calibri"/>
          <w:color w:val="000000"/>
        </w:rPr>
        <w:t xml:space="preserve">Resmî </w:t>
      </w:r>
      <w:r w:rsidR="00274939">
        <w:rPr>
          <w:rFonts w:ascii="Calibri" w:hAnsi="Calibri" w:cs="Calibri"/>
          <w:color w:val="000000"/>
        </w:rPr>
        <w:t>Gazetede</w:t>
      </w:r>
      <w:r>
        <w:rPr>
          <w:rFonts w:ascii="Calibri" w:hAnsi="Calibri" w:cs="Calibri"/>
          <w:color w:val="000000"/>
        </w:rPr>
        <w:t xml:space="preserve"> yayımlanan 29.12.2022 tarihli ve 11538 sayılı Kurul Kararı ile;</w:t>
      </w:r>
    </w:p>
    <w:p w:rsidR="005A2C27" w:rsidRPr="00E6446B" w:rsidRDefault="005A2C27" w:rsidP="005A2C27">
      <w:pPr>
        <w:pStyle w:val="ListeParagraf"/>
        <w:numPr>
          <w:ilvl w:val="0"/>
          <w:numId w:val="80"/>
        </w:numPr>
        <w:spacing w:after="160" w:line="259" w:lineRule="auto"/>
        <w:rPr>
          <w:rFonts w:ascii="Calibri" w:hAnsi="Calibri" w:cs="Calibri"/>
          <w:color w:val="000000"/>
        </w:rPr>
      </w:pPr>
      <w:r>
        <w:rPr>
          <w:rFonts w:ascii="Calibri" w:hAnsi="Calibri" w:cs="Calibri"/>
          <w:color w:val="000000"/>
        </w:rPr>
        <w:lastRenderedPageBreak/>
        <w:t>2023 yılı için tedarik edilen birim enerji miktarı başına öngörülen YEKDEM maliyetinin aşağıda yer alan şekilde onaylanmasına</w:t>
      </w:r>
      <w:r w:rsidRPr="00E6446B">
        <w:rPr>
          <w:rFonts w:ascii="Calibri" w:hAnsi="Calibri" w:cs="Calibri"/>
          <w:color w:val="000000"/>
        </w:rPr>
        <w:t>,</w:t>
      </w:r>
    </w:p>
    <w:p w:rsidR="005A2C27" w:rsidRDefault="005A2C27" w:rsidP="005A2C27">
      <w:pPr>
        <w:pStyle w:val="ListeParagraf"/>
        <w:spacing w:after="160" w:line="259" w:lineRule="auto"/>
        <w:rPr>
          <w:rFonts w:ascii="Calibri" w:hAnsi="Calibri" w:cs="Calibri"/>
          <w:color w:val="000000"/>
        </w:rPr>
      </w:pPr>
    </w:p>
    <w:tbl>
      <w:tblPr>
        <w:tblW w:w="4678" w:type="dxa"/>
        <w:jc w:val="center"/>
        <w:tblCellMar>
          <w:left w:w="70" w:type="dxa"/>
          <w:right w:w="70" w:type="dxa"/>
        </w:tblCellMar>
        <w:tblLook w:val="04A0" w:firstRow="1" w:lastRow="0" w:firstColumn="1" w:lastColumn="0" w:noHBand="0" w:noVBand="1"/>
      </w:tblPr>
      <w:tblGrid>
        <w:gridCol w:w="1600"/>
        <w:gridCol w:w="3078"/>
      </w:tblGrid>
      <w:tr w:rsidR="005A2C27" w:rsidRPr="00C51CE1" w:rsidTr="008F2A61">
        <w:trPr>
          <w:trHeight w:val="828"/>
          <w:jc w:val="center"/>
        </w:trPr>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2C27" w:rsidRPr="00C51CE1" w:rsidRDefault="005A2C27" w:rsidP="008F2A61">
            <w:pPr>
              <w:jc w:val="center"/>
              <w:rPr>
                <w:rFonts w:ascii="Arial" w:hAnsi="Arial" w:cs="Arial"/>
                <w:b/>
                <w:bCs/>
              </w:rPr>
            </w:pPr>
            <w:r w:rsidRPr="00C51CE1">
              <w:rPr>
                <w:rFonts w:ascii="Arial" w:hAnsi="Arial" w:cs="Arial"/>
                <w:b/>
                <w:bCs/>
              </w:rPr>
              <w:t>Aylar</w:t>
            </w:r>
          </w:p>
        </w:tc>
        <w:tc>
          <w:tcPr>
            <w:tcW w:w="3078" w:type="dxa"/>
            <w:tcBorders>
              <w:top w:val="single" w:sz="4" w:space="0" w:color="auto"/>
              <w:left w:val="nil"/>
              <w:bottom w:val="single" w:sz="4" w:space="0" w:color="auto"/>
              <w:right w:val="single" w:sz="4" w:space="0" w:color="auto"/>
            </w:tcBorders>
            <w:shd w:val="clear" w:color="auto" w:fill="auto"/>
            <w:vAlign w:val="center"/>
            <w:hideMark/>
          </w:tcPr>
          <w:p w:rsidR="005A2C27" w:rsidRPr="00C51CE1" w:rsidRDefault="005A2C27" w:rsidP="008F2A61">
            <w:pPr>
              <w:jc w:val="center"/>
              <w:rPr>
                <w:rFonts w:ascii="Arial" w:hAnsi="Arial" w:cs="Arial"/>
                <w:b/>
                <w:bCs/>
              </w:rPr>
            </w:pPr>
            <w:r w:rsidRPr="00C51CE1">
              <w:rPr>
                <w:rFonts w:ascii="Arial" w:hAnsi="Arial" w:cs="Arial"/>
                <w:b/>
                <w:bCs/>
              </w:rPr>
              <w:t>202</w:t>
            </w:r>
            <w:r>
              <w:rPr>
                <w:rFonts w:ascii="Arial" w:hAnsi="Arial" w:cs="Arial"/>
                <w:b/>
                <w:bCs/>
              </w:rPr>
              <w:t>3</w:t>
            </w:r>
            <w:r w:rsidRPr="00C51CE1">
              <w:rPr>
                <w:rFonts w:ascii="Arial" w:hAnsi="Arial" w:cs="Arial"/>
                <w:b/>
                <w:bCs/>
              </w:rPr>
              <w:t xml:space="preserve"> Öngörülen YEKDEM Maliyeti (TL/MWh)</w:t>
            </w:r>
          </w:p>
        </w:tc>
      </w:tr>
      <w:tr w:rsidR="005A2C27" w:rsidRPr="00C51CE1" w:rsidTr="008F2A61">
        <w:trPr>
          <w:trHeight w:val="276"/>
          <w:jc w:val="center"/>
        </w:trPr>
        <w:tc>
          <w:tcPr>
            <w:tcW w:w="1600" w:type="dxa"/>
            <w:tcBorders>
              <w:top w:val="nil"/>
              <w:left w:val="single" w:sz="4" w:space="0" w:color="auto"/>
              <w:bottom w:val="single" w:sz="4" w:space="0" w:color="auto"/>
              <w:right w:val="single" w:sz="4" w:space="0" w:color="auto"/>
            </w:tcBorders>
            <w:shd w:val="clear" w:color="auto" w:fill="auto"/>
            <w:noWrap/>
            <w:vAlign w:val="center"/>
          </w:tcPr>
          <w:p w:rsidR="005A2C27" w:rsidRPr="00C51CE1" w:rsidRDefault="005A2C27" w:rsidP="008F2A61">
            <w:pPr>
              <w:rPr>
                <w:rFonts w:ascii="Arial" w:hAnsi="Arial" w:cs="Arial"/>
                <w:b/>
                <w:bCs/>
              </w:rPr>
            </w:pPr>
            <w:r>
              <w:rPr>
                <w:rFonts w:ascii="Arial" w:hAnsi="Arial" w:cs="Arial"/>
                <w:b/>
                <w:bCs/>
              </w:rPr>
              <w:t>Ocak</w:t>
            </w:r>
          </w:p>
        </w:tc>
        <w:tc>
          <w:tcPr>
            <w:tcW w:w="3078" w:type="dxa"/>
            <w:tcBorders>
              <w:top w:val="nil"/>
              <w:left w:val="nil"/>
              <w:bottom w:val="single" w:sz="4" w:space="0" w:color="auto"/>
              <w:right w:val="single" w:sz="4" w:space="0" w:color="auto"/>
            </w:tcBorders>
            <w:shd w:val="clear" w:color="auto" w:fill="auto"/>
            <w:noWrap/>
          </w:tcPr>
          <w:p w:rsidR="005A2C27" w:rsidRPr="00C51CE1" w:rsidRDefault="005A2C27" w:rsidP="008F2A61">
            <w:pPr>
              <w:jc w:val="center"/>
              <w:rPr>
                <w:rFonts w:ascii="Arial" w:hAnsi="Arial" w:cs="Arial"/>
              </w:rPr>
            </w:pPr>
            <w:r w:rsidRPr="00C51CE1">
              <w:rPr>
                <w:rFonts w:ascii="Arial" w:hAnsi="Arial" w:cs="Arial"/>
              </w:rPr>
              <w:t>-</w:t>
            </w:r>
            <w:r>
              <w:rPr>
                <w:rFonts w:ascii="Arial" w:hAnsi="Arial" w:cs="Arial"/>
              </w:rPr>
              <w:t>1.092,75</w:t>
            </w:r>
          </w:p>
        </w:tc>
      </w:tr>
      <w:tr w:rsidR="005A2C27" w:rsidRPr="00C51CE1" w:rsidTr="008F2A61">
        <w:trPr>
          <w:trHeight w:val="276"/>
          <w:jc w:val="center"/>
        </w:trPr>
        <w:tc>
          <w:tcPr>
            <w:tcW w:w="1600" w:type="dxa"/>
            <w:tcBorders>
              <w:top w:val="nil"/>
              <w:left w:val="single" w:sz="4" w:space="0" w:color="auto"/>
              <w:bottom w:val="single" w:sz="4" w:space="0" w:color="auto"/>
              <w:right w:val="single" w:sz="4" w:space="0" w:color="auto"/>
            </w:tcBorders>
            <w:shd w:val="clear" w:color="auto" w:fill="auto"/>
            <w:noWrap/>
            <w:vAlign w:val="center"/>
          </w:tcPr>
          <w:p w:rsidR="005A2C27" w:rsidRPr="00C51CE1" w:rsidRDefault="005A2C27" w:rsidP="008F2A61">
            <w:pPr>
              <w:rPr>
                <w:rFonts w:ascii="Arial" w:hAnsi="Arial" w:cs="Arial"/>
                <w:b/>
                <w:bCs/>
              </w:rPr>
            </w:pPr>
            <w:r>
              <w:rPr>
                <w:rFonts w:ascii="Arial" w:hAnsi="Arial" w:cs="Arial"/>
                <w:b/>
                <w:bCs/>
              </w:rPr>
              <w:t>Şubat</w:t>
            </w:r>
          </w:p>
        </w:tc>
        <w:tc>
          <w:tcPr>
            <w:tcW w:w="3078" w:type="dxa"/>
            <w:tcBorders>
              <w:top w:val="nil"/>
              <w:left w:val="nil"/>
              <w:bottom w:val="single" w:sz="4" w:space="0" w:color="auto"/>
              <w:right w:val="single" w:sz="4" w:space="0" w:color="auto"/>
            </w:tcBorders>
            <w:shd w:val="clear" w:color="auto" w:fill="auto"/>
            <w:noWrap/>
          </w:tcPr>
          <w:p w:rsidR="005A2C27" w:rsidRPr="00C51CE1" w:rsidRDefault="005A2C27" w:rsidP="008F2A61">
            <w:pPr>
              <w:jc w:val="center"/>
              <w:rPr>
                <w:rFonts w:ascii="Arial" w:hAnsi="Arial" w:cs="Arial"/>
              </w:rPr>
            </w:pPr>
            <w:r w:rsidRPr="00C51CE1">
              <w:rPr>
                <w:rFonts w:ascii="Arial" w:hAnsi="Arial" w:cs="Arial"/>
              </w:rPr>
              <w:t>-</w:t>
            </w:r>
            <w:r>
              <w:rPr>
                <w:rFonts w:ascii="Arial" w:hAnsi="Arial" w:cs="Arial"/>
              </w:rPr>
              <w:t>1.219,81</w:t>
            </w:r>
          </w:p>
        </w:tc>
      </w:tr>
      <w:tr w:rsidR="005A2C27" w:rsidRPr="00C51CE1" w:rsidTr="008F2A61">
        <w:trPr>
          <w:trHeight w:val="276"/>
          <w:jc w:val="center"/>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5A2C27" w:rsidRPr="00C51CE1" w:rsidRDefault="005A2C27" w:rsidP="008F2A61">
            <w:pPr>
              <w:rPr>
                <w:rFonts w:ascii="Arial" w:hAnsi="Arial" w:cs="Arial"/>
                <w:b/>
                <w:bCs/>
              </w:rPr>
            </w:pPr>
            <w:r w:rsidRPr="00C51CE1">
              <w:rPr>
                <w:rFonts w:ascii="Arial" w:hAnsi="Arial" w:cs="Arial"/>
                <w:b/>
                <w:bCs/>
              </w:rPr>
              <w:t>Mart</w:t>
            </w:r>
          </w:p>
        </w:tc>
        <w:tc>
          <w:tcPr>
            <w:tcW w:w="3073" w:type="dxa"/>
            <w:tcBorders>
              <w:top w:val="nil"/>
              <w:left w:val="nil"/>
              <w:bottom w:val="single" w:sz="4" w:space="0" w:color="auto"/>
              <w:right w:val="single" w:sz="4" w:space="0" w:color="auto"/>
            </w:tcBorders>
            <w:shd w:val="clear" w:color="auto" w:fill="auto"/>
            <w:noWrap/>
            <w:hideMark/>
          </w:tcPr>
          <w:p w:rsidR="005A2C27" w:rsidRPr="00C51CE1" w:rsidRDefault="005A2C27" w:rsidP="008F2A61">
            <w:pPr>
              <w:jc w:val="center"/>
              <w:rPr>
                <w:rFonts w:ascii="Arial" w:hAnsi="Arial" w:cs="Arial"/>
              </w:rPr>
            </w:pPr>
            <w:r w:rsidRPr="00C51CE1">
              <w:rPr>
                <w:rFonts w:ascii="Arial" w:hAnsi="Arial" w:cs="Arial"/>
              </w:rPr>
              <w:t>-</w:t>
            </w:r>
            <w:r>
              <w:rPr>
                <w:rFonts w:ascii="Arial" w:hAnsi="Arial" w:cs="Arial"/>
              </w:rPr>
              <w:t>1.509,27</w:t>
            </w:r>
          </w:p>
        </w:tc>
      </w:tr>
      <w:tr w:rsidR="005A2C27" w:rsidRPr="00C51CE1" w:rsidTr="008F2A61">
        <w:trPr>
          <w:trHeight w:val="276"/>
          <w:jc w:val="center"/>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5A2C27" w:rsidRPr="00C51CE1" w:rsidRDefault="005A2C27" w:rsidP="008F2A61">
            <w:pPr>
              <w:rPr>
                <w:rFonts w:ascii="Arial" w:hAnsi="Arial" w:cs="Arial"/>
                <w:b/>
                <w:bCs/>
              </w:rPr>
            </w:pPr>
            <w:r w:rsidRPr="00C51CE1">
              <w:rPr>
                <w:rFonts w:ascii="Arial" w:hAnsi="Arial" w:cs="Arial"/>
                <w:b/>
                <w:bCs/>
              </w:rPr>
              <w:t>Nisan</w:t>
            </w:r>
          </w:p>
        </w:tc>
        <w:tc>
          <w:tcPr>
            <w:tcW w:w="3073" w:type="dxa"/>
            <w:tcBorders>
              <w:top w:val="nil"/>
              <w:left w:val="nil"/>
              <w:bottom w:val="single" w:sz="4" w:space="0" w:color="auto"/>
              <w:right w:val="single" w:sz="4" w:space="0" w:color="auto"/>
            </w:tcBorders>
            <w:shd w:val="clear" w:color="auto" w:fill="auto"/>
            <w:noWrap/>
            <w:hideMark/>
          </w:tcPr>
          <w:p w:rsidR="005A2C27" w:rsidRPr="00C51CE1" w:rsidRDefault="005A2C27" w:rsidP="008F2A61">
            <w:pPr>
              <w:jc w:val="center"/>
              <w:rPr>
                <w:rFonts w:ascii="Arial" w:hAnsi="Arial" w:cs="Arial"/>
              </w:rPr>
            </w:pPr>
            <w:r>
              <w:rPr>
                <w:rFonts w:ascii="Arial" w:hAnsi="Arial" w:cs="Arial"/>
              </w:rPr>
              <w:t>-1.418,62</w:t>
            </w:r>
          </w:p>
        </w:tc>
      </w:tr>
      <w:tr w:rsidR="005A2C27" w:rsidRPr="00C51CE1" w:rsidTr="008F2A61">
        <w:trPr>
          <w:trHeight w:val="276"/>
          <w:jc w:val="center"/>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5A2C27" w:rsidRPr="00C51CE1" w:rsidRDefault="005A2C27" w:rsidP="008F2A61">
            <w:pPr>
              <w:rPr>
                <w:rFonts w:ascii="Arial" w:hAnsi="Arial" w:cs="Arial"/>
                <w:b/>
                <w:bCs/>
              </w:rPr>
            </w:pPr>
            <w:r w:rsidRPr="00C51CE1">
              <w:rPr>
                <w:rFonts w:ascii="Arial" w:hAnsi="Arial" w:cs="Arial"/>
                <w:b/>
                <w:bCs/>
              </w:rPr>
              <w:t>Mayıs</w:t>
            </w:r>
          </w:p>
        </w:tc>
        <w:tc>
          <w:tcPr>
            <w:tcW w:w="3073" w:type="dxa"/>
            <w:tcBorders>
              <w:top w:val="nil"/>
              <w:left w:val="nil"/>
              <w:bottom w:val="single" w:sz="4" w:space="0" w:color="auto"/>
              <w:right w:val="single" w:sz="4" w:space="0" w:color="auto"/>
            </w:tcBorders>
            <w:shd w:val="clear" w:color="auto" w:fill="auto"/>
            <w:noWrap/>
            <w:hideMark/>
          </w:tcPr>
          <w:p w:rsidR="005A2C27" w:rsidRPr="00C51CE1" w:rsidRDefault="005A2C27" w:rsidP="008F2A61">
            <w:pPr>
              <w:jc w:val="center"/>
              <w:rPr>
                <w:rFonts w:ascii="Arial" w:hAnsi="Arial" w:cs="Arial"/>
              </w:rPr>
            </w:pPr>
            <w:r>
              <w:rPr>
                <w:rFonts w:ascii="Arial" w:hAnsi="Arial" w:cs="Arial"/>
              </w:rPr>
              <w:t>-1.139,23</w:t>
            </w:r>
          </w:p>
        </w:tc>
      </w:tr>
      <w:tr w:rsidR="005A2C27" w:rsidRPr="00C51CE1" w:rsidTr="008F2A61">
        <w:trPr>
          <w:trHeight w:val="276"/>
          <w:jc w:val="center"/>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5A2C27" w:rsidRPr="00C51CE1" w:rsidRDefault="005A2C27" w:rsidP="008F2A61">
            <w:pPr>
              <w:rPr>
                <w:rFonts w:ascii="Arial" w:hAnsi="Arial" w:cs="Arial"/>
                <w:b/>
                <w:bCs/>
              </w:rPr>
            </w:pPr>
            <w:r w:rsidRPr="00C51CE1">
              <w:rPr>
                <w:rFonts w:ascii="Arial" w:hAnsi="Arial" w:cs="Arial"/>
                <w:b/>
                <w:bCs/>
              </w:rPr>
              <w:t>Haziran</w:t>
            </w:r>
          </w:p>
        </w:tc>
        <w:tc>
          <w:tcPr>
            <w:tcW w:w="3073" w:type="dxa"/>
            <w:tcBorders>
              <w:top w:val="nil"/>
              <w:left w:val="nil"/>
              <w:bottom w:val="single" w:sz="4" w:space="0" w:color="auto"/>
              <w:right w:val="single" w:sz="4" w:space="0" w:color="auto"/>
            </w:tcBorders>
            <w:shd w:val="clear" w:color="auto" w:fill="auto"/>
            <w:noWrap/>
            <w:hideMark/>
          </w:tcPr>
          <w:p w:rsidR="005A2C27" w:rsidRPr="00C51CE1" w:rsidRDefault="005A2C27" w:rsidP="008F2A61">
            <w:pPr>
              <w:jc w:val="center"/>
              <w:rPr>
                <w:rFonts w:ascii="Arial" w:hAnsi="Arial" w:cs="Arial"/>
              </w:rPr>
            </w:pPr>
            <w:r w:rsidRPr="00C51CE1">
              <w:rPr>
                <w:rFonts w:ascii="Arial" w:hAnsi="Arial" w:cs="Arial"/>
              </w:rPr>
              <w:t>-</w:t>
            </w:r>
            <w:r>
              <w:rPr>
                <w:rFonts w:ascii="Arial" w:hAnsi="Arial" w:cs="Arial"/>
              </w:rPr>
              <w:t>1.134,13</w:t>
            </w:r>
          </w:p>
        </w:tc>
      </w:tr>
      <w:tr w:rsidR="005A2C27" w:rsidRPr="00C51CE1" w:rsidTr="008F2A61">
        <w:trPr>
          <w:trHeight w:val="276"/>
          <w:jc w:val="center"/>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5A2C27" w:rsidRPr="00C51CE1" w:rsidRDefault="005A2C27" w:rsidP="008F2A61">
            <w:pPr>
              <w:rPr>
                <w:rFonts w:ascii="Arial" w:hAnsi="Arial" w:cs="Arial"/>
                <w:b/>
                <w:bCs/>
              </w:rPr>
            </w:pPr>
            <w:r w:rsidRPr="00C51CE1">
              <w:rPr>
                <w:rFonts w:ascii="Arial" w:hAnsi="Arial" w:cs="Arial"/>
                <w:b/>
                <w:bCs/>
              </w:rPr>
              <w:t>Temmuz</w:t>
            </w:r>
          </w:p>
        </w:tc>
        <w:tc>
          <w:tcPr>
            <w:tcW w:w="3073" w:type="dxa"/>
            <w:tcBorders>
              <w:top w:val="nil"/>
              <w:left w:val="nil"/>
              <w:bottom w:val="single" w:sz="4" w:space="0" w:color="auto"/>
              <w:right w:val="single" w:sz="4" w:space="0" w:color="auto"/>
            </w:tcBorders>
            <w:shd w:val="clear" w:color="auto" w:fill="auto"/>
            <w:noWrap/>
            <w:hideMark/>
          </w:tcPr>
          <w:p w:rsidR="005A2C27" w:rsidRPr="00C51CE1" w:rsidRDefault="005A2C27" w:rsidP="008F2A61">
            <w:pPr>
              <w:jc w:val="center"/>
              <w:rPr>
                <w:rFonts w:ascii="Arial" w:hAnsi="Arial" w:cs="Arial"/>
              </w:rPr>
            </w:pPr>
            <w:r w:rsidRPr="00C51CE1">
              <w:rPr>
                <w:rFonts w:ascii="Arial" w:hAnsi="Arial" w:cs="Arial"/>
              </w:rPr>
              <w:t>-</w:t>
            </w:r>
            <w:r>
              <w:rPr>
                <w:rFonts w:ascii="Arial" w:hAnsi="Arial" w:cs="Arial"/>
              </w:rPr>
              <w:t>1.260,29</w:t>
            </w:r>
          </w:p>
        </w:tc>
      </w:tr>
      <w:tr w:rsidR="005A2C27" w:rsidRPr="00C51CE1" w:rsidTr="008F2A61">
        <w:trPr>
          <w:trHeight w:val="276"/>
          <w:jc w:val="center"/>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5A2C27" w:rsidRPr="00C51CE1" w:rsidRDefault="005A2C27" w:rsidP="008F2A61">
            <w:pPr>
              <w:rPr>
                <w:rFonts w:ascii="Arial" w:hAnsi="Arial" w:cs="Arial"/>
                <w:b/>
                <w:bCs/>
              </w:rPr>
            </w:pPr>
            <w:r w:rsidRPr="00C51CE1">
              <w:rPr>
                <w:rFonts w:ascii="Arial" w:hAnsi="Arial" w:cs="Arial"/>
                <w:b/>
                <w:bCs/>
              </w:rPr>
              <w:t>Ağustos</w:t>
            </w:r>
          </w:p>
        </w:tc>
        <w:tc>
          <w:tcPr>
            <w:tcW w:w="3073" w:type="dxa"/>
            <w:tcBorders>
              <w:top w:val="nil"/>
              <w:left w:val="nil"/>
              <w:bottom w:val="single" w:sz="4" w:space="0" w:color="auto"/>
              <w:right w:val="single" w:sz="4" w:space="0" w:color="auto"/>
            </w:tcBorders>
            <w:shd w:val="clear" w:color="auto" w:fill="auto"/>
            <w:noWrap/>
            <w:hideMark/>
          </w:tcPr>
          <w:p w:rsidR="005A2C27" w:rsidRPr="00C51CE1" w:rsidRDefault="005A2C27" w:rsidP="008F2A61">
            <w:pPr>
              <w:jc w:val="center"/>
              <w:rPr>
                <w:rFonts w:ascii="Arial" w:hAnsi="Arial" w:cs="Arial"/>
              </w:rPr>
            </w:pPr>
            <w:r w:rsidRPr="00C51CE1">
              <w:rPr>
                <w:rFonts w:ascii="Arial" w:hAnsi="Arial" w:cs="Arial"/>
              </w:rPr>
              <w:t>-</w:t>
            </w:r>
            <w:r>
              <w:rPr>
                <w:rFonts w:ascii="Arial" w:hAnsi="Arial" w:cs="Arial"/>
              </w:rPr>
              <w:t>1.183,68</w:t>
            </w:r>
          </w:p>
        </w:tc>
      </w:tr>
      <w:tr w:rsidR="005A2C27" w:rsidRPr="00C51CE1" w:rsidTr="008F2A61">
        <w:trPr>
          <w:trHeight w:val="276"/>
          <w:jc w:val="center"/>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5A2C27" w:rsidRPr="00C51CE1" w:rsidRDefault="005A2C27" w:rsidP="008F2A61">
            <w:pPr>
              <w:rPr>
                <w:rFonts w:ascii="Arial" w:hAnsi="Arial" w:cs="Arial"/>
                <w:b/>
                <w:bCs/>
              </w:rPr>
            </w:pPr>
            <w:r w:rsidRPr="00C51CE1">
              <w:rPr>
                <w:rFonts w:ascii="Arial" w:hAnsi="Arial" w:cs="Arial"/>
                <w:b/>
                <w:bCs/>
              </w:rPr>
              <w:t>Eylül</w:t>
            </w:r>
          </w:p>
        </w:tc>
        <w:tc>
          <w:tcPr>
            <w:tcW w:w="3073" w:type="dxa"/>
            <w:tcBorders>
              <w:top w:val="nil"/>
              <w:left w:val="nil"/>
              <w:bottom w:val="single" w:sz="4" w:space="0" w:color="auto"/>
              <w:right w:val="single" w:sz="4" w:space="0" w:color="auto"/>
            </w:tcBorders>
            <w:shd w:val="clear" w:color="auto" w:fill="auto"/>
            <w:noWrap/>
            <w:hideMark/>
          </w:tcPr>
          <w:p w:rsidR="005A2C27" w:rsidRPr="00C51CE1" w:rsidRDefault="005A2C27" w:rsidP="008F2A61">
            <w:pPr>
              <w:jc w:val="center"/>
              <w:rPr>
                <w:rFonts w:ascii="Arial" w:hAnsi="Arial" w:cs="Arial"/>
              </w:rPr>
            </w:pPr>
            <w:r w:rsidRPr="00C51CE1">
              <w:rPr>
                <w:rFonts w:ascii="Arial" w:hAnsi="Arial" w:cs="Arial"/>
              </w:rPr>
              <w:t>-</w:t>
            </w:r>
            <w:r>
              <w:rPr>
                <w:rFonts w:ascii="Arial" w:hAnsi="Arial" w:cs="Arial"/>
              </w:rPr>
              <w:t>956,62</w:t>
            </w:r>
          </w:p>
        </w:tc>
      </w:tr>
      <w:tr w:rsidR="005A2C27" w:rsidRPr="00C51CE1" w:rsidTr="008F2A61">
        <w:trPr>
          <w:trHeight w:val="276"/>
          <w:jc w:val="center"/>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5A2C27" w:rsidRPr="00C51CE1" w:rsidRDefault="005A2C27" w:rsidP="008F2A61">
            <w:pPr>
              <w:rPr>
                <w:rFonts w:ascii="Arial" w:hAnsi="Arial" w:cs="Arial"/>
                <w:b/>
                <w:bCs/>
              </w:rPr>
            </w:pPr>
            <w:r w:rsidRPr="00C51CE1">
              <w:rPr>
                <w:rFonts w:ascii="Arial" w:hAnsi="Arial" w:cs="Arial"/>
                <w:b/>
                <w:bCs/>
              </w:rPr>
              <w:t>Ekim</w:t>
            </w:r>
          </w:p>
        </w:tc>
        <w:tc>
          <w:tcPr>
            <w:tcW w:w="3073" w:type="dxa"/>
            <w:tcBorders>
              <w:top w:val="nil"/>
              <w:left w:val="nil"/>
              <w:bottom w:val="single" w:sz="4" w:space="0" w:color="auto"/>
              <w:right w:val="single" w:sz="4" w:space="0" w:color="auto"/>
            </w:tcBorders>
            <w:shd w:val="clear" w:color="auto" w:fill="auto"/>
            <w:noWrap/>
            <w:hideMark/>
          </w:tcPr>
          <w:p w:rsidR="005A2C27" w:rsidRPr="00C51CE1" w:rsidRDefault="005A2C27" w:rsidP="008F2A61">
            <w:pPr>
              <w:jc w:val="center"/>
              <w:rPr>
                <w:rFonts w:ascii="Arial" w:hAnsi="Arial" w:cs="Arial"/>
              </w:rPr>
            </w:pPr>
            <w:r w:rsidRPr="00C51CE1">
              <w:rPr>
                <w:rFonts w:ascii="Arial" w:hAnsi="Arial" w:cs="Arial"/>
              </w:rPr>
              <w:t>-</w:t>
            </w:r>
            <w:r>
              <w:rPr>
                <w:rFonts w:ascii="Arial" w:hAnsi="Arial" w:cs="Arial"/>
              </w:rPr>
              <w:t>728,97</w:t>
            </w:r>
          </w:p>
        </w:tc>
      </w:tr>
      <w:tr w:rsidR="005A2C27" w:rsidRPr="00C51CE1" w:rsidTr="008F2A61">
        <w:trPr>
          <w:trHeight w:val="276"/>
          <w:jc w:val="center"/>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5A2C27" w:rsidRPr="00C51CE1" w:rsidRDefault="005A2C27" w:rsidP="008F2A61">
            <w:pPr>
              <w:rPr>
                <w:rFonts w:ascii="Arial" w:hAnsi="Arial" w:cs="Arial"/>
                <w:b/>
                <w:bCs/>
              </w:rPr>
            </w:pPr>
            <w:r w:rsidRPr="00C51CE1">
              <w:rPr>
                <w:rFonts w:ascii="Arial" w:hAnsi="Arial" w:cs="Arial"/>
                <w:b/>
                <w:bCs/>
              </w:rPr>
              <w:t>Kasım</w:t>
            </w:r>
          </w:p>
        </w:tc>
        <w:tc>
          <w:tcPr>
            <w:tcW w:w="3073" w:type="dxa"/>
            <w:tcBorders>
              <w:top w:val="nil"/>
              <w:left w:val="nil"/>
              <w:bottom w:val="single" w:sz="4" w:space="0" w:color="auto"/>
              <w:right w:val="single" w:sz="4" w:space="0" w:color="auto"/>
            </w:tcBorders>
            <w:shd w:val="clear" w:color="auto" w:fill="auto"/>
            <w:noWrap/>
            <w:hideMark/>
          </w:tcPr>
          <w:p w:rsidR="005A2C27" w:rsidRPr="00C51CE1" w:rsidRDefault="005A2C27" w:rsidP="008F2A61">
            <w:pPr>
              <w:jc w:val="center"/>
              <w:rPr>
                <w:rFonts w:ascii="Arial" w:hAnsi="Arial" w:cs="Arial"/>
              </w:rPr>
            </w:pPr>
            <w:r w:rsidRPr="00C51CE1">
              <w:rPr>
                <w:rFonts w:ascii="Arial" w:hAnsi="Arial" w:cs="Arial"/>
              </w:rPr>
              <w:t>-</w:t>
            </w:r>
            <w:r>
              <w:rPr>
                <w:rFonts w:ascii="Arial" w:hAnsi="Arial" w:cs="Arial"/>
              </w:rPr>
              <w:t>778,28</w:t>
            </w:r>
          </w:p>
        </w:tc>
      </w:tr>
      <w:tr w:rsidR="005A2C27" w:rsidRPr="00C51CE1" w:rsidTr="008F2A61">
        <w:trPr>
          <w:trHeight w:val="276"/>
          <w:jc w:val="center"/>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5A2C27" w:rsidRPr="00C51CE1" w:rsidRDefault="005A2C27" w:rsidP="008F2A61">
            <w:pPr>
              <w:rPr>
                <w:rFonts w:ascii="Arial" w:hAnsi="Arial" w:cs="Arial"/>
                <w:b/>
                <w:bCs/>
              </w:rPr>
            </w:pPr>
            <w:r w:rsidRPr="00C51CE1">
              <w:rPr>
                <w:rFonts w:ascii="Arial" w:hAnsi="Arial" w:cs="Arial"/>
                <w:b/>
                <w:bCs/>
              </w:rPr>
              <w:t>Aralık</w:t>
            </w:r>
          </w:p>
        </w:tc>
        <w:tc>
          <w:tcPr>
            <w:tcW w:w="3073" w:type="dxa"/>
            <w:tcBorders>
              <w:top w:val="nil"/>
              <w:left w:val="nil"/>
              <w:bottom w:val="single" w:sz="4" w:space="0" w:color="auto"/>
              <w:right w:val="single" w:sz="4" w:space="0" w:color="auto"/>
            </w:tcBorders>
            <w:shd w:val="clear" w:color="auto" w:fill="auto"/>
            <w:noWrap/>
            <w:hideMark/>
          </w:tcPr>
          <w:p w:rsidR="005A2C27" w:rsidRPr="00C51CE1" w:rsidRDefault="005A2C27" w:rsidP="008F2A61">
            <w:pPr>
              <w:jc w:val="center"/>
              <w:rPr>
                <w:rFonts w:ascii="Arial" w:hAnsi="Arial" w:cs="Arial"/>
              </w:rPr>
            </w:pPr>
            <w:r w:rsidRPr="00C51CE1">
              <w:rPr>
                <w:rFonts w:ascii="Arial" w:hAnsi="Arial" w:cs="Arial"/>
              </w:rPr>
              <w:t>-</w:t>
            </w:r>
            <w:r>
              <w:rPr>
                <w:rFonts w:ascii="Arial" w:hAnsi="Arial" w:cs="Arial"/>
              </w:rPr>
              <w:t>961,62</w:t>
            </w:r>
          </w:p>
        </w:tc>
      </w:tr>
    </w:tbl>
    <w:p w:rsidR="005A2C27" w:rsidRDefault="005A2C27" w:rsidP="005A2C27">
      <w:pPr>
        <w:pStyle w:val="ListeParagraf"/>
        <w:spacing w:after="160" w:line="259" w:lineRule="auto"/>
        <w:rPr>
          <w:rFonts w:ascii="Calibri" w:hAnsi="Calibri" w:cs="Calibri"/>
          <w:color w:val="000000"/>
        </w:rPr>
      </w:pPr>
    </w:p>
    <w:p w:rsidR="005A2C27" w:rsidRPr="00E6446B" w:rsidRDefault="005A2C27" w:rsidP="005A2C27">
      <w:pPr>
        <w:pStyle w:val="ListeParagraf"/>
        <w:numPr>
          <w:ilvl w:val="0"/>
          <w:numId w:val="80"/>
        </w:numPr>
        <w:spacing w:after="0" w:line="240" w:lineRule="auto"/>
        <w:rPr>
          <w:rFonts w:cstheme="minorHAnsi"/>
          <w:color w:val="000000"/>
        </w:rPr>
      </w:pPr>
      <w:r w:rsidRPr="00E6446B">
        <w:rPr>
          <w:rFonts w:cstheme="minorHAnsi"/>
          <w:color w:val="000000"/>
        </w:rPr>
        <w:t>Öngörülen YEKDEM maliyetinin negatif olduğu aylarda, ikili anlaşmalara ilişkin referans niteliğinde olan öngörülen YEKDEM maliyetinin ve yüksek tüketimli tüketicilere ilişkin son kaynak tedarik tarifesi hesaplamalarında kullanılan öngörülen YEKDEM maliyetinin</w:t>
      </w:r>
      <w:r w:rsidRPr="00E6446B">
        <w:rPr>
          <w:rFonts w:cstheme="minorHAnsi"/>
          <w:bCs/>
        </w:rPr>
        <w:t xml:space="preserve"> </w:t>
      </w:r>
      <w:r w:rsidRPr="00E6446B">
        <w:rPr>
          <w:rFonts w:cstheme="minorHAnsi"/>
          <w:b/>
          <w:bCs/>
        </w:rPr>
        <w:t>“0 TL/MWh”</w:t>
      </w:r>
      <w:r w:rsidRPr="00E6446B">
        <w:rPr>
          <w:rFonts w:cstheme="minorHAnsi"/>
          <w:bCs/>
        </w:rPr>
        <w:t xml:space="preserve"> </w:t>
      </w:r>
      <w:r w:rsidRPr="00E6446B">
        <w:rPr>
          <w:rFonts w:cstheme="minorHAnsi"/>
          <w:color w:val="000000"/>
        </w:rPr>
        <w:t>olarak belirlenmesine,</w:t>
      </w:r>
    </w:p>
    <w:p w:rsidR="005A2C27" w:rsidRDefault="005A2C27" w:rsidP="005A2C27">
      <w:pPr>
        <w:pStyle w:val="ListeParagraf"/>
        <w:spacing w:after="160" w:line="259" w:lineRule="auto"/>
        <w:rPr>
          <w:rFonts w:cstheme="minorHAnsi"/>
          <w:bCs/>
        </w:rPr>
      </w:pPr>
      <w:r w:rsidRPr="006D7ADE">
        <w:rPr>
          <w:rFonts w:ascii="Calibri" w:hAnsi="Calibri" w:cs="Calibri"/>
          <w:bCs/>
        </w:rPr>
        <w:t>karar verilmiştir.</w:t>
      </w:r>
    </w:p>
    <w:p w:rsidR="00A85311" w:rsidRDefault="00A85311" w:rsidP="009F5196">
      <w:pPr>
        <w:pStyle w:val="ListeParagraf"/>
        <w:spacing w:after="160" w:line="259" w:lineRule="auto"/>
        <w:rPr>
          <w:rFonts w:cstheme="minorHAnsi"/>
          <w:bCs/>
        </w:rPr>
      </w:pPr>
    </w:p>
    <w:p w:rsidR="002C3099" w:rsidRPr="00E9291A" w:rsidRDefault="002C3099" w:rsidP="000A5A56">
      <w:pPr>
        <w:pStyle w:val="Balk3"/>
        <w:numPr>
          <w:ilvl w:val="2"/>
          <w:numId w:val="11"/>
        </w:numPr>
        <w:spacing w:before="0" w:after="240"/>
        <w:rPr>
          <w:rFonts w:asciiTheme="minorHAnsi" w:hAnsiTheme="minorHAnsi"/>
          <w:color w:val="000000" w:themeColor="text1"/>
        </w:rPr>
      </w:pPr>
      <w:bookmarkStart w:id="266" w:name="_Toc66267383"/>
      <w:bookmarkStart w:id="267" w:name="_Toc132713812"/>
      <w:bookmarkEnd w:id="265"/>
      <w:r w:rsidRPr="00E9291A">
        <w:rPr>
          <w:rFonts w:asciiTheme="minorHAnsi" w:hAnsiTheme="minorHAnsi"/>
          <w:color w:val="000000" w:themeColor="text1"/>
        </w:rPr>
        <w:t>Lisans Bedelleri</w:t>
      </w:r>
      <w:bookmarkEnd w:id="266"/>
      <w:bookmarkEnd w:id="267"/>
    </w:p>
    <w:p w:rsidR="002C3099" w:rsidRDefault="005A2C27" w:rsidP="002C3099">
      <w:pPr>
        <w:spacing w:after="240"/>
      </w:pPr>
      <w:r>
        <w:t>17</w:t>
      </w:r>
      <w:r w:rsidR="000C11F6" w:rsidRPr="000C11F6">
        <w:t>.12.202</w:t>
      </w:r>
      <w:r>
        <w:t>2</w:t>
      </w:r>
      <w:r w:rsidR="000C11F6" w:rsidRPr="000C11F6">
        <w:t xml:space="preserve"> tarihli ve 3</w:t>
      </w:r>
      <w:r>
        <w:t>2046</w:t>
      </w:r>
      <w:r w:rsidR="000C11F6" w:rsidRPr="000C11F6">
        <w:t xml:space="preserve"> sayılı Resmî </w:t>
      </w:r>
      <w:r w:rsidR="00274939">
        <w:t>Gazetede</w:t>
      </w:r>
      <w:r w:rsidR="000C11F6" w:rsidRPr="000C11F6">
        <w:t xml:space="preserve"> yayımlanan 1</w:t>
      </w:r>
      <w:r>
        <w:t>5</w:t>
      </w:r>
      <w:r w:rsidR="000C11F6" w:rsidRPr="000C11F6">
        <w:t>.12.202</w:t>
      </w:r>
      <w:r>
        <w:t>2</w:t>
      </w:r>
      <w:r w:rsidR="000C11F6" w:rsidRPr="000C11F6">
        <w:t xml:space="preserve"> tarihli ve 1</w:t>
      </w:r>
      <w:r>
        <w:t>1458</w:t>
      </w:r>
      <w:r w:rsidR="000C11F6" w:rsidRPr="000C11F6">
        <w:t xml:space="preserve"> sayılı Kurul Kararı ile Elektrik Piyasası Lisans Yönetmeliğinin 43 üncü maddesi uyarınca 202</w:t>
      </w:r>
      <w:r>
        <w:t>3</w:t>
      </w:r>
      <w:r w:rsidR="000C11F6" w:rsidRPr="000C11F6">
        <w:t xml:space="preserve"> yılında uygulanacak olan önlisans ve lisans alma, yıllık lisans, lisans yenileme, önlisans ve lisans tadili, önlisans ve lisans sureti çıkartma bedelleri belirlenmiştir.</w:t>
      </w:r>
    </w:p>
    <w:p w:rsidR="00881DA9" w:rsidRDefault="00881DA9" w:rsidP="00881DA9">
      <w:pPr>
        <w:pStyle w:val="Balk2"/>
        <w:numPr>
          <w:ilvl w:val="1"/>
          <w:numId w:val="11"/>
        </w:numPr>
        <w:tabs>
          <w:tab w:val="left" w:pos="7200"/>
        </w:tabs>
        <w:spacing w:after="240"/>
        <w:rPr>
          <w:rFonts w:asciiTheme="minorHAnsi" w:hAnsiTheme="minorHAnsi"/>
          <w:color w:val="auto"/>
          <w:sz w:val="22"/>
          <w:szCs w:val="22"/>
        </w:rPr>
      </w:pPr>
      <w:bookmarkStart w:id="268" w:name="_Toc130290924"/>
      <w:bookmarkStart w:id="269" w:name="_Toc132713813"/>
      <w:r>
        <w:rPr>
          <w:rFonts w:asciiTheme="minorHAnsi" w:hAnsiTheme="minorHAnsi"/>
          <w:color w:val="auto"/>
          <w:sz w:val="22"/>
          <w:szCs w:val="22"/>
        </w:rPr>
        <w:t>Şarj Hizmeti</w:t>
      </w:r>
      <w:r w:rsidRPr="00E9291A">
        <w:rPr>
          <w:rFonts w:asciiTheme="minorHAnsi" w:hAnsiTheme="minorHAnsi"/>
          <w:color w:val="auto"/>
          <w:sz w:val="22"/>
          <w:szCs w:val="22"/>
        </w:rPr>
        <w:t xml:space="preserve"> Piyasası Tarifeleri</w:t>
      </w:r>
      <w:bookmarkEnd w:id="268"/>
      <w:bookmarkEnd w:id="269"/>
    </w:p>
    <w:p w:rsidR="00881DA9" w:rsidRDefault="00881DA9" w:rsidP="00881DA9">
      <w:pPr>
        <w:ind w:firstLine="360"/>
      </w:pPr>
      <w:r>
        <w:t xml:space="preserve">6446 sayılı Elektrik Piyasası Kanunu (Kanun); </w:t>
      </w:r>
    </w:p>
    <w:p w:rsidR="00881DA9" w:rsidRDefault="00881DA9" w:rsidP="00881DA9">
      <w:pPr>
        <w:ind w:firstLine="360"/>
      </w:pPr>
      <w:r>
        <w:t>Ek 5 inci maddesinin üçüncü fıkrası “</w:t>
      </w:r>
      <w:r w:rsidRPr="00E6446B">
        <w:rPr>
          <w:i/>
        </w:rPr>
        <w:t xml:space="preserve">Şarj hizmeti fiyatı Kurum tarafından hazırlanan usul ve esaslar dâhilinde serbestçe belirlenir. Şarj hizmeti fiyatının, rekabeti bozucu veya kısıtlayıcı ya da şarj hizmeti sağlanmasını bozucu veya aksatıcı olmaması esastır. Şarj hizmeti fiyatının belirlenmesinde şarj istasyonu kurulması ve şarj ağı </w:t>
      </w:r>
      <w:r w:rsidRPr="00E6446B">
        <w:rPr>
          <w:i/>
        </w:rPr>
        <w:lastRenderedPageBreak/>
        <w:t>oluşturulmasına esas yatırım ve işletme maliyetleri, elektrik enerjisi alım maliyetleri ve benzeri maliyetler ile vergi, pay, fon gibi yasal yükümlülükler ve makul ölçüde kârlılık dikkate alınır. Belirlenen şarj hizmeti fiyatı şarj istasyonlarında ve şarj ağı işletmeci lisans sahibi tarafından dijital mecralarda ilan edilir</w:t>
      </w:r>
      <w:r>
        <w:t>.”,</w:t>
      </w:r>
    </w:p>
    <w:p w:rsidR="00881DA9" w:rsidRDefault="00881DA9" w:rsidP="00881DA9">
      <w:pPr>
        <w:ind w:firstLine="360"/>
      </w:pPr>
      <w:r>
        <w:t>Ek 5 inci maddesinin dördüncü fıkrasının (e) bendi “</w:t>
      </w:r>
      <w:r w:rsidRPr="00E6446B">
        <w:rPr>
          <w:i/>
        </w:rPr>
        <w:t>Şarj hizmeti kapsamında düzenlenen faaliyetleri veya rekabeti engelleme, bozma veya kısıtlama amacını taşıyan veya bu etkiyi doğuran veya doğurabilecek nitelikte anlaşma veya eylemlerin şarj hizmetlerini bozucu etkiler oluşturması halinde, gerekli işlemlerin başlatılmasıyla birlikte, her seferinde üç ayı aşmamak üzere, faaliyetlerin her aşamasında, bölgesel veya ulusal düzeyde uygulanmak için taban ve/veya tavan fiyat tespitine ve gerekli tedbirlerin alınmasına yetkilidir. Bu etkilerin değerlendirilmesine göre şarj hizmeti kapsamında uygulanan fiyatlara ilişkin asgari ve azami limit uygulaması yapabilir</w:t>
      </w:r>
      <w:r>
        <w:t xml:space="preserve">.” </w:t>
      </w:r>
    </w:p>
    <w:p w:rsidR="00881DA9" w:rsidRDefault="00881DA9" w:rsidP="00881DA9">
      <w:pPr>
        <w:ind w:firstLine="360"/>
      </w:pPr>
      <w:r>
        <w:t>hükümlerine yer vermektedir. Kanuna göre şarj ağı işletmeci lisansı sahipleri uyguladıkları şarj hizmeti fiyatlarını; şarj istasyonu kurulması ve şarj ağı oluşturulmasına esas yatırım ve işletme maliyetlerini, elektrik enerjisi alım maliyetleri ve benzeri maliyetler ile vergi, pay, fon gibi yasal yükümlülükleri ve makul ölçüde kârlılığı dikkate alarak Kuruma bildirmektedir.</w:t>
      </w:r>
    </w:p>
    <w:p w:rsidR="00881DA9" w:rsidRDefault="00881DA9" w:rsidP="00881DA9">
      <w:pPr>
        <w:ind w:firstLine="360"/>
      </w:pPr>
      <w:r>
        <w:t>Şarj Hizmeti Yönetmeliğine göre şarj hizmeti fiyatı belirlenirken aşağıdaki hususların dikkate alınması gerekmektedir.</w:t>
      </w:r>
    </w:p>
    <w:p w:rsidR="00881DA9" w:rsidRDefault="00881DA9" w:rsidP="00881DA9">
      <w:pPr>
        <w:pStyle w:val="ListeParagraf"/>
        <w:numPr>
          <w:ilvl w:val="0"/>
          <w:numId w:val="34"/>
        </w:numPr>
        <w:spacing w:after="160" w:line="259" w:lineRule="auto"/>
      </w:pPr>
      <w:r>
        <w:t>Fiyat için serbest piyasa koşulları esas alınmaktadır.</w:t>
      </w:r>
    </w:p>
    <w:p w:rsidR="00881DA9" w:rsidRDefault="00881DA9" w:rsidP="00881DA9">
      <w:pPr>
        <w:pStyle w:val="ListeParagraf"/>
        <w:numPr>
          <w:ilvl w:val="0"/>
          <w:numId w:val="34"/>
        </w:numPr>
        <w:spacing w:after="160" w:line="259" w:lineRule="auto"/>
      </w:pPr>
      <w:r>
        <w:t>Şarj ağı işletmecileri fiyatlandırma bilgilerini basit, açık ve kolayca karşılaştırılabilir bir şekilde sunmalıdır.</w:t>
      </w:r>
    </w:p>
    <w:p w:rsidR="00881DA9" w:rsidRDefault="00881DA9" w:rsidP="00881DA9">
      <w:pPr>
        <w:pStyle w:val="ListeParagraf"/>
        <w:numPr>
          <w:ilvl w:val="0"/>
          <w:numId w:val="34"/>
        </w:numPr>
        <w:spacing w:after="160" w:line="259" w:lineRule="auto"/>
      </w:pPr>
      <w:r>
        <w:t>Şarj ağı işletmecisi, şarj ağında yer alan şarj istasyonlarında uygulanan şarj hizmeti fiyatlarını kendi internet sayfası, dijital mecralar ile şarj istasyonlarından da erişilebilecek şekilde eş zamanlı olarak ilan etmelidir.</w:t>
      </w:r>
    </w:p>
    <w:p w:rsidR="00881DA9" w:rsidRDefault="00881DA9" w:rsidP="00881DA9">
      <w:pPr>
        <w:pStyle w:val="ListeParagraf"/>
        <w:numPr>
          <w:ilvl w:val="0"/>
          <w:numId w:val="34"/>
        </w:numPr>
        <w:spacing w:after="160" w:line="259" w:lineRule="auto"/>
      </w:pPr>
      <w:r>
        <w:t>Tüm ödeme yöntemlerinde standartlaştırılmış birim enerji fiyatı (TL/kWh) fiyatlandırma biçimi olarak kullanılmalıdır.</w:t>
      </w:r>
    </w:p>
    <w:p w:rsidR="00881DA9" w:rsidRDefault="00881DA9" w:rsidP="00881DA9">
      <w:pPr>
        <w:pStyle w:val="ListeParagraf"/>
        <w:numPr>
          <w:ilvl w:val="0"/>
          <w:numId w:val="34"/>
        </w:numPr>
        <w:spacing w:after="160" w:line="259" w:lineRule="auto"/>
      </w:pPr>
      <w:r>
        <w:t>Farklı tip ve güçteki şarj üniteleri için farklı fiyat uygulanabilecektir.</w:t>
      </w:r>
    </w:p>
    <w:p w:rsidR="00881DA9" w:rsidRDefault="00881DA9" w:rsidP="00881DA9">
      <w:pPr>
        <w:pStyle w:val="ListeParagraf"/>
        <w:numPr>
          <w:ilvl w:val="0"/>
          <w:numId w:val="34"/>
        </w:numPr>
        <w:spacing w:after="160" w:line="259" w:lineRule="auto"/>
      </w:pPr>
      <w:r>
        <w:t>Uygulanan şarj hizmeti karşılığında, şarj hizmeti fiyatı esas alınarak hesaplanan bedel dışında bağlanma bedeli, işlem başlatma bedeli, şarj ekipmanı kullanımı bedeli gibi her ne ad altında olursa olsun ayrı bir bedel talep edilemeyecektir.</w:t>
      </w:r>
    </w:p>
    <w:p w:rsidR="00881DA9" w:rsidRDefault="00881DA9" w:rsidP="00881DA9">
      <w:pPr>
        <w:pStyle w:val="ListeParagraf"/>
        <w:numPr>
          <w:ilvl w:val="0"/>
          <w:numId w:val="34"/>
        </w:numPr>
        <w:spacing w:after="160" w:line="259" w:lineRule="auto"/>
      </w:pPr>
      <w:r>
        <w:t>Şarj ağı işletmecilerinin uygulayacağı şarj hizmeti fiyatı, sadakat sözleşmesi akdettiği kullanıcılara uyguladığı en düşük şarj hizmeti fiyatının %25 fazlasını aşamayacaktır.</w:t>
      </w:r>
    </w:p>
    <w:p w:rsidR="00881DA9" w:rsidRDefault="00881DA9" w:rsidP="00881DA9">
      <w:pPr>
        <w:pStyle w:val="ListeParagraf"/>
        <w:numPr>
          <w:ilvl w:val="0"/>
          <w:numId w:val="34"/>
        </w:numPr>
        <w:spacing w:after="160" w:line="259" w:lineRule="auto"/>
      </w:pPr>
      <w:r>
        <w:t>Şarj ağı işletmecisi tarafından sunulan rezervasyon hizmeti kapsamında kullanıcıdan ücret alınması halinde, bu ücret ilgili rezervasyon kapsamında kullanıcının şarj hizmetini almasından sonra iade edilir.</w:t>
      </w:r>
    </w:p>
    <w:p w:rsidR="00881DA9" w:rsidRDefault="00881DA9" w:rsidP="00881DA9">
      <w:pPr>
        <w:pStyle w:val="ListeParagraf"/>
        <w:numPr>
          <w:ilvl w:val="0"/>
          <w:numId w:val="34"/>
        </w:numPr>
        <w:spacing w:after="160" w:line="259" w:lineRule="auto"/>
      </w:pPr>
      <w:r>
        <w:t>Şarj ağı işletmecisi tarafından şarj hizmetinin tamamlandığına ilişkin kullanıcıya bilgi verilmesi şartıyla şarj istasyonundan ayrılmayan kullanıcılardan ilave bedel alınabilir.</w:t>
      </w:r>
    </w:p>
    <w:p w:rsidR="00881DA9" w:rsidRDefault="00881DA9" w:rsidP="00881DA9">
      <w:pPr>
        <w:ind w:firstLine="410"/>
      </w:pPr>
      <w:r>
        <w:t>Yukarıda yer verilen hususlar çerçevesinde şarj ağı işletmeci lisansı sahiplerinin, lisansları kapsamında yaptıkları piyasa faaliyetlerine ilişkin vermiş oldukları fiyat bildirimleri dikkate alınarak yurtiçi şarj hizmeti fiyatları Kurumumuzca düzenli olarak takip edilmekte ve incelenmektedir. Ülkemiz şarj hizmeti piyasasındaki fiyatlardaki gelişmeler diğer gelişmiş ülke piyasalarındaki fiyat hareketleri ile karşılaştırılmaktadır. Ayrıca Kurumumuz halka açık tüm şarj istasyonlarının fiyatlarının kullanıcılar tarafından görülebilmesi için Kurum tarafından Serbest Erişim Platformu hazırlanması çalışmaları devam etmektedir. Böylelikle; elektrikli araçların çevresel avantajları dışında, gelişmiş teknolojik özellikleri de dikkate alınarak, araçların özelliklerine de uygun olacak şekilde elektrikli araç kullanıcıları açısından fiyatların takibinin yapılabilmesi amaçlanmaktadır.</w:t>
      </w:r>
    </w:p>
    <w:p w:rsidR="00881DA9" w:rsidRDefault="00881DA9" w:rsidP="00881DA9">
      <w:pPr>
        <w:pStyle w:val="Balk3"/>
        <w:numPr>
          <w:ilvl w:val="2"/>
          <w:numId w:val="11"/>
        </w:numPr>
        <w:spacing w:before="0" w:after="240"/>
        <w:rPr>
          <w:rFonts w:asciiTheme="minorHAnsi" w:hAnsiTheme="minorHAnsi"/>
          <w:color w:val="000000" w:themeColor="text1"/>
        </w:rPr>
      </w:pPr>
      <w:bookmarkStart w:id="270" w:name="_Toc130290925"/>
      <w:bookmarkStart w:id="271" w:name="_Toc132713814"/>
      <w:r w:rsidRPr="00E9291A">
        <w:rPr>
          <w:rFonts w:asciiTheme="minorHAnsi" w:hAnsiTheme="minorHAnsi"/>
          <w:color w:val="000000" w:themeColor="text1"/>
        </w:rPr>
        <w:lastRenderedPageBreak/>
        <w:t>Lisans Bedelleri</w:t>
      </w:r>
      <w:bookmarkEnd w:id="270"/>
      <w:bookmarkEnd w:id="271"/>
    </w:p>
    <w:p w:rsidR="00881DA9" w:rsidRPr="00E6446B" w:rsidRDefault="00881DA9" w:rsidP="00881DA9">
      <w:pPr>
        <w:pStyle w:val="ListeParagraf"/>
        <w:numPr>
          <w:ilvl w:val="0"/>
          <w:numId w:val="77"/>
        </w:numPr>
        <w:spacing w:after="160" w:line="259" w:lineRule="auto"/>
        <w:rPr>
          <w:rFonts w:ascii="Calibri" w:hAnsi="Calibri" w:cs="Calibri"/>
          <w:color w:val="000000"/>
        </w:rPr>
      </w:pPr>
      <w:r w:rsidRPr="00E6446B">
        <w:rPr>
          <w:rFonts w:ascii="Calibri" w:hAnsi="Calibri" w:cs="Calibri"/>
          <w:color w:val="000000"/>
        </w:rPr>
        <w:t xml:space="preserve">02.04.2022 tarihli ve 31797 sayılı Resmî </w:t>
      </w:r>
      <w:r w:rsidR="00274939">
        <w:rPr>
          <w:rFonts w:ascii="Calibri" w:hAnsi="Calibri" w:cs="Calibri"/>
          <w:color w:val="000000"/>
        </w:rPr>
        <w:t>Gazetede</w:t>
      </w:r>
      <w:r w:rsidRPr="00E6446B">
        <w:rPr>
          <w:rFonts w:ascii="Calibri" w:hAnsi="Calibri" w:cs="Calibri"/>
          <w:color w:val="000000"/>
        </w:rPr>
        <w:t xml:space="preserve"> yayımlanan 31.03.2022 tarihli ve 10895 sayılı Kurul Kararı ile Şarj ağı işletmeci lisansına ilişkin 2022 yılında uygulanacak olan lisans alma, lisans tadili ve lisans sureti çıkartma bedelleri aşağıdaki şekilde belirlenmiştir:</w:t>
      </w:r>
    </w:p>
    <w:tbl>
      <w:tblPr>
        <w:tblpPr w:leftFromText="141" w:rightFromText="141" w:vertAnchor="text" w:horzAnchor="margin" w:tblpXSpec="center" w:tblpY="287"/>
        <w:tblW w:w="5927" w:type="dxa"/>
        <w:tblBorders>
          <w:top w:val="single" w:sz="48" w:space="0" w:color="EAE6D6"/>
          <w:bottom w:val="single" w:sz="48" w:space="0" w:color="EAE6D6"/>
        </w:tblBorders>
        <w:shd w:val="clear" w:color="auto" w:fill="F4F2E9"/>
        <w:tblCellMar>
          <w:top w:w="15" w:type="dxa"/>
          <w:left w:w="15" w:type="dxa"/>
          <w:bottom w:w="15" w:type="dxa"/>
          <w:right w:w="15" w:type="dxa"/>
        </w:tblCellMar>
        <w:tblLook w:val="04A0" w:firstRow="1" w:lastRow="0" w:firstColumn="1" w:lastColumn="0" w:noHBand="0" w:noVBand="1"/>
      </w:tblPr>
      <w:tblGrid>
        <w:gridCol w:w="4231"/>
        <w:gridCol w:w="1696"/>
      </w:tblGrid>
      <w:tr w:rsidR="00881DA9" w:rsidRPr="00A94A40" w:rsidTr="00FF24CA">
        <w:trPr>
          <w:trHeight w:val="165"/>
        </w:trPr>
        <w:tc>
          <w:tcPr>
            <w:tcW w:w="0" w:type="auto"/>
            <w:tcBorders>
              <w:top w:val="single" w:sz="12" w:space="0" w:color="EAE6D6"/>
              <w:left w:val="single" w:sz="12" w:space="0" w:color="EAE6D6"/>
              <w:bottom w:val="single" w:sz="12" w:space="0" w:color="EAE6D6"/>
              <w:right w:val="single" w:sz="12" w:space="0" w:color="EAE6D6"/>
            </w:tcBorders>
            <w:shd w:val="clear" w:color="auto" w:fill="F4F2E9"/>
            <w:tcMar>
              <w:top w:w="30" w:type="dxa"/>
              <w:left w:w="75" w:type="dxa"/>
              <w:bottom w:w="30" w:type="dxa"/>
              <w:right w:w="75" w:type="dxa"/>
            </w:tcMar>
            <w:vAlign w:val="center"/>
            <w:hideMark/>
          </w:tcPr>
          <w:p w:rsidR="00881DA9" w:rsidRPr="00A94A40" w:rsidRDefault="00881DA9" w:rsidP="00FF24CA">
            <w:pPr>
              <w:spacing w:after="0" w:line="240" w:lineRule="auto"/>
              <w:jc w:val="center"/>
              <w:rPr>
                <w:rFonts w:ascii="Arial" w:eastAsia="Times New Roman" w:hAnsi="Arial" w:cs="Arial"/>
                <w:color w:val="484848"/>
                <w:lang w:eastAsia="tr-TR"/>
              </w:rPr>
            </w:pPr>
            <w:r w:rsidRPr="00A94A40">
              <w:rPr>
                <w:rFonts w:ascii="Arial" w:eastAsia="Times New Roman" w:hAnsi="Arial" w:cs="Arial"/>
                <w:color w:val="484848"/>
                <w:lang w:eastAsia="tr-TR"/>
              </w:rPr>
              <w:t>Bedel Türü</w:t>
            </w:r>
          </w:p>
        </w:tc>
        <w:tc>
          <w:tcPr>
            <w:tcW w:w="0" w:type="auto"/>
            <w:tcBorders>
              <w:top w:val="single" w:sz="12" w:space="0" w:color="EAE6D6"/>
              <w:left w:val="single" w:sz="12" w:space="0" w:color="EAE6D6"/>
              <w:bottom w:val="single" w:sz="12" w:space="0" w:color="EAE6D6"/>
              <w:right w:val="single" w:sz="12" w:space="0" w:color="EAE6D6"/>
            </w:tcBorders>
            <w:shd w:val="clear" w:color="auto" w:fill="F4F2E9"/>
            <w:tcMar>
              <w:top w:w="30" w:type="dxa"/>
              <w:left w:w="75" w:type="dxa"/>
              <w:bottom w:w="30" w:type="dxa"/>
              <w:right w:w="75" w:type="dxa"/>
            </w:tcMar>
            <w:vAlign w:val="center"/>
            <w:hideMark/>
          </w:tcPr>
          <w:p w:rsidR="00881DA9" w:rsidRPr="00A94A40" w:rsidRDefault="00881DA9" w:rsidP="00FF24CA">
            <w:pPr>
              <w:spacing w:after="0" w:line="240" w:lineRule="auto"/>
              <w:jc w:val="center"/>
              <w:rPr>
                <w:rFonts w:ascii="Arial" w:eastAsia="Times New Roman" w:hAnsi="Arial" w:cs="Arial"/>
                <w:color w:val="484848"/>
                <w:lang w:eastAsia="tr-TR"/>
              </w:rPr>
            </w:pPr>
            <w:r w:rsidRPr="00A94A40">
              <w:rPr>
                <w:rFonts w:ascii="Arial" w:eastAsia="Times New Roman" w:hAnsi="Arial" w:cs="Arial"/>
                <w:color w:val="484848"/>
                <w:lang w:eastAsia="tr-TR"/>
              </w:rPr>
              <w:t>Bedel (TL)</w:t>
            </w:r>
          </w:p>
        </w:tc>
      </w:tr>
      <w:tr w:rsidR="00881DA9" w:rsidRPr="00A94A40" w:rsidTr="00FF24CA">
        <w:trPr>
          <w:trHeight w:val="165"/>
        </w:trPr>
        <w:tc>
          <w:tcPr>
            <w:tcW w:w="0" w:type="auto"/>
            <w:tcBorders>
              <w:top w:val="single" w:sz="12" w:space="0" w:color="EAE6D6"/>
              <w:left w:val="single" w:sz="12" w:space="0" w:color="EAE6D6"/>
              <w:bottom w:val="single" w:sz="12" w:space="0" w:color="EAE6D6"/>
              <w:right w:val="single" w:sz="12" w:space="0" w:color="EAE6D6"/>
            </w:tcBorders>
            <w:shd w:val="clear" w:color="auto" w:fill="F4F2E9"/>
            <w:tcMar>
              <w:top w:w="30" w:type="dxa"/>
              <w:left w:w="75" w:type="dxa"/>
              <w:bottom w:w="30" w:type="dxa"/>
              <w:right w:w="75" w:type="dxa"/>
            </w:tcMar>
            <w:vAlign w:val="center"/>
            <w:hideMark/>
          </w:tcPr>
          <w:p w:rsidR="00881DA9" w:rsidRPr="00A94A40" w:rsidRDefault="00881DA9" w:rsidP="00FF24CA">
            <w:pPr>
              <w:spacing w:after="0" w:line="240" w:lineRule="auto"/>
              <w:jc w:val="center"/>
              <w:rPr>
                <w:rFonts w:ascii="Arial" w:eastAsia="Times New Roman" w:hAnsi="Arial" w:cs="Arial"/>
                <w:color w:val="484848"/>
                <w:lang w:eastAsia="tr-TR"/>
              </w:rPr>
            </w:pPr>
            <w:r w:rsidRPr="00A94A40">
              <w:rPr>
                <w:rFonts w:ascii="Arial" w:eastAsia="Times New Roman" w:hAnsi="Arial" w:cs="Arial"/>
                <w:color w:val="484848"/>
                <w:lang w:eastAsia="tr-TR"/>
              </w:rPr>
              <w:t>Lisans alma bedeli</w:t>
            </w:r>
          </w:p>
        </w:tc>
        <w:tc>
          <w:tcPr>
            <w:tcW w:w="0" w:type="auto"/>
            <w:tcBorders>
              <w:top w:val="single" w:sz="12" w:space="0" w:color="EAE6D6"/>
              <w:left w:val="single" w:sz="12" w:space="0" w:color="EAE6D6"/>
              <w:bottom w:val="single" w:sz="12" w:space="0" w:color="EAE6D6"/>
              <w:right w:val="single" w:sz="12" w:space="0" w:color="EAE6D6"/>
            </w:tcBorders>
            <w:shd w:val="clear" w:color="auto" w:fill="F4F2E9"/>
            <w:tcMar>
              <w:top w:w="30" w:type="dxa"/>
              <w:left w:w="75" w:type="dxa"/>
              <w:bottom w:w="30" w:type="dxa"/>
              <w:right w:w="75" w:type="dxa"/>
            </w:tcMar>
            <w:vAlign w:val="center"/>
            <w:hideMark/>
          </w:tcPr>
          <w:p w:rsidR="00881DA9" w:rsidRPr="00A94A40" w:rsidRDefault="00881DA9" w:rsidP="00FF24CA">
            <w:pPr>
              <w:spacing w:after="0" w:line="240" w:lineRule="auto"/>
              <w:jc w:val="center"/>
              <w:rPr>
                <w:rFonts w:ascii="Arial" w:eastAsia="Times New Roman" w:hAnsi="Arial" w:cs="Arial"/>
                <w:color w:val="484848"/>
                <w:lang w:eastAsia="tr-TR"/>
              </w:rPr>
            </w:pPr>
            <w:r w:rsidRPr="00A94A40">
              <w:rPr>
                <w:rFonts w:ascii="Arial" w:eastAsia="Times New Roman" w:hAnsi="Arial" w:cs="Arial"/>
                <w:color w:val="484848"/>
                <w:lang w:eastAsia="tr-TR"/>
              </w:rPr>
              <w:t>300.000</w:t>
            </w:r>
          </w:p>
        </w:tc>
      </w:tr>
      <w:tr w:rsidR="00881DA9" w:rsidRPr="00A94A40" w:rsidTr="00FF24CA">
        <w:trPr>
          <w:trHeight w:val="165"/>
        </w:trPr>
        <w:tc>
          <w:tcPr>
            <w:tcW w:w="0" w:type="auto"/>
            <w:tcBorders>
              <w:top w:val="single" w:sz="12" w:space="0" w:color="EAE6D6"/>
              <w:left w:val="single" w:sz="12" w:space="0" w:color="EAE6D6"/>
              <w:bottom w:val="single" w:sz="12" w:space="0" w:color="EAE6D6"/>
              <w:right w:val="single" w:sz="12" w:space="0" w:color="EAE6D6"/>
            </w:tcBorders>
            <w:shd w:val="clear" w:color="auto" w:fill="F4F2E9"/>
            <w:tcMar>
              <w:top w:w="30" w:type="dxa"/>
              <w:left w:w="75" w:type="dxa"/>
              <w:bottom w:w="30" w:type="dxa"/>
              <w:right w:w="75" w:type="dxa"/>
            </w:tcMar>
            <w:vAlign w:val="center"/>
            <w:hideMark/>
          </w:tcPr>
          <w:p w:rsidR="00881DA9" w:rsidRPr="00A94A40" w:rsidRDefault="00881DA9" w:rsidP="00FF24CA">
            <w:pPr>
              <w:spacing w:after="0" w:line="240" w:lineRule="auto"/>
              <w:jc w:val="center"/>
              <w:rPr>
                <w:rFonts w:ascii="Arial" w:eastAsia="Times New Roman" w:hAnsi="Arial" w:cs="Arial"/>
                <w:color w:val="484848"/>
                <w:lang w:eastAsia="tr-TR"/>
              </w:rPr>
            </w:pPr>
            <w:r w:rsidRPr="00A94A40">
              <w:rPr>
                <w:rFonts w:ascii="Arial" w:eastAsia="Times New Roman" w:hAnsi="Arial" w:cs="Arial"/>
                <w:color w:val="484848"/>
                <w:lang w:eastAsia="tr-TR"/>
              </w:rPr>
              <w:t>Lisans tadili bedeli</w:t>
            </w:r>
          </w:p>
        </w:tc>
        <w:tc>
          <w:tcPr>
            <w:tcW w:w="0" w:type="auto"/>
            <w:tcBorders>
              <w:top w:val="single" w:sz="12" w:space="0" w:color="EAE6D6"/>
              <w:left w:val="single" w:sz="12" w:space="0" w:color="EAE6D6"/>
              <w:bottom w:val="single" w:sz="12" w:space="0" w:color="EAE6D6"/>
              <w:right w:val="single" w:sz="12" w:space="0" w:color="EAE6D6"/>
            </w:tcBorders>
            <w:shd w:val="clear" w:color="auto" w:fill="F4F2E9"/>
            <w:tcMar>
              <w:top w:w="30" w:type="dxa"/>
              <w:left w:w="75" w:type="dxa"/>
              <w:bottom w:w="30" w:type="dxa"/>
              <w:right w:w="75" w:type="dxa"/>
            </w:tcMar>
            <w:vAlign w:val="center"/>
            <w:hideMark/>
          </w:tcPr>
          <w:p w:rsidR="00881DA9" w:rsidRPr="00A94A40" w:rsidRDefault="00881DA9" w:rsidP="00FF24CA">
            <w:pPr>
              <w:spacing w:after="0" w:line="240" w:lineRule="auto"/>
              <w:jc w:val="center"/>
              <w:rPr>
                <w:rFonts w:ascii="Arial" w:eastAsia="Times New Roman" w:hAnsi="Arial" w:cs="Arial"/>
                <w:color w:val="484848"/>
                <w:lang w:eastAsia="tr-TR"/>
              </w:rPr>
            </w:pPr>
            <w:r w:rsidRPr="00A94A40">
              <w:rPr>
                <w:rFonts w:ascii="Arial" w:eastAsia="Times New Roman" w:hAnsi="Arial" w:cs="Arial"/>
                <w:color w:val="484848"/>
                <w:lang w:eastAsia="tr-TR"/>
              </w:rPr>
              <w:t>14.000</w:t>
            </w:r>
          </w:p>
        </w:tc>
      </w:tr>
      <w:tr w:rsidR="00881DA9" w:rsidRPr="00A94A40" w:rsidTr="00FF24CA">
        <w:trPr>
          <w:trHeight w:val="165"/>
        </w:trPr>
        <w:tc>
          <w:tcPr>
            <w:tcW w:w="0" w:type="auto"/>
            <w:tcBorders>
              <w:top w:val="single" w:sz="12" w:space="0" w:color="EAE6D6"/>
              <w:left w:val="single" w:sz="12" w:space="0" w:color="EAE6D6"/>
              <w:bottom w:val="single" w:sz="12" w:space="0" w:color="EAE6D6"/>
              <w:right w:val="single" w:sz="12" w:space="0" w:color="EAE6D6"/>
            </w:tcBorders>
            <w:shd w:val="clear" w:color="auto" w:fill="F4F2E9"/>
            <w:tcMar>
              <w:top w:w="30" w:type="dxa"/>
              <w:left w:w="75" w:type="dxa"/>
              <w:bottom w:w="30" w:type="dxa"/>
              <w:right w:w="75" w:type="dxa"/>
            </w:tcMar>
            <w:vAlign w:val="center"/>
            <w:hideMark/>
          </w:tcPr>
          <w:p w:rsidR="00881DA9" w:rsidRPr="00A94A40" w:rsidRDefault="00881DA9" w:rsidP="00FF24CA">
            <w:pPr>
              <w:spacing w:after="0" w:line="240" w:lineRule="auto"/>
              <w:jc w:val="center"/>
              <w:rPr>
                <w:rFonts w:ascii="Arial" w:eastAsia="Times New Roman" w:hAnsi="Arial" w:cs="Arial"/>
                <w:color w:val="484848"/>
                <w:lang w:eastAsia="tr-TR"/>
              </w:rPr>
            </w:pPr>
            <w:r w:rsidRPr="00A94A40">
              <w:rPr>
                <w:rFonts w:ascii="Arial" w:eastAsia="Times New Roman" w:hAnsi="Arial" w:cs="Arial"/>
                <w:color w:val="484848"/>
                <w:lang w:eastAsia="tr-TR"/>
              </w:rPr>
              <w:t>Lisans sureti çıkartma bedeli</w:t>
            </w:r>
          </w:p>
        </w:tc>
        <w:tc>
          <w:tcPr>
            <w:tcW w:w="0" w:type="auto"/>
            <w:tcBorders>
              <w:top w:val="single" w:sz="12" w:space="0" w:color="EAE6D6"/>
              <w:left w:val="single" w:sz="12" w:space="0" w:color="EAE6D6"/>
              <w:bottom w:val="single" w:sz="12" w:space="0" w:color="EAE6D6"/>
              <w:right w:val="single" w:sz="12" w:space="0" w:color="EAE6D6"/>
            </w:tcBorders>
            <w:shd w:val="clear" w:color="auto" w:fill="F4F2E9"/>
            <w:tcMar>
              <w:top w:w="30" w:type="dxa"/>
              <w:left w:w="75" w:type="dxa"/>
              <w:bottom w:w="30" w:type="dxa"/>
              <w:right w:w="75" w:type="dxa"/>
            </w:tcMar>
            <w:vAlign w:val="center"/>
            <w:hideMark/>
          </w:tcPr>
          <w:p w:rsidR="00881DA9" w:rsidRPr="00A94A40" w:rsidRDefault="00881DA9" w:rsidP="00FF24CA">
            <w:pPr>
              <w:spacing w:after="0" w:line="240" w:lineRule="auto"/>
              <w:jc w:val="center"/>
              <w:rPr>
                <w:rFonts w:ascii="Arial" w:eastAsia="Times New Roman" w:hAnsi="Arial" w:cs="Arial"/>
                <w:color w:val="484848"/>
                <w:lang w:eastAsia="tr-TR"/>
              </w:rPr>
            </w:pPr>
            <w:r w:rsidRPr="00A94A40">
              <w:rPr>
                <w:rFonts w:ascii="Arial" w:eastAsia="Times New Roman" w:hAnsi="Arial" w:cs="Arial"/>
                <w:color w:val="484848"/>
                <w:lang w:eastAsia="tr-TR"/>
              </w:rPr>
              <w:t>3.000</w:t>
            </w:r>
          </w:p>
        </w:tc>
      </w:tr>
    </w:tbl>
    <w:p w:rsidR="00881DA9" w:rsidRPr="005C53A8" w:rsidRDefault="00881DA9" w:rsidP="00881DA9">
      <w:pPr>
        <w:pStyle w:val="ListeParagraf"/>
        <w:rPr>
          <w:rFonts w:ascii="Calibri" w:hAnsi="Calibri" w:cs="Calibri"/>
          <w:color w:val="000000"/>
        </w:rPr>
      </w:pPr>
    </w:p>
    <w:p w:rsidR="00881DA9" w:rsidRDefault="00881DA9" w:rsidP="00881DA9">
      <w:pPr>
        <w:pStyle w:val="ListeParagraf"/>
        <w:rPr>
          <w:rFonts w:ascii="Calibri" w:hAnsi="Calibri" w:cs="Calibri"/>
          <w:color w:val="000000"/>
        </w:rPr>
      </w:pPr>
    </w:p>
    <w:p w:rsidR="00881DA9" w:rsidRPr="005C53A8" w:rsidRDefault="00881DA9" w:rsidP="00881DA9"/>
    <w:p w:rsidR="00881DA9" w:rsidRPr="00E6446B" w:rsidRDefault="00881DA9" w:rsidP="00881DA9"/>
    <w:p w:rsidR="00881DA9" w:rsidRDefault="00881DA9" w:rsidP="00881DA9"/>
    <w:p w:rsidR="00881DA9" w:rsidRPr="007B2696" w:rsidRDefault="00881DA9" w:rsidP="00881DA9">
      <w:pPr>
        <w:spacing w:after="240"/>
      </w:pPr>
      <w:r>
        <w:t xml:space="preserve">17.12.2022 tarihli ve 32046 sayılı </w:t>
      </w:r>
      <w:r w:rsidR="00DC783D">
        <w:t>Resmî</w:t>
      </w:r>
      <w:r>
        <w:t xml:space="preserve"> </w:t>
      </w:r>
      <w:r w:rsidR="00274939">
        <w:t>Gazetede</w:t>
      </w:r>
      <w:r>
        <w:t xml:space="preserve"> yayımlanan 15.12.2022 tarihli ve 11459 sayılı Kurul Kararı ile 4628 sayılı Enerji Piyasası Düzenleme Kurumunun Teşkilat ve Görevleri Hakkında Kanununun 5 inci maddesinin yedinci fıkrasının (i) bendi ve 6446 sayılı Elektrik Piyasası Kanunun Ek Madde 5  inci maddesinin dördüncü fıkrasının (a) bendi ile Şarj Hizmeti Yönetmeliğinin 11 inci maddesi uyarınca 2023 yılında  uygulanacak olan “Şarj Ağı İşletmeci Lisansına” ilişkin lisans alma, lisans tadili ve lisans sureti çıkartma bedelleri belirlenmiştir.</w:t>
      </w:r>
    </w:p>
    <w:p w:rsidR="002C3099" w:rsidRPr="00E9291A" w:rsidRDefault="002C3099" w:rsidP="000A5A56">
      <w:pPr>
        <w:pStyle w:val="Balk2"/>
        <w:numPr>
          <w:ilvl w:val="1"/>
          <w:numId w:val="11"/>
        </w:numPr>
        <w:tabs>
          <w:tab w:val="left" w:pos="7200"/>
        </w:tabs>
        <w:spacing w:after="240"/>
        <w:rPr>
          <w:rFonts w:asciiTheme="minorHAnsi" w:hAnsiTheme="minorHAnsi"/>
          <w:color w:val="auto"/>
          <w:sz w:val="22"/>
          <w:szCs w:val="22"/>
        </w:rPr>
      </w:pPr>
      <w:bookmarkStart w:id="272" w:name="_Toc66267384"/>
      <w:bookmarkStart w:id="273" w:name="_Toc132713815"/>
      <w:r w:rsidRPr="00E9291A">
        <w:rPr>
          <w:rFonts w:asciiTheme="minorHAnsi" w:hAnsiTheme="minorHAnsi"/>
          <w:color w:val="auto"/>
          <w:sz w:val="22"/>
          <w:szCs w:val="22"/>
        </w:rPr>
        <w:t>Doğal Gaz Piyasası Tarifeleri</w:t>
      </w:r>
      <w:bookmarkEnd w:id="272"/>
      <w:bookmarkEnd w:id="273"/>
      <w:r w:rsidRPr="00E9291A">
        <w:rPr>
          <w:rFonts w:asciiTheme="minorHAnsi" w:hAnsiTheme="minorHAnsi"/>
          <w:color w:val="auto"/>
          <w:sz w:val="22"/>
          <w:szCs w:val="22"/>
        </w:rPr>
        <w:tab/>
      </w:r>
    </w:p>
    <w:p w:rsidR="002C3099" w:rsidRPr="00E9291A" w:rsidRDefault="002C3099" w:rsidP="002C3099">
      <w:pPr>
        <w:spacing w:after="240"/>
      </w:pPr>
      <w:r w:rsidRPr="00E9291A">
        <w:t xml:space="preserve">Doğal gaz piyasası tarifelerine ilişkin düzenlemeler, 4646 sayılı Doğal Gaz Piyasası Kanunu ve bu Kanuna dayanılarak hazırlanan Doğal Gaz Piyasası Tarifeler Yönetmeliği kapsamında yapılmaktadır. </w:t>
      </w:r>
    </w:p>
    <w:p w:rsidR="002C3099" w:rsidRPr="00FA1354" w:rsidRDefault="002C3099" w:rsidP="000A5A56">
      <w:pPr>
        <w:pStyle w:val="Balk3"/>
        <w:numPr>
          <w:ilvl w:val="2"/>
          <w:numId w:val="11"/>
        </w:numPr>
        <w:spacing w:before="0" w:after="240" w:line="240" w:lineRule="auto"/>
        <w:rPr>
          <w:rFonts w:asciiTheme="minorHAnsi" w:hAnsiTheme="minorHAnsi"/>
          <w:color w:val="000000" w:themeColor="text1"/>
        </w:rPr>
      </w:pPr>
      <w:bookmarkStart w:id="274" w:name="_Toc66267385"/>
      <w:bookmarkStart w:id="275" w:name="_Toc132713816"/>
      <w:r w:rsidRPr="00FA1354">
        <w:rPr>
          <w:rFonts w:asciiTheme="minorHAnsi" w:hAnsiTheme="minorHAnsi"/>
          <w:color w:val="000000" w:themeColor="text1"/>
        </w:rPr>
        <w:t>İletim ve Sevkiyat Kontrol Tarifeleri</w:t>
      </w:r>
      <w:bookmarkEnd w:id="274"/>
      <w:bookmarkEnd w:id="275"/>
    </w:p>
    <w:p w:rsidR="005A2C27" w:rsidRPr="00E636B7" w:rsidRDefault="005A2C27" w:rsidP="005A2C27">
      <w:pPr>
        <w:spacing w:after="0"/>
        <w:rPr>
          <w:rStyle w:val="Gl"/>
          <w:b w:val="0"/>
          <w:bCs w:val="0"/>
          <w:color w:val="000000" w:themeColor="text1"/>
        </w:rPr>
      </w:pPr>
      <w:r w:rsidRPr="00FA1354">
        <w:t xml:space="preserve">03.10.2013 tarihli ve 4638-1 sayılı Kurul Kararı ile kabul edilen </w:t>
      </w:r>
      <w:r w:rsidRPr="00FA1354">
        <w:rPr>
          <w:i/>
        </w:rPr>
        <w:t>“Doğal Gaz İletim Lisansı Sahibi Şirketlerin Tarifelerine Esas Gelir Tavanlarının Belirlenmesine İlişkin Usul Ve Esaslar”</w:t>
      </w:r>
      <w:r w:rsidRPr="00FA1354">
        <w:t xml:space="preserve"> çerçevesinde </w:t>
      </w:r>
      <w:r w:rsidRPr="00FA1354">
        <w:rPr>
          <w:bCs/>
          <w:color w:val="000000" w:themeColor="text1"/>
        </w:rPr>
        <w:t>BOTAŞ’ın 202</w:t>
      </w:r>
      <w:r>
        <w:rPr>
          <w:bCs/>
          <w:color w:val="000000" w:themeColor="text1"/>
        </w:rPr>
        <w:t>3</w:t>
      </w:r>
      <w:r w:rsidRPr="00FA1354">
        <w:rPr>
          <w:bCs/>
          <w:color w:val="000000" w:themeColor="text1"/>
        </w:rPr>
        <w:t xml:space="preserve"> yılı iletim ve sevkiyat kontrol bedellerinin belirlenmesine yönelik </w:t>
      </w:r>
      <w:r>
        <w:rPr>
          <w:bCs/>
          <w:color w:val="000000" w:themeColor="text1"/>
        </w:rPr>
        <w:t>29</w:t>
      </w:r>
      <w:r w:rsidRPr="00FA1354">
        <w:rPr>
          <w:color w:val="000000" w:themeColor="text1"/>
        </w:rPr>
        <w:t>.</w:t>
      </w:r>
      <w:r>
        <w:rPr>
          <w:color w:val="000000" w:themeColor="text1"/>
        </w:rPr>
        <w:t>12</w:t>
      </w:r>
      <w:r w:rsidRPr="00FA1354">
        <w:rPr>
          <w:color w:val="000000" w:themeColor="text1"/>
        </w:rPr>
        <w:t>.202</w:t>
      </w:r>
      <w:r>
        <w:rPr>
          <w:color w:val="000000" w:themeColor="text1"/>
        </w:rPr>
        <w:t>2</w:t>
      </w:r>
      <w:r w:rsidRPr="00FA1354">
        <w:rPr>
          <w:color w:val="000000" w:themeColor="text1"/>
        </w:rPr>
        <w:t xml:space="preserve"> tarihli ve 1</w:t>
      </w:r>
      <w:r>
        <w:rPr>
          <w:color w:val="000000" w:themeColor="text1"/>
        </w:rPr>
        <w:t>1523</w:t>
      </w:r>
      <w:r w:rsidRPr="00FA1354">
        <w:rPr>
          <w:color w:val="000000" w:themeColor="text1"/>
        </w:rPr>
        <w:t xml:space="preserve"> sayılı Kurul Kararı, </w:t>
      </w:r>
      <w:r>
        <w:rPr>
          <w:color w:val="000000" w:themeColor="text1"/>
        </w:rPr>
        <w:t>30</w:t>
      </w:r>
      <w:r w:rsidRPr="00FA1354">
        <w:rPr>
          <w:color w:val="000000" w:themeColor="text1"/>
        </w:rPr>
        <w:t>.</w:t>
      </w:r>
      <w:r>
        <w:rPr>
          <w:color w:val="000000" w:themeColor="text1"/>
        </w:rPr>
        <w:t>12</w:t>
      </w:r>
      <w:r w:rsidRPr="00FA1354">
        <w:rPr>
          <w:color w:val="000000" w:themeColor="text1"/>
        </w:rPr>
        <w:t>.202</w:t>
      </w:r>
      <w:r>
        <w:rPr>
          <w:color w:val="000000" w:themeColor="text1"/>
        </w:rPr>
        <w:t>2</w:t>
      </w:r>
      <w:r w:rsidRPr="00FA1354">
        <w:rPr>
          <w:color w:val="000000" w:themeColor="text1"/>
        </w:rPr>
        <w:t xml:space="preserve"> tarihli ve 3</w:t>
      </w:r>
      <w:r>
        <w:rPr>
          <w:color w:val="000000" w:themeColor="text1"/>
        </w:rPr>
        <w:t>2059</w:t>
      </w:r>
      <w:r w:rsidRPr="00FA1354">
        <w:rPr>
          <w:color w:val="000000" w:themeColor="text1"/>
        </w:rPr>
        <w:t xml:space="preserve"> sayılı Resmî </w:t>
      </w:r>
      <w:r w:rsidR="00274939">
        <w:rPr>
          <w:color w:val="000000" w:themeColor="text1"/>
        </w:rPr>
        <w:t>Gazetede</w:t>
      </w:r>
      <w:r w:rsidRPr="00FA1354">
        <w:rPr>
          <w:color w:val="000000" w:themeColor="text1"/>
        </w:rPr>
        <w:t xml:space="preserve"> yayımlanmış ve 01.01.202</w:t>
      </w:r>
      <w:r>
        <w:rPr>
          <w:color w:val="000000" w:themeColor="text1"/>
        </w:rPr>
        <w:t>3</w:t>
      </w:r>
      <w:r w:rsidRPr="00FA1354">
        <w:rPr>
          <w:color w:val="000000" w:themeColor="text1"/>
        </w:rPr>
        <w:t xml:space="preserve"> tarihi itibar</w:t>
      </w:r>
      <w:r>
        <w:rPr>
          <w:color w:val="000000" w:themeColor="text1"/>
        </w:rPr>
        <w:t>ı</w:t>
      </w:r>
      <w:r w:rsidRPr="00FA1354">
        <w:rPr>
          <w:color w:val="000000" w:themeColor="text1"/>
        </w:rPr>
        <w:t>yl</w:t>
      </w:r>
      <w:r>
        <w:rPr>
          <w:color w:val="000000" w:themeColor="text1"/>
        </w:rPr>
        <w:t>a</w:t>
      </w:r>
      <w:r w:rsidRPr="00FA1354">
        <w:rPr>
          <w:color w:val="000000" w:themeColor="text1"/>
        </w:rPr>
        <w:t xml:space="preserve"> yürürlüğe girmiştir. Söz konusu Kararla belirlenen iletim kapasite bedeli üst sınırları Tablo 4.</w:t>
      </w:r>
      <w:r>
        <w:rPr>
          <w:color w:val="000000" w:themeColor="text1"/>
        </w:rPr>
        <w:t>1</w:t>
      </w:r>
      <w:r w:rsidR="00181C6C">
        <w:rPr>
          <w:color w:val="000000" w:themeColor="text1"/>
        </w:rPr>
        <w:t>8</w:t>
      </w:r>
      <w:r w:rsidRPr="00FA1354">
        <w:rPr>
          <w:color w:val="000000" w:themeColor="text1"/>
        </w:rPr>
        <w:t>’da gösterilmektedir.</w:t>
      </w:r>
    </w:p>
    <w:p w:rsidR="002C3099" w:rsidRPr="00FD7557" w:rsidRDefault="002C3099" w:rsidP="002C3099">
      <w:pPr>
        <w:pStyle w:val="Balk5"/>
        <w:jc w:val="center"/>
        <w:rPr>
          <w:rStyle w:val="Gl"/>
          <w:color w:val="000000" w:themeColor="text1"/>
        </w:rPr>
      </w:pPr>
      <w:bookmarkStart w:id="276" w:name="_Toc66267485"/>
      <w:bookmarkStart w:id="277" w:name="_Toc132713921"/>
      <w:r w:rsidRPr="00FA1354">
        <w:rPr>
          <w:rStyle w:val="Gl"/>
          <w:color w:val="000000" w:themeColor="text1"/>
        </w:rPr>
        <w:t xml:space="preserve">Tablo </w:t>
      </w:r>
      <w:r w:rsidR="00E00625" w:rsidRPr="00FA1354">
        <w:rPr>
          <w:rStyle w:val="Gl"/>
          <w:color w:val="000000" w:themeColor="text1"/>
        </w:rPr>
        <w:t>4.</w:t>
      </w:r>
      <w:r w:rsidR="00F12D15" w:rsidRPr="00FA1354">
        <w:rPr>
          <w:rStyle w:val="Gl"/>
          <w:color w:val="000000" w:themeColor="text1"/>
        </w:rPr>
        <w:t>1</w:t>
      </w:r>
      <w:r w:rsidR="00181C6C">
        <w:rPr>
          <w:rStyle w:val="Gl"/>
          <w:color w:val="000000" w:themeColor="text1"/>
        </w:rPr>
        <w:t>8</w:t>
      </w:r>
      <w:r w:rsidR="00E00625" w:rsidRPr="00FA1354">
        <w:rPr>
          <w:rStyle w:val="Gl"/>
          <w:color w:val="000000" w:themeColor="text1"/>
        </w:rPr>
        <w:t>: İletim</w:t>
      </w:r>
      <w:r w:rsidRPr="00FA1354">
        <w:rPr>
          <w:rStyle w:val="Gl"/>
          <w:color w:val="000000" w:themeColor="text1"/>
        </w:rPr>
        <w:t xml:space="preserve"> Kapasite Bedeli Üst Sınırları</w:t>
      </w:r>
      <w:bookmarkEnd w:id="276"/>
      <w:bookmarkEnd w:id="277"/>
    </w:p>
    <w:tbl>
      <w:tblPr>
        <w:tblW w:w="8595"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5069"/>
        <w:gridCol w:w="1640"/>
        <w:gridCol w:w="1886"/>
      </w:tblGrid>
      <w:tr w:rsidR="002C3099" w:rsidRPr="00927660" w:rsidTr="002C3099">
        <w:trPr>
          <w:trHeight w:val="20"/>
          <w:jc w:val="center"/>
        </w:trPr>
        <w:tc>
          <w:tcPr>
            <w:tcW w:w="5069" w:type="dxa"/>
            <w:shd w:val="clear" w:color="auto" w:fill="6E9ECA"/>
            <w:vAlign w:val="center"/>
            <w:hideMark/>
          </w:tcPr>
          <w:p w:rsidR="002C3099" w:rsidRPr="00374AD6" w:rsidRDefault="002C3099" w:rsidP="00DC690D">
            <w:pPr>
              <w:spacing w:after="0"/>
              <w:jc w:val="left"/>
              <w:rPr>
                <w:b/>
                <w:bCs/>
                <w:color w:val="FFFFFF" w:themeColor="background1"/>
              </w:rPr>
            </w:pPr>
            <w:r w:rsidRPr="00374AD6">
              <w:rPr>
                <w:b/>
                <w:bCs/>
                <w:color w:val="FFFFFF" w:themeColor="background1"/>
              </w:rPr>
              <w:t>Noktalar</w:t>
            </w:r>
          </w:p>
        </w:tc>
        <w:tc>
          <w:tcPr>
            <w:tcW w:w="1640" w:type="dxa"/>
            <w:shd w:val="clear" w:color="auto" w:fill="6E9ECA"/>
            <w:vAlign w:val="center"/>
            <w:hideMark/>
          </w:tcPr>
          <w:p w:rsidR="002C3099" w:rsidRPr="00374AD6" w:rsidRDefault="002C3099" w:rsidP="002C3099">
            <w:pPr>
              <w:spacing w:after="0"/>
              <w:jc w:val="center"/>
              <w:rPr>
                <w:b/>
                <w:bCs/>
                <w:color w:val="FFFFFF" w:themeColor="background1"/>
              </w:rPr>
            </w:pPr>
            <w:r w:rsidRPr="00374AD6">
              <w:rPr>
                <w:b/>
                <w:bCs/>
                <w:color w:val="FFFFFF" w:themeColor="background1"/>
              </w:rPr>
              <w:t>(TL/Sm</w:t>
            </w:r>
            <w:r w:rsidRPr="00374AD6">
              <w:rPr>
                <w:b/>
                <w:bCs/>
                <w:color w:val="FFFFFF" w:themeColor="background1"/>
                <w:vertAlign w:val="superscript"/>
              </w:rPr>
              <w:t>3</w:t>
            </w:r>
            <w:r w:rsidRPr="00374AD6">
              <w:rPr>
                <w:b/>
                <w:bCs/>
                <w:color w:val="FFFFFF" w:themeColor="background1"/>
              </w:rPr>
              <w:t>-Gün)</w:t>
            </w:r>
          </w:p>
        </w:tc>
        <w:tc>
          <w:tcPr>
            <w:tcW w:w="1886" w:type="dxa"/>
            <w:shd w:val="clear" w:color="auto" w:fill="6E9ECA"/>
            <w:vAlign w:val="center"/>
            <w:hideMark/>
          </w:tcPr>
          <w:p w:rsidR="002C3099" w:rsidRPr="00374AD6" w:rsidRDefault="002C3099" w:rsidP="002C3099">
            <w:pPr>
              <w:spacing w:after="0"/>
              <w:jc w:val="center"/>
              <w:rPr>
                <w:b/>
                <w:bCs/>
                <w:color w:val="FFFFFF" w:themeColor="background1"/>
              </w:rPr>
            </w:pPr>
            <w:r w:rsidRPr="00374AD6">
              <w:rPr>
                <w:b/>
                <w:bCs/>
                <w:color w:val="FFFFFF" w:themeColor="background1"/>
              </w:rPr>
              <w:t>(TL/kWh-Gün)</w:t>
            </w:r>
          </w:p>
        </w:tc>
      </w:tr>
      <w:tr w:rsidR="00181C6C" w:rsidRPr="00927660" w:rsidTr="008D128D">
        <w:trPr>
          <w:trHeight w:val="20"/>
          <w:jc w:val="center"/>
        </w:trPr>
        <w:tc>
          <w:tcPr>
            <w:tcW w:w="5069" w:type="dxa"/>
            <w:shd w:val="clear" w:color="auto" w:fill="auto"/>
            <w:noWrap/>
            <w:vAlign w:val="center"/>
            <w:hideMark/>
          </w:tcPr>
          <w:p w:rsidR="00181C6C" w:rsidRPr="00374AD6" w:rsidRDefault="00181C6C" w:rsidP="00181C6C">
            <w:pPr>
              <w:spacing w:after="0"/>
              <w:rPr>
                <w:color w:val="000000" w:themeColor="text1"/>
              </w:rPr>
            </w:pPr>
            <w:r w:rsidRPr="00374AD6">
              <w:rPr>
                <w:color w:val="000000" w:themeColor="text1"/>
              </w:rPr>
              <w:t>Giriş Noktaları</w:t>
            </w:r>
          </w:p>
        </w:tc>
        <w:tc>
          <w:tcPr>
            <w:tcW w:w="1640" w:type="dxa"/>
            <w:shd w:val="clear" w:color="auto" w:fill="auto"/>
            <w:noWrap/>
            <w:hideMark/>
          </w:tcPr>
          <w:p w:rsidR="00181C6C" w:rsidRPr="00374AD6" w:rsidRDefault="00181C6C" w:rsidP="00181C6C">
            <w:pPr>
              <w:spacing w:after="0"/>
              <w:jc w:val="center"/>
              <w:rPr>
                <w:color w:val="000000" w:themeColor="text1"/>
              </w:rPr>
            </w:pPr>
            <w:r w:rsidRPr="00553CD9">
              <w:t>0,00</w:t>
            </w:r>
            <w:r>
              <w:t>3897</w:t>
            </w:r>
          </w:p>
        </w:tc>
        <w:tc>
          <w:tcPr>
            <w:tcW w:w="1886" w:type="dxa"/>
            <w:shd w:val="clear" w:color="auto" w:fill="auto"/>
            <w:noWrap/>
            <w:hideMark/>
          </w:tcPr>
          <w:p w:rsidR="00181C6C" w:rsidRPr="00374AD6" w:rsidRDefault="00181C6C" w:rsidP="00181C6C">
            <w:pPr>
              <w:spacing w:after="0"/>
              <w:jc w:val="center"/>
              <w:rPr>
                <w:color w:val="000000" w:themeColor="text1"/>
              </w:rPr>
            </w:pPr>
            <w:r w:rsidRPr="00553CD9">
              <w:t>0,000</w:t>
            </w:r>
            <w:r>
              <w:t>36626</w:t>
            </w:r>
          </w:p>
        </w:tc>
      </w:tr>
      <w:tr w:rsidR="00181C6C" w:rsidRPr="00927660" w:rsidTr="008D128D">
        <w:trPr>
          <w:trHeight w:val="20"/>
          <w:jc w:val="center"/>
        </w:trPr>
        <w:tc>
          <w:tcPr>
            <w:tcW w:w="5069" w:type="dxa"/>
            <w:shd w:val="clear" w:color="auto" w:fill="auto"/>
            <w:noWrap/>
            <w:vAlign w:val="center"/>
          </w:tcPr>
          <w:p w:rsidR="00181C6C" w:rsidRPr="00374AD6" w:rsidRDefault="00181C6C" w:rsidP="00181C6C">
            <w:pPr>
              <w:spacing w:after="0"/>
              <w:rPr>
                <w:color w:val="000000" w:themeColor="text1"/>
              </w:rPr>
            </w:pPr>
            <w:r w:rsidRPr="00374AD6">
              <w:rPr>
                <w:color w:val="000000" w:themeColor="text1"/>
              </w:rPr>
              <w:t>Çıkış Noktası</w:t>
            </w:r>
          </w:p>
        </w:tc>
        <w:tc>
          <w:tcPr>
            <w:tcW w:w="1640" w:type="dxa"/>
            <w:shd w:val="clear" w:color="auto" w:fill="auto"/>
            <w:noWrap/>
          </w:tcPr>
          <w:p w:rsidR="00181C6C" w:rsidRPr="00374AD6" w:rsidRDefault="00181C6C" w:rsidP="00181C6C">
            <w:pPr>
              <w:spacing w:after="0"/>
              <w:jc w:val="center"/>
              <w:rPr>
                <w:color w:val="000000" w:themeColor="text1"/>
              </w:rPr>
            </w:pPr>
            <w:r w:rsidRPr="00553CD9">
              <w:t>0,0</w:t>
            </w:r>
            <w:r>
              <w:t>93650</w:t>
            </w:r>
          </w:p>
        </w:tc>
        <w:tc>
          <w:tcPr>
            <w:tcW w:w="1886" w:type="dxa"/>
            <w:shd w:val="clear" w:color="auto" w:fill="auto"/>
            <w:noWrap/>
          </w:tcPr>
          <w:p w:rsidR="00181C6C" w:rsidRPr="00374AD6" w:rsidRDefault="00181C6C" w:rsidP="00181C6C">
            <w:pPr>
              <w:spacing w:after="0"/>
              <w:jc w:val="center"/>
              <w:rPr>
                <w:color w:val="000000" w:themeColor="text1"/>
              </w:rPr>
            </w:pPr>
            <w:r w:rsidRPr="00553CD9">
              <w:t>0,00</w:t>
            </w:r>
            <w:r>
              <w:t>880169</w:t>
            </w:r>
          </w:p>
        </w:tc>
      </w:tr>
      <w:tr w:rsidR="00181C6C" w:rsidRPr="00927660" w:rsidTr="008D128D">
        <w:trPr>
          <w:trHeight w:val="20"/>
          <w:jc w:val="center"/>
        </w:trPr>
        <w:tc>
          <w:tcPr>
            <w:tcW w:w="5069" w:type="dxa"/>
            <w:shd w:val="clear" w:color="auto" w:fill="auto"/>
            <w:noWrap/>
            <w:vAlign w:val="center"/>
          </w:tcPr>
          <w:p w:rsidR="00181C6C" w:rsidRPr="00374AD6" w:rsidRDefault="00181C6C" w:rsidP="00181C6C">
            <w:pPr>
              <w:spacing w:after="0"/>
              <w:rPr>
                <w:color w:val="000000" w:themeColor="text1"/>
              </w:rPr>
            </w:pPr>
            <w:r w:rsidRPr="00374AD6">
              <w:rPr>
                <w:color w:val="000000" w:themeColor="text1"/>
              </w:rPr>
              <w:t>İhracat Çıkış Noktası (Yunanistan)</w:t>
            </w:r>
          </w:p>
        </w:tc>
        <w:tc>
          <w:tcPr>
            <w:tcW w:w="1640" w:type="dxa"/>
            <w:shd w:val="clear" w:color="auto" w:fill="auto"/>
            <w:noWrap/>
          </w:tcPr>
          <w:p w:rsidR="00181C6C" w:rsidRPr="00374AD6" w:rsidRDefault="00181C6C" w:rsidP="00181C6C">
            <w:pPr>
              <w:spacing w:after="0"/>
              <w:jc w:val="center"/>
              <w:rPr>
                <w:color w:val="000000" w:themeColor="text1"/>
              </w:rPr>
            </w:pPr>
            <w:r w:rsidRPr="00553CD9">
              <w:t>0,</w:t>
            </w:r>
            <w:r>
              <w:t>293176</w:t>
            </w:r>
          </w:p>
        </w:tc>
        <w:tc>
          <w:tcPr>
            <w:tcW w:w="1886" w:type="dxa"/>
            <w:shd w:val="clear" w:color="auto" w:fill="auto"/>
            <w:noWrap/>
          </w:tcPr>
          <w:p w:rsidR="00181C6C" w:rsidRPr="00374AD6" w:rsidRDefault="00181C6C" w:rsidP="00181C6C">
            <w:pPr>
              <w:spacing w:after="0"/>
              <w:jc w:val="center"/>
              <w:rPr>
                <w:color w:val="000000" w:themeColor="text1"/>
              </w:rPr>
            </w:pPr>
            <w:r w:rsidRPr="00553CD9">
              <w:t>0,0</w:t>
            </w:r>
            <w:r>
              <w:t>2755414</w:t>
            </w:r>
          </w:p>
        </w:tc>
      </w:tr>
    </w:tbl>
    <w:p w:rsidR="002C3099" w:rsidRPr="00927660" w:rsidRDefault="002C3099" w:rsidP="002C3099">
      <w:pPr>
        <w:spacing w:after="0"/>
        <w:rPr>
          <w:color w:val="000000" w:themeColor="text1"/>
          <w:highlight w:val="yellow"/>
        </w:rPr>
      </w:pPr>
    </w:p>
    <w:p w:rsidR="002C3099" w:rsidRPr="00FD7557" w:rsidRDefault="002C3099" w:rsidP="002C3099">
      <w:pPr>
        <w:rPr>
          <w:color w:val="000000" w:themeColor="text1"/>
        </w:rPr>
      </w:pPr>
      <w:r w:rsidRPr="00FD7557">
        <w:rPr>
          <w:color w:val="000000" w:themeColor="text1"/>
        </w:rPr>
        <w:t>BOTAŞ’ın iletim hizmet bedeli üst sınırı ise aynı Kurul Kararı ile aşağıdaki gibi belirlenmiştir.</w:t>
      </w:r>
    </w:p>
    <w:p w:rsidR="002C3099" w:rsidRPr="00FD7557" w:rsidRDefault="002C3099" w:rsidP="002C3099">
      <w:pPr>
        <w:pStyle w:val="Balk5"/>
        <w:jc w:val="center"/>
        <w:rPr>
          <w:rStyle w:val="Gl"/>
          <w:color w:val="auto"/>
        </w:rPr>
      </w:pPr>
      <w:bookmarkStart w:id="278" w:name="_Toc66267486"/>
      <w:bookmarkStart w:id="279" w:name="_Toc132713922"/>
      <w:r w:rsidRPr="00FA1354">
        <w:rPr>
          <w:rStyle w:val="Gl"/>
          <w:color w:val="auto"/>
        </w:rPr>
        <w:t>Tablo 4.</w:t>
      </w:r>
      <w:r w:rsidR="00181C6C">
        <w:rPr>
          <w:rStyle w:val="Gl"/>
          <w:color w:val="auto"/>
        </w:rPr>
        <w:t>19</w:t>
      </w:r>
      <w:r w:rsidRPr="00FA1354">
        <w:rPr>
          <w:rStyle w:val="Gl"/>
          <w:color w:val="auto"/>
        </w:rPr>
        <w:t xml:space="preserve">: BOTAŞ’ın </w:t>
      </w:r>
      <w:r w:rsidR="00E00625" w:rsidRPr="00FA1354">
        <w:rPr>
          <w:rStyle w:val="Gl"/>
          <w:color w:val="auto"/>
        </w:rPr>
        <w:t>İ</w:t>
      </w:r>
      <w:r w:rsidRPr="00FA1354">
        <w:rPr>
          <w:rStyle w:val="Gl"/>
          <w:color w:val="auto"/>
        </w:rPr>
        <w:t xml:space="preserve">letim </w:t>
      </w:r>
      <w:r w:rsidR="00E00625" w:rsidRPr="00FA1354">
        <w:rPr>
          <w:rStyle w:val="Gl"/>
          <w:color w:val="auto"/>
        </w:rPr>
        <w:t>H</w:t>
      </w:r>
      <w:r w:rsidRPr="00FA1354">
        <w:rPr>
          <w:rStyle w:val="Gl"/>
          <w:color w:val="auto"/>
        </w:rPr>
        <w:t xml:space="preserve">izmet </w:t>
      </w:r>
      <w:r w:rsidR="00E00625" w:rsidRPr="00FA1354">
        <w:rPr>
          <w:rStyle w:val="Gl"/>
          <w:color w:val="auto"/>
        </w:rPr>
        <w:t>B</w:t>
      </w:r>
      <w:r w:rsidRPr="00FA1354">
        <w:rPr>
          <w:rStyle w:val="Gl"/>
          <w:color w:val="auto"/>
        </w:rPr>
        <w:t xml:space="preserve">edeli </w:t>
      </w:r>
      <w:r w:rsidR="00E00625" w:rsidRPr="00FA1354">
        <w:rPr>
          <w:rStyle w:val="Gl"/>
          <w:color w:val="auto"/>
        </w:rPr>
        <w:t>Ü</w:t>
      </w:r>
      <w:r w:rsidRPr="00FA1354">
        <w:rPr>
          <w:rStyle w:val="Gl"/>
          <w:color w:val="auto"/>
        </w:rPr>
        <w:t xml:space="preserve">st </w:t>
      </w:r>
      <w:r w:rsidR="00E00625" w:rsidRPr="00FA1354">
        <w:rPr>
          <w:rStyle w:val="Gl"/>
          <w:color w:val="auto"/>
        </w:rPr>
        <w:t>S</w:t>
      </w:r>
      <w:r w:rsidRPr="00FA1354">
        <w:rPr>
          <w:rStyle w:val="Gl"/>
          <w:color w:val="auto"/>
        </w:rPr>
        <w:t>ınırı</w:t>
      </w:r>
      <w:bookmarkEnd w:id="278"/>
      <w:bookmarkEnd w:id="279"/>
    </w:p>
    <w:tbl>
      <w:tblPr>
        <w:tblW w:w="6602"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3076"/>
        <w:gridCol w:w="1640"/>
        <w:gridCol w:w="1886"/>
      </w:tblGrid>
      <w:tr w:rsidR="002C3099" w:rsidRPr="00927660" w:rsidTr="00D76625">
        <w:trPr>
          <w:trHeight w:hRule="exact" w:val="397"/>
          <w:jc w:val="center"/>
        </w:trPr>
        <w:tc>
          <w:tcPr>
            <w:tcW w:w="3076" w:type="dxa"/>
            <w:shd w:val="clear" w:color="auto" w:fill="6E9ECA"/>
            <w:vAlign w:val="center"/>
            <w:hideMark/>
          </w:tcPr>
          <w:p w:rsidR="002C3099" w:rsidRPr="00374AD6" w:rsidRDefault="002C3099" w:rsidP="002C3099">
            <w:pPr>
              <w:rPr>
                <w:b/>
                <w:bCs/>
                <w:color w:val="FFFFFF" w:themeColor="background1"/>
              </w:rPr>
            </w:pPr>
          </w:p>
        </w:tc>
        <w:tc>
          <w:tcPr>
            <w:tcW w:w="1640" w:type="dxa"/>
            <w:shd w:val="clear" w:color="auto" w:fill="6E9ECA"/>
            <w:vAlign w:val="center"/>
            <w:hideMark/>
          </w:tcPr>
          <w:p w:rsidR="002C3099" w:rsidRPr="00374AD6" w:rsidRDefault="002C3099" w:rsidP="002C3099">
            <w:pPr>
              <w:jc w:val="center"/>
              <w:rPr>
                <w:b/>
                <w:bCs/>
                <w:color w:val="FFFFFF" w:themeColor="background1"/>
              </w:rPr>
            </w:pPr>
            <w:r w:rsidRPr="00374AD6">
              <w:rPr>
                <w:b/>
                <w:bCs/>
                <w:color w:val="FFFFFF" w:themeColor="background1"/>
              </w:rPr>
              <w:t>(TL/Sm</w:t>
            </w:r>
            <w:r w:rsidRPr="00374AD6">
              <w:rPr>
                <w:b/>
                <w:bCs/>
                <w:color w:val="FFFFFF" w:themeColor="background1"/>
                <w:vertAlign w:val="superscript"/>
              </w:rPr>
              <w:t>3</w:t>
            </w:r>
            <w:r w:rsidRPr="00374AD6">
              <w:rPr>
                <w:b/>
                <w:bCs/>
                <w:color w:val="FFFFFF" w:themeColor="background1"/>
              </w:rPr>
              <w:t>)</w:t>
            </w:r>
          </w:p>
        </w:tc>
        <w:tc>
          <w:tcPr>
            <w:tcW w:w="1886" w:type="dxa"/>
            <w:shd w:val="clear" w:color="auto" w:fill="6E9ECA"/>
            <w:vAlign w:val="center"/>
            <w:hideMark/>
          </w:tcPr>
          <w:p w:rsidR="002C3099" w:rsidRPr="00374AD6" w:rsidRDefault="002C3099" w:rsidP="002C3099">
            <w:pPr>
              <w:jc w:val="center"/>
              <w:rPr>
                <w:b/>
                <w:bCs/>
                <w:color w:val="FFFFFF" w:themeColor="background1"/>
              </w:rPr>
            </w:pPr>
            <w:r w:rsidRPr="00374AD6">
              <w:rPr>
                <w:b/>
                <w:bCs/>
                <w:color w:val="FFFFFF" w:themeColor="background1"/>
              </w:rPr>
              <w:t>(TL/kWh)</w:t>
            </w:r>
          </w:p>
        </w:tc>
      </w:tr>
      <w:tr w:rsidR="00181C6C" w:rsidRPr="00E9291A" w:rsidTr="00D76625">
        <w:trPr>
          <w:trHeight w:hRule="exact" w:val="397"/>
          <w:jc w:val="center"/>
        </w:trPr>
        <w:tc>
          <w:tcPr>
            <w:tcW w:w="3076" w:type="dxa"/>
            <w:shd w:val="clear" w:color="auto" w:fill="auto"/>
            <w:noWrap/>
            <w:vAlign w:val="center"/>
            <w:hideMark/>
          </w:tcPr>
          <w:p w:rsidR="00181C6C" w:rsidRPr="00374AD6" w:rsidRDefault="00181C6C" w:rsidP="00181C6C">
            <w:pPr>
              <w:rPr>
                <w:color w:val="000000" w:themeColor="text1"/>
              </w:rPr>
            </w:pPr>
            <w:r w:rsidRPr="00374AD6">
              <w:rPr>
                <w:color w:val="000000" w:themeColor="text1"/>
              </w:rPr>
              <w:t>İletim Hizmet Bedeli</w:t>
            </w:r>
          </w:p>
        </w:tc>
        <w:tc>
          <w:tcPr>
            <w:tcW w:w="1640" w:type="dxa"/>
            <w:shd w:val="clear" w:color="auto" w:fill="auto"/>
            <w:noWrap/>
            <w:hideMark/>
          </w:tcPr>
          <w:p w:rsidR="00181C6C" w:rsidRPr="00374AD6" w:rsidRDefault="00181C6C" w:rsidP="00181C6C">
            <w:pPr>
              <w:jc w:val="center"/>
              <w:rPr>
                <w:color w:val="000000" w:themeColor="text1"/>
              </w:rPr>
            </w:pPr>
            <w:r w:rsidRPr="00C239AB">
              <w:t>0,</w:t>
            </w:r>
            <w:r>
              <w:t>125916</w:t>
            </w:r>
          </w:p>
        </w:tc>
        <w:tc>
          <w:tcPr>
            <w:tcW w:w="1886" w:type="dxa"/>
            <w:shd w:val="clear" w:color="auto" w:fill="auto"/>
            <w:noWrap/>
            <w:hideMark/>
          </w:tcPr>
          <w:p w:rsidR="00181C6C" w:rsidRPr="00374AD6" w:rsidRDefault="00181C6C" w:rsidP="00181C6C">
            <w:pPr>
              <w:jc w:val="center"/>
              <w:rPr>
                <w:color w:val="000000" w:themeColor="text1"/>
              </w:rPr>
            </w:pPr>
            <w:r w:rsidRPr="00C239AB">
              <w:t>0,0</w:t>
            </w:r>
            <w:r>
              <w:t>1183421</w:t>
            </w:r>
          </w:p>
        </w:tc>
      </w:tr>
    </w:tbl>
    <w:p w:rsidR="002C3099" w:rsidRPr="00A32A82" w:rsidRDefault="00181C6C" w:rsidP="002C3099">
      <w:pPr>
        <w:spacing w:before="240"/>
        <w:rPr>
          <w:rStyle w:val="Gl"/>
          <w:b w:val="0"/>
          <w:bCs w:val="0"/>
          <w:color w:val="000000" w:themeColor="text1"/>
        </w:rPr>
      </w:pPr>
      <w:r>
        <w:rPr>
          <w:color w:val="000000" w:themeColor="text1"/>
        </w:rPr>
        <w:t>30</w:t>
      </w:r>
      <w:r w:rsidRPr="007B2696">
        <w:rPr>
          <w:color w:val="000000" w:themeColor="text1"/>
        </w:rPr>
        <w:t>.12.20</w:t>
      </w:r>
      <w:r>
        <w:rPr>
          <w:color w:val="000000" w:themeColor="text1"/>
        </w:rPr>
        <w:t>22</w:t>
      </w:r>
      <w:r w:rsidRPr="007B2696">
        <w:rPr>
          <w:color w:val="000000" w:themeColor="text1"/>
        </w:rPr>
        <w:t xml:space="preserve"> tarihli ve 3</w:t>
      </w:r>
      <w:r>
        <w:rPr>
          <w:color w:val="000000" w:themeColor="text1"/>
        </w:rPr>
        <w:t>2059</w:t>
      </w:r>
      <w:r w:rsidRPr="007B2696">
        <w:rPr>
          <w:color w:val="000000" w:themeColor="text1"/>
        </w:rPr>
        <w:t xml:space="preserve"> sayılı </w:t>
      </w:r>
      <w:r w:rsidR="00DC783D">
        <w:rPr>
          <w:color w:val="000000" w:themeColor="text1"/>
        </w:rPr>
        <w:t>Resmî</w:t>
      </w:r>
      <w:r w:rsidRPr="007B2696">
        <w:rPr>
          <w:color w:val="000000" w:themeColor="text1"/>
        </w:rPr>
        <w:t xml:space="preserve"> </w:t>
      </w:r>
      <w:r w:rsidR="00274939">
        <w:rPr>
          <w:color w:val="000000" w:themeColor="text1"/>
        </w:rPr>
        <w:t>Gazetede</w:t>
      </w:r>
      <w:r w:rsidRPr="007B2696">
        <w:rPr>
          <w:color w:val="000000" w:themeColor="text1"/>
        </w:rPr>
        <w:t xml:space="preserve"> yayımlanan, 2</w:t>
      </w:r>
      <w:r>
        <w:rPr>
          <w:color w:val="000000" w:themeColor="text1"/>
        </w:rPr>
        <w:t>9</w:t>
      </w:r>
      <w:r w:rsidRPr="007B2696">
        <w:rPr>
          <w:color w:val="000000" w:themeColor="text1"/>
        </w:rPr>
        <w:t>.12.20</w:t>
      </w:r>
      <w:r>
        <w:rPr>
          <w:color w:val="000000" w:themeColor="text1"/>
        </w:rPr>
        <w:t>22</w:t>
      </w:r>
      <w:r w:rsidRPr="007B2696">
        <w:rPr>
          <w:color w:val="000000" w:themeColor="text1"/>
        </w:rPr>
        <w:t xml:space="preserve"> tarihli ve </w:t>
      </w:r>
      <w:r>
        <w:rPr>
          <w:color w:val="000000" w:themeColor="text1"/>
        </w:rPr>
        <w:t>11521</w:t>
      </w:r>
      <w:r w:rsidRPr="007B2696">
        <w:rPr>
          <w:color w:val="000000" w:themeColor="text1"/>
        </w:rPr>
        <w:t xml:space="preserve"> sayılı Kurul Kararı ile 03.10.2013 tarihli ve 4638-1 sayılı Kurul Kararı ile kabul edilen </w:t>
      </w:r>
      <w:r w:rsidRPr="007B2696">
        <w:rPr>
          <w:i/>
          <w:color w:val="000000" w:themeColor="text1"/>
        </w:rPr>
        <w:t xml:space="preserve">“Doğal Gaz İletim Lisansı Sahibi Şirketlerin </w:t>
      </w:r>
      <w:r w:rsidRPr="007B2696">
        <w:rPr>
          <w:i/>
          <w:color w:val="000000" w:themeColor="text1"/>
        </w:rPr>
        <w:lastRenderedPageBreak/>
        <w:t>Tarifelerine Esas Gelir Tavanlarının Belirlenmesine İlişkin Usul ve Esaslar”</w:t>
      </w:r>
      <w:r w:rsidRPr="007B2696">
        <w:rPr>
          <w:color w:val="000000" w:themeColor="text1"/>
        </w:rPr>
        <w:t xml:space="preserve"> çerçevesinde 23.05.2003 tarihli ve DİL/148-17/021 numaralı iletim lisansı sahibi BOTAŞ’ın üçüncü uygulama dönemine ilişkin iletim ve sevkiyat kontrol tarifelerine esas yıllık gelir gereksinimlerinin belirlenmesine yönelik Karar alınmıştır. Söz konusu Kararla BOTAŞ’ın iletim ve sevkiyat kontrol tarifelerine ilişkin </w:t>
      </w:r>
      <w:r>
        <w:rPr>
          <w:color w:val="000000" w:themeColor="text1"/>
        </w:rPr>
        <w:t>dördüncü</w:t>
      </w:r>
      <w:r w:rsidRPr="007B2696">
        <w:rPr>
          <w:color w:val="000000" w:themeColor="text1"/>
        </w:rPr>
        <w:t xml:space="preserve"> uygulama dönemi 202</w:t>
      </w:r>
      <w:r>
        <w:rPr>
          <w:color w:val="000000" w:themeColor="text1"/>
        </w:rPr>
        <w:t>3</w:t>
      </w:r>
      <w:r w:rsidRPr="007B2696">
        <w:rPr>
          <w:color w:val="000000" w:themeColor="text1"/>
        </w:rPr>
        <w:t xml:space="preserve"> - 202</w:t>
      </w:r>
      <w:r>
        <w:rPr>
          <w:color w:val="000000" w:themeColor="text1"/>
        </w:rPr>
        <w:t>5</w:t>
      </w:r>
      <w:r w:rsidRPr="007B2696">
        <w:rPr>
          <w:color w:val="000000" w:themeColor="text1"/>
        </w:rPr>
        <w:t xml:space="preserve"> olarak, iletim ve sevkiyat kontrol tarifelerine ilişkin reel makul getiri oranı %1</w:t>
      </w:r>
      <w:r>
        <w:rPr>
          <w:color w:val="000000" w:themeColor="text1"/>
        </w:rPr>
        <w:t>2</w:t>
      </w:r>
      <w:r w:rsidRPr="007B2696">
        <w:rPr>
          <w:color w:val="000000" w:themeColor="text1"/>
        </w:rPr>
        <w:t>,</w:t>
      </w:r>
      <w:r>
        <w:rPr>
          <w:color w:val="000000" w:themeColor="text1"/>
        </w:rPr>
        <w:t>37</w:t>
      </w:r>
      <w:r w:rsidRPr="007B2696">
        <w:rPr>
          <w:color w:val="000000" w:themeColor="text1"/>
        </w:rPr>
        <w:t xml:space="preserve"> (vergi öncesi), net reel makul getiri oranı % 1</w:t>
      </w:r>
      <w:r>
        <w:rPr>
          <w:color w:val="000000" w:themeColor="text1"/>
        </w:rPr>
        <w:t>1,649</w:t>
      </w:r>
      <w:r w:rsidRPr="007B2696">
        <w:rPr>
          <w:color w:val="000000" w:themeColor="text1"/>
        </w:rPr>
        <w:t xml:space="preserve"> (vergi öncesi) olarak belirlenmiştir. BOTAŞ’ın </w:t>
      </w:r>
      <w:r>
        <w:rPr>
          <w:color w:val="000000" w:themeColor="text1"/>
        </w:rPr>
        <w:t>dördüncü</w:t>
      </w:r>
      <w:r w:rsidRPr="007B2696">
        <w:rPr>
          <w:color w:val="000000" w:themeColor="text1"/>
        </w:rPr>
        <w:t xml:space="preserve"> uygulama dönemine ilişkin yıllık yatırım tavanı ve gelir ger</w:t>
      </w:r>
      <w:r>
        <w:rPr>
          <w:color w:val="000000" w:themeColor="text1"/>
        </w:rPr>
        <w:t>eksinimleri sırasıyla Tablo 4.20</w:t>
      </w:r>
      <w:r w:rsidRPr="007B2696">
        <w:rPr>
          <w:color w:val="000000" w:themeColor="text1"/>
        </w:rPr>
        <w:t xml:space="preserve"> ve 4.</w:t>
      </w:r>
      <w:r>
        <w:rPr>
          <w:color w:val="000000" w:themeColor="text1"/>
        </w:rPr>
        <w:t>21’d</w:t>
      </w:r>
      <w:r w:rsidRPr="007B2696">
        <w:rPr>
          <w:color w:val="000000" w:themeColor="text1"/>
        </w:rPr>
        <w:t>e yer almaktadır.</w:t>
      </w:r>
      <w:r>
        <w:rPr>
          <w:color w:val="000000" w:themeColor="text1"/>
        </w:rPr>
        <w:t xml:space="preserve"> </w:t>
      </w:r>
      <w:r w:rsidR="002C3099">
        <w:rPr>
          <w:color w:val="000000" w:themeColor="text1"/>
        </w:rPr>
        <w:t xml:space="preserve"> </w:t>
      </w:r>
    </w:p>
    <w:p w:rsidR="002C3099" w:rsidRPr="00DB64E1" w:rsidRDefault="002C3099" w:rsidP="002C3099">
      <w:pPr>
        <w:pStyle w:val="Balk5"/>
        <w:jc w:val="center"/>
        <w:rPr>
          <w:rStyle w:val="Gl"/>
          <w:color w:val="auto"/>
        </w:rPr>
      </w:pPr>
      <w:bookmarkStart w:id="280" w:name="_Toc66267487"/>
      <w:bookmarkStart w:id="281" w:name="_Toc132713923"/>
      <w:r>
        <w:rPr>
          <w:rStyle w:val="Gl"/>
          <w:color w:val="auto"/>
        </w:rPr>
        <w:t>Tablo 4.2</w:t>
      </w:r>
      <w:r w:rsidR="00181C6C">
        <w:rPr>
          <w:rStyle w:val="Gl"/>
          <w:color w:val="auto"/>
        </w:rPr>
        <w:t>0</w:t>
      </w:r>
      <w:r>
        <w:rPr>
          <w:rStyle w:val="Gl"/>
          <w:color w:val="auto"/>
        </w:rPr>
        <w:t xml:space="preserve">: BOTAŞ'ın </w:t>
      </w:r>
      <w:r w:rsidR="007A5157">
        <w:rPr>
          <w:rStyle w:val="Gl"/>
          <w:color w:val="auto"/>
        </w:rPr>
        <w:t>Üçüncü</w:t>
      </w:r>
      <w:r w:rsidR="007A5157" w:rsidRPr="00DB64E1">
        <w:rPr>
          <w:rStyle w:val="Gl"/>
          <w:color w:val="auto"/>
        </w:rPr>
        <w:t xml:space="preserve"> Uygulama Dönemi Yatırım Tavanı</w:t>
      </w:r>
      <w:bookmarkEnd w:id="280"/>
      <w:bookmarkEnd w:id="281"/>
    </w:p>
    <w:tbl>
      <w:tblPr>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470"/>
        <w:gridCol w:w="2479"/>
        <w:gridCol w:w="2480"/>
        <w:gridCol w:w="2483"/>
      </w:tblGrid>
      <w:tr w:rsidR="002C3099" w:rsidRPr="008B1C2D" w:rsidTr="00E40D03">
        <w:trPr>
          <w:jc w:val="center"/>
        </w:trPr>
        <w:tc>
          <w:tcPr>
            <w:tcW w:w="2470" w:type="dxa"/>
            <w:shd w:val="clear" w:color="auto" w:fill="6E9ECA"/>
          </w:tcPr>
          <w:p w:rsidR="002C3099" w:rsidRPr="00D76625" w:rsidRDefault="002C3099" w:rsidP="002C3099">
            <w:pPr>
              <w:rPr>
                <w:color w:val="FFFFFF" w:themeColor="background1"/>
                <w:szCs w:val="20"/>
              </w:rPr>
            </w:pPr>
          </w:p>
        </w:tc>
        <w:tc>
          <w:tcPr>
            <w:tcW w:w="2479" w:type="dxa"/>
            <w:shd w:val="clear" w:color="auto" w:fill="6E9ECA"/>
            <w:vAlign w:val="center"/>
          </w:tcPr>
          <w:p w:rsidR="002C3099" w:rsidRPr="00D76625" w:rsidRDefault="002C3099" w:rsidP="002C3099">
            <w:pPr>
              <w:jc w:val="center"/>
              <w:rPr>
                <w:b/>
                <w:color w:val="FFFFFF" w:themeColor="background1"/>
                <w:szCs w:val="20"/>
              </w:rPr>
            </w:pPr>
            <w:r w:rsidRPr="00D76625">
              <w:rPr>
                <w:b/>
                <w:color w:val="FFFFFF" w:themeColor="background1"/>
                <w:szCs w:val="20"/>
              </w:rPr>
              <w:t>2020</w:t>
            </w:r>
          </w:p>
        </w:tc>
        <w:tc>
          <w:tcPr>
            <w:tcW w:w="2480" w:type="dxa"/>
            <w:shd w:val="clear" w:color="auto" w:fill="6E9ECA"/>
            <w:vAlign w:val="center"/>
          </w:tcPr>
          <w:p w:rsidR="002C3099" w:rsidRPr="00D76625" w:rsidRDefault="002C3099" w:rsidP="002C3099">
            <w:pPr>
              <w:jc w:val="center"/>
              <w:rPr>
                <w:b/>
                <w:color w:val="FFFFFF" w:themeColor="background1"/>
                <w:szCs w:val="20"/>
              </w:rPr>
            </w:pPr>
            <w:r w:rsidRPr="00D76625">
              <w:rPr>
                <w:b/>
                <w:color w:val="FFFFFF" w:themeColor="background1"/>
                <w:szCs w:val="20"/>
              </w:rPr>
              <w:t>2021</w:t>
            </w:r>
          </w:p>
        </w:tc>
        <w:tc>
          <w:tcPr>
            <w:tcW w:w="2483" w:type="dxa"/>
            <w:shd w:val="clear" w:color="auto" w:fill="6E9ECA"/>
            <w:vAlign w:val="center"/>
          </w:tcPr>
          <w:p w:rsidR="002C3099" w:rsidRPr="00D76625" w:rsidRDefault="002C3099" w:rsidP="002C3099">
            <w:pPr>
              <w:jc w:val="center"/>
              <w:rPr>
                <w:b/>
                <w:color w:val="FFFFFF" w:themeColor="background1"/>
                <w:szCs w:val="20"/>
              </w:rPr>
            </w:pPr>
            <w:r w:rsidRPr="00D76625">
              <w:rPr>
                <w:b/>
                <w:color w:val="FFFFFF" w:themeColor="background1"/>
                <w:szCs w:val="20"/>
              </w:rPr>
              <w:t>2022</w:t>
            </w:r>
          </w:p>
        </w:tc>
      </w:tr>
      <w:tr w:rsidR="002C3099" w:rsidTr="00E40D03">
        <w:trPr>
          <w:jc w:val="center"/>
        </w:trPr>
        <w:tc>
          <w:tcPr>
            <w:tcW w:w="2470" w:type="dxa"/>
          </w:tcPr>
          <w:p w:rsidR="002C3099" w:rsidRPr="00D76625" w:rsidRDefault="002C3099" w:rsidP="002C3099">
            <w:pPr>
              <w:rPr>
                <w:color w:val="000000" w:themeColor="text1"/>
                <w:szCs w:val="20"/>
                <w:vertAlign w:val="superscript"/>
              </w:rPr>
            </w:pPr>
            <w:r w:rsidRPr="00D76625">
              <w:rPr>
                <w:color w:val="000000" w:themeColor="text1"/>
                <w:szCs w:val="20"/>
              </w:rPr>
              <w:t>Yatırım Tavanı (TL)</w:t>
            </w:r>
            <w:r w:rsidRPr="00D76625">
              <w:rPr>
                <w:color w:val="000000" w:themeColor="text1"/>
                <w:szCs w:val="20"/>
                <w:vertAlign w:val="superscript"/>
              </w:rPr>
              <w:t>1</w:t>
            </w:r>
          </w:p>
        </w:tc>
        <w:tc>
          <w:tcPr>
            <w:tcW w:w="2479" w:type="dxa"/>
          </w:tcPr>
          <w:p w:rsidR="002C3099" w:rsidRPr="00D76625" w:rsidRDefault="002C3099" w:rsidP="002C3099">
            <w:pPr>
              <w:jc w:val="center"/>
              <w:rPr>
                <w:color w:val="000000" w:themeColor="text1"/>
                <w:szCs w:val="20"/>
              </w:rPr>
            </w:pPr>
            <w:r w:rsidRPr="00D76625">
              <w:rPr>
                <w:color w:val="000000" w:themeColor="text1"/>
                <w:szCs w:val="20"/>
              </w:rPr>
              <w:t>754.116.406</w:t>
            </w:r>
          </w:p>
        </w:tc>
        <w:tc>
          <w:tcPr>
            <w:tcW w:w="2480" w:type="dxa"/>
          </w:tcPr>
          <w:p w:rsidR="002C3099" w:rsidRPr="00D76625" w:rsidRDefault="002C3099" w:rsidP="002C3099">
            <w:pPr>
              <w:jc w:val="center"/>
              <w:rPr>
                <w:color w:val="000000" w:themeColor="text1"/>
                <w:szCs w:val="20"/>
              </w:rPr>
            </w:pPr>
            <w:r w:rsidRPr="00D76625">
              <w:rPr>
                <w:color w:val="000000" w:themeColor="text1"/>
                <w:szCs w:val="20"/>
              </w:rPr>
              <w:t>1.152.083.349</w:t>
            </w:r>
          </w:p>
        </w:tc>
        <w:tc>
          <w:tcPr>
            <w:tcW w:w="2483" w:type="dxa"/>
          </w:tcPr>
          <w:p w:rsidR="002C3099" w:rsidRPr="00D76625" w:rsidRDefault="002C3099" w:rsidP="002C3099">
            <w:pPr>
              <w:jc w:val="center"/>
              <w:rPr>
                <w:color w:val="000000" w:themeColor="text1"/>
                <w:szCs w:val="20"/>
              </w:rPr>
            </w:pPr>
            <w:r w:rsidRPr="00D76625">
              <w:rPr>
                <w:color w:val="000000" w:themeColor="text1"/>
                <w:szCs w:val="20"/>
              </w:rPr>
              <w:t>640.263.000</w:t>
            </w:r>
          </w:p>
        </w:tc>
      </w:tr>
    </w:tbl>
    <w:p w:rsidR="002C3099" w:rsidRPr="00D70595" w:rsidRDefault="002C3099" w:rsidP="002C3099">
      <w:pPr>
        <w:rPr>
          <w:color w:val="000000" w:themeColor="text1"/>
          <w:sz w:val="18"/>
        </w:rPr>
      </w:pPr>
      <w:r w:rsidRPr="00D70595">
        <w:rPr>
          <w:color w:val="000000" w:themeColor="text1"/>
          <w:sz w:val="18"/>
          <w:vertAlign w:val="superscript"/>
        </w:rPr>
        <w:t>1</w:t>
      </w:r>
      <w:r>
        <w:rPr>
          <w:color w:val="000000" w:themeColor="text1"/>
          <w:sz w:val="18"/>
        </w:rPr>
        <w:t>Bu tutarlar Yİ-ÜFE =</w:t>
      </w:r>
      <w:r w:rsidR="00181C6C">
        <w:rPr>
          <w:color w:val="000000" w:themeColor="text1"/>
          <w:sz w:val="18"/>
        </w:rPr>
        <w:t>1780,05</w:t>
      </w:r>
      <w:r w:rsidR="00181C6C" w:rsidRPr="00D70595">
        <w:rPr>
          <w:color w:val="000000" w:themeColor="text1"/>
          <w:sz w:val="18"/>
        </w:rPr>
        <w:t xml:space="preserve"> </w:t>
      </w:r>
      <w:r w:rsidRPr="00D70595">
        <w:rPr>
          <w:color w:val="000000" w:themeColor="text1"/>
          <w:sz w:val="18"/>
        </w:rPr>
        <w:t>fiyatlarıyladır.</w:t>
      </w:r>
    </w:p>
    <w:p w:rsidR="002C3099" w:rsidRPr="00D70595" w:rsidRDefault="002C3099" w:rsidP="002C3099">
      <w:pPr>
        <w:pStyle w:val="Balk5"/>
        <w:jc w:val="center"/>
        <w:rPr>
          <w:rStyle w:val="Gl"/>
          <w:color w:val="000000" w:themeColor="text1"/>
        </w:rPr>
      </w:pPr>
      <w:bookmarkStart w:id="282" w:name="_Toc66267488"/>
      <w:bookmarkStart w:id="283" w:name="_Toc132713924"/>
      <w:r w:rsidRPr="00D70595">
        <w:rPr>
          <w:rStyle w:val="Gl"/>
          <w:color w:val="000000" w:themeColor="text1"/>
        </w:rPr>
        <w:t xml:space="preserve">Tablo </w:t>
      </w:r>
      <w:r>
        <w:rPr>
          <w:rStyle w:val="Gl"/>
          <w:color w:val="000000" w:themeColor="text1"/>
        </w:rPr>
        <w:t>4.2</w:t>
      </w:r>
      <w:r w:rsidR="00181C6C">
        <w:rPr>
          <w:rStyle w:val="Gl"/>
          <w:color w:val="000000" w:themeColor="text1"/>
        </w:rPr>
        <w:t>1</w:t>
      </w:r>
      <w:r>
        <w:rPr>
          <w:rStyle w:val="Gl"/>
          <w:color w:val="000000" w:themeColor="text1"/>
        </w:rPr>
        <w:t xml:space="preserve">: BOTAŞ'ın </w:t>
      </w:r>
      <w:r w:rsidR="007A5157">
        <w:rPr>
          <w:rStyle w:val="Gl"/>
          <w:color w:val="000000" w:themeColor="text1"/>
        </w:rPr>
        <w:t>Üçüncü</w:t>
      </w:r>
      <w:r w:rsidR="007A5157" w:rsidRPr="00D70595">
        <w:rPr>
          <w:rStyle w:val="Gl"/>
          <w:color w:val="000000" w:themeColor="text1"/>
        </w:rPr>
        <w:t xml:space="preserve"> Uygulama Dönemi Gelir Gereksinimi</w:t>
      </w:r>
      <w:bookmarkEnd w:id="282"/>
      <w:bookmarkEnd w:id="283"/>
    </w:p>
    <w:tbl>
      <w:tblPr>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473"/>
        <w:gridCol w:w="2479"/>
        <w:gridCol w:w="2480"/>
        <w:gridCol w:w="2480"/>
      </w:tblGrid>
      <w:tr w:rsidR="002C3099" w:rsidRPr="008B1C2D" w:rsidTr="002C3099">
        <w:tc>
          <w:tcPr>
            <w:tcW w:w="2473" w:type="dxa"/>
            <w:shd w:val="clear" w:color="auto" w:fill="6E9ECA"/>
          </w:tcPr>
          <w:p w:rsidR="002C3099" w:rsidRPr="00C34DEC" w:rsidRDefault="002C3099" w:rsidP="002C3099">
            <w:pPr>
              <w:rPr>
                <w:color w:val="FFFFFF" w:themeColor="background1"/>
                <w:sz w:val="20"/>
                <w:szCs w:val="20"/>
              </w:rPr>
            </w:pPr>
          </w:p>
        </w:tc>
        <w:tc>
          <w:tcPr>
            <w:tcW w:w="2479" w:type="dxa"/>
            <w:shd w:val="clear" w:color="auto" w:fill="6E9ECA"/>
          </w:tcPr>
          <w:p w:rsidR="002C3099" w:rsidRPr="00D76625" w:rsidRDefault="002C3099" w:rsidP="002C3099">
            <w:pPr>
              <w:jc w:val="center"/>
              <w:rPr>
                <w:b/>
                <w:color w:val="FFFFFF" w:themeColor="background1"/>
                <w:szCs w:val="20"/>
              </w:rPr>
            </w:pPr>
            <w:r w:rsidRPr="00D76625">
              <w:rPr>
                <w:b/>
                <w:color w:val="FFFFFF" w:themeColor="background1"/>
                <w:szCs w:val="20"/>
              </w:rPr>
              <w:t>2020</w:t>
            </w:r>
          </w:p>
        </w:tc>
        <w:tc>
          <w:tcPr>
            <w:tcW w:w="2480" w:type="dxa"/>
            <w:shd w:val="clear" w:color="auto" w:fill="6E9ECA"/>
          </w:tcPr>
          <w:p w:rsidR="002C3099" w:rsidRPr="00D76625" w:rsidRDefault="002C3099" w:rsidP="002C3099">
            <w:pPr>
              <w:jc w:val="center"/>
              <w:rPr>
                <w:b/>
                <w:color w:val="FFFFFF" w:themeColor="background1"/>
                <w:szCs w:val="20"/>
              </w:rPr>
            </w:pPr>
            <w:r w:rsidRPr="00D76625">
              <w:rPr>
                <w:b/>
                <w:color w:val="FFFFFF" w:themeColor="background1"/>
                <w:szCs w:val="20"/>
              </w:rPr>
              <w:t>2021</w:t>
            </w:r>
          </w:p>
        </w:tc>
        <w:tc>
          <w:tcPr>
            <w:tcW w:w="2480" w:type="dxa"/>
            <w:shd w:val="clear" w:color="auto" w:fill="6E9ECA"/>
          </w:tcPr>
          <w:p w:rsidR="002C3099" w:rsidRPr="00D76625" w:rsidRDefault="002C3099" w:rsidP="002C3099">
            <w:pPr>
              <w:jc w:val="center"/>
              <w:rPr>
                <w:b/>
                <w:color w:val="FFFFFF" w:themeColor="background1"/>
                <w:szCs w:val="20"/>
              </w:rPr>
            </w:pPr>
            <w:r w:rsidRPr="00D76625">
              <w:rPr>
                <w:b/>
                <w:color w:val="FFFFFF" w:themeColor="background1"/>
                <w:szCs w:val="20"/>
              </w:rPr>
              <w:t>2022</w:t>
            </w:r>
          </w:p>
        </w:tc>
      </w:tr>
      <w:tr w:rsidR="00181C6C" w:rsidTr="002C3099">
        <w:tc>
          <w:tcPr>
            <w:tcW w:w="2473" w:type="dxa"/>
          </w:tcPr>
          <w:p w:rsidR="00181C6C" w:rsidRPr="00C34DEC" w:rsidRDefault="00181C6C" w:rsidP="00181C6C">
            <w:pPr>
              <w:rPr>
                <w:color w:val="000000" w:themeColor="text1"/>
                <w:sz w:val="20"/>
                <w:szCs w:val="20"/>
                <w:vertAlign w:val="superscript"/>
              </w:rPr>
            </w:pPr>
            <w:r w:rsidRPr="00D76625">
              <w:rPr>
                <w:color w:val="000000" w:themeColor="text1"/>
                <w:szCs w:val="20"/>
              </w:rPr>
              <w:t>Gelir Gereksinimi (TL)</w:t>
            </w:r>
            <w:r w:rsidRPr="00D76625">
              <w:rPr>
                <w:color w:val="000000" w:themeColor="text1"/>
                <w:szCs w:val="20"/>
                <w:vertAlign w:val="superscript"/>
              </w:rPr>
              <w:t>1</w:t>
            </w:r>
          </w:p>
        </w:tc>
        <w:tc>
          <w:tcPr>
            <w:tcW w:w="2479" w:type="dxa"/>
          </w:tcPr>
          <w:p w:rsidR="00181C6C" w:rsidRPr="00D76625" w:rsidRDefault="00181C6C" w:rsidP="00181C6C">
            <w:pPr>
              <w:jc w:val="center"/>
              <w:rPr>
                <w:color w:val="000000" w:themeColor="text1"/>
                <w:szCs w:val="20"/>
              </w:rPr>
            </w:pPr>
            <w:r>
              <w:rPr>
                <w:color w:val="000000" w:themeColor="text1"/>
                <w:szCs w:val="20"/>
              </w:rPr>
              <w:t>14.895.493.164</w:t>
            </w:r>
          </w:p>
        </w:tc>
        <w:tc>
          <w:tcPr>
            <w:tcW w:w="2480" w:type="dxa"/>
          </w:tcPr>
          <w:p w:rsidR="00181C6C" w:rsidRPr="00D76625" w:rsidRDefault="00181C6C" w:rsidP="00181C6C">
            <w:pPr>
              <w:jc w:val="center"/>
              <w:rPr>
                <w:color w:val="000000" w:themeColor="text1"/>
                <w:szCs w:val="20"/>
              </w:rPr>
            </w:pPr>
            <w:r>
              <w:rPr>
                <w:color w:val="000000" w:themeColor="text1"/>
                <w:szCs w:val="20"/>
              </w:rPr>
              <w:t>15.629.628.382</w:t>
            </w:r>
          </w:p>
        </w:tc>
        <w:tc>
          <w:tcPr>
            <w:tcW w:w="2480" w:type="dxa"/>
          </w:tcPr>
          <w:p w:rsidR="00181C6C" w:rsidRPr="00D76625" w:rsidRDefault="00181C6C" w:rsidP="00181C6C">
            <w:pPr>
              <w:jc w:val="center"/>
              <w:rPr>
                <w:color w:val="000000" w:themeColor="text1"/>
                <w:szCs w:val="20"/>
              </w:rPr>
            </w:pPr>
            <w:r>
              <w:rPr>
                <w:color w:val="000000" w:themeColor="text1"/>
                <w:szCs w:val="20"/>
              </w:rPr>
              <w:t>16.113.389.132</w:t>
            </w:r>
          </w:p>
        </w:tc>
      </w:tr>
    </w:tbl>
    <w:p w:rsidR="002C3099" w:rsidRDefault="002C3099" w:rsidP="002C3099">
      <w:pPr>
        <w:rPr>
          <w:color w:val="000000" w:themeColor="text1"/>
          <w:sz w:val="18"/>
        </w:rPr>
      </w:pPr>
      <w:r w:rsidRPr="00D70595">
        <w:rPr>
          <w:color w:val="000000" w:themeColor="text1"/>
          <w:sz w:val="18"/>
          <w:vertAlign w:val="superscript"/>
        </w:rPr>
        <w:t>1</w:t>
      </w:r>
      <w:r w:rsidRPr="00D70595">
        <w:rPr>
          <w:color w:val="000000" w:themeColor="text1"/>
          <w:sz w:val="18"/>
        </w:rPr>
        <w:t xml:space="preserve">Bu tutarlar </w:t>
      </w:r>
      <w:r>
        <w:rPr>
          <w:color w:val="000000" w:themeColor="text1"/>
          <w:sz w:val="18"/>
        </w:rPr>
        <w:t>Yİ-ÜFE =</w:t>
      </w:r>
      <w:r w:rsidR="00181C6C">
        <w:rPr>
          <w:color w:val="000000" w:themeColor="text1"/>
          <w:sz w:val="18"/>
        </w:rPr>
        <w:t xml:space="preserve">1780,05 </w:t>
      </w:r>
      <w:r>
        <w:rPr>
          <w:color w:val="000000" w:themeColor="text1"/>
          <w:sz w:val="18"/>
        </w:rPr>
        <w:t>fiyatlarıyladır.</w:t>
      </w:r>
    </w:p>
    <w:p w:rsidR="00181C6C" w:rsidRDefault="00181C6C" w:rsidP="00181C6C">
      <w:pPr>
        <w:pStyle w:val="Balk3"/>
        <w:numPr>
          <w:ilvl w:val="2"/>
          <w:numId w:val="11"/>
        </w:numPr>
        <w:spacing w:before="0" w:after="240" w:line="240" w:lineRule="auto"/>
        <w:rPr>
          <w:rFonts w:asciiTheme="minorHAnsi" w:hAnsiTheme="minorHAnsi"/>
          <w:color w:val="000000" w:themeColor="text1"/>
        </w:rPr>
      </w:pPr>
      <w:bookmarkStart w:id="284" w:name="_Toc132713817"/>
      <w:r>
        <w:rPr>
          <w:rFonts w:asciiTheme="minorHAnsi" w:hAnsiTheme="minorHAnsi"/>
          <w:color w:val="000000" w:themeColor="text1"/>
        </w:rPr>
        <w:t>Piyasa İşletim Tarifesi</w:t>
      </w:r>
      <w:bookmarkEnd w:id="284"/>
    </w:p>
    <w:p w:rsidR="00181C6C" w:rsidRDefault="00181C6C" w:rsidP="00181C6C">
      <w:pPr>
        <w:spacing w:after="160" w:line="259" w:lineRule="auto"/>
      </w:pPr>
      <w:r w:rsidRPr="00251693">
        <w:t xml:space="preserve">13.12.2022 tarihli ve 32042 sayılı Resmî </w:t>
      </w:r>
      <w:r w:rsidR="00274939">
        <w:t>Gazetede</w:t>
      </w:r>
      <w:r w:rsidRPr="00251693">
        <w:t xml:space="preserve"> yayımlanan 08.12.2022 tarihli ve 1143</w:t>
      </w:r>
      <w:r>
        <w:t>7</w:t>
      </w:r>
      <w:r w:rsidRPr="00251693">
        <w:t xml:space="preserve"> sayılı Kurul Kararı ile “Organize Toptan Doğal Gaz Satış Piyasası İşletim Gelir Tavanının Karşılanması İçin Uygulanacak Bedeller ve Uygulamaya İlişkin Yöntem Bildirimi”nde ifade edilen ücretlerin belirlenmesine yönelik karar verilmiştir.</w:t>
      </w:r>
    </w:p>
    <w:p w:rsidR="00181C6C" w:rsidRDefault="00181C6C" w:rsidP="00181C6C">
      <w:pPr>
        <w:spacing w:after="160" w:line="259" w:lineRule="auto"/>
      </w:pPr>
      <w:r w:rsidRPr="00251693">
        <w:t xml:space="preserve">13.12.2022 tarihli ve 32042 sayılı Resmî </w:t>
      </w:r>
      <w:r w:rsidR="00274939">
        <w:t>Gazetede</w:t>
      </w:r>
      <w:r w:rsidRPr="00251693">
        <w:t xml:space="preserve"> yayımlanan 08.12.2022 tarihli ve 1143</w:t>
      </w:r>
      <w:r>
        <w:t>8</w:t>
      </w:r>
      <w:r w:rsidRPr="00251693">
        <w:t xml:space="preserve"> sayılı Kurul Kararı ile </w:t>
      </w:r>
      <w:r w:rsidRPr="009F0E99">
        <w:t>“Vadeli Doğal Gaz Piyasası İşletim Gelir Tavanının Karşılanması İçin Uygulanacak Bedel ve Komisyonlar ile Uygulamaya İlişkin Yöntem Bildirimi”nde ifade edilen ücretlerin belirlenmesine</w:t>
      </w:r>
      <w:r w:rsidRPr="00251693">
        <w:t xml:space="preserve"> yönelik karar verilmiştir.</w:t>
      </w:r>
    </w:p>
    <w:p w:rsidR="00181C6C" w:rsidRPr="00E9291A" w:rsidRDefault="00181C6C" w:rsidP="00181C6C">
      <w:pPr>
        <w:pStyle w:val="Balk5"/>
        <w:jc w:val="center"/>
      </w:pPr>
      <w:bookmarkStart w:id="285" w:name="_Toc132713925"/>
      <w:r w:rsidRPr="00FA1354">
        <w:rPr>
          <w:rStyle w:val="Gl"/>
          <w:color w:val="000000" w:themeColor="text1"/>
        </w:rPr>
        <w:t>Tablo 4.</w:t>
      </w:r>
      <w:r>
        <w:rPr>
          <w:rStyle w:val="Gl"/>
          <w:color w:val="000000" w:themeColor="text1"/>
        </w:rPr>
        <w:t>22</w:t>
      </w:r>
      <w:r w:rsidRPr="00FA1354">
        <w:rPr>
          <w:rStyle w:val="Gl"/>
          <w:color w:val="000000" w:themeColor="text1"/>
        </w:rPr>
        <w:t>: EPİAŞ 202</w:t>
      </w:r>
      <w:r>
        <w:rPr>
          <w:rStyle w:val="Gl"/>
          <w:color w:val="000000" w:themeColor="text1"/>
        </w:rPr>
        <w:t>3</w:t>
      </w:r>
      <w:r w:rsidRPr="00FA1354">
        <w:rPr>
          <w:rStyle w:val="Gl"/>
          <w:color w:val="000000" w:themeColor="text1"/>
        </w:rPr>
        <w:t xml:space="preserve"> Yılı Piyasa İşletim Gelir Tavanı</w:t>
      </w:r>
      <w:r>
        <w:rPr>
          <w:rStyle w:val="Gl"/>
          <w:color w:val="000000" w:themeColor="text1"/>
        </w:rPr>
        <w:t xml:space="preserve"> (TL)</w:t>
      </w:r>
      <w:bookmarkEnd w:id="285"/>
    </w:p>
    <w:tbl>
      <w:tblPr>
        <w:tblW w:w="5000" w:type="pct"/>
        <w:jc w:val="center"/>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left w:w="70" w:type="dxa"/>
          <w:right w:w="70" w:type="dxa"/>
        </w:tblCellMar>
        <w:tblLook w:val="04A0" w:firstRow="1" w:lastRow="0" w:firstColumn="1" w:lastColumn="0" w:noHBand="0" w:noVBand="1"/>
      </w:tblPr>
      <w:tblGrid>
        <w:gridCol w:w="8128"/>
        <w:gridCol w:w="1784"/>
      </w:tblGrid>
      <w:tr w:rsidR="00181C6C" w:rsidRPr="00E80962" w:rsidTr="008F2A61">
        <w:trPr>
          <w:trHeight w:val="315"/>
          <w:jc w:val="center"/>
        </w:trPr>
        <w:tc>
          <w:tcPr>
            <w:tcW w:w="4100" w:type="pct"/>
            <w:shd w:val="clear" w:color="auto" w:fill="auto"/>
            <w:noWrap/>
            <w:vAlign w:val="center"/>
            <w:hideMark/>
          </w:tcPr>
          <w:p w:rsidR="00181C6C" w:rsidRPr="00E80962" w:rsidRDefault="00181C6C" w:rsidP="008F2A61">
            <w:pPr>
              <w:spacing w:after="0" w:line="240" w:lineRule="auto"/>
              <w:rPr>
                <w:rFonts w:eastAsia="Times New Roman" w:cs="Calibri"/>
                <w:bCs/>
                <w:lang w:eastAsia="tr-TR"/>
              </w:rPr>
            </w:pPr>
            <w:r w:rsidRPr="00E80962">
              <w:rPr>
                <w:rFonts w:eastAsia="Times New Roman" w:cs="Calibri"/>
                <w:bCs/>
                <w:lang w:eastAsia="tr-TR"/>
              </w:rPr>
              <w:t>202</w:t>
            </w:r>
            <w:r>
              <w:rPr>
                <w:rFonts w:eastAsia="Times New Roman" w:cs="Calibri"/>
                <w:bCs/>
                <w:lang w:eastAsia="tr-TR"/>
              </w:rPr>
              <w:t>3</w:t>
            </w:r>
            <w:r w:rsidRPr="00E80962">
              <w:rPr>
                <w:rFonts w:eastAsia="Times New Roman" w:cs="Calibri"/>
                <w:bCs/>
                <w:lang w:eastAsia="tr-TR"/>
              </w:rPr>
              <w:t xml:space="preserve"> Yılı Piyasa İşletim Gelir Tavanı - Doğal Gaz Piyasası Payı </w:t>
            </w:r>
            <w:r w:rsidRPr="00E80962">
              <w:rPr>
                <w:rFonts w:eastAsia="Times New Roman" w:cs="Calibri"/>
                <w:lang w:eastAsia="tr-TR"/>
              </w:rPr>
              <w:t>(TL - TÜFE=</w:t>
            </w:r>
            <w:r>
              <w:rPr>
                <w:rFonts w:eastAsia="Times New Roman" w:cs="Calibri"/>
                <w:lang w:eastAsia="tr-TR"/>
              </w:rPr>
              <w:t>1353,61</w:t>
            </w:r>
            <w:r w:rsidRPr="00E80962">
              <w:rPr>
                <w:rFonts w:eastAsia="Times New Roman" w:cs="Calibri"/>
                <w:lang w:eastAsia="tr-TR"/>
              </w:rPr>
              <w:t>)</w:t>
            </w:r>
          </w:p>
        </w:tc>
        <w:tc>
          <w:tcPr>
            <w:tcW w:w="900" w:type="pct"/>
            <w:shd w:val="clear" w:color="auto" w:fill="auto"/>
            <w:noWrap/>
            <w:vAlign w:val="center"/>
            <w:hideMark/>
          </w:tcPr>
          <w:p w:rsidR="00181C6C" w:rsidRPr="00E80962" w:rsidRDefault="00181C6C" w:rsidP="008F2A61">
            <w:pPr>
              <w:spacing w:after="0" w:line="240" w:lineRule="auto"/>
              <w:jc w:val="right"/>
              <w:rPr>
                <w:rFonts w:eastAsia="Times New Roman" w:cs="Calibri"/>
                <w:bCs/>
                <w:lang w:eastAsia="tr-TR"/>
              </w:rPr>
            </w:pPr>
            <w:r>
              <w:rPr>
                <w:rFonts w:eastAsia="Times New Roman" w:cs="Calibri"/>
                <w:bCs/>
                <w:lang w:eastAsia="tr-TR"/>
              </w:rPr>
              <w:t>26.651.671</w:t>
            </w:r>
          </w:p>
        </w:tc>
      </w:tr>
    </w:tbl>
    <w:p w:rsidR="00181C6C" w:rsidRPr="0092015A" w:rsidRDefault="00181C6C" w:rsidP="002C3099">
      <w:pPr>
        <w:rPr>
          <w:color w:val="000000" w:themeColor="text1"/>
          <w:sz w:val="18"/>
        </w:rPr>
      </w:pPr>
    </w:p>
    <w:p w:rsidR="002C3099" w:rsidRPr="00FA1354" w:rsidRDefault="002C3099" w:rsidP="000A5A56">
      <w:pPr>
        <w:pStyle w:val="Balk3"/>
        <w:numPr>
          <w:ilvl w:val="2"/>
          <w:numId w:val="11"/>
        </w:numPr>
        <w:spacing w:after="240"/>
        <w:rPr>
          <w:rFonts w:asciiTheme="minorHAnsi" w:hAnsiTheme="minorHAnsi"/>
          <w:color w:val="000000" w:themeColor="text1"/>
        </w:rPr>
      </w:pPr>
      <w:bookmarkStart w:id="286" w:name="_Toc66267386"/>
      <w:bookmarkStart w:id="287" w:name="_Toc132713818"/>
      <w:r w:rsidRPr="00FA1354">
        <w:rPr>
          <w:rFonts w:asciiTheme="minorHAnsi" w:hAnsiTheme="minorHAnsi"/>
          <w:color w:val="000000" w:themeColor="text1"/>
        </w:rPr>
        <w:t>Bağlantı Tarifeleri</w:t>
      </w:r>
      <w:bookmarkEnd w:id="286"/>
      <w:bookmarkEnd w:id="287"/>
    </w:p>
    <w:p w:rsidR="002C3099" w:rsidRPr="00FD7557" w:rsidRDefault="00181C6C" w:rsidP="002C3099">
      <w:pPr>
        <w:spacing w:after="0"/>
        <w:rPr>
          <w:color w:val="000000" w:themeColor="text1"/>
        </w:rPr>
      </w:pPr>
      <w:r>
        <w:rPr>
          <w:color w:val="000000" w:themeColor="text1"/>
        </w:rPr>
        <w:t>24</w:t>
      </w:r>
      <w:r w:rsidRPr="00FD7557">
        <w:rPr>
          <w:color w:val="000000" w:themeColor="text1"/>
        </w:rPr>
        <w:t>.12.202</w:t>
      </w:r>
      <w:r>
        <w:rPr>
          <w:color w:val="000000" w:themeColor="text1"/>
        </w:rPr>
        <w:t>2</w:t>
      </w:r>
      <w:r w:rsidRPr="00FD7557">
        <w:rPr>
          <w:color w:val="000000" w:themeColor="text1"/>
        </w:rPr>
        <w:t xml:space="preserve"> tarihli ve 3</w:t>
      </w:r>
      <w:r>
        <w:rPr>
          <w:color w:val="000000" w:themeColor="text1"/>
        </w:rPr>
        <w:t>2053</w:t>
      </w:r>
      <w:r w:rsidRPr="00FD7557">
        <w:rPr>
          <w:color w:val="000000" w:themeColor="text1"/>
        </w:rPr>
        <w:t xml:space="preserve">sayılı Resmî </w:t>
      </w:r>
      <w:r w:rsidR="00274939">
        <w:rPr>
          <w:color w:val="000000" w:themeColor="text1"/>
        </w:rPr>
        <w:t>Gazetede</w:t>
      </w:r>
      <w:r w:rsidRPr="00FD7557">
        <w:rPr>
          <w:color w:val="000000" w:themeColor="text1"/>
        </w:rPr>
        <w:t xml:space="preserve"> yayımlanan </w:t>
      </w:r>
      <w:r>
        <w:rPr>
          <w:color w:val="000000" w:themeColor="text1"/>
        </w:rPr>
        <w:t>22</w:t>
      </w:r>
      <w:r w:rsidRPr="00FD7557">
        <w:rPr>
          <w:color w:val="000000" w:themeColor="text1"/>
        </w:rPr>
        <w:t>.12.202</w:t>
      </w:r>
      <w:r>
        <w:rPr>
          <w:color w:val="000000" w:themeColor="text1"/>
        </w:rPr>
        <w:t>2</w:t>
      </w:r>
      <w:r w:rsidRPr="00FD7557">
        <w:rPr>
          <w:color w:val="000000" w:themeColor="text1"/>
        </w:rPr>
        <w:t xml:space="preserve"> tarihli ve </w:t>
      </w:r>
      <w:r>
        <w:rPr>
          <w:color w:val="000000" w:themeColor="text1"/>
        </w:rPr>
        <w:t>11485</w:t>
      </w:r>
      <w:r w:rsidRPr="00FD7557">
        <w:rPr>
          <w:color w:val="000000" w:themeColor="text1"/>
        </w:rPr>
        <w:t xml:space="preserve"> sayılı Kurul Kararı ile Doğal Gaz Dağıtım Sektörü Bağlantı ve Hizmet Bedellerine İlişkin Usul ve Esaslarda yer verilen bedellerin belirlenmesine yönelik karar alınmıştır. 202</w:t>
      </w:r>
      <w:r>
        <w:rPr>
          <w:color w:val="000000" w:themeColor="text1"/>
        </w:rPr>
        <w:t>3</w:t>
      </w:r>
      <w:r w:rsidRPr="00FD7557">
        <w:rPr>
          <w:color w:val="000000" w:themeColor="text1"/>
        </w:rPr>
        <w:t xml:space="preserve"> yılına ilişkin güncellenmiş bedeller Tablo 4.2</w:t>
      </w:r>
      <w:r>
        <w:rPr>
          <w:color w:val="000000" w:themeColor="text1"/>
        </w:rPr>
        <w:t>3</w:t>
      </w:r>
      <w:r w:rsidRPr="00FD7557">
        <w:rPr>
          <w:color w:val="000000" w:themeColor="text1"/>
        </w:rPr>
        <w:t>’</w:t>
      </w:r>
      <w:r>
        <w:rPr>
          <w:color w:val="000000" w:themeColor="text1"/>
        </w:rPr>
        <w:t>t</w:t>
      </w:r>
      <w:r w:rsidRPr="00FD7557">
        <w:rPr>
          <w:color w:val="000000" w:themeColor="text1"/>
        </w:rPr>
        <w:t>e yer almaktadır.</w:t>
      </w:r>
    </w:p>
    <w:p w:rsidR="002C3099" w:rsidRDefault="002C3099" w:rsidP="002C3099">
      <w:pPr>
        <w:pStyle w:val="Balk5"/>
        <w:jc w:val="center"/>
        <w:rPr>
          <w:rStyle w:val="Gl"/>
          <w:color w:val="000000" w:themeColor="text1"/>
        </w:rPr>
      </w:pPr>
      <w:bookmarkStart w:id="288" w:name="_Toc66267489"/>
      <w:bookmarkStart w:id="289" w:name="_Toc132713926"/>
      <w:r w:rsidRPr="00FA1354">
        <w:rPr>
          <w:rStyle w:val="Gl"/>
          <w:color w:val="000000" w:themeColor="text1"/>
        </w:rPr>
        <w:t>Tablo 4.2</w:t>
      </w:r>
      <w:r w:rsidR="00F12D15" w:rsidRPr="00FA1354">
        <w:rPr>
          <w:rStyle w:val="Gl"/>
          <w:color w:val="000000" w:themeColor="text1"/>
        </w:rPr>
        <w:t>3</w:t>
      </w:r>
      <w:r w:rsidRPr="00FA1354">
        <w:rPr>
          <w:rStyle w:val="Gl"/>
          <w:color w:val="000000" w:themeColor="text1"/>
        </w:rPr>
        <w:t>: Dağıtım Şirketleri İçin Belirlenen Bağlantı Tarifeleri</w:t>
      </w:r>
      <w:bookmarkEnd w:id="288"/>
      <w:bookmarkEnd w:id="289"/>
    </w:p>
    <w:tbl>
      <w:tblPr>
        <w:tblW w:w="4156"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5410"/>
        <w:gridCol w:w="1415"/>
        <w:gridCol w:w="1414"/>
      </w:tblGrid>
      <w:tr w:rsidR="00D76625" w:rsidRPr="00DC690D" w:rsidTr="001B6113">
        <w:trPr>
          <w:trHeight w:val="20"/>
          <w:jc w:val="center"/>
        </w:trPr>
        <w:tc>
          <w:tcPr>
            <w:tcW w:w="3283" w:type="pct"/>
            <w:shd w:val="clear" w:color="auto" w:fill="548DD4" w:themeFill="text2" w:themeFillTint="99"/>
            <w:noWrap/>
            <w:vAlign w:val="center"/>
            <w:hideMark/>
          </w:tcPr>
          <w:p w:rsidR="00D76625" w:rsidRPr="00DC690D" w:rsidRDefault="00D76625" w:rsidP="00D76625">
            <w:pPr>
              <w:jc w:val="left"/>
              <w:rPr>
                <w:rFonts w:cstheme="minorHAnsi"/>
                <w:b/>
                <w:bCs/>
                <w:color w:val="FFFFFF" w:themeColor="background1"/>
              </w:rPr>
            </w:pPr>
            <w:r w:rsidRPr="00DC690D">
              <w:rPr>
                <w:rFonts w:cstheme="minorHAnsi"/>
                <w:b/>
                <w:bCs/>
                <w:color w:val="FFFFFF" w:themeColor="background1"/>
              </w:rPr>
              <w:t>BAĞLANTI BEDELLERİ</w:t>
            </w:r>
          </w:p>
        </w:tc>
        <w:tc>
          <w:tcPr>
            <w:tcW w:w="859" w:type="pct"/>
            <w:shd w:val="clear" w:color="auto" w:fill="548DD4" w:themeFill="text2" w:themeFillTint="99"/>
            <w:noWrap/>
            <w:vAlign w:val="center"/>
            <w:hideMark/>
          </w:tcPr>
          <w:p w:rsidR="00D76625" w:rsidRPr="00DC690D" w:rsidRDefault="00D76625" w:rsidP="00D76625">
            <w:pPr>
              <w:jc w:val="center"/>
              <w:rPr>
                <w:rFonts w:cstheme="minorHAnsi"/>
                <w:b/>
                <w:bCs/>
                <w:color w:val="FFFFFF" w:themeColor="background1"/>
              </w:rPr>
            </w:pPr>
            <w:r w:rsidRPr="00DC690D">
              <w:rPr>
                <w:rFonts w:cstheme="minorHAnsi"/>
                <w:b/>
                <w:bCs/>
                <w:color w:val="FFFFFF" w:themeColor="background1"/>
              </w:rPr>
              <w:t>202</w:t>
            </w:r>
            <w:r w:rsidR="00181C6C">
              <w:rPr>
                <w:rFonts w:cstheme="minorHAnsi"/>
                <w:b/>
                <w:bCs/>
                <w:color w:val="FFFFFF" w:themeColor="background1"/>
              </w:rPr>
              <w:t>2</w:t>
            </w:r>
            <w:r w:rsidRPr="00DC690D">
              <w:rPr>
                <w:rFonts w:cstheme="minorHAnsi"/>
                <w:b/>
                <w:bCs/>
                <w:color w:val="FFFFFF" w:themeColor="background1"/>
              </w:rPr>
              <w:t xml:space="preserve"> </w:t>
            </w:r>
          </w:p>
        </w:tc>
        <w:tc>
          <w:tcPr>
            <w:tcW w:w="858" w:type="pct"/>
            <w:shd w:val="clear" w:color="auto" w:fill="548DD4" w:themeFill="text2" w:themeFillTint="99"/>
            <w:noWrap/>
            <w:vAlign w:val="center"/>
            <w:hideMark/>
          </w:tcPr>
          <w:p w:rsidR="00D76625" w:rsidRPr="00DC690D" w:rsidRDefault="00D76625" w:rsidP="00D76625">
            <w:pPr>
              <w:jc w:val="center"/>
              <w:rPr>
                <w:rFonts w:cstheme="minorHAnsi"/>
                <w:b/>
                <w:bCs/>
                <w:color w:val="FFFFFF" w:themeColor="background1"/>
              </w:rPr>
            </w:pPr>
            <w:r w:rsidRPr="00DC690D">
              <w:rPr>
                <w:rFonts w:cstheme="minorHAnsi"/>
                <w:b/>
                <w:bCs/>
                <w:color w:val="FFFFFF" w:themeColor="background1"/>
              </w:rPr>
              <w:t>202</w:t>
            </w:r>
            <w:r w:rsidR="00181C6C">
              <w:rPr>
                <w:rFonts w:cstheme="minorHAnsi"/>
                <w:b/>
                <w:bCs/>
                <w:color w:val="FFFFFF" w:themeColor="background1"/>
              </w:rPr>
              <w:t>3</w:t>
            </w:r>
          </w:p>
        </w:tc>
      </w:tr>
      <w:tr w:rsidR="001B6113" w:rsidRPr="00DC690D" w:rsidTr="001B6113">
        <w:trPr>
          <w:trHeight w:val="20"/>
          <w:jc w:val="center"/>
        </w:trPr>
        <w:tc>
          <w:tcPr>
            <w:tcW w:w="3283" w:type="pct"/>
            <w:shd w:val="clear" w:color="auto" w:fill="auto"/>
            <w:noWrap/>
            <w:vAlign w:val="center"/>
            <w:hideMark/>
          </w:tcPr>
          <w:p w:rsidR="001B6113" w:rsidRPr="00DC690D" w:rsidRDefault="001B6113" w:rsidP="001B6113">
            <w:pPr>
              <w:spacing w:after="0" w:line="240" w:lineRule="auto"/>
              <w:rPr>
                <w:rFonts w:cstheme="minorHAnsi"/>
                <w:color w:val="000000" w:themeColor="text1"/>
              </w:rPr>
            </w:pPr>
            <w:r w:rsidRPr="00DC690D">
              <w:rPr>
                <w:rFonts w:cstheme="minorHAnsi"/>
                <w:color w:val="000000" w:themeColor="text1"/>
              </w:rPr>
              <w:t>Abone Bağlantı Bedeli (TL)</w:t>
            </w:r>
          </w:p>
        </w:tc>
        <w:tc>
          <w:tcPr>
            <w:tcW w:w="859" w:type="pct"/>
            <w:shd w:val="clear" w:color="auto" w:fill="auto"/>
            <w:noWrap/>
            <w:hideMark/>
          </w:tcPr>
          <w:p w:rsidR="001B6113" w:rsidRPr="00DC690D" w:rsidRDefault="001B6113" w:rsidP="001B6113">
            <w:pPr>
              <w:spacing w:after="0" w:line="240" w:lineRule="auto"/>
              <w:jc w:val="center"/>
              <w:rPr>
                <w:rFonts w:cstheme="minorHAnsi"/>
                <w:color w:val="000000" w:themeColor="text1"/>
              </w:rPr>
            </w:pPr>
            <w:r w:rsidRPr="00DC690D">
              <w:rPr>
                <w:rFonts w:cstheme="minorHAnsi"/>
              </w:rPr>
              <w:t>1158</w:t>
            </w:r>
          </w:p>
        </w:tc>
        <w:tc>
          <w:tcPr>
            <w:tcW w:w="858" w:type="pct"/>
            <w:shd w:val="clear" w:color="auto" w:fill="auto"/>
            <w:noWrap/>
            <w:hideMark/>
          </w:tcPr>
          <w:p w:rsidR="001B6113" w:rsidRPr="00DC690D" w:rsidRDefault="001B6113" w:rsidP="001B6113">
            <w:pPr>
              <w:spacing w:after="0" w:line="240" w:lineRule="auto"/>
              <w:jc w:val="center"/>
              <w:rPr>
                <w:rFonts w:cstheme="minorHAnsi"/>
                <w:color w:val="000000" w:themeColor="text1"/>
              </w:rPr>
            </w:pPr>
            <w:r>
              <w:rPr>
                <w:rFonts w:cstheme="minorHAnsi"/>
              </w:rPr>
              <w:t>2135</w:t>
            </w:r>
          </w:p>
        </w:tc>
      </w:tr>
      <w:tr w:rsidR="001B6113" w:rsidRPr="00DC690D" w:rsidTr="001B6113">
        <w:trPr>
          <w:trHeight w:val="20"/>
          <w:jc w:val="center"/>
        </w:trPr>
        <w:tc>
          <w:tcPr>
            <w:tcW w:w="3283" w:type="pct"/>
            <w:shd w:val="clear" w:color="auto" w:fill="auto"/>
            <w:noWrap/>
            <w:vAlign w:val="center"/>
            <w:hideMark/>
          </w:tcPr>
          <w:p w:rsidR="001B6113" w:rsidRPr="00DC690D" w:rsidRDefault="001B6113" w:rsidP="001B6113">
            <w:pPr>
              <w:spacing w:after="0" w:line="240" w:lineRule="auto"/>
              <w:rPr>
                <w:rFonts w:cstheme="minorHAnsi"/>
                <w:color w:val="000000" w:themeColor="text1"/>
              </w:rPr>
            </w:pPr>
            <w:r w:rsidRPr="00DC690D">
              <w:rPr>
                <w:rFonts w:cstheme="minorHAnsi"/>
                <w:color w:val="000000" w:themeColor="text1"/>
              </w:rPr>
              <w:t>İlave Abone Bağlantı Bedeli (TL/100 m</w:t>
            </w:r>
            <w:r w:rsidRPr="00DC690D">
              <w:rPr>
                <w:rFonts w:cstheme="minorHAnsi"/>
                <w:color w:val="000000" w:themeColor="text1"/>
                <w:vertAlign w:val="superscript"/>
              </w:rPr>
              <w:t>2</w:t>
            </w:r>
            <w:r w:rsidRPr="00DC690D">
              <w:rPr>
                <w:rFonts w:cstheme="minorHAnsi"/>
                <w:color w:val="000000" w:themeColor="text1"/>
              </w:rPr>
              <w:t>)</w:t>
            </w:r>
          </w:p>
        </w:tc>
        <w:tc>
          <w:tcPr>
            <w:tcW w:w="859" w:type="pct"/>
            <w:shd w:val="clear" w:color="auto" w:fill="auto"/>
            <w:noWrap/>
            <w:hideMark/>
          </w:tcPr>
          <w:p w:rsidR="001B6113" w:rsidRPr="00DC690D" w:rsidRDefault="001B6113" w:rsidP="001B6113">
            <w:pPr>
              <w:spacing w:after="0" w:line="240" w:lineRule="auto"/>
              <w:jc w:val="center"/>
              <w:rPr>
                <w:rFonts w:cstheme="minorHAnsi"/>
                <w:color w:val="000000" w:themeColor="text1"/>
              </w:rPr>
            </w:pPr>
            <w:r w:rsidRPr="00DC690D">
              <w:rPr>
                <w:rFonts w:cstheme="minorHAnsi"/>
              </w:rPr>
              <w:t>1007</w:t>
            </w:r>
          </w:p>
        </w:tc>
        <w:tc>
          <w:tcPr>
            <w:tcW w:w="858" w:type="pct"/>
            <w:shd w:val="clear" w:color="auto" w:fill="auto"/>
            <w:noWrap/>
            <w:hideMark/>
          </w:tcPr>
          <w:p w:rsidR="001B6113" w:rsidRPr="00DC690D" w:rsidRDefault="001B6113" w:rsidP="001B6113">
            <w:pPr>
              <w:spacing w:after="0" w:line="240" w:lineRule="auto"/>
              <w:jc w:val="center"/>
              <w:rPr>
                <w:rFonts w:cstheme="minorHAnsi"/>
                <w:color w:val="000000" w:themeColor="text1"/>
              </w:rPr>
            </w:pPr>
            <w:r>
              <w:rPr>
                <w:rFonts w:cstheme="minorHAnsi"/>
              </w:rPr>
              <w:t>1857</w:t>
            </w:r>
          </w:p>
        </w:tc>
      </w:tr>
      <w:tr w:rsidR="001B6113" w:rsidRPr="00DC690D" w:rsidTr="001B6113">
        <w:trPr>
          <w:trHeight w:val="20"/>
          <w:jc w:val="center"/>
        </w:trPr>
        <w:tc>
          <w:tcPr>
            <w:tcW w:w="3283" w:type="pct"/>
            <w:shd w:val="clear" w:color="auto" w:fill="auto"/>
            <w:noWrap/>
            <w:vAlign w:val="center"/>
            <w:hideMark/>
          </w:tcPr>
          <w:p w:rsidR="001B6113" w:rsidRPr="00DC690D" w:rsidRDefault="001B6113" w:rsidP="001B6113">
            <w:pPr>
              <w:spacing w:after="0" w:line="240" w:lineRule="auto"/>
              <w:rPr>
                <w:rFonts w:cstheme="minorHAnsi"/>
                <w:color w:val="000000" w:themeColor="text1"/>
              </w:rPr>
            </w:pPr>
            <w:r w:rsidRPr="00DC690D">
              <w:rPr>
                <w:rFonts w:cstheme="minorHAnsi"/>
                <w:color w:val="000000" w:themeColor="text1"/>
              </w:rPr>
              <w:t>Bağlantı Kontrol ve Onay Bedeli (İlk 100 metre için) (TL)</w:t>
            </w:r>
          </w:p>
        </w:tc>
        <w:tc>
          <w:tcPr>
            <w:tcW w:w="859" w:type="pct"/>
            <w:shd w:val="clear" w:color="auto" w:fill="auto"/>
            <w:noWrap/>
            <w:hideMark/>
          </w:tcPr>
          <w:p w:rsidR="001B6113" w:rsidRPr="00DC690D" w:rsidRDefault="001B6113" w:rsidP="001B6113">
            <w:pPr>
              <w:spacing w:after="0" w:line="240" w:lineRule="auto"/>
              <w:jc w:val="center"/>
              <w:rPr>
                <w:rFonts w:cstheme="minorHAnsi"/>
                <w:color w:val="000000" w:themeColor="text1"/>
              </w:rPr>
            </w:pPr>
            <w:r w:rsidRPr="00DC690D">
              <w:rPr>
                <w:rFonts w:cstheme="minorHAnsi"/>
              </w:rPr>
              <w:t>790</w:t>
            </w:r>
          </w:p>
        </w:tc>
        <w:tc>
          <w:tcPr>
            <w:tcW w:w="858" w:type="pct"/>
            <w:shd w:val="clear" w:color="auto" w:fill="auto"/>
            <w:noWrap/>
          </w:tcPr>
          <w:p w:rsidR="001B6113" w:rsidRPr="00DC690D" w:rsidRDefault="001B6113" w:rsidP="001B6113">
            <w:pPr>
              <w:spacing w:after="0" w:line="240" w:lineRule="auto"/>
              <w:jc w:val="center"/>
              <w:rPr>
                <w:rFonts w:cstheme="minorHAnsi"/>
                <w:color w:val="000000" w:themeColor="text1"/>
              </w:rPr>
            </w:pPr>
            <w:r>
              <w:rPr>
                <w:rFonts w:cstheme="minorHAnsi"/>
              </w:rPr>
              <w:t>1457</w:t>
            </w:r>
          </w:p>
        </w:tc>
      </w:tr>
      <w:tr w:rsidR="001B6113" w:rsidRPr="00DC690D" w:rsidTr="001B6113">
        <w:trPr>
          <w:trHeight w:val="20"/>
          <w:jc w:val="center"/>
        </w:trPr>
        <w:tc>
          <w:tcPr>
            <w:tcW w:w="3283" w:type="pct"/>
            <w:shd w:val="clear" w:color="auto" w:fill="auto"/>
            <w:noWrap/>
            <w:vAlign w:val="center"/>
            <w:hideMark/>
          </w:tcPr>
          <w:p w:rsidR="001B6113" w:rsidRPr="00DC690D" w:rsidRDefault="001B6113" w:rsidP="001B6113">
            <w:pPr>
              <w:spacing w:after="0" w:line="240" w:lineRule="auto"/>
              <w:rPr>
                <w:rFonts w:cstheme="minorHAnsi"/>
                <w:color w:val="000000" w:themeColor="text1"/>
              </w:rPr>
            </w:pPr>
            <w:r w:rsidRPr="00DC690D">
              <w:rPr>
                <w:rFonts w:cstheme="minorHAnsi"/>
                <w:color w:val="000000" w:themeColor="text1"/>
              </w:rPr>
              <w:t>Bağlantı Kontrol ve Onay Bedeli (İlave her 1 metre için) (TL)</w:t>
            </w:r>
          </w:p>
        </w:tc>
        <w:tc>
          <w:tcPr>
            <w:tcW w:w="859" w:type="pct"/>
            <w:shd w:val="clear" w:color="auto" w:fill="auto"/>
            <w:noWrap/>
            <w:hideMark/>
          </w:tcPr>
          <w:p w:rsidR="001B6113" w:rsidRPr="00DC690D" w:rsidRDefault="001B6113" w:rsidP="001B6113">
            <w:pPr>
              <w:spacing w:after="0" w:line="240" w:lineRule="auto"/>
              <w:jc w:val="center"/>
              <w:rPr>
                <w:rFonts w:cstheme="minorHAnsi"/>
                <w:color w:val="000000" w:themeColor="text1"/>
              </w:rPr>
            </w:pPr>
            <w:r w:rsidRPr="00DC690D">
              <w:rPr>
                <w:rFonts w:cstheme="minorHAnsi"/>
              </w:rPr>
              <w:t>4,9</w:t>
            </w:r>
          </w:p>
        </w:tc>
        <w:tc>
          <w:tcPr>
            <w:tcW w:w="858" w:type="pct"/>
            <w:shd w:val="clear" w:color="auto" w:fill="auto"/>
            <w:noWrap/>
          </w:tcPr>
          <w:p w:rsidR="001B6113" w:rsidRPr="00DC690D" w:rsidRDefault="001B6113" w:rsidP="001B6113">
            <w:pPr>
              <w:spacing w:after="0" w:line="240" w:lineRule="auto"/>
              <w:jc w:val="center"/>
              <w:rPr>
                <w:rFonts w:cstheme="minorHAnsi"/>
                <w:color w:val="000000" w:themeColor="text1"/>
              </w:rPr>
            </w:pPr>
            <w:r>
              <w:rPr>
                <w:rFonts w:cstheme="minorHAnsi"/>
              </w:rPr>
              <w:t>9</w:t>
            </w:r>
          </w:p>
        </w:tc>
      </w:tr>
      <w:tr w:rsidR="001B6113" w:rsidRPr="00DC690D" w:rsidTr="001B6113">
        <w:trPr>
          <w:trHeight w:val="20"/>
          <w:jc w:val="center"/>
        </w:trPr>
        <w:tc>
          <w:tcPr>
            <w:tcW w:w="3283" w:type="pct"/>
            <w:shd w:val="clear" w:color="auto" w:fill="auto"/>
            <w:noWrap/>
            <w:vAlign w:val="center"/>
            <w:hideMark/>
          </w:tcPr>
          <w:p w:rsidR="001B6113" w:rsidRPr="00DC690D" w:rsidRDefault="001B6113" w:rsidP="001B6113">
            <w:pPr>
              <w:spacing w:after="0" w:line="240" w:lineRule="auto"/>
              <w:rPr>
                <w:rFonts w:cstheme="minorHAnsi"/>
                <w:color w:val="000000" w:themeColor="text1"/>
              </w:rPr>
            </w:pPr>
            <w:r w:rsidRPr="00DC690D">
              <w:rPr>
                <w:rFonts w:cstheme="minorHAnsi"/>
                <w:color w:val="000000" w:themeColor="text1"/>
              </w:rPr>
              <w:t>Güvence Bedeli Kombi (TL/Adet)</w:t>
            </w:r>
          </w:p>
        </w:tc>
        <w:tc>
          <w:tcPr>
            <w:tcW w:w="859" w:type="pct"/>
            <w:shd w:val="clear" w:color="auto" w:fill="auto"/>
            <w:noWrap/>
            <w:hideMark/>
          </w:tcPr>
          <w:p w:rsidR="001B6113" w:rsidRPr="00DC690D" w:rsidRDefault="001B6113" w:rsidP="001B6113">
            <w:pPr>
              <w:spacing w:after="0" w:line="240" w:lineRule="auto"/>
              <w:jc w:val="center"/>
              <w:rPr>
                <w:rFonts w:cstheme="minorHAnsi"/>
                <w:color w:val="000000" w:themeColor="text1"/>
              </w:rPr>
            </w:pPr>
            <w:r w:rsidRPr="00DC690D">
              <w:rPr>
                <w:rFonts w:cstheme="minorHAnsi"/>
              </w:rPr>
              <w:t>733</w:t>
            </w:r>
          </w:p>
        </w:tc>
        <w:tc>
          <w:tcPr>
            <w:tcW w:w="858" w:type="pct"/>
            <w:shd w:val="clear" w:color="auto" w:fill="auto"/>
            <w:noWrap/>
          </w:tcPr>
          <w:p w:rsidR="001B6113" w:rsidRPr="00DC690D" w:rsidRDefault="001B6113" w:rsidP="001B6113">
            <w:pPr>
              <w:spacing w:after="0" w:line="240" w:lineRule="auto"/>
              <w:jc w:val="center"/>
              <w:rPr>
                <w:rFonts w:cstheme="minorHAnsi"/>
                <w:color w:val="000000" w:themeColor="text1"/>
              </w:rPr>
            </w:pPr>
            <w:r>
              <w:rPr>
                <w:rFonts w:cstheme="minorHAnsi"/>
              </w:rPr>
              <w:t>1352</w:t>
            </w:r>
          </w:p>
        </w:tc>
      </w:tr>
      <w:tr w:rsidR="001B6113" w:rsidRPr="00DC690D" w:rsidTr="001B6113">
        <w:trPr>
          <w:trHeight w:val="20"/>
          <w:jc w:val="center"/>
        </w:trPr>
        <w:tc>
          <w:tcPr>
            <w:tcW w:w="3283" w:type="pct"/>
            <w:shd w:val="clear" w:color="auto" w:fill="auto"/>
            <w:noWrap/>
            <w:vAlign w:val="center"/>
            <w:hideMark/>
          </w:tcPr>
          <w:p w:rsidR="001B6113" w:rsidRPr="00DC690D" w:rsidRDefault="001B6113" w:rsidP="001B6113">
            <w:pPr>
              <w:spacing w:after="0" w:line="240" w:lineRule="auto"/>
              <w:rPr>
                <w:rFonts w:cstheme="minorHAnsi"/>
                <w:color w:val="000000" w:themeColor="text1"/>
              </w:rPr>
            </w:pPr>
            <w:r w:rsidRPr="00DC690D">
              <w:rPr>
                <w:rFonts w:cstheme="minorHAnsi"/>
                <w:color w:val="000000" w:themeColor="text1"/>
              </w:rPr>
              <w:t>Güvence Bedeli Soba (TL/Konut)</w:t>
            </w:r>
          </w:p>
        </w:tc>
        <w:tc>
          <w:tcPr>
            <w:tcW w:w="859" w:type="pct"/>
            <w:shd w:val="clear" w:color="auto" w:fill="auto"/>
            <w:noWrap/>
            <w:hideMark/>
          </w:tcPr>
          <w:p w:rsidR="001B6113" w:rsidRPr="00DC690D" w:rsidRDefault="001B6113" w:rsidP="001B6113">
            <w:pPr>
              <w:spacing w:after="0" w:line="240" w:lineRule="auto"/>
              <w:jc w:val="center"/>
              <w:rPr>
                <w:rFonts w:cstheme="minorHAnsi"/>
                <w:color w:val="000000" w:themeColor="text1"/>
              </w:rPr>
            </w:pPr>
            <w:r w:rsidRPr="00DC690D">
              <w:rPr>
                <w:rFonts w:cstheme="minorHAnsi"/>
              </w:rPr>
              <w:t>650</w:t>
            </w:r>
          </w:p>
        </w:tc>
        <w:tc>
          <w:tcPr>
            <w:tcW w:w="858" w:type="pct"/>
            <w:shd w:val="clear" w:color="auto" w:fill="auto"/>
            <w:noWrap/>
          </w:tcPr>
          <w:p w:rsidR="001B6113" w:rsidRPr="00DC690D" w:rsidRDefault="001B6113" w:rsidP="001B6113">
            <w:pPr>
              <w:spacing w:after="0" w:line="240" w:lineRule="auto"/>
              <w:jc w:val="center"/>
              <w:rPr>
                <w:rFonts w:cstheme="minorHAnsi"/>
                <w:color w:val="000000" w:themeColor="text1"/>
              </w:rPr>
            </w:pPr>
            <w:r>
              <w:rPr>
                <w:rFonts w:cstheme="minorHAnsi"/>
              </w:rPr>
              <w:t>1199</w:t>
            </w:r>
          </w:p>
        </w:tc>
      </w:tr>
      <w:tr w:rsidR="001B6113" w:rsidRPr="00DC690D" w:rsidTr="001B6113">
        <w:trPr>
          <w:trHeight w:val="20"/>
          <w:jc w:val="center"/>
        </w:trPr>
        <w:tc>
          <w:tcPr>
            <w:tcW w:w="3283" w:type="pct"/>
            <w:shd w:val="clear" w:color="auto" w:fill="auto"/>
            <w:noWrap/>
            <w:vAlign w:val="center"/>
            <w:hideMark/>
          </w:tcPr>
          <w:p w:rsidR="001B6113" w:rsidRPr="00DC690D" w:rsidRDefault="001B6113" w:rsidP="001B6113">
            <w:pPr>
              <w:spacing w:after="0" w:line="240" w:lineRule="auto"/>
              <w:rPr>
                <w:rFonts w:cstheme="minorHAnsi"/>
                <w:color w:val="000000" w:themeColor="text1"/>
              </w:rPr>
            </w:pPr>
            <w:r w:rsidRPr="00DC690D">
              <w:rPr>
                <w:rFonts w:cstheme="minorHAnsi"/>
                <w:color w:val="000000" w:themeColor="text1"/>
              </w:rPr>
              <w:lastRenderedPageBreak/>
              <w:t>Güvence Bedeli Merkezi Sistem (TL/BBS)</w:t>
            </w:r>
          </w:p>
        </w:tc>
        <w:tc>
          <w:tcPr>
            <w:tcW w:w="859" w:type="pct"/>
            <w:shd w:val="clear" w:color="auto" w:fill="auto"/>
            <w:noWrap/>
            <w:hideMark/>
          </w:tcPr>
          <w:p w:rsidR="001B6113" w:rsidRPr="00DC690D" w:rsidRDefault="001B6113" w:rsidP="001B6113">
            <w:pPr>
              <w:spacing w:after="0" w:line="240" w:lineRule="auto"/>
              <w:jc w:val="center"/>
              <w:rPr>
                <w:rFonts w:cstheme="minorHAnsi"/>
                <w:color w:val="000000" w:themeColor="text1"/>
              </w:rPr>
            </w:pPr>
            <w:r w:rsidRPr="00DC690D">
              <w:rPr>
                <w:rFonts w:cstheme="minorHAnsi"/>
              </w:rPr>
              <w:t>650</w:t>
            </w:r>
          </w:p>
        </w:tc>
        <w:tc>
          <w:tcPr>
            <w:tcW w:w="858" w:type="pct"/>
            <w:shd w:val="clear" w:color="auto" w:fill="auto"/>
            <w:noWrap/>
          </w:tcPr>
          <w:p w:rsidR="001B6113" w:rsidRPr="00DC690D" w:rsidRDefault="001B6113" w:rsidP="001B6113">
            <w:pPr>
              <w:spacing w:after="0" w:line="240" w:lineRule="auto"/>
              <w:jc w:val="center"/>
              <w:rPr>
                <w:rFonts w:cstheme="minorHAnsi"/>
                <w:color w:val="000000" w:themeColor="text1"/>
              </w:rPr>
            </w:pPr>
            <w:r>
              <w:rPr>
                <w:rFonts w:cstheme="minorHAnsi"/>
              </w:rPr>
              <w:t>1199</w:t>
            </w:r>
          </w:p>
        </w:tc>
      </w:tr>
      <w:tr w:rsidR="001B6113" w:rsidRPr="00DC690D" w:rsidTr="001B6113">
        <w:trPr>
          <w:trHeight w:val="20"/>
          <w:jc w:val="center"/>
        </w:trPr>
        <w:tc>
          <w:tcPr>
            <w:tcW w:w="3283" w:type="pct"/>
            <w:shd w:val="clear" w:color="auto" w:fill="auto"/>
            <w:noWrap/>
            <w:vAlign w:val="center"/>
            <w:hideMark/>
          </w:tcPr>
          <w:p w:rsidR="001B6113" w:rsidRPr="00DC690D" w:rsidRDefault="001B6113" w:rsidP="001B6113">
            <w:pPr>
              <w:spacing w:after="0" w:line="240" w:lineRule="auto"/>
              <w:rPr>
                <w:rFonts w:cstheme="minorHAnsi"/>
                <w:color w:val="000000" w:themeColor="text1"/>
              </w:rPr>
            </w:pPr>
            <w:r w:rsidRPr="00DC690D">
              <w:rPr>
                <w:rFonts w:cstheme="minorHAnsi"/>
                <w:color w:val="000000" w:themeColor="text1"/>
              </w:rPr>
              <w:t>Güvence Bedeli Ocak (TL)</w:t>
            </w:r>
          </w:p>
        </w:tc>
        <w:tc>
          <w:tcPr>
            <w:tcW w:w="859" w:type="pct"/>
            <w:shd w:val="clear" w:color="auto" w:fill="auto"/>
            <w:noWrap/>
            <w:hideMark/>
          </w:tcPr>
          <w:p w:rsidR="001B6113" w:rsidRPr="00DC690D" w:rsidRDefault="001B6113" w:rsidP="001B6113">
            <w:pPr>
              <w:spacing w:after="0" w:line="240" w:lineRule="auto"/>
              <w:jc w:val="center"/>
              <w:rPr>
                <w:rFonts w:cstheme="minorHAnsi"/>
                <w:color w:val="000000" w:themeColor="text1"/>
              </w:rPr>
            </w:pPr>
            <w:r w:rsidRPr="00DC690D">
              <w:rPr>
                <w:rFonts w:cstheme="minorHAnsi"/>
              </w:rPr>
              <w:t>42</w:t>
            </w:r>
          </w:p>
        </w:tc>
        <w:tc>
          <w:tcPr>
            <w:tcW w:w="858" w:type="pct"/>
            <w:shd w:val="clear" w:color="auto" w:fill="auto"/>
            <w:noWrap/>
          </w:tcPr>
          <w:p w:rsidR="001B6113" w:rsidRPr="00DC690D" w:rsidRDefault="001B6113" w:rsidP="001B6113">
            <w:pPr>
              <w:spacing w:after="0" w:line="240" w:lineRule="auto"/>
              <w:jc w:val="center"/>
              <w:rPr>
                <w:rFonts w:cstheme="minorHAnsi"/>
                <w:color w:val="000000" w:themeColor="text1"/>
              </w:rPr>
            </w:pPr>
            <w:r>
              <w:rPr>
                <w:rFonts w:cstheme="minorHAnsi"/>
              </w:rPr>
              <w:t>77</w:t>
            </w:r>
          </w:p>
        </w:tc>
      </w:tr>
      <w:tr w:rsidR="001B6113" w:rsidRPr="00DC690D" w:rsidTr="001B6113">
        <w:trPr>
          <w:trHeight w:val="20"/>
          <w:jc w:val="center"/>
        </w:trPr>
        <w:tc>
          <w:tcPr>
            <w:tcW w:w="3283" w:type="pct"/>
            <w:shd w:val="clear" w:color="auto" w:fill="auto"/>
            <w:noWrap/>
            <w:vAlign w:val="center"/>
            <w:hideMark/>
          </w:tcPr>
          <w:p w:rsidR="001B6113" w:rsidRPr="00DC690D" w:rsidRDefault="001B6113" w:rsidP="001B6113">
            <w:pPr>
              <w:spacing w:after="0" w:line="240" w:lineRule="auto"/>
              <w:rPr>
                <w:rFonts w:cstheme="minorHAnsi"/>
                <w:color w:val="000000" w:themeColor="text1"/>
              </w:rPr>
            </w:pPr>
            <w:r w:rsidRPr="00DC690D">
              <w:rPr>
                <w:rFonts w:cstheme="minorHAnsi"/>
                <w:color w:val="000000" w:themeColor="text1"/>
              </w:rPr>
              <w:t>Güvence Bedeli Şofben (TL)</w:t>
            </w:r>
          </w:p>
        </w:tc>
        <w:tc>
          <w:tcPr>
            <w:tcW w:w="859" w:type="pct"/>
            <w:shd w:val="clear" w:color="auto" w:fill="auto"/>
            <w:noWrap/>
            <w:hideMark/>
          </w:tcPr>
          <w:p w:rsidR="001B6113" w:rsidRPr="00DC690D" w:rsidRDefault="001B6113" w:rsidP="001B6113">
            <w:pPr>
              <w:spacing w:after="0" w:line="240" w:lineRule="auto"/>
              <w:jc w:val="center"/>
              <w:rPr>
                <w:rFonts w:cstheme="minorHAnsi"/>
                <w:color w:val="000000" w:themeColor="text1"/>
              </w:rPr>
            </w:pPr>
            <w:r w:rsidRPr="00DC690D">
              <w:rPr>
                <w:rFonts w:cstheme="minorHAnsi"/>
              </w:rPr>
              <w:t>83</w:t>
            </w:r>
          </w:p>
        </w:tc>
        <w:tc>
          <w:tcPr>
            <w:tcW w:w="858" w:type="pct"/>
            <w:shd w:val="clear" w:color="auto" w:fill="auto"/>
            <w:noWrap/>
          </w:tcPr>
          <w:p w:rsidR="001B6113" w:rsidRPr="00DC690D" w:rsidRDefault="001B6113" w:rsidP="001B6113">
            <w:pPr>
              <w:spacing w:after="0" w:line="240" w:lineRule="auto"/>
              <w:jc w:val="center"/>
              <w:rPr>
                <w:rFonts w:cstheme="minorHAnsi"/>
                <w:color w:val="000000" w:themeColor="text1"/>
              </w:rPr>
            </w:pPr>
            <w:r>
              <w:rPr>
                <w:rFonts w:cstheme="minorHAnsi"/>
              </w:rPr>
              <w:t>153</w:t>
            </w:r>
          </w:p>
        </w:tc>
      </w:tr>
      <w:tr w:rsidR="001B6113" w:rsidRPr="00DC690D" w:rsidTr="001B6113">
        <w:trPr>
          <w:trHeight w:val="20"/>
          <w:jc w:val="center"/>
        </w:trPr>
        <w:tc>
          <w:tcPr>
            <w:tcW w:w="3283" w:type="pct"/>
            <w:shd w:val="clear" w:color="auto" w:fill="auto"/>
            <w:noWrap/>
            <w:vAlign w:val="center"/>
            <w:hideMark/>
          </w:tcPr>
          <w:p w:rsidR="001B6113" w:rsidRPr="00DC690D" w:rsidRDefault="001B6113" w:rsidP="001B6113">
            <w:pPr>
              <w:spacing w:after="0" w:line="240" w:lineRule="auto"/>
              <w:rPr>
                <w:rFonts w:cstheme="minorHAnsi"/>
                <w:color w:val="000000" w:themeColor="text1"/>
              </w:rPr>
            </w:pPr>
            <w:r w:rsidRPr="00DC690D">
              <w:rPr>
                <w:rFonts w:cstheme="minorHAnsi"/>
                <w:color w:val="000000" w:themeColor="text1"/>
              </w:rPr>
              <w:t>Ön Ödemeli Sayaç Değişim Bedeli (TL)</w:t>
            </w:r>
          </w:p>
        </w:tc>
        <w:tc>
          <w:tcPr>
            <w:tcW w:w="859" w:type="pct"/>
            <w:shd w:val="clear" w:color="auto" w:fill="auto"/>
            <w:noWrap/>
            <w:hideMark/>
          </w:tcPr>
          <w:p w:rsidR="001B6113" w:rsidRPr="00DC690D" w:rsidRDefault="001B6113" w:rsidP="001B6113">
            <w:pPr>
              <w:spacing w:after="0" w:line="240" w:lineRule="auto"/>
              <w:jc w:val="center"/>
              <w:rPr>
                <w:rFonts w:cstheme="minorHAnsi"/>
                <w:color w:val="000000" w:themeColor="text1"/>
              </w:rPr>
            </w:pPr>
            <w:r w:rsidRPr="00DC690D">
              <w:rPr>
                <w:rFonts w:cstheme="minorHAnsi"/>
              </w:rPr>
              <w:t>371</w:t>
            </w:r>
          </w:p>
        </w:tc>
        <w:tc>
          <w:tcPr>
            <w:tcW w:w="858" w:type="pct"/>
            <w:shd w:val="clear" w:color="auto" w:fill="auto"/>
            <w:noWrap/>
          </w:tcPr>
          <w:p w:rsidR="001B6113" w:rsidRPr="00DC690D" w:rsidRDefault="001B6113" w:rsidP="001B6113">
            <w:pPr>
              <w:spacing w:after="0" w:line="240" w:lineRule="auto"/>
              <w:jc w:val="center"/>
              <w:rPr>
                <w:rFonts w:cstheme="minorHAnsi"/>
                <w:color w:val="000000" w:themeColor="text1"/>
              </w:rPr>
            </w:pPr>
            <w:r>
              <w:rPr>
                <w:rFonts w:cstheme="minorHAnsi"/>
              </w:rPr>
              <w:t>684</w:t>
            </w:r>
          </w:p>
        </w:tc>
      </w:tr>
      <w:tr w:rsidR="001B6113" w:rsidRPr="00DC690D" w:rsidTr="001B6113">
        <w:trPr>
          <w:trHeight w:val="20"/>
          <w:jc w:val="center"/>
        </w:trPr>
        <w:tc>
          <w:tcPr>
            <w:tcW w:w="3283" w:type="pct"/>
            <w:shd w:val="clear" w:color="auto" w:fill="auto"/>
            <w:noWrap/>
            <w:vAlign w:val="center"/>
            <w:hideMark/>
          </w:tcPr>
          <w:p w:rsidR="001B6113" w:rsidRPr="00DC690D" w:rsidRDefault="001B6113" w:rsidP="001B6113">
            <w:pPr>
              <w:spacing w:after="0" w:line="240" w:lineRule="auto"/>
              <w:rPr>
                <w:rFonts w:cstheme="minorHAnsi"/>
                <w:color w:val="000000" w:themeColor="text1"/>
              </w:rPr>
            </w:pPr>
            <w:r w:rsidRPr="00DC690D">
              <w:rPr>
                <w:rFonts w:cstheme="minorHAnsi"/>
                <w:color w:val="000000" w:themeColor="text1"/>
              </w:rPr>
              <w:t>Sayaç Açma Kapama Bedeli (TL)</w:t>
            </w:r>
          </w:p>
        </w:tc>
        <w:tc>
          <w:tcPr>
            <w:tcW w:w="859" w:type="pct"/>
            <w:shd w:val="clear" w:color="auto" w:fill="auto"/>
            <w:noWrap/>
            <w:hideMark/>
          </w:tcPr>
          <w:p w:rsidR="001B6113" w:rsidRPr="00DC690D" w:rsidRDefault="001B6113" w:rsidP="001B6113">
            <w:pPr>
              <w:spacing w:after="0" w:line="240" w:lineRule="auto"/>
              <w:jc w:val="center"/>
              <w:rPr>
                <w:rFonts w:cstheme="minorHAnsi"/>
                <w:color w:val="000000" w:themeColor="text1"/>
              </w:rPr>
            </w:pPr>
            <w:r w:rsidRPr="00DC690D">
              <w:rPr>
                <w:rFonts w:cstheme="minorHAnsi"/>
              </w:rPr>
              <w:t>36</w:t>
            </w:r>
          </w:p>
        </w:tc>
        <w:tc>
          <w:tcPr>
            <w:tcW w:w="858" w:type="pct"/>
            <w:shd w:val="clear" w:color="auto" w:fill="auto"/>
            <w:noWrap/>
          </w:tcPr>
          <w:p w:rsidR="001B6113" w:rsidRPr="00DC690D" w:rsidRDefault="001B6113" w:rsidP="001B6113">
            <w:pPr>
              <w:spacing w:after="0" w:line="240" w:lineRule="auto"/>
              <w:jc w:val="center"/>
              <w:rPr>
                <w:rFonts w:cstheme="minorHAnsi"/>
                <w:color w:val="000000" w:themeColor="text1"/>
              </w:rPr>
            </w:pPr>
            <w:r>
              <w:rPr>
                <w:rFonts w:cstheme="minorHAnsi"/>
              </w:rPr>
              <w:t>66</w:t>
            </w:r>
          </w:p>
        </w:tc>
      </w:tr>
      <w:tr w:rsidR="001B6113" w:rsidRPr="00DC690D" w:rsidTr="001B6113">
        <w:trPr>
          <w:trHeight w:val="20"/>
          <w:jc w:val="center"/>
        </w:trPr>
        <w:tc>
          <w:tcPr>
            <w:tcW w:w="3283" w:type="pct"/>
            <w:shd w:val="clear" w:color="auto" w:fill="auto"/>
            <w:noWrap/>
            <w:vAlign w:val="center"/>
            <w:hideMark/>
          </w:tcPr>
          <w:p w:rsidR="001B6113" w:rsidRPr="00DC690D" w:rsidRDefault="001B6113" w:rsidP="001B6113">
            <w:pPr>
              <w:spacing w:after="0" w:line="240" w:lineRule="auto"/>
              <w:rPr>
                <w:rFonts w:cstheme="minorHAnsi"/>
                <w:color w:val="000000" w:themeColor="text1"/>
              </w:rPr>
            </w:pPr>
            <w:r w:rsidRPr="00DC690D">
              <w:rPr>
                <w:rFonts w:cstheme="minorHAnsi"/>
                <w:color w:val="000000" w:themeColor="text1"/>
              </w:rPr>
              <w:t>Servis Kutusu Söküm Bedeli (TL)</w:t>
            </w:r>
          </w:p>
        </w:tc>
        <w:tc>
          <w:tcPr>
            <w:tcW w:w="859" w:type="pct"/>
            <w:shd w:val="clear" w:color="auto" w:fill="auto"/>
            <w:noWrap/>
            <w:hideMark/>
          </w:tcPr>
          <w:p w:rsidR="001B6113" w:rsidRPr="00DC690D" w:rsidRDefault="001B6113" w:rsidP="001B6113">
            <w:pPr>
              <w:spacing w:after="0" w:line="240" w:lineRule="auto"/>
              <w:jc w:val="center"/>
              <w:rPr>
                <w:rFonts w:cstheme="minorHAnsi"/>
                <w:color w:val="000000" w:themeColor="text1"/>
              </w:rPr>
            </w:pPr>
            <w:r w:rsidRPr="00DC690D">
              <w:rPr>
                <w:rFonts w:cstheme="minorHAnsi"/>
              </w:rPr>
              <w:t>315</w:t>
            </w:r>
          </w:p>
        </w:tc>
        <w:tc>
          <w:tcPr>
            <w:tcW w:w="858" w:type="pct"/>
            <w:shd w:val="clear" w:color="auto" w:fill="auto"/>
            <w:noWrap/>
          </w:tcPr>
          <w:p w:rsidR="001B6113" w:rsidRPr="00DC690D" w:rsidRDefault="001B6113" w:rsidP="001B6113">
            <w:pPr>
              <w:spacing w:after="0" w:line="240" w:lineRule="auto"/>
              <w:jc w:val="center"/>
              <w:rPr>
                <w:rFonts w:cstheme="minorHAnsi"/>
                <w:color w:val="000000" w:themeColor="text1"/>
              </w:rPr>
            </w:pPr>
            <w:r>
              <w:rPr>
                <w:rFonts w:cstheme="minorHAnsi"/>
              </w:rPr>
              <w:t>581</w:t>
            </w:r>
          </w:p>
        </w:tc>
      </w:tr>
    </w:tbl>
    <w:p w:rsidR="00D76625" w:rsidRPr="00D76625" w:rsidRDefault="00D76625" w:rsidP="00D76625"/>
    <w:p w:rsidR="002C3099" w:rsidRPr="00FA1354" w:rsidRDefault="002C3099" w:rsidP="000A5A56">
      <w:pPr>
        <w:pStyle w:val="Balk3"/>
        <w:numPr>
          <w:ilvl w:val="2"/>
          <w:numId w:val="11"/>
        </w:numPr>
        <w:spacing w:after="240"/>
        <w:rPr>
          <w:rFonts w:asciiTheme="minorHAnsi" w:hAnsiTheme="minorHAnsi"/>
          <w:color w:val="000000" w:themeColor="text1"/>
        </w:rPr>
      </w:pPr>
      <w:bookmarkStart w:id="290" w:name="_Toc66267387"/>
      <w:bookmarkStart w:id="291" w:name="_Toc132713819"/>
      <w:r w:rsidRPr="00FA1354">
        <w:rPr>
          <w:rFonts w:asciiTheme="minorHAnsi" w:hAnsiTheme="minorHAnsi"/>
          <w:color w:val="000000" w:themeColor="text1"/>
        </w:rPr>
        <w:t>İç Tesisat Proje Onay, Kontrolörlük, Test ve İşletmeye Alma İşlemleri Bedelleri</w:t>
      </w:r>
      <w:bookmarkEnd w:id="290"/>
      <w:bookmarkEnd w:id="291"/>
    </w:p>
    <w:p w:rsidR="002C3099" w:rsidRDefault="001B6113" w:rsidP="002C3099">
      <w:pPr>
        <w:spacing w:after="0"/>
        <w:rPr>
          <w:color w:val="000000" w:themeColor="text1"/>
        </w:rPr>
      </w:pPr>
      <w:r w:rsidRPr="00F9112A">
        <w:rPr>
          <w:color w:val="000000" w:themeColor="text1"/>
        </w:rPr>
        <w:t xml:space="preserve">Doğal gaz dağıtım şirketlerinin iç tesisat proje onay, kontrolörlük, test ve işletmeye alma işlemleri bedelleri üst sınırlarına ilişkin alınan </w:t>
      </w:r>
      <w:r>
        <w:rPr>
          <w:color w:val="000000" w:themeColor="text1"/>
        </w:rPr>
        <w:t>22</w:t>
      </w:r>
      <w:r w:rsidRPr="00F9112A">
        <w:rPr>
          <w:color w:val="000000" w:themeColor="text1"/>
        </w:rPr>
        <w:t>.12.202</w:t>
      </w:r>
      <w:r>
        <w:rPr>
          <w:color w:val="000000" w:themeColor="text1"/>
        </w:rPr>
        <w:t>2</w:t>
      </w:r>
      <w:r w:rsidRPr="00F9112A">
        <w:rPr>
          <w:color w:val="000000" w:themeColor="text1"/>
        </w:rPr>
        <w:t xml:space="preserve"> tarihli ve </w:t>
      </w:r>
      <w:r>
        <w:rPr>
          <w:color w:val="000000" w:themeColor="text1"/>
        </w:rPr>
        <w:t>11485</w:t>
      </w:r>
      <w:r w:rsidRPr="00F9112A">
        <w:rPr>
          <w:color w:val="000000" w:themeColor="text1"/>
        </w:rPr>
        <w:t xml:space="preserve"> sayılı Kurul Kararı </w:t>
      </w:r>
      <w:r>
        <w:rPr>
          <w:color w:val="000000" w:themeColor="text1"/>
        </w:rPr>
        <w:t>24</w:t>
      </w:r>
      <w:r w:rsidRPr="00F9112A">
        <w:rPr>
          <w:color w:val="000000" w:themeColor="text1"/>
        </w:rPr>
        <w:t>.12.202</w:t>
      </w:r>
      <w:r>
        <w:rPr>
          <w:color w:val="000000" w:themeColor="text1"/>
        </w:rPr>
        <w:t>2</w:t>
      </w:r>
      <w:r w:rsidRPr="00F9112A">
        <w:rPr>
          <w:color w:val="000000" w:themeColor="text1"/>
        </w:rPr>
        <w:t xml:space="preserve"> tarihli ve 3</w:t>
      </w:r>
      <w:r>
        <w:rPr>
          <w:color w:val="000000" w:themeColor="text1"/>
        </w:rPr>
        <w:t>2053</w:t>
      </w:r>
      <w:r w:rsidRPr="00F9112A">
        <w:rPr>
          <w:color w:val="000000" w:themeColor="text1"/>
        </w:rPr>
        <w:t xml:space="preserve"> sayılı Resmî </w:t>
      </w:r>
      <w:r w:rsidR="00274939">
        <w:rPr>
          <w:color w:val="000000" w:themeColor="text1"/>
        </w:rPr>
        <w:t>Gazetede</w:t>
      </w:r>
      <w:r w:rsidRPr="00F9112A">
        <w:rPr>
          <w:color w:val="000000" w:themeColor="text1"/>
        </w:rPr>
        <w:t xml:space="preserve"> yayımlanmıştır. 202</w:t>
      </w:r>
      <w:r>
        <w:rPr>
          <w:color w:val="000000" w:themeColor="text1"/>
        </w:rPr>
        <w:t>3</w:t>
      </w:r>
      <w:r w:rsidRPr="00F9112A">
        <w:rPr>
          <w:color w:val="000000" w:themeColor="text1"/>
        </w:rPr>
        <w:t xml:space="preserve"> yılına ilişkin güncellenmiş bedeller Tablo 4.2</w:t>
      </w:r>
      <w:r>
        <w:rPr>
          <w:color w:val="000000" w:themeColor="text1"/>
        </w:rPr>
        <w:t>4</w:t>
      </w:r>
      <w:r w:rsidRPr="00F9112A">
        <w:rPr>
          <w:color w:val="000000" w:themeColor="text1"/>
        </w:rPr>
        <w:t>’</w:t>
      </w:r>
      <w:r>
        <w:rPr>
          <w:color w:val="000000" w:themeColor="text1"/>
        </w:rPr>
        <w:t>te</w:t>
      </w:r>
      <w:r w:rsidRPr="00F9112A">
        <w:rPr>
          <w:color w:val="000000" w:themeColor="text1"/>
        </w:rPr>
        <w:t xml:space="preserve"> gösterilmektedir.</w:t>
      </w:r>
    </w:p>
    <w:p w:rsidR="00F9112A" w:rsidRPr="00F9112A" w:rsidRDefault="00F9112A" w:rsidP="002C3099">
      <w:pPr>
        <w:spacing w:after="0"/>
        <w:rPr>
          <w:color w:val="000000" w:themeColor="text1"/>
        </w:rPr>
      </w:pPr>
    </w:p>
    <w:p w:rsidR="00DC783D" w:rsidRPr="00DC783D" w:rsidRDefault="002C3099" w:rsidP="00DC783D">
      <w:pPr>
        <w:pStyle w:val="Balk5"/>
        <w:spacing w:before="0" w:after="240" w:line="269" w:lineRule="auto"/>
        <w:jc w:val="center"/>
        <w:rPr>
          <w:rFonts w:asciiTheme="minorHAnsi" w:hAnsiTheme="minorHAnsi"/>
          <w:b/>
          <w:bCs/>
          <w:color w:val="000000" w:themeColor="text1"/>
        </w:rPr>
      </w:pPr>
      <w:bookmarkStart w:id="292" w:name="_Toc66267490"/>
      <w:bookmarkStart w:id="293" w:name="_Toc132713927"/>
      <w:r w:rsidRPr="00FA1354">
        <w:rPr>
          <w:rStyle w:val="Gl"/>
          <w:color w:val="000000" w:themeColor="text1"/>
        </w:rPr>
        <w:t>Tablo 4.2</w:t>
      </w:r>
      <w:r w:rsidR="00F12D15" w:rsidRPr="00FA1354">
        <w:rPr>
          <w:rStyle w:val="Gl"/>
          <w:color w:val="000000" w:themeColor="text1"/>
        </w:rPr>
        <w:t>4</w:t>
      </w:r>
      <w:r w:rsidRPr="00FA1354">
        <w:rPr>
          <w:rStyle w:val="Gl"/>
          <w:color w:val="000000" w:themeColor="text1"/>
        </w:rPr>
        <w:t>: Kurum Tarafından Belirlenen İç Tesisat Proje Onay, Kontrol, Test ve İşletmeye Alma Üst Bedelleri</w:t>
      </w:r>
      <w:bookmarkEnd w:id="292"/>
      <w:bookmarkEnd w:id="293"/>
    </w:p>
    <w:tbl>
      <w:tblPr>
        <w:tblW w:w="4156"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4190"/>
        <w:gridCol w:w="1953"/>
        <w:gridCol w:w="2096"/>
      </w:tblGrid>
      <w:tr w:rsidR="001B6113" w:rsidRPr="00D76625" w:rsidTr="00B23DEA">
        <w:trPr>
          <w:trHeight w:val="315"/>
          <w:jc w:val="center"/>
        </w:trPr>
        <w:tc>
          <w:tcPr>
            <w:tcW w:w="2543" w:type="pct"/>
            <w:shd w:val="clear" w:color="auto" w:fill="548DD4" w:themeFill="text2" w:themeFillTint="99"/>
            <w:vAlign w:val="center"/>
            <w:hideMark/>
          </w:tcPr>
          <w:p w:rsidR="001B6113" w:rsidRPr="00D76625" w:rsidRDefault="001B6113" w:rsidP="001B6113">
            <w:pPr>
              <w:jc w:val="left"/>
              <w:rPr>
                <w:rFonts w:cstheme="minorHAnsi"/>
                <w:b/>
                <w:bCs/>
                <w:color w:val="FFFFFF" w:themeColor="background1"/>
              </w:rPr>
            </w:pPr>
            <w:r w:rsidRPr="00D76625">
              <w:rPr>
                <w:rFonts w:cstheme="minorHAnsi"/>
                <w:b/>
                <w:bCs/>
                <w:color w:val="FFFFFF" w:themeColor="background1"/>
              </w:rPr>
              <w:t>İÇ TESİSAT İŞLEM BEDELLERİ</w:t>
            </w:r>
          </w:p>
        </w:tc>
        <w:tc>
          <w:tcPr>
            <w:tcW w:w="1185" w:type="pct"/>
            <w:shd w:val="clear" w:color="auto" w:fill="548DD4" w:themeFill="text2" w:themeFillTint="99"/>
            <w:noWrap/>
            <w:vAlign w:val="center"/>
            <w:hideMark/>
          </w:tcPr>
          <w:p w:rsidR="001B6113" w:rsidRPr="00D76625" w:rsidRDefault="001B6113" w:rsidP="001B6113">
            <w:pPr>
              <w:jc w:val="center"/>
              <w:rPr>
                <w:rFonts w:cstheme="minorHAnsi"/>
                <w:b/>
                <w:bCs/>
                <w:color w:val="FFFFFF" w:themeColor="background1"/>
              </w:rPr>
            </w:pPr>
            <w:r w:rsidRPr="00D76625">
              <w:rPr>
                <w:rFonts w:cstheme="minorHAnsi"/>
                <w:b/>
                <w:bCs/>
                <w:color w:val="FFFFFF" w:themeColor="background1"/>
              </w:rPr>
              <w:t>202</w:t>
            </w:r>
            <w:r>
              <w:rPr>
                <w:rFonts w:cstheme="minorHAnsi"/>
                <w:b/>
                <w:bCs/>
                <w:color w:val="FFFFFF" w:themeColor="background1"/>
              </w:rPr>
              <w:t>2</w:t>
            </w:r>
          </w:p>
        </w:tc>
        <w:tc>
          <w:tcPr>
            <w:tcW w:w="1272" w:type="pct"/>
            <w:shd w:val="clear" w:color="auto" w:fill="548DD4" w:themeFill="text2" w:themeFillTint="99"/>
            <w:noWrap/>
            <w:vAlign w:val="center"/>
            <w:hideMark/>
          </w:tcPr>
          <w:p w:rsidR="001B6113" w:rsidRPr="00D76625" w:rsidRDefault="001B6113" w:rsidP="001B6113">
            <w:pPr>
              <w:jc w:val="center"/>
              <w:rPr>
                <w:rFonts w:cstheme="minorHAnsi"/>
                <w:b/>
                <w:bCs/>
                <w:color w:val="FFFFFF" w:themeColor="background1"/>
              </w:rPr>
            </w:pPr>
            <w:r w:rsidRPr="00D76625">
              <w:rPr>
                <w:rFonts w:cstheme="minorHAnsi"/>
                <w:b/>
                <w:bCs/>
                <w:color w:val="FFFFFF" w:themeColor="background1"/>
              </w:rPr>
              <w:t>202</w:t>
            </w:r>
            <w:r>
              <w:rPr>
                <w:rFonts w:cstheme="minorHAnsi"/>
                <w:b/>
                <w:bCs/>
                <w:color w:val="FFFFFF" w:themeColor="background1"/>
              </w:rPr>
              <w:t>3</w:t>
            </w:r>
          </w:p>
        </w:tc>
      </w:tr>
      <w:tr w:rsidR="001B6113" w:rsidRPr="00D76625" w:rsidTr="00B23DEA">
        <w:trPr>
          <w:trHeight w:val="330"/>
          <w:jc w:val="center"/>
        </w:trPr>
        <w:tc>
          <w:tcPr>
            <w:tcW w:w="2543" w:type="pct"/>
            <w:shd w:val="clear" w:color="auto" w:fill="auto"/>
            <w:noWrap/>
            <w:vAlign w:val="center"/>
            <w:hideMark/>
          </w:tcPr>
          <w:p w:rsidR="001B6113" w:rsidRPr="00D76625" w:rsidRDefault="001B6113" w:rsidP="001B6113">
            <w:pPr>
              <w:spacing w:after="0" w:line="240" w:lineRule="auto"/>
              <w:rPr>
                <w:color w:val="000000" w:themeColor="text1"/>
              </w:rPr>
            </w:pPr>
            <w:r w:rsidRPr="00D76625">
              <w:rPr>
                <w:color w:val="000000" w:themeColor="text1"/>
              </w:rPr>
              <w:t>SAYAÇ TİPİ</w:t>
            </w:r>
          </w:p>
        </w:tc>
        <w:tc>
          <w:tcPr>
            <w:tcW w:w="1185" w:type="pct"/>
            <w:shd w:val="clear" w:color="auto" w:fill="auto"/>
            <w:noWrap/>
            <w:vAlign w:val="center"/>
            <w:hideMark/>
          </w:tcPr>
          <w:p w:rsidR="001B6113" w:rsidRPr="00D76625" w:rsidRDefault="001B6113" w:rsidP="001B6113">
            <w:pPr>
              <w:spacing w:after="0" w:line="240" w:lineRule="auto"/>
              <w:rPr>
                <w:color w:val="000000" w:themeColor="text1"/>
              </w:rPr>
            </w:pPr>
            <w:r w:rsidRPr="00D76625">
              <w:rPr>
                <w:color w:val="000000" w:themeColor="text1"/>
              </w:rPr>
              <w:t> </w:t>
            </w:r>
          </w:p>
        </w:tc>
        <w:tc>
          <w:tcPr>
            <w:tcW w:w="1272" w:type="pct"/>
            <w:shd w:val="clear" w:color="auto" w:fill="auto"/>
            <w:noWrap/>
            <w:vAlign w:val="center"/>
            <w:hideMark/>
          </w:tcPr>
          <w:p w:rsidR="001B6113" w:rsidRPr="00D76625" w:rsidRDefault="001B6113" w:rsidP="001B6113">
            <w:pPr>
              <w:spacing w:after="0" w:line="240" w:lineRule="auto"/>
              <w:jc w:val="center"/>
              <w:rPr>
                <w:color w:val="000000" w:themeColor="text1"/>
              </w:rPr>
            </w:pPr>
            <w:r w:rsidRPr="00D76625">
              <w:rPr>
                <w:color w:val="000000" w:themeColor="text1"/>
              </w:rPr>
              <w:t> </w:t>
            </w:r>
          </w:p>
        </w:tc>
      </w:tr>
      <w:tr w:rsidR="001B6113" w:rsidRPr="00D76625" w:rsidTr="008F2A61">
        <w:trPr>
          <w:trHeight w:val="330"/>
          <w:jc w:val="center"/>
        </w:trPr>
        <w:tc>
          <w:tcPr>
            <w:tcW w:w="2543" w:type="pct"/>
            <w:shd w:val="clear" w:color="auto" w:fill="auto"/>
            <w:noWrap/>
            <w:vAlign w:val="center"/>
            <w:hideMark/>
          </w:tcPr>
          <w:p w:rsidR="001B6113" w:rsidRPr="00D76625" w:rsidRDefault="001B6113" w:rsidP="001B6113">
            <w:pPr>
              <w:spacing w:after="0" w:line="240" w:lineRule="auto"/>
              <w:rPr>
                <w:color w:val="000000" w:themeColor="text1"/>
              </w:rPr>
            </w:pPr>
            <w:r w:rsidRPr="00D76625">
              <w:rPr>
                <w:color w:val="000000" w:themeColor="text1"/>
              </w:rPr>
              <w:t>G4, G6 (TL/Adet)</w:t>
            </w:r>
          </w:p>
        </w:tc>
        <w:tc>
          <w:tcPr>
            <w:tcW w:w="1185" w:type="pct"/>
            <w:shd w:val="clear" w:color="auto" w:fill="auto"/>
            <w:noWrap/>
            <w:hideMark/>
          </w:tcPr>
          <w:p w:rsidR="001B6113" w:rsidRPr="00D76625" w:rsidRDefault="001B6113" w:rsidP="001B6113">
            <w:pPr>
              <w:spacing w:after="0" w:line="240" w:lineRule="auto"/>
              <w:jc w:val="center"/>
              <w:rPr>
                <w:color w:val="000000" w:themeColor="text1"/>
              </w:rPr>
            </w:pPr>
            <w:r w:rsidRPr="00D76625">
              <w:t>63</w:t>
            </w:r>
          </w:p>
        </w:tc>
        <w:tc>
          <w:tcPr>
            <w:tcW w:w="1272" w:type="pct"/>
            <w:shd w:val="clear" w:color="auto" w:fill="auto"/>
            <w:noWrap/>
            <w:hideMark/>
          </w:tcPr>
          <w:p w:rsidR="001B6113" w:rsidRPr="00D76625" w:rsidRDefault="001B6113" w:rsidP="001B6113">
            <w:pPr>
              <w:spacing w:after="0" w:line="240" w:lineRule="auto"/>
              <w:jc w:val="center"/>
              <w:rPr>
                <w:color w:val="000000" w:themeColor="text1"/>
              </w:rPr>
            </w:pPr>
            <w:r>
              <w:t>116</w:t>
            </w:r>
          </w:p>
        </w:tc>
      </w:tr>
      <w:tr w:rsidR="001B6113" w:rsidRPr="00D76625" w:rsidTr="008F2A61">
        <w:trPr>
          <w:trHeight w:val="330"/>
          <w:jc w:val="center"/>
        </w:trPr>
        <w:tc>
          <w:tcPr>
            <w:tcW w:w="2543" w:type="pct"/>
            <w:shd w:val="clear" w:color="auto" w:fill="auto"/>
            <w:noWrap/>
            <w:vAlign w:val="center"/>
            <w:hideMark/>
          </w:tcPr>
          <w:p w:rsidR="001B6113" w:rsidRPr="00D76625" w:rsidRDefault="001B6113" w:rsidP="001B6113">
            <w:pPr>
              <w:spacing w:after="0" w:line="240" w:lineRule="auto"/>
              <w:rPr>
                <w:color w:val="000000" w:themeColor="text1"/>
              </w:rPr>
            </w:pPr>
            <w:r w:rsidRPr="00D76625">
              <w:rPr>
                <w:color w:val="000000" w:themeColor="text1"/>
              </w:rPr>
              <w:t>G10, G16, G25 (TL/Adet)</w:t>
            </w:r>
          </w:p>
        </w:tc>
        <w:tc>
          <w:tcPr>
            <w:tcW w:w="1185" w:type="pct"/>
            <w:shd w:val="clear" w:color="auto" w:fill="auto"/>
            <w:noWrap/>
            <w:hideMark/>
          </w:tcPr>
          <w:p w:rsidR="001B6113" w:rsidRPr="00D76625" w:rsidRDefault="001B6113" w:rsidP="001B6113">
            <w:pPr>
              <w:spacing w:after="0" w:line="240" w:lineRule="auto"/>
              <w:jc w:val="center"/>
              <w:rPr>
                <w:color w:val="000000" w:themeColor="text1"/>
              </w:rPr>
            </w:pPr>
            <w:r w:rsidRPr="00D76625">
              <w:t>118</w:t>
            </w:r>
          </w:p>
        </w:tc>
        <w:tc>
          <w:tcPr>
            <w:tcW w:w="1272" w:type="pct"/>
            <w:shd w:val="clear" w:color="auto" w:fill="auto"/>
            <w:noWrap/>
          </w:tcPr>
          <w:p w:rsidR="001B6113" w:rsidRPr="00D76625" w:rsidRDefault="001B6113" w:rsidP="001B6113">
            <w:pPr>
              <w:spacing w:after="0" w:line="240" w:lineRule="auto"/>
              <w:jc w:val="center"/>
              <w:rPr>
                <w:color w:val="000000" w:themeColor="text1"/>
              </w:rPr>
            </w:pPr>
            <w:r>
              <w:t>218</w:t>
            </w:r>
          </w:p>
        </w:tc>
      </w:tr>
      <w:tr w:rsidR="001B6113" w:rsidRPr="00D76625" w:rsidTr="008F2A61">
        <w:trPr>
          <w:trHeight w:val="330"/>
          <w:jc w:val="center"/>
        </w:trPr>
        <w:tc>
          <w:tcPr>
            <w:tcW w:w="2543" w:type="pct"/>
            <w:shd w:val="clear" w:color="auto" w:fill="auto"/>
            <w:noWrap/>
            <w:vAlign w:val="center"/>
            <w:hideMark/>
          </w:tcPr>
          <w:p w:rsidR="001B6113" w:rsidRPr="00D76625" w:rsidRDefault="001B6113" w:rsidP="001B6113">
            <w:pPr>
              <w:spacing w:after="0" w:line="240" w:lineRule="auto"/>
              <w:rPr>
                <w:color w:val="000000" w:themeColor="text1"/>
              </w:rPr>
            </w:pPr>
            <w:r w:rsidRPr="00D76625">
              <w:rPr>
                <w:color w:val="000000" w:themeColor="text1"/>
              </w:rPr>
              <w:t>G40, G65, G100 (TL/Adet)</w:t>
            </w:r>
          </w:p>
        </w:tc>
        <w:tc>
          <w:tcPr>
            <w:tcW w:w="1185" w:type="pct"/>
            <w:shd w:val="clear" w:color="auto" w:fill="auto"/>
            <w:noWrap/>
            <w:hideMark/>
          </w:tcPr>
          <w:p w:rsidR="001B6113" w:rsidRPr="00D76625" w:rsidRDefault="001B6113" w:rsidP="001B6113">
            <w:pPr>
              <w:spacing w:after="0" w:line="240" w:lineRule="auto"/>
              <w:jc w:val="center"/>
              <w:rPr>
                <w:color w:val="000000" w:themeColor="text1"/>
              </w:rPr>
            </w:pPr>
            <w:r w:rsidRPr="00D76625">
              <w:t>235</w:t>
            </w:r>
          </w:p>
        </w:tc>
        <w:tc>
          <w:tcPr>
            <w:tcW w:w="1272" w:type="pct"/>
            <w:shd w:val="clear" w:color="auto" w:fill="auto"/>
            <w:noWrap/>
          </w:tcPr>
          <w:p w:rsidR="001B6113" w:rsidRPr="00D76625" w:rsidRDefault="001B6113" w:rsidP="001B6113">
            <w:pPr>
              <w:spacing w:after="0" w:line="240" w:lineRule="auto"/>
              <w:jc w:val="center"/>
              <w:rPr>
                <w:color w:val="000000" w:themeColor="text1"/>
              </w:rPr>
            </w:pPr>
            <w:r>
              <w:t>433</w:t>
            </w:r>
          </w:p>
        </w:tc>
      </w:tr>
      <w:tr w:rsidR="001B6113" w:rsidRPr="00D76625" w:rsidTr="008F2A61">
        <w:trPr>
          <w:trHeight w:val="330"/>
          <w:jc w:val="center"/>
        </w:trPr>
        <w:tc>
          <w:tcPr>
            <w:tcW w:w="2543" w:type="pct"/>
            <w:shd w:val="clear" w:color="auto" w:fill="auto"/>
            <w:noWrap/>
            <w:vAlign w:val="center"/>
            <w:hideMark/>
          </w:tcPr>
          <w:p w:rsidR="001B6113" w:rsidRPr="00D76625" w:rsidRDefault="001B6113" w:rsidP="001B6113">
            <w:pPr>
              <w:spacing w:after="0" w:line="240" w:lineRule="auto"/>
              <w:rPr>
                <w:color w:val="000000" w:themeColor="text1"/>
              </w:rPr>
            </w:pPr>
            <w:r w:rsidRPr="00D76625">
              <w:rPr>
                <w:color w:val="000000" w:themeColor="text1"/>
              </w:rPr>
              <w:t>G160, G250, G400 (TL/Adet)</w:t>
            </w:r>
          </w:p>
        </w:tc>
        <w:tc>
          <w:tcPr>
            <w:tcW w:w="1185" w:type="pct"/>
            <w:shd w:val="clear" w:color="auto" w:fill="auto"/>
            <w:noWrap/>
            <w:hideMark/>
          </w:tcPr>
          <w:p w:rsidR="001B6113" w:rsidRPr="00D76625" w:rsidRDefault="001B6113" w:rsidP="001B6113">
            <w:pPr>
              <w:spacing w:after="0" w:line="240" w:lineRule="auto"/>
              <w:jc w:val="center"/>
              <w:rPr>
                <w:color w:val="000000" w:themeColor="text1"/>
              </w:rPr>
            </w:pPr>
            <w:r w:rsidRPr="00D76625">
              <w:t>358</w:t>
            </w:r>
          </w:p>
        </w:tc>
        <w:tc>
          <w:tcPr>
            <w:tcW w:w="1272" w:type="pct"/>
            <w:shd w:val="clear" w:color="auto" w:fill="auto"/>
            <w:noWrap/>
          </w:tcPr>
          <w:p w:rsidR="001B6113" w:rsidRPr="00D76625" w:rsidRDefault="001B6113" w:rsidP="001B6113">
            <w:pPr>
              <w:spacing w:after="0" w:line="240" w:lineRule="auto"/>
              <w:jc w:val="center"/>
              <w:rPr>
                <w:color w:val="000000" w:themeColor="text1"/>
              </w:rPr>
            </w:pPr>
            <w:r>
              <w:t>660</w:t>
            </w:r>
          </w:p>
        </w:tc>
      </w:tr>
      <w:tr w:rsidR="001B6113" w:rsidRPr="00D76625" w:rsidTr="008F2A61">
        <w:trPr>
          <w:trHeight w:val="330"/>
          <w:jc w:val="center"/>
        </w:trPr>
        <w:tc>
          <w:tcPr>
            <w:tcW w:w="2543" w:type="pct"/>
            <w:shd w:val="clear" w:color="auto" w:fill="auto"/>
            <w:noWrap/>
            <w:vAlign w:val="center"/>
            <w:hideMark/>
          </w:tcPr>
          <w:p w:rsidR="001B6113" w:rsidRPr="00D76625" w:rsidRDefault="001B6113" w:rsidP="001B6113">
            <w:pPr>
              <w:spacing w:after="0" w:line="240" w:lineRule="auto"/>
              <w:rPr>
                <w:color w:val="000000" w:themeColor="text1"/>
              </w:rPr>
            </w:pPr>
            <w:r w:rsidRPr="00D76625">
              <w:rPr>
                <w:color w:val="000000" w:themeColor="text1"/>
              </w:rPr>
              <w:t>G400’den büyük (TL/Adet)</w:t>
            </w:r>
          </w:p>
        </w:tc>
        <w:tc>
          <w:tcPr>
            <w:tcW w:w="1185" w:type="pct"/>
            <w:shd w:val="clear" w:color="auto" w:fill="auto"/>
            <w:noWrap/>
            <w:hideMark/>
          </w:tcPr>
          <w:p w:rsidR="001B6113" w:rsidRPr="00D76625" w:rsidRDefault="001B6113" w:rsidP="001B6113">
            <w:pPr>
              <w:spacing w:after="0" w:line="240" w:lineRule="auto"/>
              <w:jc w:val="center"/>
              <w:rPr>
                <w:color w:val="000000" w:themeColor="text1"/>
              </w:rPr>
            </w:pPr>
            <w:r w:rsidRPr="00D76625">
              <w:t>482</w:t>
            </w:r>
          </w:p>
        </w:tc>
        <w:tc>
          <w:tcPr>
            <w:tcW w:w="1272" w:type="pct"/>
            <w:shd w:val="clear" w:color="auto" w:fill="auto"/>
            <w:noWrap/>
          </w:tcPr>
          <w:p w:rsidR="001B6113" w:rsidRPr="00D76625" w:rsidRDefault="001B6113" w:rsidP="001B6113">
            <w:pPr>
              <w:spacing w:after="0" w:line="240" w:lineRule="auto"/>
              <w:jc w:val="center"/>
              <w:rPr>
                <w:color w:val="000000" w:themeColor="text1"/>
              </w:rPr>
            </w:pPr>
            <w:r>
              <w:t>889</w:t>
            </w:r>
          </w:p>
        </w:tc>
      </w:tr>
      <w:tr w:rsidR="001B6113" w:rsidRPr="00D76625" w:rsidTr="008F2A61">
        <w:trPr>
          <w:trHeight w:val="330"/>
          <w:jc w:val="center"/>
        </w:trPr>
        <w:tc>
          <w:tcPr>
            <w:tcW w:w="2543" w:type="pct"/>
            <w:shd w:val="clear" w:color="auto" w:fill="auto"/>
            <w:noWrap/>
            <w:vAlign w:val="center"/>
            <w:hideMark/>
          </w:tcPr>
          <w:p w:rsidR="001B6113" w:rsidRPr="00D76625" w:rsidRDefault="001B6113" w:rsidP="001B6113">
            <w:pPr>
              <w:spacing w:after="0" w:line="240" w:lineRule="auto"/>
              <w:rPr>
                <w:color w:val="000000" w:themeColor="text1"/>
              </w:rPr>
            </w:pPr>
            <w:r w:rsidRPr="00D76625">
              <w:rPr>
                <w:color w:val="000000" w:themeColor="text1"/>
              </w:rPr>
              <w:t>Kolon Hattı (TL/Proje)</w:t>
            </w:r>
          </w:p>
        </w:tc>
        <w:tc>
          <w:tcPr>
            <w:tcW w:w="1185" w:type="pct"/>
            <w:shd w:val="clear" w:color="auto" w:fill="auto"/>
            <w:noWrap/>
            <w:hideMark/>
          </w:tcPr>
          <w:p w:rsidR="001B6113" w:rsidRPr="00D76625" w:rsidRDefault="001B6113" w:rsidP="001B6113">
            <w:pPr>
              <w:spacing w:after="0" w:line="240" w:lineRule="auto"/>
              <w:jc w:val="center"/>
              <w:rPr>
                <w:color w:val="000000" w:themeColor="text1"/>
              </w:rPr>
            </w:pPr>
            <w:r w:rsidRPr="00D76625">
              <w:t>63</w:t>
            </w:r>
          </w:p>
        </w:tc>
        <w:tc>
          <w:tcPr>
            <w:tcW w:w="1272" w:type="pct"/>
            <w:shd w:val="clear" w:color="auto" w:fill="auto"/>
            <w:noWrap/>
          </w:tcPr>
          <w:p w:rsidR="001B6113" w:rsidRPr="00D76625" w:rsidRDefault="001B6113" w:rsidP="001B6113">
            <w:pPr>
              <w:spacing w:after="0" w:line="240" w:lineRule="auto"/>
              <w:jc w:val="center"/>
              <w:rPr>
                <w:color w:val="000000" w:themeColor="text1"/>
              </w:rPr>
            </w:pPr>
            <w:r>
              <w:t>116</w:t>
            </w:r>
          </w:p>
        </w:tc>
      </w:tr>
      <w:tr w:rsidR="001B6113" w:rsidRPr="00D76625" w:rsidTr="008F2A61">
        <w:trPr>
          <w:trHeight w:val="330"/>
          <w:jc w:val="center"/>
        </w:trPr>
        <w:tc>
          <w:tcPr>
            <w:tcW w:w="2543" w:type="pct"/>
            <w:shd w:val="clear" w:color="auto" w:fill="auto"/>
            <w:noWrap/>
            <w:vAlign w:val="center"/>
          </w:tcPr>
          <w:p w:rsidR="001B6113" w:rsidRPr="00D76625" w:rsidRDefault="001B6113" w:rsidP="001B6113">
            <w:pPr>
              <w:spacing w:after="0" w:line="240" w:lineRule="auto"/>
              <w:rPr>
                <w:color w:val="000000" w:themeColor="text1"/>
              </w:rPr>
            </w:pPr>
            <w:r>
              <w:rPr>
                <w:color w:val="000000" w:themeColor="text1"/>
              </w:rPr>
              <w:t>Ön Proje (TL/Proje)</w:t>
            </w:r>
          </w:p>
        </w:tc>
        <w:tc>
          <w:tcPr>
            <w:tcW w:w="1185" w:type="pct"/>
            <w:shd w:val="clear" w:color="auto" w:fill="auto"/>
            <w:noWrap/>
          </w:tcPr>
          <w:p w:rsidR="001B6113" w:rsidRPr="00D76625" w:rsidRDefault="001B6113" w:rsidP="001B6113">
            <w:pPr>
              <w:spacing w:after="0" w:line="240" w:lineRule="auto"/>
              <w:jc w:val="center"/>
              <w:rPr>
                <w:color w:val="000000" w:themeColor="text1"/>
              </w:rPr>
            </w:pPr>
            <w:r>
              <w:t>-</w:t>
            </w:r>
          </w:p>
        </w:tc>
        <w:tc>
          <w:tcPr>
            <w:tcW w:w="1272" w:type="pct"/>
            <w:shd w:val="clear" w:color="auto" w:fill="auto"/>
            <w:noWrap/>
          </w:tcPr>
          <w:p w:rsidR="001B6113" w:rsidRPr="00D76625" w:rsidRDefault="001B6113" w:rsidP="001B6113">
            <w:pPr>
              <w:spacing w:after="0" w:line="240" w:lineRule="auto"/>
              <w:jc w:val="center"/>
            </w:pPr>
            <w:r>
              <w:t>39</w:t>
            </w:r>
          </w:p>
        </w:tc>
      </w:tr>
    </w:tbl>
    <w:p w:rsidR="00D76625" w:rsidRPr="00D76625" w:rsidRDefault="00D76625" w:rsidP="00D76625"/>
    <w:p w:rsidR="002C3099" w:rsidRPr="00E9291A" w:rsidRDefault="002C3099" w:rsidP="000A5A56">
      <w:pPr>
        <w:pStyle w:val="Balk3"/>
        <w:numPr>
          <w:ilvl w:val="2"/>
          <w:numId w:val="11"/>
        </w:numPr>
        <w:spacing w:after="240"/>
        <w:rPr>
          <w:rFonts w:asciiTheme="minorHAnsi" w:hAnsiTheme="minorHAnsi"/>
          <w:color w:val="000000" w:themeColor="text1"/>
        </w:rPr>
      </w:pPr>
      <w:bookmarkStart w:id="294" w:name="_Toc66267388"/>
      <w:bookmarkStart w:id="295" w:name="_Toc132713820"/>
      <w:r w:rsidRPr="00E9291A">
        <w:rPr>
          <w:rFonts w:asciiTheme="minorHAnsi" w:hAnsiTheme="minorHAnsi"/>
          <w:color w:val="000000" w:themeColor="text1"/>
        </w:rPr>
        <w:t>Toptan Satış Tarifeleri</w:t>
      </w:r>
      <w:bookmarkEnd w:id="294"/>
      <w:bookmarkEnd w:id="295"/>
    </w:p>
    <w:p w:rsidR="002C3099" w:rsidRPr="00E9291A" w:rsidRDefault="002C3099" w:rsidP="002C3099">
      <w:pPr>
        <w:spacing w:after="240"/>
        <w:rPr>
          <w:color w:val="000000" w:themeColor="text1"/>
        </w:rPr>
      </w:pPr>
      <w:r w:rsidRPr="00E9291A">
        <w:rPr>
          <w:color w:val="000000" w:themeColor="text1"/>
        </w:rPr>
        <w:t>22.12.2011 tarihli ve 3577 sayılı Kurul Kararı ile 01.01.2012 tarihinden itibaren bu konuda yeni bir düzenleme yapılıncaya kadar uygulanmak üzere, doğal gaz toptan satış fiyatlarının taraflar arasında serbestçe bel</w:t>
      </w:r>
      <w:r>
        <w:rPr>
          <w:color w:val="000000" w:themeColor="text1"/>
        </w:rPr>
        <w:t>irlenmesi kararlaştırılmış olup</w:t>
      </w:r>
      <w:r w:rsidRPr="00E9291A">
        <w:rPr>
          <w:color w:val="000000" w:themeColor="text1"/>
        </w:rPr>
        <w:t xml:space="preserve"> söz konusu uygulama halen devam etmektedir.</w:t>
      </w:r>
    </w:p>
    <w:p w:rsidR="002C3099" w:rsidRPr="00E9291A" w:rsidRDefault="002C3099" w:rsidP="000A5A56">
      <w:pPr>
        <w:pStyle w:val="Balk3"/>
        <w:numPr>
          <w:ilvl w:val="2"/>
          <w:numId w:val="11"/>
        </w:numPr>
        <w:spacing w:after="240"/>
        <w:rPr>
          <w:rFonts w:asciiTheme="minorHAnsi" w:hAnsiTheme="minorHAnsi"/>
          <w:color w:val="000000" w:themeColor="text1"/>
        </w:rPr>
      </w:pPr>
      <w:bookmarkStart w:id="296" w:name="_Toc66267389"/>
      <w:bookmarkStart w:id="297" w:name="_Toc132713821"/>
      <w:r w:rsidRPr="00E9291A">
        <w:rPr>
          <w:rFonts w:asciiTheme="minorHAnsi" w:hAnsiTheme="minorHAnsi"/>
          <w:color w:val="000000" w:themeColor="text1"/>
        </w:rPr>
        <w:t>Perakende Satış Tarifeleri</w:t>
      </w:r>
      <w:bookmarkEnd w:id="296"/>
      <w:bookmarkEnd w:id="297"/>
    </w:p>
    <w:p w:rsidR="001B6113" w:rsidRDefault="001B6113" w:rsidP="001B6113">
      <w:pPr>
        <w:spacing w:line="240" w:lineRule="auto"/>
        <w:rPr>
          <w:color w:val="000000" w:themeColor="text1"/>
        </w:rPr>
      </w:pPr>
      <w:bookmarkStart w:id="298" w:name="_Toc66267491"/>
      <w:r w:rsidRPr="00FB5F7E">
        <w:t xml:space="preserve">01.07.2017 tarihli ve 30111 sayılı Resmî </w:t>
      </w:r>
      <w:r w:rsidR="00274939">
        <w:t>Gazetede</w:t>
      </w:r>
      <w:r w:rsidRPr="00FB5F7E">
        <w:t xml:space="preserve"> yayımlanarak yürürlüğe giren 22.06.2017 tarihli ve 7139 sayılı Kurul Kararı ile kabul edilmiş olan Doğal Gaz Dağıtım Şirketleri İçin Tarife Hesaplama Usul ve Esasları (Metodoloji)</w:t>
      </w:r>
      <w:r>
        <w:t>, 09</w:t>
      </w:r>
      <w:r w:rsidRPr="008E20FA">
        <w:t>.0</w:t>
      </w:r>
      <w:r>
        <w:t>2</w:t>
      </w:r>
      <w:r w:rsidRPr="008E20FA">
        <w:t>.20</w:t>
      </w:r>
      <w:r>
        <w:t>23</w:t>
      </w:r>
      <w:r w:rsidRPr="008E20FA">
        <w:t xml:space="preserve"> </w:t>
      </w:r>
      <w:r>
        <w:t xml:space="preserve">tarihli ve 11641 sayılı Kurul </w:t>
      </w:r>
      <w:r w:rsidRPr="008E20FA">
        <w:t xml:space="preserve">Kararı ile </w:t>
      </w:r>
      <w:r>
        <w:t xml:space="preserve">değişik </w:t>
      </w:r>
      <w:r w:rsidRPr="008E20FA">
        <w:t>10/07/2014 tarihli ve</w:t>
      </w:r>
      <w:r>
        <w:t xml:space="preserve"> 5120-1 sayılı Kurul Kararı </w:t>
      </w:r>
      <w:r w:rsidRPr="000B7717">
        <w:rPr>
          <w:color w:val="000000" w:themeColor="text1"/>
        </w:rPr>
        <w:t>20</w:t>
      </w:r>
      <w:r>
        <w:rPr>
          <w:color w:val="000000" w:themeColor="text1"/>
        </w:rPr>
        <w:t>22</w:t>
      </w:r>
      <w:r w:rsidRPr="000B7717">
        <w:rPr>
          <w:color w:val="000000" w:themeColor="text1"/>
        </w:rPr>
        <w:t>-202</w:t>
      </w:r>
      <w:r>
        <w:rPr>
          <w:color w:val="000000" w:themeColor="text1"/>
        </w:rPr>
        <w:t>6</w:t>
      </w:r>
      <w:r w:rsidRPr="000B7717">
        <w:rPr>
          <w:color w:val="000000" w:themeColor="text1"/>
        </w:rPr>
        <w:t xml:space="preserve"> tarife uygulama dönemi perakende satış tarifelerine yönelik olarak aşağıda belirtilen Kurul Kararları alınmıştır.</w:t>
      </w:r>
    </w:p>
    <w:p w:rsidR="00DC783D" w:rsidRDefault="00DC783D" w:rsidP="001B6113">
      <w:pPr>
        <w:spacing w:line="240" w:lineRule="auto"/>
        <w:rPr>
          <w:color w:val="000000" w:themeColor="text1"/>
        </w:rPr>
      </w:pPr>
    </w:p>
    <w:p w:rsidR="00DC783D" w:rsidRDefault="00DC783D" w:rsidP="001B6113">
      <w:pPr>
        <w:spacing w:line="240" w:lineRule="auto"/>
        <w:rPr>
          <w:color w:val="000000" w:themeColor="text1"/>
        </w:rPr>
      </w:pPr>
    </w:p>
    <w:p w:rsidR="00DC783D" w:rsidRDefault="00DC783D" w:rsidP="001B6113">
      <w:pPr>
        <w:spacing w:line="240" w:lineRule="auto"/>
        <w:rPr>
          <w:color w:val="000000" w:themeColor="text1"/>
        </w:rPr>
      </w:pPr>
    </w:p>
    <w:p w:rsidR="00512686" w:rsidRDefault="002C3099" w:rsidP="008102B6">
      <w:pPr>
        <w:pStyle w:val="Balk5"/>
        <w:spacing w:before="0" w:line="269" w:lineRule="auto"/>
        <w:jc w:val="center"/>
        <w:rPr>
          <w:rStyle w:val="Gl"/>
          <w:color w:val="000000" w:themeColor="text1"/>
        </w:rPr>
      </w:pPr>
      <w:bookmarkStart w:id="299" w:name="_Toc132713928"/>
      <w:r w:rsidRPr="000B7717">
        <w:rPr>
          <w:rStyle w:val="Gl"/>
          <w:color w:val="000000" w:themeColor="text1"/>
        </w:rPr>
        <w:lastRenderedPageBreak/>
        <w:t>Ta</w:t>
      </w:r>
      <w:r>
        <w:rPr>
          <w:rStyle w:val="Gl"/>
          <w:color w:val="000000" w:themeColor="text1"/>
        </w:rPr>
        <w:t>blo 4.2</w:t>
      </w:r>
      <w:r w:rsidR="00F12D15">
        <w:rPr>
          <w:rStyle w:val="Gl"/>
          <w:color w:val="000000" w:themeColor="text1"/>
        </w:rPr>
        <w:t>5</w:t>
      </w:r>
      <w:r w:rsidRPr="000B7717">
        <w:rPr>
          <w:rStyle w:val="Gl"/>
          <w:color w:val="000000" w:themeColor="text1"/>
        </w:rPr>
        <w:t>: 20</w:t>
      </w:r>
      <w:r>
        <w:rPr>
          <w:rStyle w:val="Gl"/>
          <w:color w:val="000000" w:themeColor="text1"/>
        </w:rPr>
        <w:t>2</w:t>
      </w:r>
      <w:r w:rsidR="001B6113">
        <w:rPr>
          <w:rStyle w:val="Gl"/>
          <w:color w:val="000000" w:themeColor="text1"/>
        </w:rPr>
        <w:t>2</w:t>
      </w:r>
      <w:r w:rsidRPr="000B7717">
        <w:rPr>
          <w:rStyle w:val="Gl"/>
          <w:color w:val="000000" w:themeColor="text1"/>
        </w:rPr>
        <w:t xml:space="preserve"> Yılında Perakende Satış Tarifeleri Hakkında Kurul Kararı Alınan Doğal Gaz Dağıtım Şirketleri</w:t>
      </w:r>
      <w:bookmarkEnd w:id="298"/>
      <w:bookmarkEnd w:id="299"/>
    </w:p>
    <w:p w:rsidR="001B6113" w:rsidRDefault="001B6113" w:rsidP="001B6113">
      <w:pPr>
        <w:spacing w:line="240" w:lineRule="auto"/>
        <w:rPr>
          <w:rStyle w:val="Gl"/>
          <w:color w:val="000000" w:themeColor="text1"/>
        </w:rPr>
      </w:pPr>
    </w:p>
    <w:tbl>
      <w:tblPr>
        <w:tblW w:w="10065" w:type="dxa"/>
        <w:tblInd w:w="-5" w:type="dxa"/>
        <w:tblCellMar>
          <w:left w:w="70" w:type="dxa"/>
          <w:right w:w="70" w:type="dxa"/>
        </w:tblCellMar>
        <w:tblLook w:val="04A0" w:firstRow="1" w:lastRow="0" w:firstColumn="1" w:lastColumn="0" w:noHBand="0" w:noVBand="1"/>
      </w:tblPr>
      <w:tblGrid>
        <w:gridCol w:w="5200"/>
        <w:gridCol w:w="1144"/>
        <w:gridCol w:w="936"/>
        <w:gridCol w:w="2785"/>
      </w:tblGrid>
      <w:tr w:rsidR="001B6113" w:rsidRPr="00127883" w:rsidTr="00A60F1C">
        <w:trPr>
          <w:cantSplit/>
          <w:trHeight w:val="792"/>
          <w:tblHeader/>
        </w:trPr>
        <w:tc>
          <w:tcPr>
            <w:tcW w:w="520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1B6113" w:rsidRPr="00F962D9" w:rsidRDefault="001B6113" w:rsidP="008F2A61">
            <w:pPr>
              <w:spacing w:after="0" w:line="240" w:lineRule="auto"/>
              <w:jc w:val="center"/>
              <w:rPr>
                <w:rFonts w:cstheme="minorHAnsi"/>
                <w:b/>
                <w:color w:val="FFFFFF"/>
              </w:rPr>
            </w:pPr>
            <w:r w:rsidRPr="00F962D9">
              <w:rPr>
                <w:rFonts w:cstheme="minorHAnsi"/>
                <w:b/>
                <w:color w:val="FFFFFF"/>
              </w:rPr>
              <w:t>Doğal Gaz Dağıtım Şirketi Unvanı</w:t>
            </w:r>
          </w:p>
        </w:tc>
        <w:tc>
          <w:tcPr>
            <w:tcW w:w="1144" w:type="dxa"/>
            <w:tcBorders>
              <w:top w:val="single" w:sz="4" w:space="0" w:color="auto"/>
              <w:left w:val="nil"/>
              <w:bottom w:val="single" w:sz="4" w:space="0" w:color="auto"/>
              <w:right w:val="single" w:sz="4" w:space="0" w:color="auto"/>
            </w:tcBorders>
            <w:shd w:val="clear" w:color="000000" w:fill="6E9ECA"/>
            <w:vAlign w:val="center"/>
            <w:hideMark/>
          </w:tcPr>
          <w:p w:rsidR="001B6113" w:rsidRPr="00F962D9" w:rsidRDefault="001B6113" w:rsidP="008F2A61">
            <w:pPr>
              <w:spacing w:after="0" w:line="240" w:lineRule="auto"/>
              <w:jc w:val="center"/>
              <w:rPr>
                <w:rFonts w:cstheme="minorHAnsi"/>
                <w:b/>
                <w:color w:val="FFFFFF"/>
              </w:rPr>
            </w:pPr>
            <w:r w:rsidRPr="00F962D9">
              <w:rPr>
                <w:rFonts w:cstheme="minorHAnsi"/>
                <w:b/>
                <w:color w:val="FFFFFF"/>
              </w:rPr>
              <w:t>Kurul Karar Tarihi</w:t>
            </w:r>
          </w:p>
        </w:tc>
        <w:tc>
          <w:tcPr>
            <w:tcW w:w="936" w:type="dxa"/>
            <w:tcBorders>
              <w:top w:val="single" w:sz="4" w:space="0" w:color="auto"/>
              <w:left w:val="nil"/>
              <w:bottom w:val="single" w:sz="4" w:space="0" w:color="auto"/>
              <w:right w:val="single" w:sz="4" w:space="0" w:color="auto"/>
            </w:tcBorders>
            <w:shd w:val="clear" w:color="000000" w:fill="6E9ECA"/>
            <w:vAlign w:val="center"/>
            <w:hideMark/>
          </w:tcPr>
          <w:p w:rsidR="001B6113" w:rsidRPr="00F962D9" w:rsidRDefault="001B6113" w:rsidP="008F2A61">
            <w:pPr>
              <w:spacing w:after="0" w:line="240" w:lineRule="auto"/>
              <w:jc w:val="center"/>
              <w:rPr>
                <w:rFonts w:cstheme="minorHAnsi"/>
                <w:b/>
                <w:color w:val="FFFFFF"/>
              </w:rPr>
            </w:pPr>
            <w:r w:rsidRPr="00F962D9">
              <w:rPr>
                <w:rFonts w:cstheme="minorHAnsi"/>
                <w:b/>
                <w:color w:val="FFFFFF"/>
              </w:rPr>
              <w:t>Kurul Karar Sayısı</w:t>
            </w:r>
          </w:p>
        </w:tc>
        <w:tc>
          <w:tcPr>
            <w:tcW w:w="2785" w:type="dxa"/>
            <w:tcBorders>
              <w:top w:val="single" w:sz="4" w:space="0" w:color="auto"/>
              <w:left w:val="nil"/>
              <w:bottom w:val="single" w:sz="4" w:space="0" w:color="auto"/>
              <w:right w:val="single" w:sz="4" w:space="0" w:color="auto"/>
            </w:tcBorders>
            <w:shd w:val="clear" w:color="000000" w:fill="6E9ECA"/>
            <w:vAlign w:val="center"/>
            <w:hideMark/>
          </w:tcPr>
          <w:p w:rsidR="001B6113" w:rsidRPr="00F962D9" w:rsidRDefault="001B6113" w:rsidP="008F2A61">
            <w:pPr>
              <w:spacing w:after="0" w:line="240" w:lineRule="auto"/>
              <w:jc w:val="center"/>
              <w:rPr>
                <w:rFonts w:cstheme="minorHAnsi"/>
                <w:b/>
                <w:color w:val="FFFFFF"/>
              </w:rPr>
            </w:pPr>
            <w:r w:rsidRPr="00F962D9">
              <w:rPr>
                <w:rFonts w:cstheme="minorHAnsi"/>
                <w:b/>
                <w:color w:val="FFFFFF"/>
              </w:rPr>
              <w:t>Kapsamı</w:t>
            </w:r>
          </w:p>
        </w:tc>
      </w:tr>
      <w:tr w:rsidR="001B6113" w:rsidRPr="00BD7921" w:rsidTr="000E2647">
        <w:trPr>
          <w:trHeight w:val="528"/>
        </w:trPr>
        <w:tc>
          <w:tcPr>
            <w:tcW w:w="5200" w:type="dxa"/>
            <w:tcBorders>
              <w:top w:val="nil"/>
              <w:left w:val="single" w:sz="4" w:space="0" w:color="auto"/>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jc w:val="left"/>
              <w:rPr>
                <w:rFonts w:ascii="Calibri" w:eastAsia="Times New Roman" w:hAnsi="Calibri" w:cs="Calibri"/>
                <w:color w:val="000000"/>
                <w:lang w:eastAsia="tr-TR"/>
              </w:rPr>
            </w:pPr>
            <w:r w:rsidRPr="000E2647">
              <w:rPr>
                <w:rFonts w:ascii="Calibri" w:eastAsia="Times New Roman" w:hAnsi="Calibri" w:cs="Calibri"/>
                <w:color w:val="000000"/>
                <w:lang w:eastAsia="tr-TR"/>
              </w:rPr>
              <w:t>Doğugaz Bitlis Bingöl Muş Doğalgaz Dağıtım Anonim Şirketi</w:t>
            </w:r>
          </w:p>
        </w:tc>
        <w:tc>
          <w:tcPr>
            <w:tcW w:w="1144"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themeColor="text1"/>
                <w:lang w:eastAsia="tr-TR"/>
              </w:rPr>
              <w:t>28.07.2022</w:t>
            </w:r>
          </w:p>
        </w:tc>
        <w:tc>
          <w:tcPr>
            <w:tcW w:w="936"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themeColor="text1"/>
                <w:lang w:eastAsia="tr-TR"/>
              </w:rPr>
              <w:t>11090</w:t>
            </w:r>
          </w:p>
        </w:tc>
        <w:tc>
          <w:tcPr>
            <w:tcW w:w="2785" w:type="dxa"/>
            <w:tcBorders>
              <w:top w:val="nil"/>
              <w:left w:val="nil"/>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rPr>
                <w:rFonts w:ascii="Calibri" w:eastAsia="Times New Roman" w:hAnsi="Calibri" w:cs="Calibri"/>
                <w:color w:val="000000"/>
                <w:lang w:eastAsia="tr-TR"/>
              </w:rPr>
            </w:pPr>
            <w:r w:rsidRPr="000E2647">
              <w:rPr>
                <w:rFonts w:ascii="Calibri" w:eastAsia="Times New Roman" w:hAnsi="Calibri" w:cs="Calibri"/>
                <w:color w:val="000000" w:themeColor="text1"/>
                <w:lang w:eastAsia="tr-TR"/>
              </w:rPr>
              <w:t>2022-2026 Tarife Uygulama Dönemi Perakende Satış Tarifelerinin Belirlenmesi</w:t>
            </w:r>
          </w:p>
        </w:tc>
      </w:tr>
      <w:tr w:rsidR="001B6113" w:rsidRPr="00BD7921" w:rsidTr="000E2647">
        <w:trPr>
          <w:trHeight w:val="528"/>
        </w:trPr>
        <w:tc>
          <w:tcPr>
            <w:tcW w:w="5200" w:type="dxa"/>
            <w:tcBorders>
              <w:top w:val="nil"/>
              <w:left w:val="single" w:sz="4" w:space="0" w:color="auto"/>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jc w:val="left"/>
              <w:rPr>
                <w:rFonts w:ascii="Calibri" w:eastAsia="Times New Roman" w:hAnsi="Calibri" w:cs="Calibri"/>
                <w:color w:val="000000"/>
                <w:lang w:eastAsia="tr-TR"/>
              </w:rPr>
            </w:pPr>
            <w:r w:rsidRPr="000E2647">
              <w:rPr>
                <w:rFonts w:ascii="Calibri" w:eastAsia="Times New Roman" w:hAnsi="Calibri" w:cs="Calibri"/>
                <w:color w:val="000000"/>
                <w:lang w:eastAsia="tr-TR"/>
              </w:rPr>
              <w:t>Serhat Doğalgaz Dağıtım Sanayi Ve Ticaret Anonim Şirketi</w:t>
            </w:r>
          </w:p>
        </w:tc>
        <w:tc>
          <w:tcPr>
            <w:tcW w:w="1144"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themeColor="text1"/>
                <w:lang w:eastAsia="tr-TR"/>
              </w:rPr>
              <w:t>4.08.2022</w:t>
            </w:r>
          </w:p>
        </w:tc>
        <w:tc>
          <w:tcPr>
            <w:tcW w:w="936"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themeColor="text1"/>
                <w:lang w:eastAsia="tr-TR"/>
              </w:rPr>
              <w:t>11108</w:t>
            </w:r>
          </w:p>
        </w:tc>
        <w:tc>
          <w:tcPr>
            <w:tcW w:w="2785" w:type="dxa"/>
            <w:tcBorders>
              <w:top w:val="nil"/>
              <w:left w:val="nil"/>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rPr>
                <w:rFonts w:ascii="Calibri" w:eastAsia="Times New Roman" w:hAnsi="Calibri" w:cs="Calibri"/>
                <w:color w:val="000000"/>
                <w:lang w:eastAsia="tr-TR"/>
              </w:rPr>
            </w:pPr>
            <w:r w:rsidRPr="000E2647">
              <w:rPr>
                <w:rFonts w:ascii="Calibri" w:eastAsia="Times New Roman" w:hAnsi="Calibri" w:cs="Calibri"/>
                <w:color w:val="000000" w:themeColor="text1"/>
                <w:lang w:eastAsia="tr-TR"/>
              </w:rPr>
              <w:t>2022-2026 Tarife Uygulama Dönemi Perakende Satış Tarifelerinin Belirlenmesi</w:t>
            </w:r>
          </w:p>
        </w:tc>
      </w:tr>
      <w:tr w:rsidR="001B6113" w:rsidRPr="00BD7921" w:rsidTr="000E2647">
        <w:trPr>
          <w:trHeight w:val="528"/>
        </w:trPr>
        <w:tc>
          <w:tcPr>
            <w:tcW w:w="5200" w:type="dxa"/>
            <w:tcBorders>
              <w:top w:val="nil"/>
              <w:left w:val="single" w:sz="4" w:space="0" w:color="auto"/>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jc w:val="left"/>
              <w:rPr>
                <w:rFonts w:ascii="Calibri" w:eastAsia="Times New Roman" w:hAnsi="Calibri" w:cs="Calibri"/>
                <w:color w:val="000000"/>
                <w:lang w:eastAsia="tr-TR"/>
              </w:rPr>
            </w:pPr>
            <w:r w:rsidRPr="000E2647">
              <w:rPr>
                <w:rFonts w:ascii="Calibri" w:eastAsia="Times New Roman" w:hAnsi="Calibri" w:cs="Calibri"/>
                <w:color w:val="000000"/>
                <w:lang w:eastAsia="tr-TR"/>
              </w:rPr>
              <w:t>Kırgaz Kırıkkale-Kırşehir Doğal Gaz Dağıtım Paz. Ve Ticaret Anonim Şirketi</w:t>
            </w:r>
          </w:p>
        </w:tc>
        <w:tc>
          <w:tcPr>
            <w:tcW w:w="1144"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themeColor="text1"/>
                <w:lang w:eastAsia="tr-TR"/>
              </w:rPr>
              <w:t>25.08.2022</w:t>
            </w:r>
          </w:p>
        </w:tc>
        <w:tc>
          <w:tcPr>
            <w:tcW w:w="936"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themeColor="text1"/>
                <w:lang w:eastAsia="tr-TR"/>
              </w:rPr>
              <w:t>11150</w:t>
            </w:r>
          </w:p>
        </w:tc>
        <w:tc>
          <w:tcPr>
            <w:tcW w:w="2785" w:type="dxa"/>
            <w:tcBorders>
              <w:top w:val="nil"/>
              <w:left w:val="nil"/>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rPr>
                <w:rFonts w:ascii="Calibri" w:eastAsia="Times New Roman" w:hAnsi="Calibri" w:cs="Calibri"/>
                <w:color w:val="000000"/>
                <w:lang w:eastAsia="tr-TR"/>
              </w:rPr>
            </w:pPr>
            <w:r w:rsidRPr="000E2647">
              <w:rPr>
                <w:rFonts w:ascii="Calibri" w:eastAsia="Times New Roman" w:hAnsi="Calibri" w:cs="Calibri"/>
                <w:color w:val="000000" w:themeColor="text1"/>
                <w:lang w:eastAsia="tr-TR"/>
              </w:rPr>
              <w:t>2022-2026 Tarife Uygulama Dönemi Perakende Satış Tarifelerinin Belirlenmesi</w:t>
            </w:r>
          </w:p>
        </w:tc>
      </w:tr>
      <w:tr w:rsidR="001B6113" w:rsidRPr="00BD7921" w:rsidTr="000E2647">
        <w:trPr>
          <w:trHeight w:val="528"/>
        </w:trPr>
        <w:tc>
          <w:tcPr>
            <w:tcW w:w="5200" w:type="dxa"/>
            <w:tcBorders>
              <w:top w:val="nil"/>
              <w:left w:val="single" w:sz="4" w:space="0" w:color="auto"/>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jc w:val="left"/>
              <w:rPr>
                <w:rFonts w:ascii="Calibri" w:eastAsia="Times New Roman" w:hAnsi="Calibri" w:cs="Calibri"/>
                <w:color w:val="000000"/>
                <w:lang w:eastAsia="tr-TR"/>
              </w:rPr>
            </w:pPr>
            <w:r w:rsidRPr="000E2647">
              <w:rPr>
                <w:rFonts w:ascii="Calibri" w:eastAsia="Times New Roman" w:hAnsi="Calibri" w:cs="Calibri"/>
                <w:color w:val="000000"/>
                <w:lang w:eastAsia="tr-TR"/>
              </w:rPr>
              <w:t>Enerya Aksaray Gaz Dağıtım Anonim Şirketi</w:t>
            </w:r>
          </w:p>
        </w:tc>
        <w:tc>
          <w:tcPr>
            <w:tcW w:w="1144"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themeColor="text1"/>
                <w:lang w:eastAsia="tr-TR"/>
              </w:rPr>
              <w:t>25.08.2022</w:t>
            </w:r>
          </w:p>
        </w:tc>
        <w:tc>
          <w:tcPr>
            <w:tcW w:w="936"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themeColor="text1"/>
                <w:lang w:eastAsia="tr-TR"/>
              </w:rPr>
              <w:t>11142</w:t>
            </w:r>
          </w:p>
        </w:tc>
        <w:tc>
          <w:tcPr>
            <w:tcW w:w="2785" w:type="dxa"/>
            <w:tcBorders>
              <w:top w:val="nil"/>
              <w:left w:val="nil"/>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rPr>
                <w:rFonts w:ascii="Calibri" w:eastAsia="Times New Roman" w:hAnsi="Calibri" w:cs="Calibri"/>
                <w:color w:val="000000"/>
                <w:lang w:eastAsia="tr-TR"/>
              </w:rPr>
            </w:pPr>
            <w:r w:rsidRPr="000E2647">
              <w:rPr>
                <w:rFonts w:ascii="Calibri" w:eastAsia="Times New Roman" w:hAnsi="Calibri" w:cs="Calibri"/>
                <w:color w:val="000000" w:themeColor="text1"/>
                <w:lang w:eastAsia="tr-TR"/>
              </w:rPr>
              <w:t>2022-2026 Tarife Uygulama Dönemi Perakende Satış Tarifelerinin Belirlenmesi</w:t>
            </w:r>
          </w:p>
        </w:tc>
      </w:tr>
      <w:tr w:rsidR="001B6113" w:rsidRPr="00BD7921" w:rsidTr="000E2647">
        <w:trPr>
          <w:trHeight w:val="540"/>
        </w:trPr>
        <w:tc>
          <w:tcPr>
            <w:tcW w:w="5200" w:type="dxa"/>
            <w:tcBorders>
              <w:top w:val="nil"/>
              <w:left w:val="single" w:sz="4" w:space="0" w:color="auto"/>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jc w:val="left"/>
              <w:rPr>
                <w:rFonts w:ascii="Calibri" w:eastAsia="Times New Roman" w:hAnsi="Calibri" w:cs="Calibri"/>
                <w:color w:val="000000"/>
                <w:lang w:eastAsia="tr-TR"/>
              </w:rPr>
            </w:pPr>
            <w:r w:rsidRPr="000E2647">
              <w:rPr>
                <w:rFonts w:ascii="Calibri" w:eastAsia="Times New Roman" w:hAnsi="Calibri" w:cs="Calibri"/>
                <w:color w:val="000000"/>
                <w:lang w:eastAsia="tr-TR"/>
              </w:rPr>
              <w:t>Aksa Mustafakemalpaşa Susurluk Karacabey Doğal Gaz Dağıtım Anonim Şirketi</w:t>
            </w:r>
          </w:p>
        </w:tc>
        <w:tc>
          <w:tcPr>
            <w:tcW w:w="1144"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themeColor="text1"/>
                <w:lang w:eastAsia="tr-TR"/>
              </w:rPr>
              <w:t>25.08.2022</w:t>
            </w:r>
          </w:p>
        </w:tc>
        <w:tc>
          <w:tcPr>
            <w:tcW w:w="936"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11141</w:t>
            </w:r>
          </w:p>
        </w:tc>
        <w:tc>
          <w:tcPr>
            <w:tcW w:w="2785" w:type="dxa"/>
            <w:tcBorders>
              <w:top w:val="nil"/>
              <w:left w:val="nil"/>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rPr>
                <w:rFonts w:ascii="Calibri" w:eastAsia="Times New Roman" w:hAnsi="Calibri" w:cs="Calibri"/>
                <w:color w:val="000000"/>
                <w:lang w:eastAsia="tr-TR"/>
              </w:rPr>
            </w:pPr>
            <w:r w:rsidRPr="000E2647">
              <w:rPr>
                <w:rFonts w:ascii="Calibri" w:eastAsia="Times New Roman" w:hAnsi="Calibri" w:cs="Calibri"/>
                <w:color w:val="000000" w:themeColor="text1"/>
                <w:lang w:eastAsia="tr-TR"/>
              </w:rPr>
              <w:t>2022-2026 Tarife Uygulama Dönemi Perakende Satış Tarifelerinin Belirlenmesi</w:t>
            </w:r>
          </w:p>
        </w:tc>
      </w:tr>
      <w:tr w:rsidR="001B6113" w:rsidRPr="00BD7921" w:rsidTr="000E2647">
        <w:trPr>
          <w:trHeight w:val="540"/>
        </w:trPr>
        <w:tc>
          <w:tcPr>
            <w:tcW w:w="5200" w:type="dxa"/>
            <w:tcBorders>
              <w:top w:val="nil"/>
              <w:left w:val="single" w:sz="4" w:space="0" w:color="auto"/>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jc w:val="left"/>
              <w:rPr>
                <w:rFonts w:ascii="Calibri" w:eastAsia="Times New Roman" w:hAnsi="Calibri" w:cs="Calibri"/>
                <w:color w:val="000000"/>
                <w:lang w:eastAsia="tr-TR"/>
              </w:rPr>
            </w:pPr>
            <w:r w:rsidRPr="000E2647">
              <w:rPr>
                <w:rFonts w:ascii="Calibri" w:eastAsia="Times New Roman" w:hAnsi="Calibri" w:cs="Calibri"/>
                <w:color w:val="000000"/>
                <w:lang w:eastAsia="tr-TR"/>
              </w:rPr>
              <w:t>Aksa Malatya Doğal Gaz Dağıtım Anonim Şirketi</w:t>
            </w:r>
          </w:p>
        </w:tc>
        <w:tc>
          <w:tcPr>
            <w:tcW w:w="1144"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themeColor="text1"/>
                <w:lang w:eastAsia="tr-TR"/>
              </w:rPr>
              <w:t>25.08.2022</w:t>
            </w:r>
          </w:p>
        </w:tc>
        <w:tc>
          <w:tcPr>
            <w:tcW w:w="936"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11140</w:t>
            </w:r>
          </w:p>
        </w:tc>
        <w:tc>
          <w:tcPr>
            <w:tcW w:w="2785" w:type="dxa"/>
            <w:tcBorders>
              <w:top w:val="nil"/>
              <w:left w:val="nil"/>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rPr>
                <w:rFonts w:ascii="Calibri" w:eastAsia="Times New Roman" w:hAnsi="Calibri" w:cs="Calibri"/>
                <w:color w:val="000000"/>
                <w:lang w:eastAsia="tr-TR"/>
              </w:rPr>
            </w:pPr>
            <w:r w:rsidRPr="000E2647">
              <w:rPr>
                <w:rFonts w:ascii="Calibri" w:eastAsia="Times New Roman" w:hAnsi="Calibri" w:cs="Calibri"/>
                <w:color w:val="000000" w:themeColor="text1"/>
                <w:lang w:eastAsia="tr-TR"/>
              </w:rPr>
              <w:t>2022-2026 Tarife Uygulama Dönemi Perakende Satış Tarifelerinin Belirlenmesi</w:t>
            </w:r>
          </w:p>
        </w:tc>
      </w:tr>
      <w:tr w:rsidR="001B6113" w:rsidRPr="00BD7921" w:rsidTr="000E2647">
        <w:trPr>
          <w:trHeight w:val="540"/>
        </w:trPr>
        <w:tc>
          <w:tcPr>
            <w:tcW w:w="5200" w:type="dxa"/>
            <w:tcBorders>
              <w:top w:val="nil"/>
              <w:left w:val="single" w:sz="4" w:space="0" w:color="auto"/>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jc w:val="left"/>
              <w:rPr>
                <w:rFonts w:ascii="Calibri" w:eastAsia="Times New Roman" w:hAnsi="Calibri" w:cs="Calibri"/>
                <w:color w:val="000000"/>
                <w:lang w:eastAsia="tr-TR"/>
              </w:rPr>
            </w:pPr>
            <w:r w:rsidRPr="000E2647">
              <w:rPr>
                <w:rFonts w:ascii="Calibri" w:eastAsia="Times New Roman" w:hAnsi="Calibri" w:cs="Calibri"/>
                <w:color w:val="000000"/>
                <w:lang w:eastAsia="tr-TR"/>
              </w:rPr>
              <w:t>Aksa Balıkesir Doğal Gaz Dağıtım Anonim Şirketi</w:t>
            </w:r>
          </w:p>
        </w:tc>
        <w:tc>
          <w:tcPr>
            <w:tcW w:w="1144"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themeColor="text1"/>
                <w:lang w:eastAsia="tr-TR"/>
              </w:rPr>
              <w:t>25.08.2022</w:t>
            </w:r>
          </w:p>
        </w:tc>
        <w:tc>
          <w:tcPr>
            <w:tcW w:w="936"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11139</w:t>
            </w:r>
          </w:p>
        </w:tc>
        <w:tc>
          <w:tcPr>
            <w:tcW w:w="2785" w:type="dxa"/>
            <w:tcBorders>
              <w:top w:val="nil"/>
              <w:left w:val="nil"/>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rPr>
                <w:rFonts w:ascii="Calibri" w:eastAsia="Times New Roman" w:hAnsi="Calibri" w:cs="Calibri"/>
                <w:color w:val="000000"/>
                <w:lang w:eastAsia="tr-TR"/>
              </w:rPr>
            </w:pPr>
            <w:r w:rsidRPr="000E2647">
              <w:rPr>
                <w:rFonts w:ascii="Calibri" w:eastAsia="Times New Roman" w:hAnsi="Calibri" w:cs="Calibri"/>
                <w:color w:val="000000" w:themeColor="text1"/>
                <w:lang w:eastAsia="tr-TR"/>
              </w:rPr>
              <w:t>2022-2026 Tarife Uygulama Dönemi Perakende Satış Tarifelerinin Belirlenmesi</w:t>
            </w:r>
          </w:p>
        </w:tc>
      </w:tr>
      <w:tr w:rsidR="001B6113" w:rsidRPr="00BD7921" w:rsidTr="000E2647">
        <w:trPr>
          <w:trHeight w:val="540"/>
        </w:trPr>
        <w:tc>
          <w:tcPr>
            <w:tcW w:w="5200" w:type="dxa"/>
            <w:tcBorders>
              <w:top w:val="nil"/>
              <w:left w:val="single" w:sz="4" w:space="0" w:color="auto"/>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jc w:val="left"/>
              <w:rPr>
                <w:rFonts w:ascii="Calibri" w:eastAsia="Times New Roman" w:hAnsi="Calibri" w:cs="Calibri"/>
                <w:color w:val="000000"/>
                <w:lang w:eastAsia="tr-TR"/>
              </w:rPr>
            </w:pPr>
            <w:r w:rsidRPr="000E2647">
              <w:rPr>
                <w:rFonts w:ascii="Calibri" w:eastAsia="Times New Roman" w:hAnsi="Calibri" w:cs="Calibri"/>
                <w:color w:val="000000"/>
                <w:lang w:eastAsia="tr-TR"/>
              </w:rPr>
              <w:t>Samgaz Doğal Gaz Dağıtım Anonim Şirketi</w:t>
            </w:r>
          </w:p>
        </w:tc>
        <w:tc>
          <w:tcPr>
            <w:tcW w:w="1144"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themeColor="text1"/>
                <w:lang w:eastAsia="tr-TR"/>
              </w:rPr>
              <w:t>25.08.2022</w:t>
            </w:r>
          </w:p>
        </w:tc>
        <w:tc>
          <w:tcPr>
            <w:tcW w:w="936"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11138</w:t>
            </w:r>
          </w:p>
        </w:tc>
        <w:tc>
          <w:tcPr>
            <w:tcW w:w="2785" w:type="dxa"/>
            <w:tcBorders>
              <w:top w:val="nil"/>
              <w:left w:val="nil"/>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rPr>
                <w:rFonts w:ascii="Calibri" w:eastAsia="Times New Roman" w:hAnsi="Calibri" w:cs="Calibri"/>
                <w:color w:val="000000"/>
                <w:lang w:eastAsia="tr-TR"/>
              </w:rPr>
            </w:pPr>
            <w:r w:rsidRPr="000E2647">
              <w:rPr>
                <w:rFonts w:ascii="Calibri" w:eastAsia="Times New Roman" w:hAnsi="Calibri" w:cs="Calibri"/>
                <w:color w:val="000000" w:themeColor="text1"/>
                <w:lang w:eastAsia="tr-TR"/>
              </w:rPr>
              <w:t>2022-2026 Tarife Uygulama Dönemi Perakende Satış Tarifelerinin Belirlenmesi</w:t>
            </w:r>
          </w:p>
        </w:tc>
      </w:tr>
      <w:tr w:rsidR="001B6113" w:rsidRPr="00BD7921" w:rsidTr="000E2647">
        <w:trPr>
          <w:trHeight w:val="540"/>
        </w:trPr>
        <w:tc>
          <w:tcPr>
            <w:tcW w:w="5200" w:type="dxa"/>
            <w:tcBorders>
              <w:top w:val="nil"/>
              <w:left w:val="single" w:sz="4" w:space="0" w:color="auto"/>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jc w:val="left"/>
              <w:rPr>
                <w:rFonts w:ascii="Calibri" w:eastAsia="Times New Roman" w:hAnsi="Calibri" w:cs="Calibri"/>
                <w:color w:val="000000"/>
                <w:lang w:eastAsia="tr-TR"/>
              </w:rPr>
            </w:pPr>
            <w:r w:rsidRPr="000E2647">
              <w:rPr>
                <w:rFonts w:ascii="Calibri" w:eastAsia="Times New Roman" w:hAnsi="Calibri" w:cs="Calibri"/>
                <w:color w:val="000000"/>
                <w:lang w:eastAsia="tr-TR"/>
              </w:rPr>
              <w:t>Selçuk Doğal Gaz Dağıtım Anonim Şirketi</w:t>
            </w:r>
          </w:p>
        </w:tc>
        <w:tc>
          <w:tcPr>
            <w:tcW w:w="1144"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themeColor="text1"/>
                <w:lang w:eastAsia="tr-TR"/>
              </w:rPr>
              <w:t>25.08.2022</w:t>
            </w:r>
          </w:p>
        </w:tc>
        <w:tc>
          <w:tcPr>
            <w:tcW w:w="936"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11137</w:t>
            </w:r>
          </w:p>
        </w:tc>
        <w:tc>
          <w:tcPr>
            <w:tcW w:w="2785" w:type="dxa"/>
            <w:tcBorders>
              <w:top w:val="nil"/>
              <w:left w:val="nil"/>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rPr>
                <w:rFonts w:ascii="Calibri" w:eastAsia="Times New Roman" w:hAnsi="Calibri" w:cs="Calibri"/>
                <w:color w:val="000000"/>
                <w:lang w:eastAsia="tr-TR"/>
              </w:rPr>
            </w:pPr>
            <w:r w:rsidRPr="000E2647">
              <w:rPr>
                <w:rFonts w:ascii="Calibri" w:eastAsia="Times New Roman" w:hAnsi="Calibri" w:cs="Calibri"/>
                <w:color w:val="000000" w:themeColor="text1"/>
                <w:lang w:eastAsia="tr-TR"/>
              </w:rPr>
              <w:t>2022-2026 Tarife Uygulama Dönemi Perakende Satış Tarifelerinin Belirlenmesi</w:t>
            </w:r>
          </w:p>
        </w:tc>
      </w:tr>
      <w:tr w:rsidR="001B6113" w:rsidRPr="00BD7921" w:rsidTr="000E2647">
        <w:trPr>
          <w:trHeight w:val="540"/>
        </w:trPr>
        <w:tc>
          <w:tcPr>
            <w:tcW w:w="5200" w:type="dxa"/>
            <w:tcBorders>
              <w:top w:val="nil"/>
              <w:left w:val="single" w:sz="4" w:space="0" w:color="auto"/>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jc w:val="left"/>
              <w:rPr>
                <w:rFonts w:ascii="Calibri" w:eastAsia="Times New Roman" w:hAnsi="Calibri" w:cs="Calibri"/>
                <w:color w:val="000000"/>
                <w:lang w:eastAsia="tr-TR"/>
              </w:rPr>
            </w:pPr>
            <w:r w:rsidRPr="000E2647">
              <w:rPr>
                <w:rFonts w:ascii="Calibri" w:eastAsia="Times New Roman" w:hAnsi="Calibri" w:cs="Calibri"/>
                <w:color w:val="000000"/>
                <w:lang w:eastAsia="tr-TR"/>
              </w:rPr>
              <w:t>Aksa Afyon Doğal Gaz Dağıtım Anonim Şirketi</w:t>
            </w:r>
          </w:p>
        </w:tc>
        <w:tc>
          <w:tcPr>
            <w:tcW w:w="1144"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themeColor="text1"/>
                <w:lang w:eastAsia="tr-TR"/>
              </w:rPr>
              <w:t>1.09.2022</w:t>
            </w:r>
          </w:p>
        </w:tc>
        <w:tc>
          <w:tcPr>
            <w:tcW w:w="936"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11168</w:t>
            </w:r>
          </w:p>
        </w:tc>
        <w:tc>
          <w:tcPr>
            <w:tcW w:w="2785" w:type="dxa"/>
            <w:tcBorders>
              <w:top w:val="nil"/>
              <w:left w:val="nil"/>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rPr>
                <w:rFonts w:ascii="Calibri" w:eastAsia="Times New Roman" w:hAnsi="Calibri" w:cs="Calibri"/>
                <w:color w:val="000000"/>
                <w:lang w:eastAsia="tr-TR"/>
              </w:rPr>
            </w:pPr>
            <w:r w:rsidRPr="000E2647">
              <w:rPr>
                <w:rFonts w:ascii="Calibri" w:eastAsia="Times New Roman" w:hAnsi="Calibri" w:cs="Calibri"/>
                <w:color w:val="000000" w:themeColor="text1"/>
                <w:lang w:eastAsia="tr-TR"/>
              </w:rPr>
              <w:t>2022-2026 Tarife Uygulama Dönemi Perakende Satış Tarifelerinin Belirlenmesi</w:t>
            </w:r>
          </w:p>
        </w:tc>
      </w:tr>
      <w:tr w:rsidR="001B6113" w:rsidRPr="00BD7921" w:rsidTr="000E2647">
        <w:trPr>
          <w:trHeight w:val="528"/>
        </w:trPr>
        <w:tc>
          <w:tcPr>
            <w:tcW w:w="5200" w:type="dxa"/>
            <w:tcBorders>
              <w:top w:val="nil"/>
              <w:left w:val="single" w:sz="4" w:space="0" w:color="auto"/>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jc w:val="left"/>
              <w:rPr>
                <w:rFonts w:ascii="Calibri" w:eastAsia="Times New Roman" w:hAnsi="Calibri" w:cs="Calibri"/>
                <w:color w:val="000000"/>
                <w:lang w:eastAsia="tr-TR"/>
              </w:rPr>
            </w:pPr>
            <w:r w:rsidRPr="000E2647">
              <w:rPr>
                <w:rFonts w:ascii="Calibri" w:eastAsia="Times New Roman" w:hAnsi="Calibri" w:cs="Calibri"/>
                <w:color w:val="000000"/>
                <w:lang w:eastAsia="tr-TR"/>
              </w:rPr>
              <w:t>Gazdaş Gaziantep Doğal Gaz Dağıtım Anonim Şirketi</w:t>
            </w:r>
          </w:p>
        </w:tc>
        <w:tc>
          <w:tcPr>
            <w:tcW w:w="1144"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themeColor="text1"/>
                <w:lang w:eastAsia="tr-TR"/>
              </w:rPr>
              <w:t>1.09.2022</w:t>
            </w:r>
          </w:p>
        </w:tc>
        <w:tc>
          <w:tcPr>
            <w:tcW w:w="936"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11169</w:t>
            </w:r>
          </w:p>
        </w:tc>
        <w:tc>
          <w:tcPr>
            <w:tcW w:w="2785" w:type="dxa"/>
            <w:tcBorders>
              <w:top w:val="nil"/>
              <w:left w:val="nil"/>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rPr>
                <w:rFonts w:ascii="Calibri" w:eastAsia="Times New Roman" w:hAnsi="Calibri" w:cs="Calibri"/>
                <w:color w:val="000000"/>
                <w:lang w:eastAsia="tr-TR"/>
              </w:rPr>
            </w:pPr>
            <w:r w:rsidRPr="000E2647">
              <w:rPr>
                <w:rFonts w:ascii="Calibri" w:eastAsia="Times New Roman" w:hAnsi="Calibri" w:cs="Calibri"/>
                <w:color w:val="000000" w:themeColor="text1"/>
                <w:lang w:eastAsia="tr-TR"/>
              </w:rPr>
              <w:t>2022-2026 Tarife Uygulama Dönemi Perakende Satış Tarifelerinin Belirlenmesi</w:t>
            </w:r>
          </w:p>
        </w:tc>
      </w:tr>
      <w:tr w:rsidR="001B6113" w:rsidRPr="00BD7921" w:rsidTr="000E2647">
        <w:trPr>
          <w:trHeight w:val="528"/>
        </w:trPr>
        <w:tc>
          <w:tcPr>
            <w:tcW w:w="5200" w:type="dxa"/>
            <w:tcBorders>
              <w:top w:val="nil"/>
              <w:left w:val="single" w:sz="4" w:space="0" w:color="auto"/>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jc w:val="left"/>
              <w:rPr>
                <w:rFonts w:ascii="Calibri" w:eastAsia="Times New Roman" w:hAnsi="Calibri" w:cs="Calibri"/>
                <w:color w:val="000000"/>
                <w:lang w:eastAsia="tr-TR"/>
              </w:rPr>
            </w:pPr>
            <w:r w:rsidRPr="000E2647">
              <w:rPr>
                <w:rFonts w:ascii="Calibri" w:eastAsia="Times New Roman" w:hAnsi="Calibri" w:cs="Calibri"/>
                <w:color w:val="000000"/>
                <w:lang w:eastAsia="tr-TR"/>
              </w:rPr>
              <w:t>Aksa Bandırma Doğal Gaz Dağıtım Anonim Şirketi</w:t>
            </w:r>
          </w:p>
        </w:tc>
        <w:tc>
          <w:tcPr>
            <w:tcW w:w="1144"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1.09.2022</w:t>
            </w:r>
          </w:p>
        </w:tc>
        <w:tc>
          <w:tcPr>
            <w:tcW w:w="936"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11170</w:t>
            </w:r>
          </w:p>
        </w:tc>
        <w:tc>
          <w:tcPr>
            <w:tcW w:w="2785" w:type="dxa"/>
            <w:tcBorders>
              <w:top w:val="nil"/>
              <w:left w:val="nil"/>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rPr>
                <w:rFonts w:ascii="Calibri" w:eastAsia="Times New Roman" w:hAnsi="Calibri" w:cs="Calibri"/>
                <w:color w:val="000000"/>
                <w:lang w:eastAsia="tr-TR"/>
              </w:rPr>
            </w:pPr>
            <w:r w:rsidRPr="000E2647">
              <w:rPr>
                <w:rFonts w:ascii="Calibri" w:eastAsia="Times New Roman" w:hAnsi="Calibri" w:cs="Calibri"/>
                <w:color w:val="000000" w:themeColor="text1"/>
                <w:lang w:eastAsia="tr-TR"/>
              </w:rPr>
              <w:t>2022-2026 Tarife Uygulama Dönemi Perakende Satış Tarifelerinin Belirlenmesi</w:t>
            </w:r>
          </w:p>
        </w:tc>
      </w:tr>
      <w:tr w:rsidR="001B6113" w:rsidRPr="00BD7921" w:rsidTr="000E2647">
        <w:trPr>
          <w:trHeight w:val="540"/>
        </w:trPr>
        <w:tc>
          <w:tcPr>
            <w:tcW w:w="5200" w:type="dxa"/>
            <w:tcBorders>
              <w:top w:val="nil"/>
              <w:left w:val="single" w:sz="4" w:space="0" w:color="auto"/>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jc w:val="left"/>
              <w:rPr>
                <w:rFonts w:ascii="Calibri" w:eastAsia="Times New Roman" w:hAnsi="Calibri" w:cs="Calibri"/>
                <w:color w:val="000000"/>
                <w:lang w:eastAsia="tr-TR"/>
              </w:rPr>
            </w:pPr>
            <w:r w:rsidRPr="000E2647">
              <w:rPr>
                <w:rFonts w:ascii="Calibri" w:eastAsia="Times New Roman" w:hAnsi="Calibri" w:cs="Calibri"/>
                <w:color w:val="000000"/>
                <w:lang w:eastAsia="tr-TR"/>
              </w:rPr>
              <w:t>Polgaz Polatlı Doğal Gaz Dağıtım Anonim Şirketi</w:t>
            </w:r>
          </w:p>
        </w:tc>
        <w:tc>
          <w:tcPr>
            <w:tcW w:w="1144"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1.09.2022</w:t>
            </w:r>
          </w:p>
        </w:tc>
        <w:tc>
          <w:tcPr>
            <w:tcW w:w="936"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11171</w:t>
            </w:r>
          </w:p>
        </w:tc>
        <w:tc>
          <w:tcPr>
            <w:tcW w:w="2785" w:type="dxa"/>
            <w:tcBorders>
              <w:top w:val="nil"/>
              <w:left w:val="nil"/>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rPr>
                <w:rFonts w:ascii="Calibri" w:eastAsia="Times New Roman" w:hAnsi="Calibri" w:cs="Calibri"/>
                <w:color w:val="000000"/>
                <w:lang w:eastAsia="tr-TR"/>
              </w:rPr>
            </w:pPr>
            <w:r w:rsidRPr="000E2647">
              <w:rPr>
                <w:rFonts w:ascii="Calibri" w:eastAsia="Times New Roman" w:hAnsi="Calibri" w:cs="Calibri"/>
                <w:color w:val="000000" w:themeColor="text1"/>
                <w:lang w:eastAsia="tr-TR"/>
              </w:rPr>
              <w:t>2022-2026 Tarife Uygulama Dönemi Perakende Satış Tarifelerinin Belirlenmesi</w:t>
            </w:r>
          </w:p>
        </w:tc>
      </w:tr>
      <w:tr w:rsidR="001B6113" w:rsidRPr="00BD7921" w:rsidTr="000E2647">
        <w:trPr>
          <w:trHeight w:val="540"/>
        </w:trPr>
        <w:tc>
          <w:tcPr>
            <w:tcW w:w="5200" w:type="dxa"/>
            <w:tcBorders>
              <w:top w:val="nil"/>
              <w:left w:val="single" w:sz="4" w:space="0" w:color="auto"/>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jc w:val="left"/>
              <w:rPr>
                <w:rFonts w:ascii="Calibri" w:eastAsia="Times New Roman" w:hAnsi="Calibri" w:cs="Calibri"/>
                <w:color w:val="000000"/>
                <w:lang w:eastAsia="tr-TR"/>
              </w:rPr>
            </w:pPr>
            <w:r w:rsidRPr="000E2647">
              <w:rPr>
                <w:rFonts w:ascii="Calibri" w:eastAsia="Times New Roman" w:hAnsi="Calibri" w:cs="Calibri"/>
                <w:color w:val="000000"/>
                <w:lang w:eastAsia="tr-TR"/>
              </w:rPr>
              <w:t>Çordaş Çorlu Doğalgaz Dağıtım Anonim Şirketi Şirketi</w:t>
            </w:r>
          </w:p>
        </w:tc>
        <w:tc>
          <w:tcPr>
            <w:tcW w:w="1144"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8.09.2022</w:t>
            </w:r>
          </w:p>
        </w:tc>
        <w:tc>
          <w:tcPr>
            <w:tcW w:w="936"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11198</w:t>
            </w:r>
          </w:p>
        </w:tc>
        <w:tc>
          <w:tcPr>
            <w:tcW w:w="2785" w:type="dxa"/>
            <w:tcBorders>
              <w:top w:val="nil"/>
              <w:left w:val="nil"/>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rPr>
                <w:rFonts w:ascii="Calibri" w:eastAsia="Times New Roman" w:hAnsi="Calibri" w:cs="Calibri"/>
                <w:color w:val="000000"/>
                <w:lang w:eastAsia="tr-TR"/>
              </w:rPr>
            </w:pPr>
            <w:r w:rsidRPr="000E2647">
              <w:rPr>
                <w:rFonts w:ascii="Calibri" w:eastAsia="Times New Roman" w:hAnsi="Calibri" w:cs="Calibri"/>
                <w:color w:val="000000" w:themeColor="text1"/>
                <w:lang w:eastAsia="tr-TR"/>
              </w:rPr>
              <w:t>2022-2026 Tarife Uygulama Dönemi Perakende Satış Tarifelerinin Belirlenmesi</w:t>
            </w:r>
          </w:p>
        </w:tc>
      </w:tr>
      <w:tr w:rsidR="001B6113" w:rsidRPr="00BD7921" w:rsidTr="000E2647">
        <w:trPr>
          <w:trHeight w:val="540"/>
        </w:trPr>
        <w:tc>
          <w:tcPr>
            <w:tcW w:w="5200" w:type="dxa"/>
            <w:tcBorders>
              <w:top w:val="nil"/>
              <w:left w:val="single" w:sz="4" w:space="0" w:color="auto"/>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jc w:val="left"/>
              <w:rPr>
                <w:rFonts w:ascii="Calibri" w:eastAsia="Times New Roman" w:hAnsi="Calibri" w:cs="Calibri"/>
                <w:color w:val="000000"/>
                <w:lang w:eastAsia="tr-TR"/>
              </w:rPr>
            </w:pPr>
            <w:r w:rsidRPr="000E2647">
              <w:rPr>
                <w:rFonts w:ascii="Calibri" w:eastAsia="Times New Roman" w:hAnsi="Calibri" w:cs="Calibri"/>
                <w:color w:val="000000"/>
                <w:lang w:eastAsia="tr-TR"/>
              </w:rPr>
              <w:t>İnegöl Gaz Dağıtım Sanayi ve Ticaret Anonim Şirketi</w:t>
            </w:r>
          </w:p>
        </w:tc>
        <w:tc>
          <w:tcPr>
            <w:tcW w:w="1144"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8.09.2022</w:t>
            </w:r>
          </w:p>
        </w:tc>
        <w:tc>
          <w:tcPr>
            <w:tcW w:w="936"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11197</w:t>
            </w:r>
          </w:p>
        </w:tc>
        <w:tc>
          <w:tcPr>
            <w:tcW w:w="2785" w:type="dxa"/>
            <w:tcBorders>
              <w:top w:val="nil"/>
              <w:left w:val="nil"/>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rPr>
                <w:rFonts w:ascii="Calibri" w:eastAsia="Times New Roman" w:hAnsi="Calibri" w:cs="Calibri"/>
                <w:color w:val="000000"/>
                <w:lang w:eastAsia="tr-TR"/>
              </w:rPr>
            </w:pPr>
            <w:r w:rsidRPr="000E2647">
              <w:rPr>
                <w:rFonts w:ascii="Calibri" w:eastAsia="Times New Roman" w:hAnsi="Calibri" w:cs="Calibri"/>
                <w:color w:val="000000" w:themeColor="text1"/>
                <w:lang w:eastAsia="tr-TR"/>
              </w:rPr>
              <w:t>2022-2026 Tarife Uygulama Dönemi Perakende Satış Tarifelerinin Belirlenmesi</w:t>
            </w:r>
          </w:p>
        </w:tc>
      </w:tr>
      <w:tr w:rsidR="001B6113" w:rsidRPr="00BD7921" w:rsidTr="000E2647">
        <w:trPr>
          <w:trHeight w:val="564"/>
        </w:trPr>
        <w:tc>
          <w:tcPr>
            <w:tcW w:w="5200" w:type="dxa"/>
            <w:tcBorders>
              <w:top w:val="nil"/>
              <w:left w:val="single" w:sz="4" w:space="0" w:color="auto"/>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jc w:val="left"/>
              <w:rPr>
                <w:rFonts w:ascii="Calibri" w:eastAsia="Times New Roman" w:hAnsi="Calibri" w:cs="Calibri"/>
                <w:color w:val="000000"/>
                <w:lang w:eastAsia="tr-TR"/>
              </w:rPr>
            </w:pPr>
            <w:r w:rsidRPr="000E2647">
              <w:rPr>
                <w:rFonts w:ascii="Calibri" w:eastAsia="Times New Roman" w:hAnsi="Calibri" w:cs="Calibri"/>
                <w:color w:val="000000"/>
                <w:lang w:eastAsia="tr-TR"/>
              </w:rPr>
              <w:lastRenderedPageBreak/>
              <w:t>Torosgaz Isparta Burdur Doğalgaz Dağıtım Anonim Şirketi</w:t>
            </w:r>
          </w:p>
        </w:tc>
        <w:tc>
          <w:tcPr>
            <w:tcW w:w="1144"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8.09.2022</w:t>
            </w:r>
          </w:p>
        </w:tc>
        <w:tc>
          <w:tcPr>
            <w:tcW w:w="936"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11196</w:t>
            </w:r>
          </w:p>
        </w:tc>
        <w:tc>
          <w:tcPr>
            <w:tcW w:w="2785" w:type="dxa"/>
            <w:tcBorders>
              <w:top w:val="nil"/>
              <w:left w:val="nil"/>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rPr>
                <w:rFonts w:ascii="Calibri" w:eastAsia="Times New Roman" w:hAnsi="Calibri" w:cs="Calibri"/>
                <w:color w:val="000000"/>
                <w:lang w:eastAsia="tr-TR"/>
              </w:rPr>
            </w:pPr>
            <w:r w:rsidRPr="000E2647">
              <w:rPr>
                <w:rFonts w:ascii="Calibri" w:eastAsia="Times New Roman" w:hAnsi="Calibri" w:cs="Calibri"/>
                <w:color w:val="000000" w:themeColor="text1"/>
                <w:lang w:eastAsia="tr-TR"/>
              </w:rPr>
              <w:t>2022-2026 Tarife Uygulama Dönemi Perakende Satış Tarifelerinin Belirlenmesi</w:t>
            </w:r>
          </w:p>
        </w:tc>
      </w:tr>
      <w:tr w:rsidR="001B6113" w:rsidRPr="00BD7921" w:rsidTr="000E2647">
        <w:trPr>
          <w:trHeight w:val="540"/>
        </w:trPr>
        <w:tc>
          <w:tcPr>
            <w:tcW w:w="5200" w:type="dxa"/>
            <w:tcBorders>
              <w:top w:val="nil"/>
              <w:left w:val="single" w:sz="4" w:space="0" w:color="auto"/>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jc w:val="left"/>
              <w:rPr>
                <w:rFonts w:ascii="Calibri" w:eastAsia="Times New Roman" w:hAnsi="Calibri" w:cs="Calibri"/>
                <w:color w:val="000000"/>
                <w:lang w:eastAsia="tr-TR"/>
              </w:rPr>
            </w:pPr>
            <w:r w:rsidRPr="000E2647">
              <w:rPr>
                <w:rFonts w:ascii="Calibri" w:eastAsia="Times New Roman" w:hAnsi="Calibri" w:cs="Calibri"/>
                <w:color w:val="000000"/>
                <w:lang w:eastAsia="tr-TR"/>
              </w:rPr>
              <w:t>Trakya Bölgesi Doğal Gaz Dağıtım Anonim Şirketi</w:t>
            </w:r>
          </w:p>
        </w:tc>
        <w:tc>
          <w:tcPr>
            <w:tcW w:w="1144"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8.09.2022</w:t>
            </w:r>
          </w:p>
        </w:tc>
        <w:tc>
          <w:tcPr>
            <w:tcW w:w="936"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11194</w:t>
            </w:r>
          </w:p>
        </w:tc>
        <w:tc>
          <w:tcPr>
            <w:tcW w:w="2785" w:type="dxa"/>
            <w:tcBorders>
              <w:top w:val="nil"/>
              <w:left w:val="nil"/>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rPr>
                <w:rFonts w:ascii="Calibri" w:eastAsia="Times New Roman" w:hAnsi="Calibri" w:cs="Calibri"/>
                <w:color w:val="000000"/>
                <w:lang w:eastAsia="tr-TR"/>
              </w:rPr>
            </w:pPr>
            <w:r w:rsidRPr="000E2647">
              <w:rPr>
                <w:rFonts w:ascii="Calibri" w:eastAsia="Times New Roman" w:hAnsi="Calibri" w:cs="Calibri"/>
                <w:color w:val="000000" w:themeColor="text1"/>
                <w:lang w:eastAsia="tr-TR"/>
              </w:rPr>
              <w:t>2022-2026 Tarife Uygulama Dönemi Perakende Satış Tarifelerinin Belirlenmesi</w:t>
            </w:r>
          </w:p>
        </w:tc>
      </w:tr>
      <w:tr w:rsidR="001B6113" w:rsidRPr="00BD7921" w:rsidTr="000E2647">
        <w:trPr>
          <w:trHeight w:val="540"/>
        </w:trPr>
        <w:tc>
          <w:tcPr>
            <w:tcW w:w="5200" w:type="dxa"/>
            <w:tcBorders>
              <w:top w:val="nil"/>
              <w:left w:val="single" w:sz="4" w:space="0" w:color="auto"/>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jc w:val="left"/>
              <w:rPr>
                <w:rFonts w:ascii="Calibri" w:eastAsia="Times New Roman" w:hAnsi="Calibri" w:cs="Calibri"/>
                <w:color w:val="000000"/>
                <w:lang w:eastAsia="tr-TR"/>
              </w:rPr>
            </w:pPr>
            <w:r w:rsidRPr="000E2647">
              <w:rPr>
                <w:rFonts w:ascii="Calibri" w:eastAsia="Times New Roman" w:hAnsi="Calibri" w:cs="Calibri"/>
                <w:color w:val="000000"/>
                <w:lang w:eastAsia="tr-TR"/>
              </w:rPr>
              <w:t>Armadaş Arsan Maraş Doğal Gaz Dağıtım Anonim Şirketi</w:t>
            </w:r>
          </w:p>
        </w:tc>
        <w:tc>
          <w:tcPr>
            <w:tcW w:w="1144"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15.09.2022</w:t>
            </w:r>
          </w:p>
        </w:tc>
        <w:tc>
          <w:tcPr>
            <w:tcW w:w="936"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11224</w:t>
            </w:r>
          </w:p>
        </w:tc>
        <w:tc>
          <w:tcPr>
            <w:tcW w:w="2785" w:type="dxa"/>
            <w:tcBorders>
              <w:top w:val="nil"/>
              <w:left w:val="nil"/>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rPr>
                <w:rFonts w:ascii="Calibri" w:eastAsia="Times New Roman" w:hAnsi="Calibri" w:cs="Calibri"/>
                <w:color w:val="000000"/>
                <w:lang w:eastAsia="tr-TR"/>
              </w:rPr>
            </w:pPr>
            <w:r w:rsidRPr="000E2647">
              <w:rPr>
                <w:rFonts w:ascii="Calibri" w:eastAsia="Times New Roman" w:hAnsi="Calibri" w:cs="Calibri"/>
                <w:color w:val="000000" w:themeColor="text1"/>
                <w:lang w:eastAsia="tr-TR"/>
              </w:rPr>
              <w:t>2022-2026 Tarife Uygulama Dönemi Perakende Satış Tarifelerinin Belirlenmesi</w:t>
            </w:r>
          </w:p>
        </w:tc>
      </w:tr>
      <w:tr w:rsidR="001B6113" w:rsidRPr="00BD7921" w:rsidTr="000E2647">
        <w:trPr>
          <w:trHeight w:val="540"/>
        </w:trPr>
        <w:tc>
          <w:tcPr>
            <w:tcW w:w="5200" w:type="dxa"/>
            <w:tcBorders>
              <w:top w:val="nil"/>
              <w:left w:val="single" w:sz="4" w:space="0" w:color="auto"/>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jc w:val="left"/>
              <w:rPr>
                <w:rFonts w:ascii="Calibri" w:eastAsia="Times New Roman" w:hAnsi="Calibri" w:cs="Calibri"/>
                <w:color w:val="000000"/>
                <w:lang w:eastAsia="tr-TR"/>
              </w:rPr>
            </w:pPr>
            <w:r w:rsidRPr="000E2647">
              <w:rPr>
                <w:rFonts w:ascii="Calibri" w:eastAsia="Times New Roman" w:hAnsi="Calibri" w:cs="Calibri"/>
                <w:color w:val="000000"/>
                <w:lang w:eastAsia="tr-TR"/>
              </w:rPr>
              <w:t>Enerya Konya Gaz Dağıtım Anonim Şirketi</w:t>
            </w:r>
          </w:p>
        </w:tc>
        <w:tc>
          <w:tcPr>
            <w:tcW w:w="1144"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15.09.2022</w:t>
            </w:r>
          </w:p>
        </w:tc>
        <w:tc>
          <w:tcPr>
            <w:tcW w:w="936"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11223</w:t>
            </w:r>
          </w:p>
        </w:tc>
        <w:tc>
          <w:tcPr>
            <w:tcW w:w="2785" w:type="dxa"/>
            <w:tcBorders>
              <w:top w:val="nil"/>
              <w:left w:val="nil"/>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rPr>
                <w:rFonts w:ascii="Calibri" w:eastAsia="Times New Roman" w:hAnsi="Calibri" w:cs="Calibri"/>
                <w:color w:val="000000"/>
                <w:lang w:eastAsia="tr-TR"/>
              </w:rPr>
            </w:pPr>
            <w:r w:rsidRPr="000E2647">
              <w:rPr>
                <w:rFonts w:ascii="Calibri" w:eastAsia="Times New Roman" w:hAnsi="Calibri" w:cs="Calibri"/>
                <w:color w:val="000000" w:themeColor="text1"/>
                <w:lang w:eastAsia="tr-TR"/>
              </w:rPr>
              <w:t>2022-2026 Tarife Uygulama Dönemi Perakende Satış Tarifelerinin Belirlenmesi</w:t>
            </w:r>
          </w:p>
        </w:tc>
      </w:tr>
      <w:tr w:rsidR="001B6113" w:rsidRPr="00BD7921" w:rsidTr="000E2647">
        <w:trPr>
          <w:trHeight w:val="540"/>
        </w:trPr>
        <w:tc>
          <w:tcPr>
            <w:tcW w:w="5200" w:type="dxa"/>
            <w:tcBorders>
              <w:top w:val="nil"/>
              <w:left w:val="single" w:sz="4" w:space="0" w:color="auto"/>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jc w:val="left"/>
              <w:rPr>
                <w:rFonts w:ascii="Calibri" w:eastAsia="Times New Roman" w:hAnsi="Calibri" w:cs="Calibri"/>
                <w:color w:val="000000"/>
                <w:lang w:eastAsia="tr-TR"/>
              </w:rPr>
            </w:pPr>
            <w:r w:rsidRPr="000E2647">
              <w:rPr>
                <w:rFonts w:ascii="Calibri" w:eastAsia="Times New Roman" w:hAnsi="Calibri" w:cs="Calibri"/>
                <w:color w:val="000000"/>
                <w:lang w:eastAsia="tr-TR"/>
              </w:rPr>
              <w:t>Aksa Düzce Ereğli Doğal Gaz Dağıtım Anonim Şirketi</w:t>
            </w:r>
          </w:p>
        </w:tc>
        <w:tc>
          <w:tcPr>
            <w:tcW w:w="1144"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15.09.2022</w:t>
            </w:r>
          </w:p>
        </w:tc>
        <w:tc>
          <w:tcPr>
            <w:tcW w:w="936"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11222</w:t>
            </w:r>
          </w:p>
        </w:tc>
        <w:tc>
          <w:tcPr>
            <w:tcW w:w="2785" w:type="dxa"/>
            <w:tcBorders>
              <w:top w:val="nil"/>
              <w:left w:val="nil"/>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rPr>
                <w:rFonts w:ascii="Calibri" w:eastAsia="Times New Roman" w:hAnsi="Calibri" w:cs="Calibri"/>
                <w:color w:val="000000"/>
                <w:lang w:eastAsia="tr-TR"/>
              </w:rPr>
            </w:pPr>
            <w:r w:rsidRPr="000E2647">
              <w:rPr>
                <w:rFonts w:ascii="Calibri" w:eastAsia="Times New Roman" w:hAnsi="Calibri" w:cs="Calibri"/>
                <w:color w:val="000000" w:themeColor="text1"/>
                <w:lang w:eastAsia="tr-TR"/>
              </w:rPr>
              <w:t>2022-2026 Tarife Uygulama Dönemi Perakende Satış Tarifelerinin Belirlenmesi</w:t>
            </w:r>
          </w:p>
        </w:tc>
      </w:tr>
      <w:tr w:rsidR="001B6113" w:rsidRPr="00BD7921" w:rsidTr="000E2647">
        <w:trPr>
          <w:trHeight w:val="540"/>
        </w:trPr>
        <w:tc>
          <w:tcPr>
            <w:tcW w:w="5200" w:type="dxa"/>
            <w:tcBorders>
              <w:top w:val="nil"/>
              <w:left w:val="single" w:sz="4" w:space="0" w:color="auto"/>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jc w:val="left"/>
              <w:rPr>
                <w:rFonts w:ascii="Calibri" w:eastAsia="Times New Roman" w:hAnsi="Calibri" w:cs="Calibri"/>
                <w:color w:val="000000"/>
                <w:lang w:eastAsia="tr-TR"/>
              </w:rPr>
            </w:pPr>
            <w:r w:rsidRPr="000E2647">
              <w:rPr>
                <w:rFonts w:ascii="Calibri" w:eastAsia="Times New Roman" w:hAnsi="Calibri" w:cs="Calibri"/>
                <w:color w:val="000000"/>
                <w:lang w:eastAsia="tr-TR"/>
              </w:rPr>
              <w:t>Aksa Van Doğal Gaz Dağıtım Anonim Şirketi</w:t>
            </w:r>
          </w:p>
        </w:tc>
        <w:tc>
          <w:tcPr>
            <w:tcW w:w="1144"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15.09.2022</w:t>
            </w:r>
          </w:p>
        </w:tc>
        <w:tc>
          <w:tcPr>
            <w:tcW w:w="936"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11221</w:t>
            </w:r>
          </w:p>
        </w:tc>
        <w:tc>
          <w:tcPr>
            <w:tcW w:w="2785" w:type="dxa"/>
            <w:tcBorders>
              <w:top w:val="nil"/>
              <w:left w:val="nil"/>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rPr>
                <w:rFonts w:ascii="Calibri" w:eastAsia="Times New Roman" w:hAnsi="Calibri" w:cs="Calibri"/>
                <w:color w:val="000000"/>
                <w:lang w:eastAsia="tr-TR"/>
              </w:rPr>
            </w:pPr>
            <w:r w:rsidRPr="000E2647">
              <w:rPr>
                <w:rFonts w:ascii="Calibri" w:eastAsia="Times New Roman" w:hAnsi="Calibri" w:cs="Calibri"/>
                <w:color w:val="000000" w:themeColor="text1"/>
                <w:lang w:eastAsia="tr-TR"/>
              </w:rPr>
              <w:t>2022-2026 Tarife Uygulama Dönemi Perakende Satış Tarifelerinin Belirlenmesi</w:t>
            </w:r>
          </w:p>
        </w:tc>
      </w:tr>
      <w:tr w:rsidR="001B6113" w:rsidRPr="00BD7921" w:rsidTr="000E2647">
        <w:trPr>
          <w:trHeight w:val="540"/>
        </w:trPr>
        <w:tc>
          <w:tcPr>
            <w:tcW w:w="5200" w:type="dxa"/>
            <w:tcBorders>
              <w:top w:val="nil"/>
              <w:left w:val="single" w:sz="4" w:space="0" w:color="auto"/>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jc w:val="left"/>
              <w:rPr>
                <w:rFonts w:ascii="Calibri" w:eastAsia="Times New Roman" w:hAnsi="Calibri" w:cs="Calibri"/>
                <w:color w:val="000000"/>
                <w:lang w:eastAsia="tr-TR"/>
              </w:rPr>
            </w:pPr>
            <w:r w:rsidRPr="000E2647">
              <w:rPr>
                <w:rFonts w:ascii="Calibri" w:eastAsia="Times New Roman" w:hAnsi="Calibri" w:cs="Calibri"/>
                <w:color w:val="000000"/>
                <w:lang w:eastAsia="tr-TR"/>
              </w:rPr>
              <w:t>İzmir Doğalgaz Dağıtım Ticaret ve Taahhüt Anonim Şirketi</w:t>
            </w:r>
          </w:p>
        </w:tc>
        <w:tc>
          <w:tcPr>
            <w:tcW w:w="1144"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15.09.2022</w:t>
            </w:r>
          </w:p>
        </w:tc>
        <w:tc>
          <w:tcPr>
            <w:tcW w:w="936"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11219</w:t>
            </w:r>
          </w:p>
        </w:tc>
        <w:tc>
          <w:tcPr>
            <w:tcW w:w="2785" w:type="dxa"/>
            <w:tcBorders>
              <w:top w:val="nil"/>
              <w:left w:val="nil"/>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rPr>
                <w:rFonts w:ascii="Calibri" w:eastAsia="Times New Roman" w:hAnsi="Calibri" w:cs="Calibri"/>
                <w:color w:val="000000"/>
                <w:lang w:eastAsia="tr-TR"/>
              </w:rPr>
            </w:pPr>
            <w:r w:rsidRPr="000E2647">
              <w:rPr>
                <w:rFonts w:ascii="Calibri" w:eastAsia="Times New Roman" w:hAnsi="Calibri" w:cs="Calibri"/>
                <w:color w:val="000000" w:themeColor="text1"/>
                <w:lang w:eastAsia="tr-TR"/>
              </w:rPr>
              <w:t>2022-2026 Tarife Uygulama Dönemi Perakende Satış Tarifelerinin Belirlenmesi</w:t>
            </w:r>
          </w:p>
        </w:tc>
      </w:tr>
      <w:tr w:rsidR="001B6113" w:rsidRPr="00BD7921" w:rsidTr="000E2647">
        <w:trPr>
          <w:trHeight w:val="540"/>
        </w:trPr>
        <w:tc>
          <w:tcPr>
            <w:tcW w:w="5200" w:type="dxa"/>
            <w:tcBorders>
              <w:top w:val="nil"/>
              <w:left w:val="single" w:sz="4" w:space="0" w:color="auto"/>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jc w:val="left"/>
              <w:rPr>
                <w:rFonts w:ascii="Calibri" w:eastAsia="Times New Roman" w:hAnsi="Calibri" w:cs="Calibri"/>
                <w:color w:val="000000"/>
                <w:lang w:eastAsia="tr-TR"/>
              </w:rPr>
            </w:pPr>
            <w:r w:rsidRPr="000E2647">
              <w:rPr>
                <w:rFonts w:ascii="Calibri" w:eastAsia="Times New Roman" w:hAnsi="Calibri" w:cs="Calibri"/>
                <w:color w:val="000000"/>
                <w:lang w:eastAsia="tr-TR"/>
              </w:rPr>
              <w:t>Esgaz Eskişehir Şehiriçi Doğal Gaz Dağıtım Ticaret ve Taahhüt Anonim Şirketi</w:t>
            </w:r>
          </w:p>
        </w:tc>
        <w:tc>
          <w:tcPr>
            <w:tcW w:w="1144"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15.09.2022</w:t>
            </w:r>
          </w:p>
        </w:tc>
        <w:tc>
          <w:tcPr>
            <w:tcW w:w="936"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11218</w:t>
            </w:r>
          </w:p>
        </w:tc>
        <w:tc>
          <w:tcPr>
            <w:tcW w:w="2785" w:type="dxa"/>
            <w:tcBorders>
              <w:top w:val="nil"/>
              <w:left w:val="nil"/>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rPr>
                <w:rFonts w:ascii="Calibri" w:eastAsia="Times New Roman" w:hAnsi="Calibri" w:cs="Calibri"/>
                <w:color w:val="000000"/>
                <w:lang w:eastAsia="tr-TR"/>
              </w:rPr>
            </w:pPr>
            <w:r w:rsidRPr="000E2647">
              <w:rPr>
                <w:rFonts w:ascii="Calibri" w:eastAsia="Times New Roman" w:hAnsi="Calibri" w:cs="Calibri"/>
                <w:color w:val="000000" w:themeColor="text1"/>
                <w:lang w:eastAsia="tr-TR"/>
              </w:rPr>
              <w:t>2022-2026 Tarife Uygulama Dönemi Perakende Satış Tarifelerinin Belirlenmesi</w:t>
            </w:r>
          </w:p>
        </w:tc>
      </w:tr>
      <w:tr w:rsidR="001B6113" w:rsidRPr="00BD7921" w:rsidTr="000E2647">
        <w:trPr>
          <w:trHeight w:val="540"/>
        </w:trPr>
        <w:tc>
          <w:tcPr>
            <w:tcW w:w="5200" w:type="dxa"/>
            <w:tcBorders>
              <w:top w:val="nil"/>
              <w:left w:val="single" w:sz="4" w:space="0" w:color="auto"/>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jc w:val="left"/>
              <w:rPr>
                <w:rFonts w:ascii="Calibri" w:eastAsia="Times New Roman" w:hAnsi="Calibri" w:cs="Calibri"/>
                <w:color w:val="000000"/>
                <w:lang w:eastAsia="tr-TR"/>
              </w:rPr>
            </w:pPr>
            <w:r w:rsidRPr="000E2647">
              <w:rPr>
                <w:rFonts w:ascii="Calibri" w:eastAsia="Times New Roman" w:hAnsi="Calibri" w:cs="Calibri"/>
                <w:color w:val="000000"/>
                <w:lang w:eastAsia="tr-TR"/>
              </w:rPr>
              <w:t>Enerya Karaman Gaz Dağıtım Anonim Şirketi</w:t>
            </w:r>
          </w:p>
        </w:tc>
        <w:tc>
          <w:tcPr>
            <w:tcW w:w="1144"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15.09.2022</w:t>
            </w:r>
          </w:p>
        </w:tc>
        <w:tc>
          <w:tcPr>
            <w:tcW w:w="936"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11217</w:t>
            </w:r>
          </w:p>
        </w:tc>
        <w:tc>
          <w:tcPr>
            <w:tcW w:w="2785" w:type="dxa"/>
            <w:tcBorders>
              <w:top w:val="nil"/>
              <w:left w:val="nil"/>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rPr>
                <w:rFonts w:ascii="Calibri" w:eastAsia="Times New Roman" w:hAnsi="Calibri" w:cs="Calibri"/>
                <w:color w:val="000000"/>
                <w:lang w:eastAsia="tr-TR"/>
              </w:rPr>
            </w:pPr>
            <w:r w:rsidRPr="000E2647">
              <w:rPr>
                <w:rFonts w:ascii="Calibri" w:eastAsia="Times New Roman" w:hAnsi="Calibri" w:cs="Calibri"/>
                <w:color w:val="000000" w:themeColor="text1"/>
                <w:lang w:eastAsia="tr-TR"/>
              </w:rPr>
              <w:t>2022-2026 Tarife Uygulama Dönemi Perakende Satış Tarifelerinin Belirlenmesi</w:t>
            </w:r>
          </w:p>
        </w:tc>
      </w:tr>
      <w:tr w:rsidR="001B6113" w:rsidRPr="00BD7921" w:rsidTr="000E2647">
        <w:trPr>
          <w:trHeight w:val="540"/>
        </w:trPr>
        <w:tc>
          <w:tcPr>
            <w:tcW w:w="5200" w:type="dxa"/>
            <w:tcBorders>
              <w:top w:val="nil"/>
              <w:left w:val="single" w:sz="4" w:space="0" w:color="auto"/>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jc w:val="left"/>
              <w:rPr>
                <w:rFonts w:ascii="Calibri" w:eastAsia="Times New Roman" w:hAnsi="Calibri" w:cs="Calibri"/>
                <w:color w:val="000000"/>
                <w:lang w:eastAsia="tr-TR"/>
              </w:rPr>
            </w:pPr>
            <w:r w:rsidRPr="000E2647">
              <w:rPr>
                <w:rFonts w:ascii="Calibri" w:eastAsia="Times New Roman" w:hAnsi="Calibri" w:cs="Calibri"/>
                <w:color w:val="000000"/>
                <w:lang w:eastAsia="tr-TR"/>
              </w:rPr>
              <w:t>Enerya Kapadokya Gaz Dağıtım Anonim Şirketi</w:t>
            </w:r>
          </w:p>
        </w:tc>
        <w:tc>
          <w:tcPr>
            <w:tcW w:w="1144"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15.09.2022</w:t>
            </w:r>
          </w:p>
        </w:tc>
        <w:tc>
          <w:tcPr>
            <w:tcW w:w="936"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11215</w:t>
            </w:r>
          </w:p>
        </w:tc>
        <w:tc>
          <w:tcPr>
            <w:tcW w:w="2785" w:type="dxa"/>
            <w:tcBorders>
              <w:top w:val="nil"/>
              <w:left w:val="nil"/>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rPr>
                <w:rFonts w:ascii="Calibri" w:eastAsia="Times New Roman" w:hAnsi="Calibri" w:cs="Calibri"/>
                <w:color w:val="000000"/>
                <w:lang w:eastAsia="tr-TR"/>
              </w:rPr>
            </w:pPr>
            <w:r w:rsidRPr="000E2647">
              <w:rPr>
                <w:rFonts w:ascii="Calibri" w:eastAsia="Times New Roman" w:hAnsi="Calibri" w:cs="Calibri"/>
                <w:color w:val="000000" w:themeColor="text1"/>
                <w:lang w:eastAsia="tr-TR"/>
              </w:rPr>
              <w:t>2022-2026 Tarife Uygulama Dönemi Perakende Satış Tarifelerinin Belirlenmesi</w:t>
            </w:r>
          </w:p>
        </w:tc>
      </w:tr>
      <w:tr w:rsidR="001B6113" w:rsidRPr="00BD7921" w:rsidTr="000E2647">
        <w:trPr>
          <w:trHeight w:val="540"/>
        </w:trPr>
        <w:tc>
          <w:tcPr>
            <w:tcW w:w="5200" w:type="dxa"/>
            <w:tcBorders>
              <w:top w:val="nil"/>
              <w:left w:val="single" w:sz="4" w:space="0" w:color="auto"/>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jc w:val="left"/>
              <w:rPr>
                <w:rFonts w:ascii="Calibri" w:eastAsia="Times New Roman" w:hAnsi="Calibri" w:cs="Calibri"/>
                <w:color w:val="000000"/>
                <w:lang w:eastAsia="tr-TR"/>
              </w:rPr>
            </w:pPr>
            <w:r w:rsidRPr="000E2647">
              <w:rPr>
                <w:rFonts w:ascii="Calibri" w:eastAsia="Times New Roman" w:hAnsi="Calibri" w:cs="Calibri"/>
                <w:color w:val="000000"/>
                <w:lang w:eastAsia="tr-TR"/>
              </w:rPr>
              <w:t>Armagaz Arsan Marmara Doğalgaz Dağıtım Anonim Şirketi</w:t>
            </w:r>
          </w:p>
        </w:tc>
        <w:tc>
          <w:tcPr>
            <w:tcW w:w="1144"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15.09.2022</w:t>
            </w:r>
          </w:p>
        </w:tc>
        <w:tc>
          <w:tcPr>
            <w:tcW w:w="936"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11214</w:t>
            </w:r>
          </w:p>
        </w:tc>
        <w:tc>
          <w:tcPr>
            <w:tcW w:w="2785" w:type="dxa"/>
            <w:tcBorders>
              <w:top w:val="nil"/>
              <w:left w:val="nil"/>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rPr>
                <w:rFonts w:ascii="Calibri" w:eastAsia="Times New Roman" w:hAnsi="Calibri" w:cs="Calibri"/>
                <w:color w:val="000000"/>
                <w:lang w:eastAsia="tr-TR"/>
              </w:rPr>
            </w:pPr>
            <w:r w:rsidRPr="000E2647">
              <w:rPr>
                <w:rFonts w:ascii="Calibri" w:eastAsia="Times New Roman" w:hAnsi="Calibri" w:cs="Calibri"/>
                <w:color w:val="000000" w:themeColor="text1"/>
                <w:lang w:eastAsia="tr-TR"/>
              </w:rPr>
              <w:t>2022-2026 Tarife Uygulama Dönemi Perakende Satış Tarifelerinin Belirlenmesi</w:t>
            </w:r>
          </w:p>
        </w:tc>
      </w:tr>
      <w:tr w:rsidR="001B6113" w:rsidRPr="00BD7921" w:rsidTr="000E2647">
        <w:trPr>
          <w:trHeight w:val="540"/>
        </w:trPr>
        <w:tc>
          <w:tcPr>
            <w:tcW w:w="5200" w:type="dxa"/>
            <w:tcBorders>
              <w:top w:val="nil"/>
              <w:left w:val="single" w:sz="4" w:space="0" w:color="auto"/>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jc w:val="left"/>
              <w:rPr>
                <w:rFonts w:ascii="Calibri" w:eastAsia="Times New Roman" w:hAnsi="Calibri" w:cs="Calibri"/>
                <w:color w:val="000000"/>
                <w:lang w:eastAsia="tr-TR"/>
              </w:rPr>
            </w:pPr>
            <w:r w:rsidRPr="000E2647">
              <w:rPr>
                <w:rFonts w:ascii="Calibri" w:eastAsia="Times New Roman" w:hAnsi="Calibri" w:cs="Calibri"/>
                <w:color w:val="000000"/>
                <w:lang w:eastAsia="tr-TR"/>
              </w:rPr>
              <w:t>Aksa Çanakkale Doğal Gaz Dağıtım Anonim Şirketi</w:t>
            </w:r>
          </w:p>
        </w:tc>
        <w:tc>
          <w:tcPr>
            <w:tcW w:w="1144"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15.09.2022</w:t>
            </w:r>
          </w:p>
        </w:tc>
        <w:tc>
          <w:tcPr>
            <w:tcW w:w="936"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11213</w:t>
            </w:r>
          </w:p>
        </w:tc>
        <w:tc>
          <w:tcPr>
            <w:tcW w:w="2785" w:type="dxa"/>
            <w:tcBorders>
              <w:top w:val="nil"/>
              <w:left w:val="nil"/>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rPr>
                <w:rFonts w:ascii="Calibri" w:eastAsia="Times New Roman" w:hAnsi="Calibri" w:cs="Calibri"/>
                <w:color w:val="000000"/>
                <w:lang w:eastAsia="tr-TR"/>
              </w:rPr>
            </w:pPr>
            <w:r w:rsidRPr="000E2647">
              <w:rPr>
                <w:rFonts w:ascii="Calibri" w:eastAsia="Times New Roman" w:hAnsi="Calibri" w:cs="Calibri"/>
                <w:color w:val="000000" w:themeColor="text1"/>
                <w:lang w:eastAsia="tr-TR"/>
              </w:rPr>
              <w:t>2022-2026 Tarife Uygulama Dönemi Perakende Satış Tarifelerinin Belirlenmesi</w:t>
            </w:r>
          </w:p>
        </w:tc>
      </w:tr>
      <w:tr w:rsidR="001B6113" w:rsidRPr="00BD7921" w:rsidTr="000E2647">
        <w:trPr>
          <w:trHeight w:val="528"/>
        </w:trPr>
        <w:tc>
          <w:tcPr>
            <w:tcW w:w="5200" w:type="dxa"/>
            <w:tcBorders>
              <w:top w:val="nil"/>
              <w:left w:val="single" w:sz="4" w:space="0" w:color="auto"/>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jc w:val="left"/>
              <w:rPr>
                <w:rFonts w:ascii="Calibri" w:eastAsia="Times New Roman" w:hAnsi="Calibri" w:cs="Calibri"/>
                <w:color w:val="000000"/>
                <w:lang w:eastAsia="tr-TR"/>
              </w:rPr>
            </w:pPr>
            <w:r w:rsidRPr="000E2647">
              <w:rPr>
                <w:rFonts w:ascii="Calibri" w:eastAsia="Times New Roman" w:hAnsi="Calibri" w:cs="Calibri"/>
                <w:color w:val="000000"/>
                <w:lang w:eastAsia="tr-TR"/>
              </w:rPr>
              <w:t>Aksa Sivas Doğal Gaz Dağıtım Anonim Şirketi</w:t>
            </w:r>
          </w:p>
        </w:tc>
        <w:tc>
          <w:tcPr>
            <w:tcW w:w="1144"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15.09.2022</w:t>
            </w:r>
          </w:p>
        </w:tc>
        <w:tc>
          <w:tcPr>
            <w:tcW w:w="936"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11212</w:t>
            </w:r>
          </w:p>
        </w:tc>
        <w:tc>
          <w:tcPr>
            <w:tcW w:w="2785" w:type="dxa"/>
            <w:tcBorders>
              <w:top w:val="nil"/>
              <w:left w:val="nil"/>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rPr>
                <w:rFonts w:ascii="Calibri" w:eastAsia="Times New Roman" w:hAnsi="Calibri" w:cs="Calibri"/>
                <w:color w:val="000000"/>
                <w:lang w:eastAsia="tr-TR"/>
              </w:rPr>
            </w:pPr>
            <w:r w:rsidRPr="000E2647">
              <w:rPr>
                <w:rFonts w:ascii="Calibri" w:eastAsia="Times New Roman" w:hAnsi="Calibri" w:cs="Calibri"/>
                <w:color w:val="000000" w:themeColor="text1"/>
                <w:lang w:eastAsia="tr-TR"/>
              </w:rPr>
              <w:t>2022-2026 Tarife Uygulama Dönemi Perakende Satış Tarifelerinin Belirlenmesi</w:t>
            </w:r>
          </w:p>
        </w:tc>
      </w:tr>
      <w:tr w:rsidR="001B6113" w:rsidRPr="00BD7921" w:rsidTr="000E2647">
        <w:trPr>
          <w:trHeight w:val="528"/>
        </w:trPr>
        <w:tc>
          <w:tcPr>
            <w:tcW w:w="5200" w:type="dxa"/>
            <w:tcBorders>
              <w:top w:val="nil"/>
              <w:left w:val="single" w:sz="4" w:space="0" w:color="auto"/>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jc w:val="left"/>
              <w:rPr>
                <w:rFonts w:ascii="Calibri" w:eastAsia="Times New Roman" w:hAnsi="Calibri" w:cs="Calibri"/>
                <w:color w:val="000000"/>
                <w:lang w:eastAsia="tr-TR"/>
              </w:rPr>
            </w:pPr>
            <w:r w:rsidRPr="000E2647">
              <w:rPr>
                <w:rFonts w:ascii="Calibri" w:eastAsia="Times New Roman" w:hAnsi="Calibri" w:cs="Calibri"/>
                <w:color w:val="000000"/>
                <w:lang w:eastAsia="tr-TR"/>
              </w:rPr>
              <w:t>Aksa Tokat Amasya Doğal Gaz Dağıtım Anonim Şirketi</w:t>
            </w:r>
          </w:p>
        </w:tc>
        <w:tc>
          <w:tcPr>
            <w:tcW w:w="1144"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15.09.2022</w:t>
            </w:r>
          </w:p>
        </w:tc>
        <w:tc>
          <w:tcPr>
            <w:tcW w:w="936"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11211</w:t>
            </w:r>
          </w:p>
        </w:tc>
        <w:tc>
          <w:tcPr>
            <w:tcW w:w="2785" w:type="dxa"/>
            <w:tcBorders>
              <w:top w:val="nil"/>
              <w:left w:val="nil"/>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rPr>
                <w:rFonts w:ascii="Calibri" w:eastAsia="Times New Roman" w:hAnsi="Calibri" w:cs="Calibri"/>
                <w:color w:val="000000"/>
                <w:lang w:eastAsia="tr-TR"/>
              </w:rPr>
            </w:pPr>
            <w:r w:rsidRPr="000E2647">
              <w:rPr>
                <w:rFonts w:ascii="Calibri" w:eastAsia="Times New Roman" w:hAnsi="Calibri" w:cs="Calibri"/>
                <w:color w:val="000000" w:themeColor="text1"/>
                <w:lang w:eastAsia="tr-TR"/>
              </w:rPr>
              <w:t>2022-2026 Tarife Uygulama Dönemi Perakende Satış Tarifelerinin Belirlenmesi</w:t>
            </w:r>
          </w:p>
        </w:tc>
      </w:tr>
      <w:tr w:rsidR="001B6113" w:rsidRPr="00BD7921" w:rsidTr="000E2647">
        <w:trPr>
          <w:trHeight w:val="528"/>
        </w:trPr>
        <w:tc>
          <w:tcPr>
            <w:tcW w:w="5200" w:type="dxa"/>
            <w:tcBorders>
              <w:top w:val="nil"/>
              <w:left w:val="single" w:sz="4" w:space="0" w:color="auto"/>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jc w:val="left"/>
              <w:rPr>
                <w:rFonts w:ascii="Calibri" w:eastAsia="Times New Roman" w:hAnsi="Calibri" w:cs="Calibri"/>
                <w:color w:val="000000"/>
                <w:lang w:eastAsia="tr-TR"/>
              </w:rPr>
            </w:pPr>
            <w:r w:rsidRPr="000E2647">
              <w:rPr>
                <w:rFonts w:ascii="Calibri" w:eastAsia="Times New Roman" w:hAnsi="Calibri" w:cs="Calibri"/>
                <w:color w:val="000000"/>
                <w:lang w:eastAsia="tr-TR"/>
              </w:rPr>
              <w:t>Aksa Elazığ Doğalgaz Dağıtım Anonim Şirketi</w:t>
            </w:r>
          </w:p>
        </w:tc>
        <w:tc>
          <w:tcPr>
            <w:tcW w:w="1144"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15.09.2022</w:t>
            </w:r>
          </w:p>
        </w:tc>
        <w:tc>
          <w:tcPr>
            <w:tcW w:w="936"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11210</w:t>
            </w:r>
          </w:p>
        </w:tc>
        <w:tc>
          <w:tcPr>
            <w:tcW w:w="2785" w:type="dxa"/>
            <w:tcBorders>
              <w:top w:val="nil"/>
              <w:left w:val="nil"/>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rPr>
                <w:rFonts w:ascii="Calibri" w:eastAsia="Times New Roman" w:hAnsi="Calibri" w:cs="Calibri"/>
                <w:color w:val="000000"/>
                <w:lang w:eastAsia="tr-TR"/>
              </w:rPr>
            </w:pPr>
            <w:r w:rsidRPr="000E2647">
              <w:rPr>
                <w:rFonts w:ascii="Calibri" w:eastAsia="Times New Roman" w:hAnsi="Calibri" w:cs="Calibri"/>
                <w:color w:val="000000" w:themeColor="text1"/>
                <w:lang w:eastAsia="tr-TR"/>
              </w:rPr>
              <w:t>2022-2026 Tarife Uygulama Dönemi Perakende Satış Tarifelerinin Belirlenmesi</w:t>
            </w:r>
          </w:p>
        </w:tc>
      </w:tr>
      <w:tr w:rsidR="001B6113" w:rsidRPr="00BD7921" w:rsidTr="000E2647">
        <w:trPr>
          <w:trHeight w:val="528"/>
        </w:trPr>
        <w:tc>
          <w:tcPr>
            <w:tcW w:w="5200" w:type="dxa"/>
            <w:tcBorders>
              <w:top w:val="nil"/>
              <w:left w:val="single" w:sz="4" w:space="0" w:color="auto"/>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jc w:val="left"/>
              <w:rPr>
                <w:rFonts w:ascii="Calibri" w:eastAsia="Times New Roman" w:hAnsi="Calibri" w:cs="Calibri"/>
                <w:color w:val="000000"/>
                <w:lang w:eastAsia="tr-TR"/>
              </w:rPr>
            </w:pPr>
            <w:r w:rsidRPr="000E2647">
              <w:rPr>
                <w:rFonts w:ascii="Calibri" w:eastAsia="Times New Roman" w:hAnsi="Calibri" w:cs="Calibri"/>
                <w:color w:val="000000"/>
                <w:lang w:eastAsia="tr-TR"/>
              </w:rPr>
              <w:t>Enerya Aydın Gaz Dağıtım Anonim Şirketi</w:t>
            </w:r>
          </w:p>
        </w:tc>
        <w:tc>
          <w:tcPr>
            <w:tcW w:w="1144"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22.09.2022</w:t>
            </w:r>
          </w:p>
        </w:tc>
        <w:tc>
          <w:tcPr>
            <w:tcW w:w="936"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11246</w:t>
            </w:r>
          </w:p>
        </w:tc>
        <w:tc>
          <w:tcPr>
            <w:tcW w:w="2785" w:type="dxa"/>
            <w:tcBorders>
              <w:top w:val="nil"/>
              <w:left w:val="nil"/>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rPr>
                <w:rFonts w:ascii="Calibri" w:eastAsia="Times New Roman" w:hAnsi="Calibri" w:cs="Calibri"/>
                <w:color w:val="000000"/>
                <w:lang w:eastAsia="tr-TR"/>
              </w:rPr>
            </w:pPr>
            <w:r w:rsidRPr="000E2647">
              <w:rPr>
                <w:rFonts w:ascii="Calibri" w:eastAsia="Times New Roman" w:hAnsi="Calibri" w:cs="Calibri"/>
                <w:color w:val="000000" w:themeColor="text1"/>
                <w:lang w:eastAsia="tr-TR"/>
              </w:rPr>
              <w:t>2022-2026 Tarife Uygulama Dönemi Perakende Satış Tarifelerinin Belirlenmesi</w:t>
            </w:r>
          </w:p>
        </w:tc>
      </w:tr>
      <w:tr w:rsidR="001B6113" w:rsidRPr="00BD7921" w:rsidTr="000E2647">
        <w:trPr>
          <w:trHeight w:val="528"/>
        </w:trPr>
        <w:tc>
          <w:tcPr>
            <w:tcW w:w="5200" w:type="dxa"/>
            <w:tcBorders>
              <w:top w:val="nil"/>
              <w:left w:val="single" w:sz="4" w:space="0" w:color="auto"/>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jc w:val="left"/>
              <w:rPr>
                <w:rFonts w:ascii="Calibri" w:eastAsia="Times New Roman" w:hAnsi="Calibri" w:cs="Calibri"/>
                <w:color w:val="000000"/>
                <w:lang w:eastAsia="tr-TR"/>
              </w:rPr>
            </w:pPr>
            <w:r w:rsidRPr="000E2647">
              <w:rPr>
                <w:rFonts w:ascii="Calibri" w:eastAsia="Times New Roman" w:hAnsi="Calibri" w:cs="Calibri"/>
                <w:color w:val="000000"/>
                <w:lang w:eastAsia="tr-TR"/>
              </w:rPr>
              <w:lastRenderedPageBreak/>
              <w:t>Enerya Antalya Gaz Dağıtım Anonim Şirketi</w:t>
            </w:r>
          </w:p>
        </w:tc>
        <w:tc>
          <w:tcPr>
            <w:tcW w:w="1144"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22.09.2022</w:t>
            </w:r>
          </w:p>
        </w:tc>
        <w:tc>
          <w:tcPr>
            <w:tcW w:w="936"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11245</w:t>
            </w:r>
          </w:p>
        </w:tc>
        <w:tc>
          <w:tcPr>
            <w:tcW w:w="2785" w:type="dxa"/>
            <w:tcBorders>
              <w:top w:val="nil"/>
              <w:left w:val="nil"/>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rPr>
                <w:rFonts w:ascii="Calibri" w:eastAsia="Times New Roman" w:hAnsi="Calibri" w:cs="Calibri"/>
                <w:color w:val="000000"/>
                <w:lang w:eastAsia="tr-TR"/>
              </w:rPr>
            </w:pPr>
            <w:r w:rsidRPr="000E2647">
              <w:rPr>
                <w:rFonts w:ascii="Calibri" w:eastAsia="Times New Roman" w:hAnsi="Calibri" w:cs="Calibri"/>
                <w:color w:val="000000" w:themeColor="text1"/>
                <w:lang w:eastAsia="tr-TR"/>
              </w:rPr>
              <w:t>2022-2026 Tarife Uygulama Dönemi Perakende Satış Tarifelerinin Belirlenmesi</w:t>
            </w:r>
          </w:p>
        </w:tc>
      </w:tr>
      <w:tr w:rsidR="001B6113" w:rsidRPr="00BD7921" w:rsidTr="000E2647">
        <w:trPr>
          <w:trHeight w:val="528"/>
        </w:trPr>
        <w:tc>
          <w:tcPr>
            <w:tcW w:w="5200" w:type="dxa"/>
            <w:tcBorders>
              <w:top w:val="nil"/>
              <w:left w:val="single" w:sz="4" w:space="0" w:color="auto"/>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jc w:val="left"/>
              <w:rPr>
                <w:rFonts w:ascii="Calibri" w:eastAsia="Times New Roman" w:hAnsi="Calibri" w:cs="Calibri"/>
                <w:color w:val="000000"/>
                <w:lang w:eastAsia="tr-TR"/>
              </w:rPr>
            </w:pPr>
            <w:r w:rsidRPr="000E2647">
              <w:rPr>
                <w:rFonts w:ascii="Calibri" w:eastAsia="Times New Roman" w:hAnsi="Calibri" w:cs="Calibri"/>
                <w:color w:val="000000"/>
                <w:lang w:eastAsia="tr-TR"/>
              </w:rPr>
              <w:t>Aksa Siirt Batman Doğalgaz Dağıtım Anonim Şirketi</w:t>
            </w:r>
          </w:p>
        </w:tc>
        <w:tc>
          <w:tcPr>
            <w:tcW w:w="1144"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29.09.2022</w:t>
            </w:r>
          </w:p>
        </w:tc>
        <w:tc>
          <w:tcPr>
            <w:tcW w:w="936"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11264</w:t>
            </w:r>
          </w:p>
        </w:tc>
        <w:tc>
          <w:tcPr>
            <w:tcW w:w="2785" w:type="dxa"/>
            <w:tcBorders>
              <w:top w:val="nil"/>
              <w:left w:val="nil"/>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rPr>
                <w:rFonts w:ascii="Calibri" w:eastAsia="Times New Roman" w:hAnsi="Calibri" w:cs="Calibri"/>
                <w:color w:val="000000"/>
                <w:lang w:eastAsia="tr-TR"/>
              </w:rPr>
            </w:pPr>
            <w:r w:rsidRPr="000E2647">
              <w:rPr>
                <w:rFonts w:ascii="Calibri" w:eastAsia="Times New Roman" w:hAnsi="Calibri" w:cs="Calibri"/>
                <w:color w:val="000000" w:themeColor="text1"/>
                <w:lang w:eastAsia="tr-TR"/>
              </w:rPr>
              <w:t>2022-2026 Tarife Uygulama Dönemi Perakende Satış Tarifelerinin Belirlenmesi</w:t>
            </w:r>
          </w:p>
        </w:tc>
      </w:tr>
      <w:tr w:rsidR="001B6113" w:rsidRPr="00BD7921" w:rsidTr="000E2647">
        <w:trPr>
          <w:trHeight w:val="528"/>
        </w:trPr>
        <w:tc>
          <w:tcPr>
            <w:tcW w:w="5200" w:type="dxa"/>
            <w:tcBorders>
              <w:top w:val="nil"/>
              <w:left w:val="single" w:sz="4" w:space="0" w:color="auto"/>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jc w:val="left"/>
              <w:rPr>
                <w:rFonts w:ascii="Calibri" w:eastAsia="Times New Roman" w:hAnsi="Calibri" w:cs="Calibri"/>
                <w:color w:val="000000"/>
                <w:lang w:eastAsia="tr-TR"/>
              </w:rPr>
            </w:pPr>
            <w:r w:rsidRPr="000E2647">
              <w:rPr>
                <w:rFonts w:ascii="Calibri" w:eastAsia="Times New Roman" w:hAnsi="Calibri" w:cs="Calibri"/>
                <w:color w:val="000000"/>
                <w:lang w:eastAsia="tr-TR"/>
              </w:rPr>
              <w:t>Aksa Gümüşhane Bayburt Doğalgaz Dağıtım Anonim Şirket</w:t>
            </w:r>
          </w:p>
        </w:tc>
        <w:tc>
          <w:tcPr>
            <w:tcW w:w="1144"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29.09.2022</w:t>
            </w:r>
          </w:p>
        </w:tc>
        <w:tc>
          <w:tcPr>
            <w:tcW w:w="936"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11263</w:t>
            </w:r>
          </w:p>
        </w:tc>
        <w:tc>
          <w:tcPr>
            <w:tcW w:w="2785" w:type="dxa"/>
            <w:tcBorders>
              <w:top w:val="nil"/>
              <w:left w:val="nil"/>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rPr>
                <w:rFonts w:ascii="Calibri" w:eastAsia="Times New Roman" w:hAnsi="Calibri" w:cs="Calibri"/>
                <w:color w:val="000000"/>
                <w:lang w:eastAsia="tr-TR"/>
              </w:rPr>
            </w:pPr>
            <w:r w:rsidRPr="000E2647">
              <w:rPr>
                <w:rFonts w:ascii="Calibri" w:eastAsia="Times New Roman" w:hAnsi="Calibri" w:cs="Calibri"/>
                <w:color w:val="000000" w:themeColor="text1"/>
                <w:lang w:eastAsia="tr-TR"/>
              </w:rPr>
              <w:t>2022-2026 Tarife Uygulama Dönemi Perakende Satış Tarifelerinin Belirlenmesi</w:t>
            </w:r>
          </w:p>
        </w:tc>
      </w:tr>
      <w:tr w:rsidR="001B6113" w:rsidRPr="00BD7921" w:rsidTr="000E2647">
        <w:trPr>
          <w:trHeight w:val="528"/>
        </w:trPr>
        <w:tc>
          <w:tcPr>
            <w:tcW w:w="5200" w:type="dxa"/>
            <w:tcBorders>
              <w:top w:val="nil"/>
              <w:left w:val="single" w:sz="4" w:space="0" w:color="auto"/>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jc w:val="left"/>
              <w:rPr>
                <w:rFonts w:ascii="Calibri" w:eastAsia="Times New Roman" w:hAnsi="Calibri" w:cs="Calibri"/>
                <w:color w:val="000000"/>
                <w:lang w:eastAsia="tr-TR"/>
              </w:rPr>
            </w:pPr>
            <w:r w:rsidRPr="000E2647">
              <w:rPr>
                <w:rFonts w:ascii="Calibri" w:eastAsia="Times New Roman" w:hAnsi="Calibri" w:cs="Calibri"/>
                <w:color w:val="000000"/>
                <w:lang w:eastAsia="tr-TR"/>
              </w:rPr>
              <w:t>Aksa Çukurova Doğal Gaz Dağıtım Anonim Şirketi</w:t>
            </w:r>
          </w:p>
        </w:tc>
        <w:tc>
          <w:tcPr>
            <w:tcW w:w="1144"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29.09.2022</w:t>
            </w:r>
          </w:p>
        </w:tc>
        <w:tc>
          <w:tcPr>
            <w:tcW w:w="936"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11262</w:t>
            </w:r>
          </w:p>
        </w:tc>
        <w:tc>
          <w:tcPr>
            <w:tcW w:w="2785" w:type="dxa"/>
            <w:tcBorders>
              <w:top w:val="nil"/>
              <w:left w:val="nil"/>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rPr>
                <w:rFonts w:ascii="Calibri" w:eastAsia="Times New Roman" w:hAnsi="Calibri" w:cs="Calibri"/>
                <w:color w:val="000000"/>
                <w:lang w:eastAsia="tr-TR"/>
              </w:rPr>
            </w:pPr>
            <w:r w:rsidRPr="000E2647">
              <w:rPr>
                <w:rFonts w:ascii="Calibri" w:eastAsia="Times New Roman" w:hAnsi="Calibri" w:cs="Calibri"/>
                <w:color w:val="000000" w:themeColor="text1"/>
                <w:lang w:eastAsia="tr-TR"/>
              </w:rPr>
              <w:t>2022-2026 Tarife Uygulama Dönemi Perakende Satış Tarifelerinin Belirlenmesi</w:t>
            </w:r>
          </w:p>
        </w:tc>
      </w:tr>
      <w:tr w:rsidR="001B6113" w:rsidRPr="00BD7921" w:rsidTr="000E2647">
        <w:trPr>
          <w:trHeight w:val="528"/>
        </w:trPr>
        <w:tc>
          <w:tcPr>
            <w:tcW w:w="5200" w:type="dxa"/>
            <w:tcBorders>
              <w:top w:val="nil"/>
              <w:left w:val="single" w:sz="4" w:space="0" w:color="auto"/>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jc w:val="left"/>
              <w:rPr>
                <w:rFonts w:ascii="Calibri" w:eastAsia="Times New Roman" w:hAnsi="Calibri" w:cs="Calibri"/>
                <w:color w:val="000000"/>
                <w:lang w:eastAsia="tr-TR"/>
              </w:rPr>
            </w:pPr>
            <w:r w:rsidRPr="000E2647">
              <w:rPr>
                <w:rFonts w:ascii="Calibri" w:eastAsia="Times New Roman" w:hAnsi="Calibri" w:cs="Calibri"/>
                <w:color w:val="000000"/>
                <w:lang w:eastAsia="tr-TR"/>
              </w:rPr>
              <w:t>Aksa Bilecik Bolu Doğal Gaz Dağıtım Anonim Şirketi</w:t>
            </w:r>
          </w:p>
        </w:tc>
        <w:tc>
          <w:tcPr>
            <w:tcW w:w="1144"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29.09.2022</w:t>
            </w:r>
          </w:p>
        </w:tc>
        <w:tc>
          <w:tcPr>
            <w:tcW w:w="936"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11261</w:t>
            </w:r>
          </w:p>
        </w:tc>
        <w:tc>
          <w:tcPr>
            <w:tcW w:w="2785" w:type="dxa"/>
            <w:tcBorders>
              <w:top w:val="nil"/>
              <w:left w:val="nil"/>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rPr>
                <w:rFonts w:ascii="Calibri" w:eastAsia="Times New Roman" w:hAnsi="Calibri" w:cs="Calibri"/>
                <w:color w:val="000000"/>
                <w:lang w:eastAsia="tr-TR"/>
              </w:rPr>
            </w:pPr>
            <w:r w:rsidRPr="000E2647">
              <w:rPr>
                <w:rFonts w:ascii="Calibri" w:eastAsia="Times New Roman" w:hAnsi="Calibri" w:cs="Calibri"/>
                <w:color w:val="000000" w:themeColor="text1"/>
                <w:lang w:eastAsia="tr-TR"/>
              </w:rPr>
              <w:t>2022-2026 Tarife Uygulama Dönemi Perakende Satış Tarifelerinin Belirlenmesi</w:t>
            </w:r>
          </w:p>
        </w:tc>
      </w:tr>
      <w:tr w:rsidR="001B6113" w:rsidRPr="00BD7921" w:rsidTr="000E2647">
        <w:trPr>
          <w:trHeight w:val="528"/>
        </w:trPr>
        <w:tc>
          <w:tcPr>
            <w:tcW w:w="5200" w:type="dxa"/>
            <w:tcBorders>
              <w:top w:val="nil"/>
              <w:left w:val="single" w:sz="4" w:space="0" w:color="auto"/>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jc w:val="left"/>
              <w:rPr>
                <w:rFonts w:ascii="Calibri" w:eastAsia="Times New Roman" w:hAnsi="Calibri" w:cs="Calibri"/>
                <w:color w:val="000000"/>
                <w:lang w:eastAsia="tr-TR"/>
              </w:rPr>
            </w:pPr>
            <w:r w:rsidRPr="000E2647">
              <w:rPr>
                <w:rFonts w:ascii="Calibri" w:eastAsia="Times New Roman" w:hAnsi="Calibri" w:cs="Calibri"/>
                <w:color w:val="000000"/>
                <w:lang w:eastAsia="tr-TR"/>
              </w:rPr>
              <w:t>Diyarbakır Doğal Gaz Dağıtım Anonim Şirketi</w:t>
            </w:r>
          </w:p>
        </w:tc>
        <w:tc>
          <w:tcPr>
            <w:tcW w:w="1144"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29.09.2022</w:t>
            </w:r>
          </w:p>
        </w:tc>
        <w:tc>
          <w:tcPr>
            <w:tcW w:w="936"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11260</w:t>
            </w:r>
          </w:p>
        </w:tc>
        <w:tc>
          <w:tcPr>
            <w:tcW w:w="2785" w:type="dxa"/>
            <w:tcBorders>
              <w:top w:val="nil"/>
              <w:left w:val="nil"/>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rPr>
                <w:rFonts w:ascii="Calibri" w:eastAsia="Times New Roman" w:hAnsi="Calibri" w:cs="Calibri"/>
                <w:color w:val="000000"/>
                <w:lang w:eastAsia="tr-TR"/>
              </w:rPr>
            </w:pPr>
            <w:r w:rsidRPr="000E2647">
              <w:rPr>
                <w:rFonts w:ascii="Calibri" w:eastAsia="Times New Roman" w:hAnsi="Calibri" w:cs="Calibri"/>
                <w:color w:val="000000" w:themeColor="text1"/>
                <w:lang w:eastAsia="tr-TR"/>
              </w:rPr>
              <w:t>2022-2026 Tarife Uygulama Dönemi Perakende Satış Tarifelerinin Belirlenmesi</w:t>
            </w:r>
          </w:p>
        </w:tc>
      </w:tr>
      <w:tr w:rsidR="001B6113" w:rsidRPr="00BD7921" w:rsidTr="000E2647">
        <w:trPr>
          <w:trHeight w:val="528"/>
        </w:trPr>
        <w:tc>
          <w:tcPr>
            <w:tcW w:w="5200" w:type="dxa"/>
            <w:tcBorders>
              <w:top w:val="nil"/>
              <w:left w:val="single" w:sz="4" w:space="0" w:color="auto"/>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jc w:val="left"/>
              <w:rPr>
                <w:rFonts w:ascii="Calibri" w:eastAsia="Times New Roman" w:hAnsi="Calibri" w:cs="Calibri"/>
                <w:color w:val="000000"/>
                <w:lang w:eastAsia="tr-TR"/>
              </w:rPr>
            </w:pPr>
            <w:r w:rsidRPr="000E2647">
              <w:rPr>
                <w:rFonts w:ascii="Calibri" w:eastAsia="Times New Roman" w:hAnsi="Calibri" w:cs="Calibri"/>
                <w:color w:val="000000"/>
                <w:lang w:eastAsia="tr-TR"/>
              </w:rPr>
              <w:t>Agdaş Adapazarı Gaz Dağıtım Anonim Şirketi</w:t>
            </w:r>
          </w:p>
        </w:tc>
        <w:tc>
          <w:tcPr>
            <w:tcW w:w="1144"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29.09.2022</w:t>
            </w:r>
          </w:p>
        </w:tc>
        <w:tc>
          <w:tcPr>
            <w:tcW w:w="936"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11259</w:t>
            </w:r>
          </w:p>
        </w:tc>
        <w:tc>
          <w:tcPr>
            <w:tcW w:w="2785" w:type="dxa"/>
            <w:tcBorders>
              <w:top w:val="nil"/>
              <w:left w:val="nil"/>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rPr>
                <w:rFonts w:ascii="Calibri" w:eastAsia="Times New Roman" w:hAnsi="Calibri" w:cs="Calibri"/>
                <w:color w:val="000000"/>
                <w:lang w:eastAsia="tr-TR"/>
              </w:rPr>
            </w:pPr>
            <w:r w:rsidRPr="000E2647">
              <w:rPr>
                <w:rFonts w:ascii="Calibri" w:eastAsia="Times New Roman" w:hAnsi="Calibri" w:cs="Calibri"/>
                <w:color w:val="000000" w:themeColor="text1"/>
                <w:lang w:eastAsia="tr-TR"/>
              </w:rPr>
              <w:t>2022-2026 Tarife Uygulama Dönemi Perakende Satış Tarifelerinin Belirlenmesi</w:t>
            </w:r>
          </w:p>
        </w:tc>
      </w:tr>
      <w:tr w:rsidR="001B6113" w:rsidRPr="00BD7921" w:rsidTr="000E2647">
        <w:trPr>
          <w:trHeight w:val="528"/>
        </w:trPr>
        <w:tc>
          <w:tcPr>
            <w:tcW w:w="5200" w:type="dxa"/>
            <w:tcBorders>
              <w:top w:val="nil"/>
              <w:left w:val="single" w:sz="4" w:space="0" w:color="auto"/>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jc w:val="left"/>
              <w:rPr>
                <w:rFonts w:ascii="Calibri" w:eastAsia="Times New Roman" w:hAnsi="Calibri" w:cs="Calibri"/>
                <w:color w:val="000000"/>
                <w:lang w:eastAsia="tr-TR"/>
              </w:rPr>
            </w:pPr>
            <w:r w:rsidRPr="000E2647">
              <w:rPr>
                <w:rFonts w:ascii="Calibri" w:eastAsia="Times New Roman" w:hAnsi="Calibri" w:cs="Calibri"/>
                <w:color w:val="000000"/>
                <w:lang w:eastAsia="tr-TR"/>
              </w:rPr>
              <w:t>Enerya Erzincan Gaz Dağıtım Anonim Şirketi</w:t>
            </w:r>
          </w:p>
        </w:tc>
        <w:tc>
          <w:tcPr>
            <w:tcW w:w="1144"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13.10.2022</w:t>
            </w:r>
          </w:p>
        </w:tc>
        <w:tc>
          <w:tcPr>
            <w:tcW w:w="936"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11296</w:t>
            </w:r>
          </w:p>
        </w:tc>
        <w:tc>
          <w:tcPr>
            <w:tcW w:w="2785" w:type="dxa"/>
            <w:tcBorders>
              <w:top w:val="nil"/>
              <w:left w:val="nil"/>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rPr>
                <w:rFonts w:ascii="Calibri" w:eastAsia="Times New Roman" w:hAnsi="Calibri" w:cs="Calibri"/>
                <w:color w:val="000000"/>
                <w:lang w:eastAsia="tr-TR"/>
              </w:rPr>
            </w:pPr>
            <w:r w:rsidRPr="000E2647">
              <w:rPr>
                <w:rFonts w:ascii="Calibri" w:eastAsia="Times New Roman" w:hAnsi="Calibri" w:cs="Calibri"/>
                <w:color w:val="000000" w:themeColor="text1"/>
                <w:lang w:eastAsia="tr-TR"/>
              </w:rPr>
              <w:t>2022-2026 Tarife Uygulama Dönemi Perakende Satış Tarifelerinin Belirlenmesi</w:t>
            </w:r>
          </w:p>
        </w:tc>
      </w:tr>
      <w:tr w:rsidR="001B6113" w:rsidRPr="00BD7921" w:rsidTr="000E2647">
        <w:trPr>
          <w:trHeight w:val="528"/>
        </w:trPr>
        <w:tc>
          <w:tcPr>
            <w:tcW w:w="5200" w:type="dxa"/>
            <w:tcBorders>
              <w:top w:val="nil"/>
              <w:left w:val="single" w:sz="4" w:space="0" w:color="auto"/>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jc w:val="left"/>
              <w:rPr>
                <w:rFonts w:ascii="Calibri" w:eastAsia="Times New Roman" w:hAnsi="Calibri" w:cs="Calibri"/>
                <w:color w:val="000000"/>
                <w:lang w:eastAsia="tr-TR"/>
              </w:rPr>
            </w:pPr>
            <w:r w:rsidRPr="000E2647">
              <w:rPr>
                <w:rFonts w:ascii="Calibri" w:eastAsia="Times New Roman" w:hAnsi="Calibri" w:cs="Calibri"/>
                <w:color w:val="000000"/>
                <w:lang w:eastAsia="tr-TR"/>
              </w:rPr>
              <w:t>Enerya Denizli Gaz Dağıtım Anonim Şirketi</w:t>
            </w:r>
          </w:p>
        </w:tc>
        <w:tc>
          <w:tcPr>
            <w:tcW w:w="1144"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13.10.2022</w:t>
            </w:r>
          </w:p>
        </w:tc>
        <w:tc>
          <w:tcPr>
            <w:tcW w:w="936"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11295</w:t>
            </w:r>
          </w:p>
        </w:tc>
        <w:tc>
          <w:tcPr>
            <w:tcW w:w="2785" w:type="dxa"/>
            <w:tcBorders>
              <w:top w:val="nil"/>
              <w:left w:val="nil"/>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rPr>
                <w:rFonts w:ascii="Calibri" w:eastAsia="Times New Roman" w:hAnsi="Calibri" w:cs="Calibri"/>
                <w:color w:val="000000"/>
                <w:lang w:eastAsia="tr-TR"/>
              </w:rPr>
            </w:pPr>
            <w:r w:rsidRPr="000E2647">
              <w:rPr>
                <w:rFonts w:ascii="Calibri" w:eastAsia="Times New Roman" w:hAnsi="Calibri" w:cs="Calibri"/>
                <w:color w:val="000000"/>
                <w:lang w:eastAsia="tr-TR"/>
              </w:rPr>
              <w:t>2022-2026 Tarife Uygulama Dönemi Perakende Satış Tarifelerinin Belirlenmesi</w:t>
            </w:r>
          </w:p>
        </w:tc>
      </w:tr>
      <w:tr w:rsidR="001B6113" w:rsidRPr="00BD7921" w:rsidTr="000E2647">
        <w:trPr>
          <w:trHeight w:val="528"/>
        </w:trPr>
        <w:tc>
          <w:tcPr>
            <w:tcW w:w="5200" w:type="dxa"/>
            <w:tcBorders>
              <w:top w:val="nil"/>
              <w:left w:val="single" w:sz="4" w:space="0" w:color="auto"/>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jc w:val="left"/>
              <w:rPr>
                <w:rFonts w:ascii="Calibri" w:eastAsia="Times New Roman" w:hAnsi="Calibri" w:cs="Calibri"/>
                <w:color w:val="000000"/>
                <w:lang w:eastAsia="tr-TR"/>
              </w:rPr>
            </w:pPr>
            <w:r w:rsidRPr="000E2647">
              <w:rPr>
                <w:rFonts w:ascii="Calibri" w:eastAsia="Times New Roman" w:hAnsi="Calibri" w:cs="Calibri"/>
                <w:color w:val="000000"/>
                <w:lang w:eastAsia="tr-TR"/>
              </w:rPr>
              <w:t>Aksa Şanlıurfa Doğal Gaz Dağıtım Anonim Şirketi</w:t>
            </w:r>
          </w:p>
        </w:tc>
        <w:tc>
          <w:tcPr>
            <w:tcW w:w="1144"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13.10.2022</w:t>
            </w:r>
          </w:p>
        </w:tc>
        <w:tc>
          <w:tcPr>
            <w:tcW w:w="936"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11294</w:t>
            </w:r>
          </w:p>
        </w:tc>
        <w:tc>
          <w:tcPr>
            <w:tcW w:w="2785" w:type="dxa"/>
            <w:tcBorders>
              <w:top w:val="nil"/>
              <w:left w:val="nil"/>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rPr>
                <w:rFonts w:ascii="Calibri" w:eastAsia="Times New Roman" w:hAnsi="Calibri" w:cs="Calibri"/>
                <w:color w:val="000000"/>
                <w:lang w:eastAsia="tr-TR"/>
              </w:rPr>
            </w:pPr>
            <w:r w:rsidRPr="000E2647">
              <w:rPr>
                <w:rFonts w:ascii="Calibri" w:eastAsia="Times New Roman" w:hAnsi="Calibri" w:cs="Calibri"/>
                <w:color w:val="000000"/>
                <w:lang w:eastAsia="tr-TR"/>
              </w:rPr>
              <w:t>2022-2026 Tarife Uygulama Dönemi Perakende Satış Tarifelerinin Belirlenmesi</w:t>
            </w:r>
          </w:p>
        </w:tc>
      </w:tr>
      <w:tr w:rsidR="001B6113" w:rsidRPr="00BD7921" w:rsidTr="000E2647">
        <w:trPr>
          <w:trHeight w:val="528"/>
        </w:trPr>
        <w:tc>
          <w:tcPr>
            <w:tcW w:w="5200" w:type="dxa"/>
            <w:tcBorders>
              <w:top w:val="nil"/>
              <w:left w:val="single" w:sz="4" w:space="0" w:color="auto"/>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jc w:val="left"/>
              <w:rPr>
                <w:rFonts w:ascii="Calibri" w:eastAsia="Times New Roman" w:hAnsi="Calibri" w:cs="Calibri"/>
                <w:color w:val="000000"/>
                <w:lang w:eastAsia="tr-TR"/>
              </w:rPr>
            </w:pPr>
            <w:r w:rsidRPr="000E2647">
              <w:rPr>
                <w:rFonts w:ascii="Calibri" w:eastAsia="Times New Roman" w:hAnsi="Calibri" w:cs="Calibri"/>
                <w:color w:val="000000"/>
                <w:lang w:eastAsia="tr-TR"/>
              </w:rPr>
              <w:t>Aksa Manisa Doğal Gaz Dağıtım Anonim Şirketi</w:t>
            </w:r>
          </w:p>
        </w:tc>
        <w:tc>
          <w:tcPr>
            <w:tcW w:w="1144"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13.10.2022</w:t>
            </w:r>
          </w:p>
        </w:tc>
        <w:tc>
          <w:tcPr>
            <w:tcW w:w="936"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11293</w:t>
            </w:r>
          </w:p>
        </w:tc>
        <w:tc>
          <w:tcPr>
            <w:tcW w:w="2785" w:type="dxa"/>
            <w:tcBorders>
              <w:top w:val="nil"/>
              <w:left w:val="nil"/>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rPr>
                <w:rFonts w:ascii="Calibri" w:eastAsia="Times New Roman" w:hAnsi="Calibri" w:cs="Calibri"/>
                <w:color w:val="000000"/>
                <w:lang w:eastAsia="tr-TR"/>
              </w:rPr>
            </w:pPr>
            <w:r w:rsidRPr="000E2647">
              <w:rPr>
                <w:rFonts w:ascii="Calibri" w:eastAsia="Times New Roman" w:hAnsi="Calibri" w:cs="Calibri"/>
                <w:color w:val="000000"/>
                <w:lang w:eastAsia="tr-TR"/>
              </w:rPr>
              <w:t>2022-2026 Tarife Uygulama Dönemi Perakende Satış Tarifelerinin Belirlenmesi</w:t>
            </w:r>
          </w:p>
        </w:tc>
      </w:tr>
      <w:tr w:rsidR="001B6113" w:rsidRPr="00BD7921" w:rsidTr="000E2647">
        <w:trPr>
          <w:trHeight w:val="528"/>
        </w:trPr>
        <w:tc>
          <w:tcPr>
            <w:tcW w:w="5200" w:type="dxa"/>
            <w:tcBorders>
              <w:top w:val="nil"/>
              <w:left w:val="single" w:sz="4" w:space="0" w:color="auto"/>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jc w:val="left"/>
              <w:rPr>
                <w:rFonts w:ascii="Calibri" w:eastAsia="Times New Roman" w:hAnsi="Calibri" w:cs="Calibri"/>
                <w:color w:val="000000"/>
                <w:lang w:eastAsia="tr-TR"/>
              </w:rPr>
            </w:pPr>
            <w:r w:rsidRPr="000E2647">
              <w:rPr>
                <w:rFonts w:ascii="Calibri" w:eastAsia="Times New Roman" w:hAnsi="Calibri" w:cs="Calibri"/>
                <w:color w:val="000000"/>
                <w:lang w:eastAsia="tr-TR"/>
              </w:rPr>
              <w:t>Kayseri Doğal Gaz Dağıtım Pazarlama ve Ticaret Anonim Şirketi</w:t>
            </w:r>
          </w:p>
        </w:tc>
        <w:tc>
          <w:tcPr>
            <w:tcW w:w="1144"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20.10.2022</w:t>
            </w:r>
          </w:p>
        </w:tc>
        <w:tc>
          <w:tcPr>
            <w:tcW w:w="936"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11313</w:t>
            </w:r>
          </w:p>
        </w:tc>
        <w:tc>
          <w:tcPr>
            <w:tcW w:w="2785" w:type="dxa"/>
            <w:tcBorders>
              <w:top w:val="nil"/>
              <w:left w:val="nil"/>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rPr>
                <w:rFonts w:ascii="Calibri" w:eastAsia="Times New Roman" w:hAnsi="Calibri" w:cs="Calibri"/>
                <w:color w:val="000000"/>
                <w:lang w:eastAsia="tr-TR"/>
              </w:rPr>
            </w:pPr>
            <w:r w:rsidRPr="000E2647">
              <w:rPr>
                <w:rFonts w:ascii="Calibri" w:eastAsia="Times New Roman" w:hAnsi="Calibri" w:cs="Calibri"/>
                <w:color w:val="000000"/>
                <w:lang w:eastAsia="tr-TR"/>
              </w:rPr>
              <w:t>2022-2026 Tarife Uygulama Dönemi Perakende Satış Tarifelerinin Belirlenmesi</w:t>
            </w:r>
          </w:p>
        </w:tc>
      </w:tr>
      <w:tr w:rsidR="001B6113" w:rsidRPr="00BD7921" w:rsidTr="000E2647">
        <w:trPr>
          <w:trHeight w:val="528"/>
        </w:trPr>
        <w:tc>
          <w:tcPr>
            <w:tcW w:w="5200" w:type="dxa"/>
            <w:tcBorders>
              <w:top w:val="nil"/>
              <w:left w:val="single" w:sz="4" w:space="0" w:color="auto"/>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jc w:val="left"/>
              <w:rPr>
                <w:rFonts w:ascii="Calibri" w:eastAsia="Times New Roman" w:hAnsi="Calibri" w:cs="Calibri"/>
                <w:color w:val="000000"/>
                <w:lang w:eastAsia="tr-TR"/>
              </w:rPr>
            </w:pPr>
            <w:r w:rsidRPr="000E2647">
              <w:rPr>
                <w:rFonts w:ascii="Calibri" w:eastAsia="Times New Roman" w:hAnsi="Calibri" w:cs="Calibri"/>
                <w:color w:val="000000"/>
                <w:lang w:eastAsia="tr-TR"/>
              </w:rPr>
              <w:t>Kargaz Doğal Gaz Dağıtım Sanayi ve Ticaret Anonim Şirketi</w:t>
            </w:r>
          </w:p>
        </w:tc>
        <w:tc>
          <w:tcPr>
            <w:tcW w:w="1144"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20.10.2022</w:t>
            </w:r>
          </w:p>
        </w:tc>
        <w:tc>
          <w:tcPr>
            <w:tcW w:w="936"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11312</w:t>
            </w:r>
          </w:p>
        </w:tc>
        <w:tc>
          <w:tcPr>
            <w:tcW w:w="2785" w:type="dxa"/>
            <w:tcBorders>
              <w:top w:val="nil"/>
              <w:left w:val="nil"/>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rPr>
                <w:rFonts w:ascii="Calibri" w:eastAsia="Times New Roman" w:hAnsi="Calibri" w:cs="Calibri"/>
                <w:color w:val="000000"/>
                <w:lang w:eastAsia="tr-TR"/>
              </w:rPr>
            </w:pPr>
            <w:r w:rsidRPr="000E2647">
              <w:rPr>
                <w:rFonts w:ascii="Calibri" w:eastAsia="Times New Roman" w:hAnsi="Calibri" w:cs="Calibri"/>
                <w:color w:val="000000"/>
                <w:lang w:eastAsia="tr-TR"/>
              </w:rPr>
              <w:t>2022-2026 Tarife Uygulama Dönemi Perakende Satış Tarifelerinin Belirlenmesi</w:t>
            </w:r>
          </w:p>
        </w:tc>
      </w:tr>
      <w:tr w:rsidR="001B6113" w:rsidRPr="00BD7921" w:rsidTr="000E2647">
        <w:trPr>
          <w:trHeight w:val="528"/>
        </w:trPr>
        <w:tc>
          <w:tcPr>
            <w:tcW w:w="5200" w:type="dxa"/>
            <w:tcBorders>
              <w:top w:val="nil"/>
              <w:left w:val="single" w:sz="4" w:space="0" w:color="auto"/>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jc w:val="left"/>
              <w:rPr>
                <w:rFonts w:ascii="Calibri" w:eastAsia="Times New Roman" w:hAnsi="Calibri" w:cs="Calibri"/>
                <w:color w:val="000000"/>
                <w:lang w:eastAsia="tr-TR"/>
              </w:rPr>
            </w:pPr>
            <w:r w:rsidRPr="000E2647">
              <w:rPr>
                <w:rFonts w:ascii="Calibri" w:eastAsia="Times New Roman" w:hAnsi="Calibri" w:cs="Calibri"/>
                <w:color w:val="000000"/>
                <w:lang w:eastAsia="tr-TR"/>
              </w:rPr>
              <w:t>Çorum Doğal Gaz Dağıtım Sanayi ve Ticaret Anonim Şirketi</w:t>
            </w:r>
          </w:p>
        </w:tc>
        <w:tc>
          <w:tcPr>
            <w:tcW w:w="1144"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20.10.2022</w:t>
            </w:r>
          </w:p>
        </w:tc>
        <w:tc>
          <w:tcPr>
            <w:tcW w:w="936"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11311</w:t>
            </w:r>
          </w:p>
        </w:tc>
        <w:tc>
          <w:tcPr>
            <w:tcW w:w="2785" w:type="dxa"/>
            <w:tcBorders>
              <w:top w:val="nil"/>
              <w:left w:val="nil"/>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rPr>
                <w:rFonts w:ascii="Calibri" w:eastAsia="Times New Roman" w:hAnsi="Calibri" w:cs="Calibri"/>
                <w:color w:val="000000"/>
                <w:lang w:eastAsia="tr-TR"/>
              </w:rPr>
            </w:pPr>
            <w:r w:rsidRPr="000E2647">
              <w:rPr>
                <w:rFonts w:ascii="Calibri" w:eastAsia="Times New Roman" w:hAnsi="Calibri" w:cs="Calibri"/>
                <w:color w:val="000000"/>
                <w:lang w:eastAsia="tr-TR"/>
              </w:rPr>
              <w:t>2022-2026 Tarife Uygulama Dönemi Perakende Satış Tarifelerinin Belirlenmesi</w:t>
            </w:r>
          </w:p>
        </w:tc>
      </w:tr>
      <w:tr w:rsidR="001B6113" w:rsidRPr="00BD7921" w:rsidTr="000E2647">
        <w:trPr>
          <w:trHeight w:val="528"/>
        </w:trPr>
        <w:tc>
          <w:tcPr>
            <w:tcW w:w="5200" w:type="dxa"/>
            <w:tcBorders>
              <w:top w:val="nil"/>
              <w:left w:val="single" w:sz="4" w:space="0" w:color="auto"/>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jc w:val="left"/>
              <w:rPr>
                <w:rFonts w:ascii="Calibri" w:eastAsia="Times New Roman" w:hAnsi="Calibri" w:cs="Calibri"/>
                <w:color w:val="000000"/>
                <w:lang w:eastAsia="tr-TR"/>
              </w:rPr>
            </w:pPr>
            <w:r w:rsidRPr="000E2647">
              <w:rPr>
                <w:rFonts w:ascii="Calibri" w:eastAsia="Times New Roman" w:hAnsi="Calibri" w:cs="Calibri"/>
                <w:color w:val="000000"/>
                <w:lang w:eastAsia="tr-TR"/>
              </w:rPr>
              <w:t>Udaş Uşak Doğalgaz Dağıtım Sanayi Ve Ticaret Anonim Şirketi</w:t>
            </w:r>
          </w:p>
        </w:tc>
        <w:tc>
          <w:tcPr>
            <w:tcW w:w="1144"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20.10.2022</w:t>
            </w:r>
          </w:p>
        </w:tc>
        <w:tc>
          <w:tcPr>
            <w:tcW w:w="936"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11306</w:t>
            </w:r>
          </w:p>
        </w:tc>
        <w:tc>
          <w:tcPr>
            <w:tcW w:w="2785" w:type="dxa"/>
            <w:tcBorders>
              <w:top w:val="nil"/>
              <w:left w:val="nil"/>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rPr>
                <w:rFonts w:ascii="Calibri" w:eastAsia="Times New Roman" w:hAnsi="Calibri" w:cs="Calibri"/>
                <w:color w:val="000000"/>
                <w:lang w:eastAsia="tr-TR"/>
              </w:rPr>
            </w:pPr>
            <w:r w:rsidRPr="000E2647">
              <w:rPr>
                <w:rFonts w:ascii="Calibri" w:eastAsia="Times New Roman" w:hAnsi="Calibri" w:cs="Calibri"/>
                <w:color w:val="000000"/>
                <w:lang w:eastAsia="tr-TR"/>
              </w:rPr>
              <w:t>2022-2026 Tarife Uygulama Dönemi Perakende Satış Tarifelerinin Belirlenmesi</w:t>
            </w:r>
          </w:p>
        </w:tc>
      </w:tr>
      <w:tr w:rsidR="001B6113" w:rsidRPr="00BD7921" w:rsidTr="000E2647">
        <w:trPr>
          <w:trHeight w:val="528"/>
        </w:trPr>
        <w:tc>
          <w:tcPr>
            <w:tcW w:w="5200" w:type="dxa"/>
            <w:tcBorders>
              <w:top w:val="nil"/>
              <w:left w:val="single" w:sz="4" w:space="0" w:color="auto"/>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jc w:val="left"/>
              <w:rPr>
                <w:rFonts w:ascii="Calibri" w:eastAsia="Times New Roman" w:hAnsi="Calibri" w:cs="Calibri"/>
                <w:color w:val="000000"/>
                <w:lang w:eastAsia="tr-TR"/>
              </w:rPr>
            </w:pPr>
            <w:r w:rsidRPr="000E2647">
              <w:rPr>
                <w:rFonts w:ascii="Calibri" w:eastAsia="Times New Roman" w:hAnsi="Calibri" w:cs="Calibri"/>
                <w:color w:val="000000"/>
                <w:lang w:eastAsia="tr-TR"/>
              </w:rPr>
              <w:t>Enerya Ereğli Gaz Dağıtım Anonim Şirketi</w:t>
            </w:r>
          </w:p>
        </w:tc>
        <w:tc>
          <w:tcPr>
            <w:tcW w:w="1144"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20.10.2022</w:t>
            </w:r>
          </w:p>
        </w:tc>
        <w:tc>
          <w:tcPr>
            <w:tcW w:w="936"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11305</w:t>
            </w:r>
          </w:p>
        </w:tc>
        <w:tc>
          <w:tcPr>
            <w:tcW w:w="2785" w:type="dxa"/>
            <w:tcBorders>
              <w:top w:val="nil"/>
              <w:left w:val="nil"/>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rPr>
                <w:rFonts w:ascii="Calibri" w:eastAsia="Times New Roman" w:hAnsi="Calibri" w:cs="Calibri"/>
                <w:color w:val="000000"/>
                <w:lang w:eastAsia="tr-TR"/>
              </w:rPr>
            </w:pPr>
            <w:r w:rsidRPr="000E2647">
              <w:rPr>
                <w:rFonts w:ascii="Calibri" w:eastAsia="Times New Roman" w:hAnsi="Calibri" w:cs="Calibri"/>
                <w:color w:val="000000"/>
                <w:lang w:eastAsia="tr-TR"/>
              </w:rPr>
              <w:t>2022-2026 Tarife Uygulama Dönemi Perakende Satış Tarifelerinin Belirlenmesi</w:t>
            </w:r>
          </w:p>
        </w:tc>
      </w:tr>
      <w:tr w:rsidR="001B6113" w:rsidRPr="00BD7921" w:rsidTr="000E2647">
        <w:trPr>
          <w:trHeight w:val="528"/>
        </w:trPr>
        <w:tc>
          <w:tcPr>
            <w:tcW w:w="5200" w:type="dxa"/>
            <w:tcBorders>
              <w:top w:val="nil"/>
              <w:left w:val="single" w:sz="4" w:space="0" w:color="auto"/>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jc w:val="left"/>
              <w:rPr>
                <w:rFonts w:ascii="Calibri" w:eastAsia="Times New Roman" w:hAnsi="Calibri" w:cs="Calibri"/>
                <w:color w:val="000000"/>
                <w:lang w:eastAsia="tr-TR"/>
              </w:rPr>
            </w:pPr>
            <w:r w:rsidRPr="000E2647">
              <w:rPr>
                <w:rFonts w:ascii="Calibri" w:eastAsia="Times New Roman" w:hAnsi="Calibri" w:cs="Calibri"/>
                <w:color w:val="000000"/>
                <w:lang w:eastAsia="tr-TR"/>
              </w:rPr>
              <w:lastRenderedPageBreak/>
              <w:t>Akmercan Adıyaman Doğal Gaz Dağıtım Sanayi ve Ticaret Anonim Şirketi</w:t>
            </w:r>
          </w:p>
        </w:tc>
        <w:tc>
          <w:tcPr>
            <w:tcW w:w="1144"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20.10.2022</w:t>
            </w:r>
          </w:p>
        </w:tc>
        <w:tc>
          <w:tcPr>
            <w:tcW w:w="936"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11303</w:t>
            </w:r>
          </w:p>
        </w:tc>
        <w:tc>
          <w:tcPr>
            <w:tcW w:w="2785" w:type="dxa"/>
            <w:tcBorders>
              <w:top w:val="nil"/>
              <w:left w:val="nil"/>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rPr>
                <w:rFonts w:ascii="Calibri" w:eastAsia="Times New Roman" w:hAnsi="Calibri" w:cs="Calibri"/>
                <w:color w:val="000000"/>
                <w:lang w:eastAsia="tr-TR"/>
              </w:rPr>
            </w:pPr>
            <w:r w:rsidRPr="000E2647">
              <w:rPr>
                <w:rFonts w:ascii="Calibri" w:eastAsia="Times New Roman" w:hAnsi="Calibri" w:cs="Calibri"/>
                <w:color w:val="000000"/>
                <w:lang w:eastAsia="tr-TR"/>
              </w:rPr>
              <w:t>2022-2026 Tarife Uygulama Dönemi Perakende Satış Tarifelerinin Belirlenmesi</w:t>
            </w:r>
          </w:p>
        </w:tc>
      </w:tr>
      <w:tr w:rsidR="001B6113" w:rsidRPr="00BD7921" w:rsidTr="000E2647">
        <w:trPr>
          <w:trHeight w:val="528"/>
        </w:trPr>
        <w:tc>
          <w:tcPr>
            <w:tcW w:w="5200" w:type="dxa"/>
            <w:tcBorders>
              <w:top w:val="nil"/>
              <w:left w:val="single" w:sz="4" w:space="0" w:color="auto"/>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jc w:val="left"/>
              <w:rPr>
                <w:rFonts w:ascii="Calibri" w:eastAsia="Times New Roman" w:hAnsi="Calibri" w:cs="Calibri"/>
                <w:color w:val="000000"/>
                <w:lang w:eastAsia="tr-TR"/>
              </w:rPr>
            </w:pPr>
            <w:r w:rsidRPr="000E2647">
              <w:rPr>
                <w:rFonts w:ascii="Calibri" w:eastAsia="Times New Roman" w:hAnsi="Calibri" w:cs="Calibri"/>
                <w:color w:val="000000"/>
                <w:lang w:eastAsia="tr-TR"/>
              </w:rPr>
              <w:t>Akmercan Batıkar Doğal Gaz Dağıtım Sanayi ve Ticaret Anonim Şirketi</w:t>
            </w:r>
          </w:p>
        </w:tc>
        <w:tc>
          <w:tcPr>
            <w:tcW w:w="1144"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20.10.2022</w:t>
            </w:r>
          </w:p>
        </w:tc>
        <w:tc>
          <w:tcPr>
            <w:tcW w:w="936"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11304</w:t>
            </w:r>
          </w:p>
        </w:tc>
        <w:tc>
          <w:tcPr>
            <w:tcW w:w="2785" w:type="dxa"/>
            <w:tcBorders>
              <w:top w:val="nil"/>
              <w:left w:val="nil"/>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rPr>
                <w:rFonts w:ascii="Calibri" w:eastAsia="Times New Roman" w:hAnsi="Calibri" w:cs="Calibri"/>
                <w:color w:val="000000"/>
                <w:lang w:eastAsia="tr-TR"/>
              </w:rPr>
            </w:pPr>
            <w:r w:rsidRPr="000E2647">
              <w:rPr>
                <w:rFonts w:ascii="Calibri" w:eastAsia="Times New Roman" w:hAnsi="Calibri" w:cs="Calibri"/>
                <w:color w:val="000000"/>
                <w:lang w:eastAsia="tr-TR"/>
              </w:rPr>
              <w:t>2022-2026 Tarife Uygulama Dönemi Perakende Satış Tarifelerinin Belirlenmesi</w:t>
            </w:r>
          </w:p>
        </w:tc>
      </w:tr>
      <w:tr w:rsidR="001B6113" w:rsidRPr="00BD7921" w:rsidTr="000E2647">
        <w:trPr>
          <w:trHeight w:val="528"/>
        </w:trPr>
        <w:tc>
          <w:tcPr>
            <w:tcW w:w="5200" w:type="dxa"/>
            <w:tcBorders>
              <w:top w:val="nil"/>
              <w:left w:val="single" w:sz="4" w:space="0" w:color="auto"/>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jc w:val="left"/>
              <w:rPr>
                <w:rFonts w:ascii="Calibri" w:eastAsia="Times New Roman" w:hAnsi="Calibri" w:cs="Calibri"/>
                <w:color w:val="000000"/>
                <w:lang w:eastAsia="tr-TR"/>
              </w:rPr>
            </w:pPr>
            <w:r w:rsidRPr="000E2647">
              <w:rPr>
                <w:rFonts w:ascii="Calibri" w:eastAsia="Times New Roman" w:hAnsi="Calibri" w:cs="Calibri"/>
                <w:color w:val="000000"/>
                <w:lang w:eastAsia="tr-TR"/>
              </w:rPr>
              <w:t>Akmercan Delta Doğalgaz Dağıtım Sanayi ve Ticaret Anonim Şirketi</w:t>
            </w:r>
          </w:p>
        </w:tc>
        <w:tc>
          <w:tcPr>
            <w:tcW w:w="1144"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27.10.2022</w:t>
            </w:r>
          </w:p>
        </w:tc>
        <w:tc>
          <w:tcPr>
            <w:tcW w:w="936"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11354</w:t>
            </w:r>
          </w:p>
        </w:tc>
        <w:tc>
          <w:tcPr>
            <w:tcW w:w="2785" w:type="dxa"/>
            <w:tcBorders>
              <w:top w:val="nil"/>
              <w:left w:val="nil"/>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rPr>
                <w:rFonts w:ascii="Calibri" w:eastAsia="Times New Roman" w:hAnsi="Calibri" w:cs="Calibri"/>
                <w:color w:val="000000"/>
                <w:lang w:eastAsia="tr-TR"/>
              </w:rPr>
            </w:pPr>
            <w:r w:rsidRPr="000E2647">
              <w:rPr>
                <w:rFonts w:ascii="Calibri" w:eastAsia="Times New Roman" w:hAnsi="Calibri" w:cs="Calibri"/>
                <w:color w:val="000000"/>
                <w:lang w:eastAsia="tr-TR"/>
              </w:rPr>
              <w:t>2022-2026 Tarife Uygulama Dönemi Perakende Satış Tarifelerinin Belirlenmesi</w:t>
            </w:r>
          </w:p>
        </w:tc>
      </w:tr>
      <w:tr w:rsidR="001B6113" w:rsidRPr="00BD7921" w:rsidTr="000E2647">
        <w:trPr>
          <w:trHeight w:val="528"/>
        </w:trPr>
        <w:tc>
          <w:tcPr>
            <w:tcW w:w="5200" w:type="dxa"/>
            <w:tcBorders>
              <w:top w:val="nil"/>
              <w:left w:val="single" w:sz="4" w:space="0" w:color="auto"/>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jc w:val="left"/>
              <w:rPr>
                <w:rFonts w:ascii="Calibri" w:eastAsia="Times New Roman" w:hAnsi="Calibri" w:cs="Calibri"/>
                <w:color w:val="000000"/>
                <w:lang w:eastAsia="tr-TR"/>
              </w:rPr>
            </w:pPr>
            <w:r w:rsidRPr="000E2647">
              <w:rPr>
                <w:rFonts w:ascii="Calibri" w:eastAsia="Times New Roman" w:hAnsi="Calibri" w:cs="Calibri"/>
                <w:color w:val="000000"/>
                <w:lang w:eastAsia="tr-TR"/>
              </w:rPr>
              <w:t>Akmercan Gepa Doğal Gaz Dağıtım Sanayi ve Ticaret Anonim Şirketi</w:t>
            </w:r>
          </w:p>
        </w:tc>
        <w:tc>
          <w:tcPr>
            <w:tcW w:w="1144"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27.10.2022</w:t>
            </w:r>
          </w:p>
        </w:tc>
        <w:tc>
          <w:tcPr>
            <w:tcW w:w="936"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11351</w:t>
            </w:r>
          </w:p>
        </w:tc>
        <w:tc>
          <w:tcPr>
            <w:tcW w:w="2785" w:type="dxa"/>
            <w:tcBorders>
              <w:top w:val="nil"/>
              <w:left w:val="nil"/>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rPr>
                <w:rFonts w:ascii="Calibri" w:eastAsia="Times New Roman" w:hAnsi="Calibri" w:cs="Calibri"/>
                <w:color w:val="000000"/>
                <w:lang w:eastAsia="tr-TR"/>
              </w:rPr>
            </w:pPr>
            <w:r w:rsidRPr="000E2647">
              <w:rPr>
                <w:rFonts w:ascii="Calibri" w:eastAsia="Times New Roman" w:hAnsi="Calibri" w:cs="Calibri"/>
                <w:color w:val="000000"/>
                <w:lang w:eastAsia="tr-TR"/>
              </w:rPr>
              <w:t>2022-2026 Tarife Uygulama Dönemi Perakende Satış Tarifelerinin Belirlenmesi</w:t>
            </w:r>
          </w:p>
        </w:tc>
      </w:tr>
      <w:tr w:rsidR="001B6113" w:rsidRPr="00BD7921" w:rsidTr="000E2647">
        <w:trPr>
          <w:trHeight w:val="528"/>
        </w:trPr>
        <w:tc>
          <w:tcPr>
            <w:tcW w:w="5200" w:type="dxa"/>
            <w:tcBorders>
              <w:top w:val="nil"/>
              <w:left w:val="single" w:sz="4" w:space="0" w:color="auto"/>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jc w:val="left"/>
              <w:rPr>
                <w:rFonts w:ascii="Calibri" w:eastAsia="Times New Roman" w:hAnsi="Calibri" w:cs="Calibri"/>
                <w:color w:val="000000"/>
                <w:lang w:eastAsia="tr-TR"/>
              </w:rPr>
            </w:pPr>
            <w:r w:rsidRPr="000E2647">
              <w:rPr>
                <w:rFonts w:ascii="Calibri" w:eastAsia="Times New Roman" w:hAnsi="Calibri" w:cs="Calibri"/>
                <w:color w:val="000000"/>
                <w:lang w:eastAsia="tr-TR"/>
              </w:rPr>
              <w:t>Akmercan Muğla Doğal Gaz Dağıtım Sanayi ve Ticaret Anonim Şirketi</w:t>
            </w:r>
          </w:p>
        </w:tc>
        <w:tc>
          <w:tcPr>
            <w:tcW w:w="1144"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27.10.2022</w:t>
            </w:r>
          </w:p>
        </w:tc>
        <w:tc>
          <w:tcPr>
            <w:tcW w:w="936"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11348</w:t>
            </w:r>
          </w:p>
        </w:tc>
        <w:tc>
          <w:tcPr>
            <w:tcW w:w="2785" w:type="dxa"/>
            <w:tcBorders>
              <w:top w:val="nil"/>
              <w:left w:val="nil"/>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rPr>
                <w:rFonts w:ascii="Calibri" w:eastAsia="Times New Roman" w:hAnsi="Calibri" w:cs="Calibri"/>
                <w:color w:val="000000"/>
                <w:lang w:eastAsia="tr-TR"/>
              </w:rPr>
            </w:pPr>
            <w:r w:rsidRPr="000E2647">
              <w:rPr>
                <w:rFonts w:ascii="Calibri" w:eastAsia="Times New Roman" w:hAnsi="Calibri" w:cs="Calibri"/>
                <w:color w:val="000000"/>
                <w:lang w:eastAsia="tr-TR"/>
              </w:rPr>
              <w:t>2022-2026 Tarife Uygulama Dönemi Perakende Satış Tarifelerinin Belirlenmesi</w:t>
            </w:r>
          </w:p>
        </w:tc>
      </w:tr>
      <w:tr w:rsidR="001B6113" w:rsidRPr="00BD7921" w:rsidTr="000E2647">
        <w:trPr>
          <w:trHeight w:val="528"/>
        </w:trPr>
        <w:tc>
          <w:tcPr>
            <w:tcW w:w="5200" w:type="dxa"/>
            <w:tcBorders>
              <w:top w:val="nil"/>
              <w:left w:val="single" w:sz="4" w:space="0" w:color="auto"/>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jc w:val="left"/>
              <w:rPr>
                <w:rFonts w:ascii="Calibri" w:eastAsia="Times New Roman" w:hAnsi="Calibri" w:cs="Calibri"/>
                <w:color w:val="000000"/>
                <w:lang w:eastAsia="tr-TR"/>
              </w:rPr>
            </w:pPr>
            <w:r w:rsidRPr="000E2647">
              <w:rPr>
                <w:rFonts w:ascii="Calibri" w:eastAsia="Times New Roman" w:hAnsi="Calibri" w:cs="Calibri"/>
                <w:color w:val="000000"/>
                <w:lang w:eastAsia="tr-TR"/>
              </w:rPr>
              <w:t>Kargaz Kars Ardahan Doğal Gaz Dağıtım Pazarlama Taahhüt Sanayi Ve Ticaret Anonim Şirketi</w:t>
            </w:r>
          </w:p>
        </w:tc>
        <w:tc>
          <w:tcPr>
            <w:tcW w:w="1144"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27.10.2022</w:t>
            </w:r>
          </w:p>
        </w:tc>
        <w:tc>
          <w:tcPr>
            <w:tcW w:w="936"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11347</w:t>
            </w:r>
          </w:p>
        </w:tc>
        <w:tc>
          <w:tcPr>
            <w:tcW w:w="2785" w:type="dxa"/>
            <w:tcBorders>
              <w:top w:val="nil"/>
              <w:left w:val="nil"/>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rPr>
                <w:rFonts w:ascii="Calibri" w:eastAsia="Times New Roman" w:hAnsi="Calibri" w:cs="Calibri"/>
                <w:color w:val="000000"/>
                <w:lang w:eastAsia="tr-TR"/>
              </w:rPr>
            </w:pPr>
            <w:r w:rsidRPr="000E2647">
              <w:rPr>
                <w:rFonts w:ascii="Calibri" w:eastAsia="Times New Roman" w:hAnsi="Calibri" w:cs="Calibri"/>
                <w:color w:val="000000"/>
                <w:lang w:eastAsia="tr-TR"/>
              </w:rPr>
              <w:t>2022-2026 Tarife Uygulama Dönemi Perakende Satış Tarifelerinin Belirlenmesi</w:t>
            </w:r>
          </w:p>
        </w:tc>
      </w:tr>
      <w:tr w:rsidR="001B6113" w:rsidRPr="00BD7921" w:rsidTr="000E2647">
        <w:trPr>
          <w:trHeight w:val="528"/>
        </w:trPr>
        <w:tc>
          <w:tcPr>
            <w:tcW w:w="5200" w:type="dxa"/>
            <w:tcBorders>
              <w:top w:val="nil"/>
              <w:left w:val="single" w:sz="4" w:space="0" w:color="auto"/>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jc w:val="left"/>
              <w:rPr>
                <w:rFonts w:ascii="Calibri" w:eastAsia="Times New Roman" w:hAnsi="Calibri" w:cs="Calibri"/>
                <w:color w:val="000000"/>
                <w:lang w:eastAsia="tr-TR"/>
              </w:rPr>
            </w:pPr>
            <w:r w:rsidRPr="000E2647">
              <w:rPr>
                <w:rFonts w:ascii="Calibri" w:eastAsia="Times New Roman" w:hAnsi="Calibri" w:cs="Calibri"/>
                <w:color w:val="000000"/>
                <w:lang w:eastAsia="tr-TR"/>
              </w:rPr>
              <w:t>İzgaz İzmit Gaz Dağıtım Sanayi Ve Ticaret Anonim Şirketi</w:t>
            </w:r>
          </w:p>
        </w:tc>
        <w:tc>
          <w:tcPr>
            <w:tcW w:w="1144"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27.10.2022</w:t>
            </w:r>
          </w:p>
        </w:tc>
        <w:tc>
          <w:tcPr>
            <w:tcW w:w="936"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11346</w:t>
            </w:r>
          </w:p>
        </w:tc>
        <w:tc>
          <w:tcPr>
            <w:tcW w:w="2785" w:type="dxa"/>
            <w:tcBorders>
              <w:top w:val="nil"/>
              <w:left w:val="nil"/>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rPr>
                <w:rFonts w:ascii="Calibri" w:eastAsia="Times New Roman" w:hAnsi="Calibri" w:cs="Calibri"/>
                <w:color w:val="000000"/>
                <w:lang w:eastAsia="tr-TR"/>
              </w:rPr>
            </w:pPr>
            <w:r w:rsidRPr="000E2647">
              <w:rPr>
                <w:rFonts w:ascii="Calibri" w:eastAsia="Times New Roman" w:hAnsi="Calibri" w:cs="Calibri"/>
                <w:color w:val="000000"/>
                <w:lang w:eastAsia="tr-TR"/>
              </w:rPr>
              <w:t>2022-2026 Tarife Uygulama Dönemi Perakende Satış Tarifelerinin Belirlenmesi</w:t>
            </w:r>
          </w:p>
        </w:tc>
      </w:tr>
      <w:tr w:rsidR="001B6113" w:rsidRPr="00BD7921" w:rsidTr="000E2647">
        <w:trPr>
          <w:trHeight w:val="528"/>
        </w:trPr>
        <w:tc>
          <w:tcPr>
            <w:tcW w:w="5200" w:type="dxa"/>
            <w:tcBorders>
              <w:top w:val="nil"/>
              <w:left w:val="single" w:sz="4" w:space="0" w:color="auto"/>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jc w:val="left"/>
              <w:rPr>
                <w:rFonts w:ascii="Calibri" w:eastAsia="Times New Roman" w:hAnsi="Calibri" w:cs="Calibri"/>
                <w:color w:val="000000"/>
                <w:lang w:eastAsia="tr-TR"/>
              </w:rPr>
            </w:pPr>
            <w:r w:rsidRPr="000E2647">
              <w:rPr>
                <w:rFonts w:ascii="Calibri" w:eastAsia="Times New Roman" w:hAnsi="Calibri" w:cs="Calibri"/>
                <w:color w:val="000000"/>
                <w:lang w:eastAsia="tr-TR"/>
              </w:rPr>
              <w:t>Çinigaz Doğal Gaz Dağıtım Sanayi ve Ticaret Anonim Şirketi</w:t>
            </w:r>
          </w:p>
        </w:tc>
        <w:tc>
          <w:tcPr>
            <w:tcW w:w="1144"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27.10.2022</w:t>
            </w:r>
          </w:p>
        </w:tc>
        <w:tc>
          <w:tcPr>
            <w:tcW w:w="936"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11345</w:t>
            </w:r>
          </w:p>
        </w:tc>
        <w:tc>
          <w:tcPr>
            <w:tcW w:w="2785" w:type="dxa"/>
            <w:tcBorders>
              <w:top w:val="nil"/>
              <w:left w:val="nil"/>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rPr>
                <w:rFonts w:ascii="Calibri" w:eastAsia="Times New Roman" w:hAnsi="Calibri" w:cs="Calibri"/>
                <w:color w:val="000000"/>
                <w:lang w:eastAsia="tr-TR"/>
              </w:rPr>
            </w:pPr>
            <w:r w:rsidRPr="000E2647">
              <w:rPr>
                <w:rFonts w:ascii="Calibri" w:eastAsia="Times New Roman" w:hAnsi="Calibri" w:cs="Calibri"/>
                <w:color w:val="000000"/>
                <w:lang w:eastAsia="tr-TR"/>
              </w:rPr>
              <w:t>2022-2026 Tarife Uygulama Dönemi Perakende Satış Tarifelerinin Belirlenmesi</w:t>
            </w:r>
          </w:p>
        </w:tc>
      </w:tr>
      <w:tr w:rsidR="001B6113" w:rsidRPr="00BD7921" w:rsidTr="000E2647">
        <w:trPr>
          <w:trHeight w:val="528"/>
        </w:trPr>
        <w:tc>
          <w:tcPr>
            <w:tcW w:w="5200" w:type="dxa"/>
            <w:tcBorders>
              <w:top w:val="nil"/>
              <w:left w:val="single" w:sz="4" w:space="0" w:color="auto"/>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jc w:val="left"/>
              <w:rPr>
                <w:rFonts w:ascii="Calibri" w:eastAsia="Times New Roman" w:hAnsi="Calibri" w:cs="Calibri"/>
                <w:color w:val="000000"/>
                <w:lang w:eastAsia="tr-TR"/>
              </w:rPr>
            </w:pPr>
            <w:r w:rsidRPr="000E2647">
              <w:rPr>
                <w:rFonts w:ascii="Calibri" w:eastAsia="Times New Roman" w:hAnsi="Calibri" w:cs="Calibri"/>
                <w:color w:val="000000"/>
                <w:lang w:eastAsia="tr-TR"/>
              </w:rPr>
              <w:t>Aksa Ordu Giresun Doğal Gaz Dağıtım Anonim Şirketi</w:t>
            </w:r>
          </w:p>
        </w:tc>
        <w:tc>
          <w:tcPr>
            <w:tcW w:w="1144"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27.10.2022</w:t>
            </w:r>
          </w:p>
        </w:tc>
        <w:tc>
          <w:tcPr>
            <w:tcW w:w="936"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11344</w:t>
            </w:r>
          </w:p>
        </w:tc>
        <w:tc>
          <w:tcPr>
            <w:tcW w:w="2785" w:type="dxa"/>
            <w:tcBorders>
              <w:top w:val="nil"/>
              <w:left w:val="nil"/>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rPr>
                <w:rFonts w:ascii="Calibri" w:eastAsia="Times New Roman" w:hAnsi="Calibri" w:cs="Calibri"/>
                <w:color w:val="000000"/>
                <w:lang w:eastAsia="tr-TR"/>
              </w:rPr>
            </w:pPr>
            <w:r w:rsidRPr="000E2647">
              <w:rPr>
                <w:rFonts w:ascii="Calibri" w:eastAsia="Times New Roman" w:hAnsi="Calibri" w:cs="Calibri"/>
                <w:color w:val="000000"/>
                <w:lang w:eastAsia="tr-TR"/>
              </w:rPr>
              <w:t>2022-2026 Tarife Uygulama Dönemi Perakende Satış Tarifelerinin Belirlenmesi</w:t>
            </w:r>
          </w:p>
        </w:tc>
      </w:tr>
      <w:tr w:rsidR="001B6113" w:rsidRPr="00BD7921" w:rsidTr="000E2647">
        <w:trPr>
          <w:trHeight w:val="528"/>
        </w:trPr>
        <w:tc>
          <w:tcPr>
            <w:tcW w:w="5200" w:type="dxa"/>
            <w:tcBorders>
              <w:top w:val="nil"/>
              <w:left w:val="single" w:sz="4" w:space="0" w:color="auto"/>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jc w:val="left"/>
              <w:rPr>
                <w:rFonts w:ascii="Calibri" w:eastAsia="Times New Roman" w:hAnsi="Calibri" w:cs="Calibri"/>
                <w:color w:val="000000"/>
                <w:lang w:eastAsia="tr-TR"/>
              </w:rPr>
            </w:pPr>
            <w:r w:rsidRPr="000E2647">
              <w:rPr>
                <w:rFonts w:ascii="Calibri" w:eastAsia="Times New Roman" w:hAnsi="Calibri" w:cs="Calibri"/>
                <w:color w:val="000000"/>
                <w:lang w:eastAsia="tr-TR"/>
              </w:rPr>
              <w:t>Aksa Karadeniz Doğal Gaz Dağıtım Anonim Şirketi</w:t>
            </w:r>
          </w:p>
        </w:tc>
        <w:tc>
          <w:tcPr>
            <w:tcW w:w="1144"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27.10.2022</w:t>
            </w:r>
          </w:p>
        </w:tc>
        <w:tc>
          <w:tcPr>
            <w:tcW w:w="936"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11343</w:t>
            </w:r>
          </w:p>
        </w:tc>
        <w:tc>
          <w:tcPr>
            <w:tcW w:w="2785" w:type="dxa"/>
            <w:tcBorders>
              <w:top w:val="nil"/>
              <w:left w:val="nil"/>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rPr>
                <w:rFonts w:ascii="Calibri" w:eastAsia="Times New Roman" w:hAnsi="Calibri" w:cs="Calibri"/>
                <w:color w:val="000000"/>
                <w:lang w:eastAsia="tr-TR"/>
              </w:rPr>
            </w:pPr>
            <w:r w:rsidRPr="000E2647">
              <w:rPr>
                <w:rFonts w:ascii="Calibri" w:eastAsia="Times New Roman" w:hAnsi="Calibri" w:cs="Calibri"/>
                <w:color w:val="000000"/>
                <w:lang w:eastAsia="tr-TR"/>
              </w:rPr>
              <w:t>2022-2026 Tarife Uygulama Dönemi Perakende Satış Tarifelerinin Belirlenmesi</w:t>
            </w:r>
          </w:p>
        </w:tc>
      </w:tr>
      <w:tr w:rsidR="001B6113" w:rsidRPr="00BD7921" w:rsidTr="000E2647">
        <w:trPr>
          <w:trHeight w:val="528"/>
        </w:trPr>
        <w:tc>
          <w:tcPr>
            <w:tcW w:w="5200" w:type="dxa"/>
            <w:tcBorders>
              <w:top w:val="nil"/>
              <w:left w:val="single" w:sz="4" w:space="0" w:color="auto"/>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jc w:val="left"/>
              <w:rPr>
                <w:rFonts w:ascii="Calibri" w:eastAsia="Times New Roman" w:hAnsi="Calibri" w:cs="Calibri"/>
                <w:color w:val="000000"/>
                <w:lang w:eastAsia="tr-TR"/>
              </w:rPr>
            </w:pPr>
            <w:r w:rsidRPr="000E2647">
              <w:rPr>
                <w:rFonts w:ascii="Calibri" w:eastAsia="Times New Roman" w:hAnsi="Calibri" w:cs="Calibri"/>
                <w:color w:val="000000"/>
                <w:lang w:eastAsia="tr-TR"/>
              </w:rPr>
              <w:t>Aksa Gemlik Doğal Gaz Dağıtım Anonim Şirketi</w:t>
            </w:r>
          </w:p>
        </w:tc>
        <w:tc>
          <w:tcPr>
            <w:tcW w:w="1144"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27.10.2022</w:t>
            </w:r>
          </w:p>
        </w:tc>
        <w:tc>
          <w:tcPr>
            <w:tcW w:w="936" w:type="dxa"/>
            <w:tcBorders>
              <w:top w:val="nil"/>
              <w:left w:val="nil"/>
              <w:bottom w:val="single" w:sz="4" w:space="0" w:color="auto"/>
              <w:right w:val="single" w:sz="4" w:space="0" w:color="auto"/>
            </w:tcBorders>
            <w:shd w:val="clear" w:color="auto" w:fill="auto"/>
            <w:vAlign w:val="center"/>
            <w:hideMark/>
          </w:tcPr>
          <w:p w:rsidR="001B6113" w:rsidRPr="000E2647" w:rsidRDefault="001B6113" w:rsidP="008F2A61">
            <w:pPr>
              <w:spacing w:after="0" w:line="240" w:lineRule="auto"/>
              <w:jc w:val="center"/>
              <w:rPr>
                <w:rFonts w:ascii="Calibri" w:eastAsia="Times New Roman" w:hAnsi="Calibri" w:cs="Calibri"/>
                <w:color w:val="000000"/>
                <w:lang w:eastAsia="tr-TR"/>
              </w:rPr>
            </w:pPr>
            <w:r w:rsidRPr="000E2647">
              <w:rPr>
                <w:rFonts w:ascii="Calibri" w:eastAsia="Times New Roman" w:hAnsi="Calibri" w:cs="Calibri"/>
                <w:color w:val="000000"/>
                <w:lang w:eastAsia="tr-TR"/>
              </w:rPr>
              <w:t>11342</w:t>
            </w:r>
          </w:p>
        </w:tc>
        <w:tc>
          <w:tcPr>
            <w:tcW w:w="2785" w:type="dxa"/>
            <w:tcBorders>
              <w:top w:val="nil"/>
              <w:left w:val="nil"/>
              <w:bottom w:val="single" w:sz="4" w:space="0" w:color="auto"/>
              <w:right w:val="single" w:sz="4" w:space="0" w:color="auto"/>
            </w:tcBorders>
            <w:shd w:val="clear" w:color="auto" w:fill="auto"/>
            <w:noWrap/>
            <w:vAlign w:val="center"/>
            <w:hideMark/>
          </w:tcPr>
          <w:p w:rsidR="001B6113" w:rsidRPr="000E2647" w:rsidRDefault="001B6113" w:rsidP="008F2A61">
            <w:pPr>
              <w:spacing w:after="0" w:line="240" w:lineRule="auto"/>
              <w:rPr>
                <w:rFonts w:ascii="Calibri" w:eastAsia="Times New Roman" w:hAnsi="Calibri" w:cs="Calibri"/>
                <w:color w:val="000000"/>
                <w:lang w:eastAsia="tr-TR"/>
              </w:rPr>
            </w:pPr>
            <w:r w:rsidRPr="000E2647">
              <w:rPr>
                <w:rFonts w:ascii="Calibri" w:eastAsia="Times New Roman" w:hAnsi="Calibri" w:cs="Calibri"/>
                <w:color w:val="000000"/>
                <w:lang w:eastAsia="tr-TR"/>
              </w:rPr>
              <w:t>2022-2026 Tarife Uygulama Dönemi Perakende Satış Tarifelerinin Belirlenmesi</w:t>
            </w:r>
          </w:p>
        </w:tc>
      </w:tr>
      <w:tr w:rsidR="001B6113" w:rsidRPr="00BD7921" w:rsidTr="000E2647">
        <w:trPr>
          <w:trHeight w:val="528"/>
        </w:trPr>
        <w:tc>
          <w:tcPr>
            <w:tcW w:w="5200" w:type="dxa"/>
            <w:tcBorders>
              <w:top w:val="nil"/>
              <w:left w:val="single" w:sz="4" w:space="0" w:color="auto"/>
              <w:bottom w:val="single" w:sz="4" w:space="0" w:color="auto"/>
              <w:right w:val="single" w:sz="4" w:space="0" w:color="auto"/>
            </w:tcBorders>
            <w:shd w:val="clear" w:color="auto" w:fill="auto"/>
            <w:noWrap/>
            <w:vAlign w:val="center"/>
            <w:hideMark/>
          </w:tcPr>
          <w:p w:rsidR="001B6113" w:rsidRPr="00A60F1C" w:rsidRDefault="001B6113" w:rsidP="008F2A61">
            <w:pPr>
              <w:spacing w:after="0" w:line="240" w:lineRule="auto"/>
              <w:jc w:val="left"/>
              <w:rPr>
                <w:rFonts w:ascii="Calibri" w:eastAsia="Times New Roman" w:hAnsi="Calibri" w:cs="Calibri"/>
                <w:color w:val="000000"/>
                <w:lang w:eastAsia="tr-TR"/>
              </w:rPr>
            </w:pPr>
            <w:r w:rsidRPr="00A60F1C">
              <w:rPr>
                <w:rFonts w:ascii="Calibri" w:eastAsia="Times New Roman" w:hAnsi="Calibri" w:cs="Calibri"/>
                <w:color w:val="000000"/>
                <w:lang w:eastAsia="tr-TR"/>
              </w:rPr>
              <w:t>Başkent Doğalgaz Dağıtım Gayrimenkul Yatırım Ortaklığı Anonim Şirketi</w:t>
            </w:r>
          </w:p>
        </w:tc>
        <w:tc>
          <w:tcPr>
            <w:tcW w:w="1144" w:type="dxa"/>
            <w:tcBorders>
              <w:top w:val="nil"/>
              <w:left w:val="nil"/>
              <w:bottom w:val="single" w:sz="4" w:space="0" w:color="auto"/>
              <w:right w:val="single" w:sz="4" w:space="0" w:color="auto"/>
            </w:tcBorders>
            <w:shd w:val="clear" w:color="auto" w:fill="auto"/>
            <w:vAlign w:val="center"/>
            <w:hideMark/>
          </w:tcPr>
          <w:p w:rsidR="001B6113" w:rsidRPr="00BD7921" w:rsidRDefault="001B6113" w:rsidP="008F2A61">
            <w:pPr>
              <w:spacing w:after="0" w:line="240" w:lineRule="auto"/>
              <w:jc w:val="center"/>
              <w:rPr>
                <w:rFonts w:ascii="Times New Roman" w:eastAsia="Times New Roman" w:hAnsi="Times New Roman"/>
                <w:color w:val="000000"/>
                <w:sz w:val="20"/>
                <w:szCs w:val="20"/>
                <w:lang w:eastAsia="tr-TR"/>
              </w:rPr>
            </w:pPr>
            <w:r w:rsidRPr="00BD7921">
              <w:rPr>
                <w:rFonts w:ascii="Times New Roman" w:eastAsia="Times New Roman" w:hAnsi="Times New Roman"/>
                <w:color w:val="000000"/>
                <w:sz w:val="20"/>
                <w:szCs w:val="20"/>
                <w:lang w:eastAsia="tr-TR"/>
              </w:rPr>
              <w:t>10.11.2022</w:t>
            </w:r>
          </w:p>
        </w:tc>
        <w:tc>
          <w:tcPr>
            <w:tcW w:w="936" w:type="dxa"/>
            <w:tcBorders>
              <w:top w:val="nil"/>
              <w:left w:val="nil"/>
              <w:bottom w:val="single" w:sz="4" w:space="0" w:color="auto"/>
              <w:right w:val="single" w:sz="4" w:space="0" w:color="auto"/>
            </w:tcBorders>
            <w:shd w:val="clear" w:color="auto" w:fill="auto"/>
            <w:vAlign w:val="center"/>
            <w:hideMark/>
          </w:tcPr>
          <w:p w:rsidR="001B6113" w:rsidRPr="00BD7921" w:rsidRDefault="001B6113" w:rsidP="008F2A61">
            <w:pPr>
              <w:spacing w:after="0" w:line="240" w:lineRule="auto"/>
              <w:jc w:val="center"/>
              <w:rPr>
                <w:rFonts w:ascii="Times New Roman" w:eastAsia="Times New Roman" w:hAnsi="Times New Roman"/>
                <w:color w:val="000000"/>
                <w:sz w:val="20"/>
                <w:szCs w:val="20"/>
                <w:lang w:eastAsia="tr-TR"/>
              </w:rPr>
            </w:pPr>
            <w:r w:rsidRPr="00BD7921">
              <w:rPr>
                <w:rFonts w:ascii="Times New Roman" w:eastAsia="Times New Roman" w:hAnsi="Times New Roman"/>
                <w:color w:val="000000"/>
                <w:sz w:val="20"/>
                <w:szCs w:val="20"/>
                <w:lang w:eastAsia="tr-TR"/>
              </w:rPr>
              <w:t>32011</w:t>
            </w:r>
          </w:p>
        </w:tc>
        <w:tc>
          <w:tcPr>
            <w:tcW w:w="2785" w:type="dxa"/>
            <w:tcBorders>
              <w:top w:val="nil"/>
              <w:left w:val="nil"/>
              <w:bottom w:val="single" w:sz="4" w:space="0" w:color="auto"/>
              <w:right w:val="single" w:sz="4" w:space="0" w:color="auto"/>
            </w:tcBorders>
            <w:shd w:val="clear" w:color="auto" w:fill="auto"/>
            <w:noWrap/>
            <w:vAlign w:val="center"/>
            <w:hideMark/>
          </w:tcPr>
          <w:p w:rsidR="001B6113" w:rsidRPr="00BD7921" w:rsidRDefault="001B6113" w:rsidP="008F2A61">
            <w:pPr>
              <w:spacing w:after="0" w:line="240" w:lineRule="auto"/>
              <w:rPr>
                <w:rFonts w:ascii="Times New Roman" w:eastAsia="Times New Roman" w:hAnsi="Times New Roman"/>
                <w:color w:val="000000"/>
                <w:sz w:val="20"/>
                <w:szCs w:val="20"/>
                <w:lang w:eastAsia="tr-TR"/>
              </w:rPr>
            </w:pPr>
            <w:r w:rsidRPr="00BD7921">
              <w:rPr>
                <w:rFonts w:ascii="Times New Roman" w:eastAsia="Times New Roman" w:hAnsi="Times New Roman"/>
                <w:color w:val="000000"/>
                <w:sz w:val="20"/>
                <w:szCs w:val="20"/>
                <w:lang w:eastAsia="tr-TR"/>
              </w:rPr>
              <w:t>2022-2026 Tarife Uygulama Dönemi Perakende Satış Tarifelerinin Belirlenmesi</w:t>
            </w:r>
          </w:p>
        </w:tc>
      </w:tr>
      <w:tr w:rsidR="001B6113" w:rsidRPr="00BD7921" w:rsidTr="000E2647">
        <w:trPr>
          <w:trHeight w:val="528"/>
        </w:trPr>
        <w:tc>
          <w:tcPr>
            <w:tcW w:w="5200" w:type="dxa"/>
            <w:tcBorders>
              <w:top w:val="nil"/>
              <w:left w:val="single" w:sz="4" w:space="0" w:color="auto"/>
              <w:bottom w:val="single" w:sz="4" w:space="0" w:color="auto"/>
              <w:right w:val="single" w:sz="4" w:space="0" w:color="auto"/>
            </w:tcBorders>
            <w:shd w:val="clear" w:color="auto" w:fill="auto"/>
            <w:noWrap/>
            <w:vAlign w:val="center"/>
            <w:hideMark/>
          </w:tcPr>
          <w:p w:rsidR="001B6113" w:rsidRPr="00A60F1C" w:rsidRDefault="001B6113" w:rsidP="008F2A61">
            <w:pPr>
              <w:spacing w:after="0" w:line="240" w:lineRule="auto"/>
              <w:jc w:val="left"/>
              <w:rPr>
                <w:rFonts w:ascii="Calibri" w:eastAsia="Times New Roman" w:hAnsi="Calibri" w:cs="Calibri"/>
                <w:color w:val="000000"/>
                <w:lang w:eastAsia="tr-TR"/>
              </w:rPr>
            </w:pPr>
            <w:r w:rsidRPr="00A60F1C">
              <w:rPr>
                <w:rFonts w:ascii="Calibri" w:eastAsia="Times New Roman" w:hAnsi="Calibri" w:cs="Calibri"/>
                <w:color w:val="000000"/>
                <w:lang w:eastAsia="tr-TR"/>
              </w:rPr>
              <w:t>Kızılcahamam Doğalgaz Dağıtım Anonim Şirketi</w:t>
            </w:r>
          </w:p>
        </w:tc>
        <w:tc>
          <w:tcPr>
            <w:tcW w:w="1144" w:type="dxa"/>
            <w:tcBorders>
              <w:top w:val="nil"/>
              <w:left w:val="nil"/>
              <w:bottom w:val="single" w:sz="4" w:space="0" w:color="auto"/>
              <w:right w:val="single" w:sz="4" w:space="0" w:color="auto"/>
            </w:tcBorders>
            <w:shd w:val="clear" w:color="auto" w:fill="auto"/>
            <w:vAlign w:val="center"/>
            <w:hideMark/>
          </w:tcPr>
          <w:p w:rsidR="001B6113" w:rsidRPr="00BD7921" w:rsidRDefault="001B6113" w:rsidP="008F2A61">
            <w:pPr>
              <w:spacing w:after="0" w:line="240" w:lineRule="auto"/>
              <w:jc w:val="center"/>
              <w:rPr>
                <w:rFonts w:ascii="Times New Roman" w:eastAsia="Times New Roman" w:hAnsi="Times New Roman"/>
                <w:color w:val="000000"/>
                <w:sz w:val="20"/>
                <w:szCs w:val="20"/>
                <w:lang w:eastAsia="tr-TR"/>
              </w:rPr>
            </w:pPr>
            <w:r w:rsidRPr="00BD7921">
              <w:rPr>
                <w:rFonts w:ascii="Times New Roman" w:eastAsia="Times New Roman" w:hAnsi="Times New Roman"/>
                <w:color w:val="000000"/>
                <w:sz w:val="20"/>
                <w:szCs w:val="20"/>
                <w:lang w:eastAsia="tr-TR"/>
              </w:rPr>
              <w:t>12.11.2022</w:t>
            </w:r>
          </w:p>
        </w:tc>
        <w:tc>
          <w:tcPr>
            <w:tcW w:w="936" w:type="dxa"/>
            <w:tcBorders>
              <w:top w:val="nil"/>
              <w:left w:val="nil"/>
              <w:bottom w:val="single" w:sz="4" w:space="0" w:color="auto"/>
              <w:right w:val="single" w:sz="4" w:space="0" w:color="auto"/>
            </w:tcBorders>
            <w:shd w:val="clear" w:color="auto" w:fill="auto"/>
            <w:vAlign w:val="center"/>
            <w:hideMark/>
          </w:tcPr>
          <w:p w:rsidR="001B6113" w:rsidRPr="00BD7921" w:rsidRDefault="001B6113" w:rsidP="008F2A61">
            <w:pPr>
              <w:spacing w:after="0" w:line="240" w:lineRule="auto"/>
              <w:jc w:val="center"/>
              <w:rPr>
                <w:rFonts w:ascii="Times New Roman" w:eastAsia="Times New Roman" w:hAnsi="Times New Roman"/>
                <w:color w:val="000000"/>
                <w:sz w:val="20"/>
                <w:szCs w:val="20"/>
                <w:lang w:eastAsia="tr-TR"/>
              </w:rPr>
            </w:pPr>
            <w:r w:rsidRPr="00BD7921">
              <w:rPr>
                <w:rFonts w:ascii="Times New Roman" w:eastAsia="Times New Roman" w:hAnsi="Times New Roman"/>
                <w:color w:val="000000"/>
                <w:sz w:val="20"/>
                <w:szCs w:val="20"/>
                <w:lang w:eastAsia="tr-TR"/>
              </w:rPr>
              <w:t>32011</w:t>
            </w:r>
          </w:p>
        </w:tc>
        <w:tc>
          <w:tcPr>
            <w:tcW w:w="2785" w:type="dxa"/>
            <w:tcBorders>
              <w:top w:val="nil"/>
              <w:left w:val="nil"/>
              <w:bottom w:val="single" w:sz="4" w:space="0" w:color="auto"/>
              <w:right w:val="single" w:sz="4" w:space="0" w:color="auto"/>
            </w:tcBorders>
            <w:shd w:val="clear" w:color="auto" w:fill="auto"/>
            <w:noWrap/>
            <w:vAlign w:val="center"/>
            <w:hideMark/>
          </w:tcPr>
          <w:p w:rsidR="001B6113" w:rsidRPr="00BD7921" w:rsidRDefault="001B6113" w:rsidP="008F2A61">
            <w:pPr>
              <w:spacing w:after="0" w:line="240" w:lineRule="auto"/>
              <w:rPr>
                <w:rFonts w:ascii="Times New Roman" w:eastAsia="Times New Roman" w:hAnsi="Times New Roman"/>
                <w:color w:val="000000"/>
                <w:sz w:val="20"/>
                <w:szCs w:val="20"/>
                <w:lang w:eastAsia="tr-TR"/>
              </w:rPr>
            </w:pPr>
            <w:r w:rsidRPr="00BD7921">
              <w:rPr>
                <w:rFonts w:ascii="Times New Roman" w:eastAsia="Times New Roman" w:hAnsi="Times New Roman"/>
                <w:color w:val="000000"/>
                <w:sz w:val="20"/>
                <w:szCs w:val="20"/>
                <w:lang w:eastAsia="tr-TR"/>
              </w:rPr>
              <w:t>2022-2026 Tarife Uygulama Dönemi Perakende Satış Tarifelerinin Belirlenmesi</w:t>
            </w:r>
          </w:p>
        </w:tc>
      </w:tr>
      <w:tr w:rsidR="001B6113" w:rsidRPr="00BD7921" w:rsidTr="000E2647">
        <w:trPr>
          <w:trHeight w:val="528"/>
        </w:trPr>
        <w:tc>
          <w:tcPr>
            <w:tcW w:w="5200" w:type="dxa"/>
            <w:tcBorders>
              <w:top w:val="nil"/>
              <w:left w:val="single" w:sz="4" w:space="0" w:color="auto"/>
              <w:bottom w:val="single" w:sz="4" w:space="0" w:color="auto"/>
              <w:right w:val="single" w:sz="4" w:space="0" w:color="auto"/>
            </w:tcBorders>
            <w:shd w:val="clear" w:color="auto" w:fill="auto"/>
            <w:noWrap/>
            <w:vAlign w:val="center"/>
            <w:hideMark/>
          </w:tcPr>
          <w:p w:rsidR="001B6113" w:rsidRPr="00A60F1C" w:rsidRDefault="001B6113" w:rsidP="008F2A61">
            <w:pPr>
              <w:spacing w:after="0" w:line="240" w:lineRule="auto"/>
              <w:jc w:val="left"/>
              <w:rPr>
                <w:rFonts w:ascii="Calibri" w:eastAsia="Times New Roman" w:hAnsi="Calibri" w:cs="Calibri"/>
                <w:color w:val="000000"/>
                <w:lang w:eastAsia="tr-TR"/>
              </w:rPr>
            </w:pPr>
            <w:r w:rsidRPr="00A60F1C">
              <w:rPr>
                <w:rFonts w:ascii="Calibri" w:eastAsia="Times New Roman" w:hAnsi="Calibri" w:cs="Calibri"/>
                <w:color w:val="000000"/>
                <w:lang w:eastAsia="tr-TR"/>
              </w:rPr>
              <w:t>Bahçeşehir Gaz Dağıtım Anonim Şirketi</w:t>
            </w:r>
          </w:p>
        </w:tc>
        <w:tc>
          <w:tcPr>
            <w:tcW w:w="1144" w:type="dxa"/>
            <w:tcBorders>
              <w:top w:val="nil"/>
              <w:left w:val="nil"/>
              <w:bottom w:val="single" w:sz="4" w:space="0" w:color="auto"/>
              <w:right w:val="single" w:sz="4" w:space="0" w:color="auto"/>
            </w:tcBorders>
            <w:shd w:val="clear" w:color="auto" w:fill="auto"/>
            <w:vAlign w:val="center"/>
            <w:hideMark/>
          </w:tcPr>
          <w:p w:rsidR="001B6113" w:rsidRPr="00BD7921" w:rsidRDefault="001B6113" w:rsidP="008F2A61">
            <w:pPr>
              <w:spacing w:after="0" w:line="240" w:lineRule="auto"/>
              <w:jc w:val="center"/>
              <w:rPr>
                <w:rFonts w:ascii="Times New Roman" w:eastAsia="Times New Roman" w:hAnsi="Times New Roman"/>
                <w:color w:val="000000"/>
                <w:sz w:val="20"/>
                <w:szCs w:val="20"/>
                <w:lang w:eastAsia="tr-TR"/>
              </w:rPr>
            </w:pPr>
            <w:r w:rsidRPr="00BD7921">
              <w:rPr>
                <w:rFonts w:ascii="Times New Roman" w:eastAsia="Times New Roman" w:hAnsi="Times New Roman"/>
                <w:color w:val="000000"/>
                <w:sz w:val="20"/>
                <w:szCs w:val="20"/>
                <w:lang w:eastAsia="tr-TR"/>
              </w:rPr>
              <w:t>19.11.2022</w:t>
            </w:r>
          </w:p>
        </w:tc>
        <w:tc>
          <w:tcPr>
            <w:tcW w:w="936" w:type="dxa"/>
            <w:tcBorders>
              <w:top w:val="nil"/>
              <w:left w:val="nil"/>
              <w:bottom w:val="single" w:sz="4" w:space="0" w:color="auto"/>
              <w:right w:val="single" w:sz="4" w:space="0" w:color="auto"/>
            </w:tcBorders>
            <w:shd w:val="clear" w:color="auto" w:fill="auto"/>
            <w:vAlign w:val="center"/>
            <w:hideMark/>
          </w:tcPr>
          <w:p w:rsidR="001B6113" w:rsidRPr="00BD7921" w:rsidRDefault="001B6113" w:rsidP="008F2A61">
            <w:pPr>
              <w:spacing w:after="0" w:line="240" w:lineRule="auto"/>
              <w:jc w:val="center"/>
              <w:rPr>
                <w:rFonts w:ascii="Times New Roman" w:eastAsia="Times New Roman" w:hAnsi="Times New Roman"/>
                <w:color w:val="000000"/>
                <w:sz w:val="20"/>
                <w:szCs w:val="20"/>
                <w:lang w:eastAsia="tr-TR"/>
              </w:rPr>
            </w:pPr>
            <w:r w:rsidRPr="00BD7921">
              <w:rPr>
                <w:rFonts w:ascii="Times New Roman" w:eastAsia="Times New Roman" w:hAnsi="Times New Roman"/>
                <w:color w:val="000000"/>
                <w:sz w:val="20"/>
                <w:szCs w:val="20"/>
                <w:lang w:eastAsia="tr-TR"/>
              </w:rPr>
              <w:t>32018</w:t>
            </w:r>
          </w:p>
        </w:tc>
        <w:tc>
          <w:tcPr>
            <w:tcW w:w="2785" w:type="dxa"/>
            <w:tcBorders>
              <w:top w:val="nil"/>
              <w:left w:val="nil"/>
              <w:bottom w:val="single" w:sz="4" w:space="0" w:color="auto"/>
              <w:right w:val="single" w:sz="4" w:space="0" w:color="auto"/>
            </w:tcBorders>
            <w:shd w:val="clear" w:color="auto" w:fill="auto"/>
            <w:noWrap/>
            <w:vAlign w:val="center"/>
            <w:hideMark/>
          </w:tcPr>
          <w:p w:rsidR="001B6113" w:rsidRPr="00BD7921" w:rsidRDefault="001B6113" w:rsidP="008F2A61">
            <w:pPr>
              <w:spacing w:after="0" w:line="240" w:lineRule="auto"/>
              <w:rPr>
                <w:rFonts w:ascii="Times New Roman" w:eastAsia="Times New Roman" w:hAnsi="Times New Roman"/>
                <w:color w:val="000000"/>
                <w:sz w:val="20"/>
                <w:szCs w:val="20"/>
                <w:lang w:eastAsia="tr-TR"/>
              </w:rPr>
            </w:pPr>
            <w:r w:rsidRPr="00BD7921">
              <w:rPr>
                <w:rFonts w:ascii="Times New Roman" w:eastAsia="Times New Roman" w:hAnsi="Times New Roman"/>
                <w:color w:val="000000"/>
                <w:sz w:val="20"/>
                <w:szCs w:val="20"/>
                <w:lang w:eastAsia="tr-TR"/>
              </w:rPr>
              <w:t>2022-2026 Tarife Uygulama Dönemi Perakende Satış Tarifelerinin Belirlenmesi</w:t>
            </w:r>
          </w:p>
        </w:tc>
      </w:tr>
      <w:tr w:rsidR="001B6113" w:rsidRPr="00BD7921" w:rsidTr="000E2647">
        <w:trPr>
          <w:trHeight w:val="528"/>
        </w:trPr>
        <w:tc>
          <w:tcPr>
            <w:tcW w:w="5200" w:type="dxa"/>
            <w:tcBorders>
              <w:top w:val="nil"/>
              <w:left w:val="single" w:sz="4" w:space="0" w:color="auto"/>
              <w:bottom w:val="single" w:sz="4" w:space="0" w:color="auto"/>
              <w:right w:val="single" w:sz="4" w:space="0" w:color="auto"/>
            </w:tcBorders>
            <w:shd w:val="clear" w:color="auto" w:fill="auto"/>
            <w:noWrap/>
            <w:vAlign w:val="center"/>
            <w:hideMark/>
          </w:tcPr>
          <w:p w:rsidR="001B6113" w:rsidRPr="00A60F1C" w:rsidRDefault="001B6113" w:rsidP="008F2A61">
            <w:pPr>
              <w:spacing w:after="0" w:line="240" w:lineRule="auto"/>
              <w:jc w:val="left"/>
              <w:rPr>
                <w:rFonts w:ascii="Calibri" w:eastAsia="Times New Roman" w:hAnsi="Calibri" w:cs="Calibri"/>
                <w:color w:val="000000"/>
                <w:lang w:eastAsia="tr-TR"/>
              </w:rPr>
            </w:pPr>
            <w:r w:rsidRPr="00A60F1C">
              <w:rPr>
                <w:rFonts w:ascii="Calibri" w:eastAsia="Times New Roman" w:hAnsi="Calibri" w:cs="Calibri"/>
                <w:color w:val="000000"/>
                <w:lang w:eastAsia="tr-TR"/>
              </w:rPr>
              <w:t>İgdaş İstanbul Gaz Dağıtım Sanayi ve Ticaret Anonim Şirketi</w:t>
            </w:r>
          </w:p>
        </w:tc>
        <w:tc>
          <w:tcPr>
            <w:tcW w:w="1144" w:type="dxa"/>
            <w:tcBorders>
              <w:top w:val="nil"/>
              <w:left w:val="nil"/>
              <w:bottom w:val="single" w:sz="4" w:space="0" w:color="auto"/>
              <w:right w:val="single" w:sz="4" w:space="0" w:color="auto"/>
            </w:tcBorders>
            <w:shd w:val="clear" w:color="auto" w:fill="auto"/>
            <w:vAlign w:val="center"/>
            <w:hideMark/>
          </w:tcPr>
          <w:p w:rsidR="001B6113" w:rsidRPr="00BD7921" w:rsidRDefault="001B6113" w:rsidP="008F2A61">
            <w:pPr>
              <w:spacing w:after="0" w:line="240" w:lineRule="auto"/>
              <w:jc w:val="center"/>
              <w:rPr>
                <w:rFonts w:ascii="Times New Roman" w:eastAsia="Times New Roman" w:hAnsi="Times New Roman"/>
                <w:color w:val="000000"/>
                <w:sz w:val="20"/>
                <w:szCs w:val="20"/>
                <w:lang w:eastAsia="tr-TR"/>
              </w:rPr>
            </w:pPr>
            <w:r w:rsidRPr="00BD7921">
              <w:rPr>
                <w:rFonts w:ascii="Times New Roman" w:eastAsia="Times New Roman" w:hAnsi="Times New Roman"/>
                <w:color w:val="000000"/>
                <w:sz w:val="20"/>
                <w:szCs w:val="20"/>
                <w:lang w:eastAsia="tr-TR"/>
              </w:rPr>
              <w:t>30.12.2022</w:t>
            </w:r>
          </w:p>
        </w:tc>
        <w:tc>
          <w:tcPr>
            <w:tcW w:w="936" w:type="dxa"/>
            <w:tcBorders>
              <w:top w:val="nil"/>
              <w:left w:val="nil"/>
              <w:bottom w:val="single" w:sz="4" w:space="0" w:color="auto"/>
              <w:right w:val="single" w:sz="4" w:space="0" w:color="auto"/>
            </w:tcBorders>
            <w:shd w:val="clear" w:color="auto" w:fill="auto"/>
            <w:vAlign w:val="center"/>
            <w:hideMark/>
          </w:tcPr>
          <w:p w:rsidR="001B6113" w:rsidRPr="00BD7921" w:rsidRDefault="001B6113" w:rsidP="008F2A61">
            <w:pPr>
              <w:spacing w:after="0" w:line="240" w:lineRule="auto"/>
              <w:jc w:val="center"/>
              <w:rPr>
                <w:rFonts w:ascii="Times New Roman" w:eastAsia="Times New Roman" w:hAnsi="Times New Roman"/>
                <w:color w:val="000000"/>
                <w:sz w:val="20"/>
                <w:szCs w:val="20"/>
                <w:lang w:eastAsia="tr-TR"/>
              </w:rPr>
            </w:pPr>
            <w:r w:rsidRPr="00BD7921">
              <w:rPr>
                <w:rFonts w:ascii="Times New Roman" w:eastAsia="Times New Roman" w:hAnsi="Times New Roman"/>
                <w:color w:val="000000"/>
                <w:sz w:val="20"/>
                <w:szCs w:val="20"/>
                <w:lang w:eastAsia="tr-TR"/>
              </w:rPr>
              <w:t>32059</w:t>
            </w:r>
          </w:p>
        </w:tc>
        <w:tc>
          <w:tcPr>
            <w:tcW w:w="2785" w:type="dxa"/>
            <w:tcBorders>
              <w:top w:val="nil"/>
              <w:left w:val="nil"/>
              <w:bottom w:val="single" w:sz="4" w:space="0" w:color="auto"/>
              <w:right w:val="single" w:sz="4" w:space="0" w:color="auto"/>
            </w:tcBorders>
            <w:shd w:val="clear" w:color="auto" w:fill="auto"/>
            <w:noWrap/>
            <w:vAlign w:val="center"/>
            <w:hideMark/>
          </w:tcPr>
          <w:p w:rsidR="001B6113" w:rsidRPr="00BD7921" w:rsidRDefault="001B6113" w:rsidP="008F2A61">
            <w:pPr>
              <w:spacing w:after="0" w:line="240" w:lineRule="auto"/>
              <w:rPr>
                <w:rFonts w:ascii="Times New Roman" w:eastAsia="Times New Roman" w:hAnsi="Times New Roman"/>
                <w:color w:val="000000"/>
                <w:sz w:val="20"/>
                <w:szCs w:val="20"/>
                <w:lang w:eastAsia="tr-TR"/>
              </w:rPr>
            </w:pPr>
            <w:r w:rsidRPr="00BD7921">
              <w:rPr>
                <w:rFonts w:ascii="Times New Roman" w:eastAsia="Times New Roman" w:hAnsi="Times New Roman"/>
                <w:color w:val="000000"/>
                <w:sz w:val="20"/>
                <w:szCs w:val="20"/>
                <w:lang w:eastAsia="tr-TR"/>
              </w:rPr>
              <w:t>2022-2026 Tarife Uygulama Dönemi Perakende Satış Tarifelerinin Belirlenmesi</w:t>
            </w:r>
          </w:p>
        </w:tc>
      </w:tr>
    </w:tbl>
    <w:p w:rsidR="008A2954" w:rsidRPr="00801036" w:rsidRDefault="002C3099" w:rsidP="000A5A56">
      <w:pPr>
        <w:pStyle w:val="Balk3"/>
        <w:numPr>
          <w:ilvl w:val="2"/>
          <w:numId w:val="11"/>
        </w:numPr>
        <w:spacing w:after="240"/>
        <w:rPr>
          <w:rFonts w:asciiTheme="minorHAnsi" w:eastAsia="Times New Roman" w:hAnsiTheme="minorHAnsi" w:cs="Times New Roman"/>
          <w:color w:val="000000" w:themeColor="text1"/>
        </w:rPr>
      </w:pPr>
      <w:bookmarkStart w:id="300" w:name="_Toc66267390"/>
      <w:bookmarkStart w:id="301" w:name="_Toc132713822"/>
      <w:r>
        <w:rPr>
          <w:rFonts w:asciiTheme="minorHAnsi" w:eastAsia="Times New Roman" w:hAnsiTheme="minorHAnsi" w:cs="Times New Roman"/>
          <w:color w:val="000000" w:themeColor="text1"/>
        </w:rPr>
        <w:t>Doğal Gaz Piyasası ile İlgili Alınan Diğer Tarife Kurul Kararları</w:t>
      </w:r>
      <w:bookmarkEnd w:id="300"/>
      <w:bookmarkEnd w:id="301"/>
    </w:p>
    <w:p w:rsidR="000C6581" w:rsidRDefault="000C6581" w:rsidP="000A5A56">
      <w:pPr>
        <w:pStyle w:val="ListeParagraf"/>
        <w:numPr>
          <w:ilvl w:val="0"/>
          <w:numId w:val="34"/>
        </w:numPr>
        <w:tabs>
          <w:tab w:val="left" w:pos="708"/>
        </w:tabs>
        <w:suppressAutoHyphens/>
        <w:spacing w:after="160" w:line="259" w:lineRule="auto"/>
        <w:rPr>
          <w:rFonts w:cstheme="minorHAnsi"/>
        </w:rPr>
      </w:pPr>
      <w:bookmarkStart w:id="302" w:name="_Hlk94658823"/>
      <w:r w:rsidRPr="000C6581">
        <w:rPr>
          <w:rFonts w:cstheme="minorHAnsi"/>
        </w:rPr>
        <w:t xml:space="preserve">12.02.2022 tarihli ve 31748 sayılı Resmî </w:t>
      </w:r>
      <w:r w:rsidR="00274939">
        <w:rPr>
          <w:rFonts w:cstheme="minorHAnsi"/>
        </w:rPr>
        <w:t>Gazetede</w:t>
      </w:r>
      <w:r w:rsidRPr="000C6581">
        <w:rPr>
          <w:rFonts w:cstheme="minorHAnsi"/>
        </w:rPr>
        <w:t xml:space="preserve"> yayımlanan 10.02.2022 tarihli ve 10785 sayılı Kurul Kararı ile 13.03.2021 tarih ve 31422 sayılı Resmî </w:t>
      </w:r>
      <w:r w:rsidR="00274939">
        <w:rPr>
          <w:rFonts w:cstheme="minorHAnsi"/>
        </w:rPr>
        <w:t>Gazetede</w:t>
      </w:r>
      <w:r w:rsidRPr="000C6581">
        <w:rPr>
          <w:rFonts w:cstheme="minorHAnsi"/>
        </w:rPr>
        <w:t xml:space="preserve"> yayımlanarak yürürlüğe giren 11.03.2021 </w:t>
      </w:r>
      <w:r w:rsidRPr="000C6581">
        <w:rPr>
          <w:rFonts w:cstheme="minorHAnsi"/>
        </w:rPr>
        <w:lastRenderedPageBreak/>
        <w:t xml:space="preserve">tarih ve 10073 sayılı Kurul Kararının 1 inci maddesindeki “1.151.067.750 TL’”lik 2021 yılı iletim şebekesi yatırım tavanı tutarı </w:t>
      </w:r>
      <w:r w:rsidRPr="000C6581">
        <w:rPr>
          <w:rFonts w:cstheme="minorHAnsi"/>
          <w:b/>
        </w:rPr>
        <w:t>“1.366.375.300 TL”</w:t>
      </w:r>
      <w:r w:rsidRPr="000C6581">
        <w:rPr>
          <w:rFonts w:cstheme="minorHAnsi"/>
        </w:rPr>
        <w:t xml:space="preserve"> olarak değiştirilmiştir.</w:t>
      </w:r>
    </w:p>
    <w:p w:rsidR="000C6581" w:rsidRDefault="000C6581" w:rsidP="000C6581">
      <w:pPr>
        <w:pStyle w:val="ListeParagraf"/>
        <w:tabs>
          <w:tab w:val="left" w:pos="708"/>
        </w:tabs>
        <w:suppressAutoHyphens/>
        <w:spacing w:after="160" w:line="259" w:lineRule="auto"/>
        <w:ind w:left="770"/>
        <w:rPr>
          <w:rFonts w:cstheme="minorHAnsi"/>
        </w:rPr>
      </w:pPr>
    </w:p>
    <w:p w:rsidR="000C6581" w:rsidRDefault="000C6581" w:rsidP="000A5A56">
      <w:pPr>
        <w:pStyle w:val="ListeParagraf"/>
        <w:numPr>
          <w:ilvl w:val="0"/>
          <w:numId w:val="34"/>
        </w:numPr>
        <w:spacing w:after="160" w:line="259" w:lineRule="auto"/>
      </w:pPr>
      <w:bookmarkStart w:id="303" w:name="_Hlk115901435"/>
      <w:r>
        <w:t xml:space="preserve">12.03.2022 tarihli ve 31776 sayılı Resmî </w:t>
      </w:r>
      <w:r w:rsidR="00274939">
        <w:t>Gazetede</w:t>
      </w:r>
      <w:r>
        <w:t xml:space="preserve"> yayımlanan 10.03.2022 tarihli ve 10841 sayılı Kurul Kararı ile </w:t>
      </w:r>
      <w:bookmarkEnd w:id="303"/>
      <w:r w:rsidRPr="002D6C6E">
        <w:t xml:space="preserve">4646 sayılı Doğal Gaz Piyasası Kanunu'nun 4 üncü maddesinin dördüncü fıkrasının (c) bendinin sekizinci alt bendi ile Doğal Gaz Piyasası Lisans Yönetmeliği’nin 22 nci maddesi uyarınca, Boru Hatları ile Petrol Taşıma A.Ş.'nin (BOTAŞ) transit doğal gaz iletimi dâhil, 2022 Yılı Doğal Gaz İletim Şebekesi Yatırım Programının onaylanmasına ilişkin </w:t>
      </w:r>
      <w:r w:rsidR="00ED45DF">
        <w:t>k</w:t>
      </w:r>
      <w:r w:rsidRPr="002D6C6E">
        <w:t>arar alınmıştır.</w:t>
      </w:r>
    </w:p>
    <w:p w:rsidR="000D0E03" w:rsidRDefault="000D0E03" w:rsidP="000D0E03">
      <w:pPr>
        <w:pStyle w:val="ListeParagraf"/>
      </w:pPr>
    </w:p>
    <w:p w:rsidR="000D0E03" w:rsidRDefault="000D0E03" w:rsidP="000A5A56">
      <w:pPr>
        <w:pStyle w:val="ListeParagraf"/>
        <w:numPr>
          <w:ilvl w:val="0"/>
          <w:numId w:val="8"/>
        </w:numPr>
        <w:spacing w:after="160" w:line="259" w:lineRule="auto"/>
      </w:pPr>
      <w:bookmarkStart w:id="304" w:name="_Hlk115905555"/>
      <w:r>
        <w:t xml:space="preserve">26.03.2022 tarihli ve 31790 sayılı Resmî </w:t>
      </w:r>
      <w:r w:rsidR="00274939">
        <w:t>Gazetede</w:t>
      </w:r>
      <w:r>
        <w:t xml:space="preserve"> yayımlanan 24.03.2022 tarihli ve 10881 sayılı Kurul Kararı ile </w:t>
      </w:r>
      <w:bookmarkEnd w:id="304"/>
      <w:r>
        <w:t xml:space="preserve">23/03/2017 tarihli ve 6990 sayılı Kurul Kararı ile kabul edilen “Yer altı Doğal Gaz Depolama Şirketleri için Tarife Hesaplama Usul ve Esasları” çerçevesinde Boru Hatları ile Petrol Taşıma Anonim Şirketi’ne ait 27.06.2007 tarihli ve DEP/1238-6/155 numaralı yer altı depolama lisanslı Tuz Gölü Doğal Gaz Yer Altı Depolama </w:t>
      </w:r>
      <w:r w:rsidR="00274939">
        <w:t>Tesisinin</w:t>
      </w:r>
      <w:r>
        <w:t xml:space="preserve"> ve 01/09/2016 tarihli ve DEP/6457- 3/402 numaralı yer altı depolama lisanslı Silivri Yer Altı Doğal Gaz Depolama </w:t>
      </w:r>
      <w:r w:rsidR="00274939">
        <w:t>Tesisinin</w:t>
      </w:r>
      <w:r>
        <w:t xml:space="preserve"> 2022- 2023 tarife uygulama dönemine ilişkin depolama tarifelerine yönelik karar verilmiştir.</w:t>
      </w:r>
    </w:p>
    <w:p w:rsidR="00ED45DF" w:rsidRDefault="00ED45DF" w:rsidP="00ED45DF">
      <w:pPr>
        <w:pStyle w:val="ListeParagraf"/>
        <w:tabs>
          <w:tab w:val="left" w:pos="708"/>
        </w:tabs>
        <w:suppressAutoHyphens/>
        <w:spacing w:after="160" w:line="259" w:lineRule="auto"/>
        <w:ind w:left="770"/>
        <w:rPr>
          <w:rFonts w:eastAsia="Times New Roman" w:cstheme="minorHAnsi"/>
          <w:lang w:eastAsia="tr-TR"/>
        </w:rPr>
      </w:pPr>
    </w:p>
    <w:p w:rsidR="00ED45DF" w:rsidRDefault="00ED45DF" w:rsidP="000A5A56">
      <w:pPr>
        <w:pStyle w:val="ListeParagraf"/>
        <w:numPr>
          <w:ilvl w:val="0"/>
          <w:numId w:val="8"/>
        </w:numPr>
        <w:spacing w:after="160" w:line="259" w:lineRule="auto"/>
      </w:pPr>
      <w:r>
        <w:t xml:space="preserve">27.05.2022 tarihli ve 31848 sayılı Resmî </w:t>
      </w:r>
      <w:r w:rsidR="00274939">
        <w:t>Gazetede</w:t>
      </w:r>
      <w:r>
        <w:t xml:space="preserve"> yayımlanan 26.05.2022 tarihli ve 10990 sayılı Kurul Kararı ile </w:t>
      </w:r>
      <w:r w:rsidRPr="00AA6AAD">
        <w:t xml:space="preserve">4628 sayılı Enerji Piyasası Düzenleme Kurumunun Teşkilat ve Görevleri Hakkında Kanun’un 5/A maddesinin (f) bendi ile Ek 2 nci maddesi, 4646 sayılı Doğal Gaz Piyasası Kanunu’nun 11 inci maddesi, Doğal Gaz Piyasası Lisans Yönetmeliğinin 28 inci ve 31 inci maddeleri, Doğal Gaz Piyasası Tarifeler Yönetmeliği’nin 8 inci ve 15 inci maddeleri ile 7139 sayılı Enerji Piyasası Düzenleme Kurulu Kararı ile belirlenen Doğal Gaz Dağıtım Şirketleri İçin Tarife Hesaplama Usul ve Esaslarının (Metodoloji) 9 uncu maddesi uyarınca, doğal gaz dağıtım şirketlerinin üçüncü tarife uygulama dönemi tarife hesaplamalarında gerçekleşen yatırımların maliyet analizine yönelik </w:t>
      </w:r>
      <w:r w:rsidR="00971DB4">
        <w:t>k</w:t>
      </w:r>
      <w:r w:rsidRPr="00AA6AAD">
        <w:t>arar alınmıştır.</w:t>
      </w:r>
    </w:p>
    <w:p w:rsidR="00ED45DF" w:rsidRDefault="00ED45DF" w:rsidP="00ED45DF">
      <w:pPr>
        <w:pStyle w:val="ListeParagraf"/>
        <w:spacing w:after="160" w:line="259" w:lineRule="auto"/>
      </w:pPr>
    </w:p>
    <w:p w:rsidR="00ED45DF" w:rsidRPr="00971DB4" w:rsidRDefault="00ED45DF" w:rsidP="00A60F1C">
      <w:pPr>
        <w:pStyle w:val="ListeParagraf"/>
        <w:numPr>
          <w:ilvl w:val="0"/>
          <w:numId w:val="8"/>
        </w:numPr>
        <w:spacing w:after="160" w:line="259" w:lineRule="auto"/>
      </w:pPr>
      <w:r>
        <w:t>2</w:t>
      </w:r>
      <w:r w:rsidR="00971DB4">
        <w:t>9</w:t>
      </w:r>
      <w:r>
        <w:t>.0</w:t>
      </w:r>
      <w:r w:rsidR="00971DB4">
        <w:t>6</w:t>
      </w:r>
      <w:r>
        <w:t xml:space="preserve">.2022 tarihli ve </w:t>
      </w:r>
      <w:r w:rsidR="00971DB4">
        <w:t>31881</w:t>
      </w:r>
      <w:r>
        <w:t xml:space="preserve"> sayılı Resmî </w:t>
      </w:r>
      <w:r w:rsidR="00274939">
        <w:t>Gazetede</w:t>
      </w:r>
      <w:r>
        <w:t xml:space="preserve"> yayımlanan 2</w:t>
      </w:r>
      <w:r w:rsidR="00971DB4">
        <w:t>3</w:t>
      </w:r>
      <w:r>
        <w:t>.0</w:t>
      </w:r>
      <w:r w:rsidR="00971DB4">
        <w:t>6</w:t>
      </w:r>
      <w:r>
        <w:t>.2022 tarihli ve 1</w:t>
      </w:r>
      <w:r w:rsidR="00971DB4">
        <w:t>1037</w:t>
      </w:r>
      <w:r>
        <w:t xml:space="preserve"> sayılı Kurul Kararı ile </w:t>
      </w:r>
      <w:r w:rsidR="00971DB4" w:rsidRPr="00971DB4">
        <w:t>Doğal Gaz Dağıtım Şirketleri İçin Tarife Hesaplama Usul ve Esasların</w:t>
      </w:r>
      <w:r w:rsidR="00971DB4">
        <w:t>ın</w:t>
      </w:r>
      <w:r w:rsidR="00A60F1C">
        <w:t xml:space="preserve"> </w:t>
      </w:r>
      <w:r w:rsidR="00971DB4" w:rsidRPr="00971DB4">
        <w:t>16 ncı maddesinin beşinci fıkrasının (b) bendi yürürlükten kaldırılmıştır.</w:t>
      </w:r>
    </w:p>
    <w:p w:rsidR="00ED45DF" w:rsidRDefault="00ED45DF" w:rsidP="00ED45DF">
      <w:pPr>
        <w:pStyle w:val="ListeParagraf"/>
        <w:tabs>
          <w:tab w:val="left" w:pos="708"/>
        </w:tabs>
        <w:suppressAutoHyphens/>
        <w:spacing w:after="160" w:line="259" w:lineRule="auto"/>
        <w:ind w:left="770"/>
        <w:rPr>
          <w:rFonts w:eastAsia="Times New Roman" w:cstheme="minorHAnsi"/>
          <w:lang w:eastAsia="tr-TR"/>
        </w:rPr>
      </w:pPr>
    </w:p>
    <w:p w:rsidR="00971DB4" w:rsidRDefault="00971DB4" w:rsidP="000A5A56">
      <w:pPr>
        <w:pStyle w:val="ListeParagraf"/>
        <w:numPr>
          <w:ilvl w:val="0"/>
          <w:numId w:val="8"/>
        </w:numPr>
        <w:spacing w:after="160" w:line="259" w:lineRule="auto"/>
      </w:pPr>
      <w:r>
        <w:t xml:space="preserve">29.06.2022 tarihli ve 31881 sayılı Resmî </w:t>
      </w:r>
      <w:r w:rsidR="00274939">
        <w:t>Gazetede</w:t>
      </w:r>
      <w:r>
        <w:t xml:space="preserve"> yayımlanan 23.06.2022 tarihli ve 11038 sayılı Kurul Kararı ile </w:t>
      </w:r>
      <w:r w:rsidRPr="00971DB4">
        <w:t>Doğal Gaz Dağıtım Şirketleri İçin Tarife Hesaplama Usul ve Esasları (Metodoloji) uyarınca, doğal gaz dağıtım şirketlerinin üçüncü tarife uygulama dönemi tarife hesaplamalarında işletme gideri bileşeninin belirlenmesine yönelik</w:t>
      </w:r>
      <w:r w:rsidRPr="002D6C6E">
        <w:t xml:space="preserve"> </w:t>
      </w:r>
      <w:r>
        <w:t>k</w:t>
      </w:r>
      <w:r w:rsidRPr="002D6C6E">
        <w:t>arar alınmıştır.</w:t>
      </w:r>
    </w:p>
    <w:p w:rsidR="000D0E03" w:rsidRDefault="000D0E03" w:rsidP="000D0E03">
      <w:pPr>
        <w:pStyle w:val="ListeParagraf"/>
        <w:spacing w:after="160" w:line="259" w:lineRule="auto"/>
      </w:pPr>
    </w:p>
    <w:p w:rsidR="000D0E03" w:rsidRPr="00971DB4" w:rsidRDefault="000D0E03" w:rsidP="000A5A56">
      <w:pPr>
        <w:pStyle w:val="ListeParagraf"/>
        <w:numPr>
          <w:ilvl w:val="0"/>
          <w:numId w:val="8"/>
        </w:numPr>
        <w:spacing w:after="160" w:line="259" w:lineRule="auto"/>
      </w:pPr>
      <w:r>
        <w:t xml:space="preserve">01.07.2022 tarihli ve 31883 sayılı Resmî </w:t>
      </w:r>
      <w:r w:rsidR="00274939">
        <w:t>Gazetede</w:t>
      </w:r>
      <w:r>
        <w:t xml:space="preserve"> yayımlanan 30.06.2022 tarihli ve 11048 sayılı Kurul Kararı ile </w:t>
      </w:r>
      <w:r w:rsidRPr="000D0E03">
        <w:t>doğal gaz dağıtım şirketlerinin uygulayacakları sistem kullanım bedellerinin hesaplanmasında, üçüncü tarife uygulama döneminin 2022-2026 yılları için reel makul getiri oranının %13,25 (vergi öncesi), düzeltilmiş reel makul getiri oranının %12,427 (vergi öncesi) olarak dikkate alınmasına</w:t>
      </w:r>
      <w:r>
        <w:t xml:space="preserve"> k</w:t>
      </w:r>
      <w:r w:rsidRPr="002D6C6E">
        <w:t xml:space="preserve">arar </w:t>
      </w:r>
      <w:r>
        <w:t>verilmiştir</w:t>
      </w:r>
      <w:r w:rsidRPr="002D6C6E">
        <w:t>.</w:t>
      </w:r>
    </w:p>
    <w:p w:rsidR="00971DB4" w:rsidRDefault="00971DB4" w:rsidP="00ED45DF">
      <w:pPr>
        <w:pStyle w:val="ListeParagraf"/>
        <w:tabs>
          <w:tab w:val="left" w:pos="708"/>
        </w:tabs>
        <w:suppressAutoHyphens/>
        <w:spacing w:after="160" w:line="259" w:lineRule="auto"/>
        <w:ind w:left="770"/>
        <w:rPr>
          <w:rFonts w:eastAsia="Times New Roman" w:cstheme="minorHAnsi"/>
          <w:lang w:eastAsia="tr-TR"/>
        </w:rPr>
      </w:pPr>
    </w:p>
    <w:p w:rsidR="000D0E03" w:rsidRDefault="000D0E03" w:rsidP="000A5A56">
      <w:pPr>
        <w:pStyle w:val="ListeParagraf"/>
        <w:numPr>
          <w:ilvl w:val="0"/>
          <w:numId w:val="8"/>
        </w:numPr>
        <w:spacing w:after="160" w:line="259" w:lineRule="auto"/>
      </w:pPr>
      <w:r>
        <w:t xml:space="preserve">22.10.2022 tarihli ve 31991 sayılı Resmî </w:t>
      </w:r>
      <w:r w:rsidR="00274939">
        <w:t>Gazetede</w:t>
      </w:r>
      <w:r>
        <w:t xml:space="preserve"> yayımlanan 20.10.2022 tarihli ve 11317 sayılı Kurul Kararı ile </w:t>
      </w:r>
      <w:r w:rsidRPr="00DA2EFC">
        <w:t>23/6/2022 tarihli ve 11038 sayılı Kurul Kararın</w:t>
      </w:r>
      <w:r>
        <w:t>ın</w:t>
      </w:r>
    </w:p>
    <w:p w:rsidR="000D0E03" w:rsidRPr="00A43E74" w:rsidRDefault="000D0E03" w:rsidP="000D0E03">
      <w:pPr>
        <w:pStyle w:val="ListeParagraf"/>
        <w:ind w:left="1004"/>
        <w:rPr>
          <w:i/>
        </w:rPr>
      </w:pPr>
    </w:p>
    <w:p w:rsidR="000D0E03" w:rsidRDefault="000D0E03" w:rsidP="000A5A56">
      <w:pPr>
        <w:pStyle w:val="ListeParagraf"/>
        <w:numPr>
          <w:ilvl w:val="0"/>
          <w:numId w:val="61"/>
        </w:numPr>
        <w:spacing w:after="160" w:line="259" w:lineRule="auto"/>
      </w:pPr>
      <w:r w:rsidRPr="00DA2EFC">
        <w:t>8 inci maddesinin ikinci fıkrası aşağıdaki şekilde değiştirilmiştir.</w:t>
      </w:r>
    </w:p>
    <w:p w:rsidR="000D0E03" w:rsidRDefault="000D0E03" w:rsidP="000D0E03">
      <w:pPr>
        <w:pStyle w:val="ListeParagraf"/>
      </w:pPr>
    </w:p>
    <w:p w:rsidR="000D0E03" w:rsidRPr="001542D3" w:rsidRDefault="000D0E03" w:rsidP="000D0E03">
      <w:pPr>
        <w:pStyle w:val="ListeParagraf"/>
        <w:ind w:left="1491"/>
        <w:rPr>
          <w:i/>
        </w:rPr>
      </w:pPr>
      <w:r w:rsidRPr="00DA2EFC">
        <w:rPr>
          <w:i/>
        </w:rPr>
        <w:t xml:space="preserve">“(2) Damga Vergisi, periyodik muayene ve sayaç kalibrasyon gideri, ısıtma gazı gideri ve kokulandırma gideri tespitinde esas alınan değişkenlere ait öngörü değerleri ile üçüncü tarife </w:t>
      </w:r>
      <w:r w:rsidRPr="00DA2EFC">
        <w:rPr>
          <w:i/>
        </w:rPr>
        <w:lastRenderedPageBreak/>
        <w:t>uygulama dönemi gerçekleşmelerinin farklı olması halinde, söz konusu farklılıktan kaynaklanan sapmalar bir sonraki tarife uygulama döneminde düzeltilir.”</w:t>
      </w:r>
    </w:p>
    <w:p w:rsidR="000D0E03" w:rsidRDefault="000D0E03" w:rsidP="000D0E03">
      <w:pPr>
        <w:pStyle w:val="ListeParagraf"/>
        <w:tabs>
          <w:tab w:val="left" w:pos="708"/>
        </w:tabs>
        <w:suppressAutoHyphens/>
        <w:spacing w:after="160" w:line="259" w:lineRule="auto"/>
        <w:ind w:left="770"/>
        <w:rPr>
          <w:rFonts w:eastAsia="Times New Roman" w:cstheme="minorHAnsi"/>
          <w:lang w:eastAsia="tr-TR"/>
        </w:rPr>
      </w:pPr>
    </w:p>
    <w:p w:rsidR="000D0E03" w:rsidRDefault="000D0E03" w:rsidP="000A5A56">
      <w:pPr>
        <w:pStyle w:val="ListeParagraf"/>
        <w:numPr>
          <w:ilvl w:val="0"/>
          <w:numId w:val="8"/>
        </w:numPr>
        <w:spacing w:after="160" w:line="259" w:lineRule="auto"/>
      </w:pPr>
      <w:r>
        <w:t xml:space="preserve">24.12.2022 tarihli ve 32053 sayılı Resmî </w:t>
      </w:r>
      <w:r w:rsidR="00274939">
        <w:t>Gazetede</w:t>
      </w:r>
      <w:r>
        <w:t xml:space="preserve"> yayımlanan 2</w:t>
      </w:r>
      <w:r w:rsidR="00477760">
        <w:t>2</w:t>
      </w:r>
      <w:r>
        <w:t>.</w:t>
      </w:r>
      <w:r w:rsidR="00477760">
        <w:t>12</w:t>
      </w:r>
      <w:r>
        <w:t>.2022 tarihli ve 1</w:t>
      </w:r>
      <w:r w:rsidR="00477760">
        <w:t>1485</w:t>
      </w:r>
      <w:r>
        <w:t xml:space="preserve"> sayılı Kurul Kararı ile </w:t>
      </w:r>
      <w:r w:rsidR="00477760" w:rsidRPr="00477760">
        <w:t xml:space="preserve">2023 yılı için “Doğal Gaz Dağıtım Sektörü Bağlantı ve Hizmet Bedellerine İlişkin Usul ve Esaslar”da yer verilen bedellerin belirlenmesine yönelik </w:t>
      </w:r>
      <w:r>
        <w:t>karar verilmiştir.</w:t>
      </w:r>
    </w:p>
    <w:p w:rsidR="000D0E03" w:rsidRDefault="000D0E03" w:rsidP="000D0E03">
      <w:pPr>
        <w:pStyle w:val="ListeParagraf"/>
        <w:tabs>
          <w:tab w:val="left" w:pos="708"/>
        </w:tabs>
        <w:suppressAutoHyphens/>
        <w:spacing w:after="160" w:line="259" w:lineRule="auto"/>
        <w:ind w:left="770"/>
        <w:rPr>
          <w:rFonts w:eastAsia="Times New Roman" w:cstheme="minorHAnsi"/>
          <w:lang w:eastAsia="tr-TR"/>
        </w:rPr>
      </w:pPr>
    </w:p>
    <w:p w:rsidR="00ED45DF" w:rsidRPr="00ED45DF" w:rsidRDefault="00ED45DF" w:rsidP="000A5A56">
      <w:pPr>
        <w:pStyle w:val="ListeParagraf"/>
        <w:numPr>
          <w:ilvl w:val="0"/>
          <w:numId w:val="34"/>
        </w:numPr>
        <w:tabs>
          <w:tab w:val="left" w:pos="708"/>
        </w:tabs>
        <w:suppressAutoHyphens/>
        <w:spacing w:after="160" w:line="259" w:lineRule="auto"/>
        <w:rPr>
          <w:rFonts w:eastAsia="Times New Roman" w:cstheme="minorHAnsi"/>
          <w:lang w:eastAsia="tr-TR"/>
        </w:rPr>
      </w:pPr>
      <w:r>
        <w:rPr>
          <w:rFonts w:eastAsia="Times New Roman" w:cstheme="minorHAnsi"/>
          <w:lang w:eastAsia="tr-TR"/>
        </w:rPr>
        <w:t>30</w:t>
      </w:r>
      <w:r w:rsidRPr="00942F21">
        <w:rPr>
          <w:rFonts w:eastAsia="Times New Roman" w:cstheme="minorHAnsi"/>
          <w:lang w:eastAsia="tr-TR"/>
        </w:rPr>
        <w:t>.</w:t>
      </w:r>
      <w:r>
        <w:rPr>
          <w:rFonts w:eastAsia="Times New Roman" w:cstheme="minorHAnsi"/>
          <w:lang w:eastAsia="tr-TR"/>
        </w:rPr>
        <w:t>1</w:t>
      </w:r>
      <w:r w:rsidRPr="00942F21">
        <w:rPr>
          <w:rFonts w:eastAsia="Times New Roman" w:cstheme="minorHAnsi"/>
          <w:lang w:eastAsia="tr-TR"/>
        </w:rPr>
        <w:t>2.202</w:t>
      </w:r>
      <w:r>
        <w:rPr>
          <w:rFonts w:eastAsia="Times New Roman" w:cstheme="minorHAnsi"/>
          <w:lang w:eastAsia="tr-TR"/>
        </w:rPr>
        <w:t>2</w:t>
      </w:r>
      <w:r w:rsidRPr="00E90379">
        <w:rPr>
          <w:rFonts w:eastAsia="Times New Roman" w:cstheme="minorHAnsi"/>
          <w:lang w:eastAsia="tr-TR"/>
        </w:rPr>
        <w:t xml:space="preserve"> </w:t>
      </w:r>
      <w:r>
        <w:rPr>
          <w:rFonts w:eastAsia="Times New Roman" w:cstheme="minorHAnsi"/>
          <w:lang w:eastAsia="tr-TR"/>
        </w:rPr>
        <w:t>t</w:t>
      </w:r>
      <w:r w:rsidRPr="00E90379">
        <w:rPr>
          <w:rFonts w:eastAsia="Times New Roman" w:cstheme="minorHAnsi"/>
          <w:lang w:eastAsia="tr-TR"/>
        </w:rPr>
        <w:t>arihli ve 3</w:t>
      </w:r>
      <w:r>
        <w:rPr>
          <w:rFonts w:eastAsia="Times New Roman" w:cstheme="minorHAnsi"/>
          <w:lang w:eastAsia="tr-TR"/>
        </w:rPr>
        <w:t>2059</w:t>
      </w:r>
      <w:r w:rsidRPr="00E90379">
        <w:rPr>
          <w:rFonts w:eastAsia="Times New Roman" w:cstheme="minorHAnsi"/>
          <w:lang w:eastAsia="tr-TR"/>
        </w:rPr>
        <w:t xml:space="preserve"> Sayılı Resmî </w:t>
      </w:r>
      <w:r w:rsidR="00274939">
        <w:rPr>
          <w:rFonts w:eastAsia="Times New Roman" w:cstheme="minorHAnsi"/>
          <w:lang w:eastAsia="tr-TR"/>
        </w:rPr>
        <w:t>Gazetede</w:t>
      </w:r>
      <w:r w:rsidRPr="00E90379">
        <w:rPr>
          <w:rFonts w:eastAsia="Times New Roman" w:cstheme="minorHAnsi"/>
          <w:lang w:eastAsia="tr-TR"/>
        </w:rPr>
        <w:t xml:space="preserve"> yayımlanan </w:t>
      </w:r>
      <w:r>
        <w:rPr>
          <w:rFonts w:eastAsia="Times New Roman" w:cstheme="minorHAnsi"/>
          <w:lang w:eastAsia="tr-TR"/>
        </w:rPr>
        <w:t>29</w:t>
      </w:r>
      <w:r>
        <w:rPr>
          <w:rFonts w:cstheme="minorHAnsi"/>
        </w:rPr>
        <w:t>.1</w:t>
      </w:r>
      <w:r w:rsidRPr="00E90379">
        <w:rPr>
          <w:rFonts w:cstheme="minorHAnsi"/>
        </w:rPr>
        <w:t>2</w:t>
      </w:r>
      <w:r>
        <w:rPr>
          <w:rFonts w:cstheme="minorHAnsi"/>
        </w:rPr>
        <w:t>.</w:t>
      </w:r>
      <w:r w:rsidRPr="00E90379">
        <w:rPr>
          <w:rFonts w:cstheme="minorHAnsi"/>
        </w:rPr>
        <w:t>202</w:t>
      </w:r>
      <w:r>
        <w:rPr>
          <w:rFonts w:cstheme="minorHAnsi"/>
        </w:rPr>
        <w:t>2</w:t>
      </w:r>
      <w:r w:rsidRPr="00E90379">
        <w:rPr>
          <w:rFonts w:cstheme="minorHAnsi"/>
        </w:rPr>
        <w:t xml:space="preserve"> tarihli ve 1</w:t>
      </w:r>
      <w:r>
        <w:rPr>
          <w:rFonts w:cstheme="minorHAnsi"/>
        </w:rPr>
        <w:t>1521</w:t>
      </w:r>
      <w:r w:rsidRPr="00E90379">
        <w:rPr>
          <w:rFonts w:cstheme="minorHAnsi"/>
        </w:rPr>
        <w:t xml:space="preserve"> sayılı </w:t>
      </w:r>
      <w:r>
        <w:rPr>
          <w:rFonts w:cstheme="minorHAnsi"/>
        </w:rPr>
        <w:t xml:space="preserve">Kurul kararı </w:t>
      </w:r>
      <w:r w:rsidRPr="00ED45DF">
        <w:rPr>
          <w:rFonts w:cstheme="minorHAnsi"/>
        </w:rPr>
        <w:t xml:space="preserve">ile </w:t>
      </w:r>
      <w:r w:rsidRPr="00ED45DF">
        <w:rPr>
          <w:rFonts w:eastAsia="Times New Roman" w:cstheme="minorHAnsi"/>
          <w:lang w:eastAsia="tr-TR"/>
        </w:rPr>
        <w:t xml:space="preserve">03/10/2013 tarihli ve 4638-1 sayılı Kurul Kararı ile kabul edilen </w:t>
      </w:r>
      <w:r w:rsidRPr="00ED45DF">
        <w:rPr>
          <w:rFonts w:eastAsia="Times New Roman" w:cstheme="minorHAnsi"/>
          <w:i/>
          <w:lang w:eastAsia="tr-TR"/>
        </w:rPr>
        <w:t>“Doğal Gaz İletim Lisansı Sahibi Şirketlerin Tarifelerine Esas Gelir Tavanlarının Belirlenmesine İlişkin Usul ve Esaslar”</w:t>
      </w:r>
      <w:r w:rsidRPr="00ED45DF">
        <w:rPr>
          <w:rFonts w:eastAsia="Times New Roman" w:cstheme="minorHAnsi"/>
          <w:lang w:eastAsia="tr-TR"/>
        </w:rPr>
        <w:t xml:space="preserve"> çerçevesinde </w:t>
      </w:r>
      <w:r w:rsidRPr="00ED45DF">
        <w:rPr>
          <w:rFonts w:eastAsia="Times New Roman" w:cstheme="minorHAnsi"/>
          <w:color w:val="000000"/>
          <w:lang w:eastAsia="tr-TR"/>
        </w:rPr>
        <w:t xml:space="preserve">23/05/2003 tarihli ve DİL/148-17/021 numaralı iletim lisansı sahibi </w:t>
      </w:r>
      <w:r w:rsidRPr="00ED45DF">
        <w:rPr>
          <w:rFonts w:eastAsia="Times New Roman" w:cstheme="minorHAnsi"/>
          <w:b/>
          <w:bCs/>
          <w:color w:val="000000"/>
          <w:lang w:eastAsia="tr-TR"/>
        </w:rPr>
        <w:t>Boru Hatları İle Petrol Taşıma Anonim Şirketi</w:t>
      </w:r>
      <w:r w:rsidRPr="00ED45DF">
        <w:rPr>
          <w:rFonts w:eastAsia="Times New Roman" w:cstheme="minorHAnsi"/>
          <w:bCs/>
          <w:color w:val="000000"/>
          <w:lang w:eastAsia="tr-TR"/>
        </w:rPr>
        <w:t xml:space="preserve">’nin (BOTAŞ) </w:t>
      </w:r>
      <w:r w:rsidRPr="00ED45DF">
        <w:rPr>
          <w:rFonts w:eastAsia="Times New Roman" w:cstheme="minorHAnsi"/>
          <w:color w:val="000000"/>
          <w:lang w:eastAsia="tr-TR"/>
        </w:rPr>
        <w:t>dördüncü tarife uygulama dönemine ilişkin iletim ve sevkiyat kontrol tarifelerine esas yıllık gelir gereksinimlerinin belirlenmesine yönelik</w:t>
      </w:r>
      <w:r w:rsidRPr="00ED45DF">
        <w:rPr>
          <w:rFonts w:eastAsia="Times New Roman" w:cstheme="minorHAnsi"/>
          <w:bCs/>
          <w:color w:val="000000"/>
          <w:lang w:eastAsia="tr-TR"/>
        </w:rPr>
        <w:t xml:space="preserve"> karar alın</w:t>
      </w:r>
      <w:r>
        <w:rPr>
          <w:rFonts w:eastAsia="Times New Roman" w:cstheme="minorHAnsi"/>
          <w:bCs/>
          <w:color w:val="000000"/>
          <w:lang w:eastAsia="tr-TR"/>
        </w:rPr>
        <w:t>m</w:t>
      </w:r>
      <w:r w:rsidRPr="00ED45DF">
        <w:rPr>
          <w:rFonts w:eastAsia="Times New Roman" w:cstheme="minorHAnsi"/>
          <w:bCs/>
          <w:color w:val="000000"/>
          <w:lang w:eastAsia="tr-TR"/>
        </w:rPr>
        <w:t>ıştır</w:t>
      </w:r>
      <w:r>
        <w:rPr>
          <w:rFonts w:ascii="Times New Roman" w:eastAsia="Times New Roman" w:hAnsi="Times New Roman"/>
          <w:bCs/>
          <w:color w:val="000000"/>
          <w:sz w:val="23"/>
          <w:szCs w:val="23"/>
          <w:lang w:eastAsia="tr-TR"/>
        </w:rPr>
        <w:t>.</w:t>
      </w:r>
    </w:p>
    <w:p w:rsidR="00ED45DF" w:rsidRPr="00ED45DF" w:rsidRDefault="00ED45DF" w:rsidP="00ED45DF">
      <w:pPr>
        <w:pStyle w:val="ListeParagraf"/>
        <w:rPr>
          <w:rFonts w:eastAsia="Times New Roman" w:cstheme="minorHAnsi"/>
          <w:lang w:eastAsia="tr-TR"/>
        </w:rPr>
      </w:pPr>
    </w:p>
    <w:p w:rsidR="00ED45DF" w:rsidRPr="00683EA0" w:rsidRDefault="00ED45DF" w:rsidP="000A5A56">
      <w:pPr>
        <w:pStyle w:val="ListeParagraf"/>
        <w:numPr>
          <w:ilvl w:val="0"/>
          <w:numId w:val="34"/>
        </w:numPr>
        <w:tabs>
          <w:tab w:val="left" w:pos="708"/>
        </w:tabs>
        <w:suppressAutoHyphens/>
        <w:spacing w:after="160" w:line="259" w:lineRule="auto"/>
        <w:rPr>
          <w:rFonts w:eastAsia="Times New Roman" w:cstheme="minorHAnsi"/>
          <w:lang w:eastAsia="tr-TR"/>
        </w:rPr>
      </w:pPr>
      <w:r>
        <w:rPr>
          <w:rFonts w:eastAsia="Times New Roman" w:cstheme="minorHAnsi"/>
          <w:lang w:eastAsia="tr-TR"/>
        </w:rPr>
        <w:t>30</w:t>
      </w:r>
      <w:r w:rsidRPr="00942F21">
        <w:rPr>
          <w:rFonts w:eastAsia="Times New Roman" w:cstheme="minorHAnsi"/>
          <w:lang w:eastAsia="tr-TR"/>
        </w:rPr>
        <w:t>.</w:t>
      </w:r>
      <w:r>
        <w:rPr>
          <w:rFonts w:eastAsia="Times New Roman" w:cstheme="minorHAnsi"/>
          <w:lang w:eastAsia="tr-TR"/>
        </w:rPr>
        <w:t>1</w:t>
      </w:r>
      <w:r w:rsidRPr="00942F21">
        <w:rPr>
          <w:rFonts w:eastAsia="Times New Roman" w:cstheme="minorHAnsi"/>
          <w:lang w:eastAsia="tr-TR"/>
        </w:rPr>
        <w:t>2.202</w:t>
      </w:r>
      <w:r>
        <w:rPr>
          <w:rFonts w:eastAsia="Times New Roman" w:cstheme="minorHAnsi"/>
          <w:lang w:eastAsia="tr-TR"/>
        </w:rPr>
        <w:t>2</w:t>
      </w:r>
      <w:r w:rsidRPr="00E90379">
        <w:rPr>
          <w:rFonts w:eastAsia="Times New Roman" w:cstheme="minorHAnsi"/>
          <w:lang w:eastAsia="tr-TR"/>
        </w:rPr>
        <w:t xml:space="preserve"> </w:t>
      </w:r>
      <w:r>
        <w:rPr>
          <w:rFonts w:eastAsia="Times New Roman" w:cstheme="minorHAnsi"/>
          <w:lang w:eastAsia="tr-TR"/>
        </w:rPr>
        <w:t>t</w:t>
      </w:r>
      <w:r w:rsidRPr="00E90379">
        <w:rPr>
          <w:rFonts w:eastAsia="Times New Roman" w:cstheme="minorHAnsi"/>
          <w:lang w:eastAsia="tr-TR"/>
        </w:rPr>
        <w:t>arihli ve 3</w:t>
      </w:r>
      <w:r>
        <w:rPr>
          <w:rFonts w:eastAsia="Times New Roman" w:cstheme="minorHAnsi"/>
          <w:lang w:eastAsia="tr-TR"/>
        </w:rPr>
        <w:t>2059</w:t>
      </w:r>
      <w:r w:rsidRPr="00E90379">
        <w:rPr>
          <w:rFonts w:eastAsia="Times New Roman" w:cstheme="minorHAnsi"/>
          <w:lang w:eastAsia="tr-TR"/>
        </w:rPr>
        <w:t xml:space="preserve"> Sayılı Resmî </w:t>
      </w:r>
      <w:r w:rsidR="00274939">
        <w:rPr>
          <w:rFonts w:eastAsia="Times New Roman" w:cstheme="minorHAnsi"/>
          <w:lang w:eastAsia="tr-TR"/>
        </w:rPr>
        <w:t>Gazetede</w:t>
      </w:r>
      <w:r w:rsidRPr="00E90379">
        <w:rPr>
          <w:rFonts w:eastAsia="Times New Roman" w:cstheme="minorHAnsi"/>
          <w:lang w:eastAsia="tr-TR"/>
        </w:rPr>
        <w:t xml:space="preserve"> yayımlanan </w:t>
      </w:r>
      <w:r>
        <w:rPr>
          <w:rFonts w:eastAsia="Times New Roman" w:cstheme="minorHAnsi"/>
          <w:lang w:eastAsia="tr-TR"/>
        </w:rPr>
        <w:t>29</w:t>
      </w:r>
      <w:r>
        <w:rPr>
          <w:rFonts w:cstheme="minorHAnsi"/>
        </w:rPr>
        <w:t>.1</w:t>
      </w:r>
      <w:r w:rsidRPr="00E90379">
        <w:rPr>
          <w:rFonts w:cstheme="minorHAnsi"/>
        </w:rPr>
        <w:t>2</w:t>
      </w:r>
      <w:r>
        <w:rPr>
          <w:rFonts w:cstheme="minorHAnsi"/>
        </w:rPr>
        <w:t>.</w:t>
      </w:r>
      <w:r w:rsidRPr="00E90379">
        <w:rPr>
          <w:rFonts w:cstheme="minorHAnsi"/>
        </w:rPr>
        <w:t>202</w:t>
      </w:r>
      <w:r>
        <w:rPr>
          <w:rFonts w:cstheme="minorHAnsi"/>
        </w:rPr>
        <w:t>2</w:t>
      </w:r>
      <w:r w:rsidRPr="00E90379">
        <w:rPr>
          <w:rFonts w:cstheme="minorHAnsi"/>
        </w:rPr>
        <w:t xml:space="preserve"> tarihli ve 1</w:t>
      </w:r>
      <w:r>
        <w:rPr>
          <w:rFonts w:cstheme="minorHAnsi"/>
        </w:rPr>
        <w:t>1522</w:t>
      </w:r>
      <w:r w:rsidRPr="00E90379">
        <w:rPr>
          <w:rFonts w:cstheme="minorHAnsi"/>
        </w:rPr>
        <w:t xml:space="preserve"> sayılı </w:t>
      </w:r>
      <w:r>
        <w:rPr>
          <w:rFonts w:cstheme="minorHAnsi"/>
        </w:rPr>
        <w:t xml:space="preserve">Kurul kararı </w:t>
      </w:r>
      <w:r w:rsidRPr="00ED45DF">
        <w:rPr>
          <w:rFonts w:cstheme="minorHAnsi"/>
        </w:rPr>
        <w:t xml:space="preserve">ile </w:t>
      </w:r>
      <w:r w:rsidRPr="00ED45DF">
        <w:rPr>
          <w:rFonts w:eastAsia="Times New Roman" w:cstheme="minorHAnsi"/>
          <w:lang w:eastAsia="tr-TR"/>
        </w:rPr>
        <w:t xml:space="preserve">03/10/2013 tarihli ve 4638-1 sayılı Kurul Kararı ile kabul edilen </w:t>
      </w:r>
      <w:r w:rsidRPr="00ED45DF">
        <w:rPr>
          <w:rFonts w:eastAsia="Times New Roman" w:cstheme="minorHAnsi"/>
          <w:i/>
          <w:lang w:eastAsia="tr-TR"/>
        </w:rPr>
        <w:t>“Doğal Gaz İletim Lisansı Sahibi Şirketlerin Tarifelerine Esas Gelir Tavanlarının Belirlenmesine İlişkin Usul ve Esaslar”</w:t>
      </w:r>
      <w:r w:rsidRPr="00ED45DF">
        <w:rPr>
          <w:rFonts w:eastAsia="Times New Roman" w:cstheme="minorHAnsi"/>
          <w:lang w:eastAsia="tr-TR"/>
        </w:rPr>
        <w:t xml:space="preserve"> çerçevesinde </w:t>
      </w:r>
      <w:r w:rsidRPr="00ED45DF">
        <w:rPr>
          <w:rFonts w:eastAsia="Times New Roman" w:cstheme="minorHAnsi"/>
          <w:color w:val="000000"/>
          <w:lang w:eastAsia="tr-TR"/>
        </w:rPr>
        <w:t xml:space="preserve">23/05/2003 tarihli ve DİL/148-17/021 numaralı iletim lisansı sahibi </w:t>
      </w:r>
      <w:r w:rsidRPr="00ED45DF">
        <w:rPr>
          <w:rFonts w:eastAsia="Times New Roman" w:cstheme="minorHAnsi"/>
          <w:b/>
          <w:bCs/>
          <w:color w:val="000000"/>
          <w:lang w:eastAsia="tr-TR"/>
        </w:rPr>
        <w:t>Boru Hatları İle Petrol Taşıma Anonim Şirketi</w:t>
      </w:r>
      <w:r w:rsidRPr="00ED45DF">
        <w:rPr>
          <w:rFonts w:eastAsia="Times New Roman" w:cstheme="minorHAnsi"/>
          <w:bCs/>
          <w:color w:val="000000"/>
          <w:lang w:eastAsia="tr-TR"/>
        </w:rPr>
        <w:t xml:space="preserve">’nin (BOTAŞ) </w:t>
      </w:r>
      <w:r w:rsidRPr="00ED45DF">
        <w:rPr>
          <w:rFonts w:eastAsia="Times New Roman" w:cstheme="minorHAnsi"/>
          <w:color w:val="000000"/>
          <w:lang w:eastAsia="tr-TR"/>
        </w:rPr>
        <w:t xml:space="preserve">2023-2025 tarife uygulama dönemine ilişkin ekteki Yöntem Bildiriminin onaylanmasına </w:t>
      </w:r>
      <w:r w:rsidRPr="00ED45DF">
        <w:rPr>
          <w:rFonts w:eastAsia="Times New Roman" w:cstheme="minorHAnsi"/>
          <w:bCs/>
          <w:color w:val="000000"/>
          <w:lang w:eastAsia="tr-TR"/>
        </w:rPr>
        <w:t>karar alın</w:t>
      </w:r>
      <w:r>
        <w:rPr>
          <w:rFonts w:eastAsia="Times New Roman" w:cstheme="minorHAnsi"/>
          <w:bCs/>
          <w:color w:val="000000"/>
          <w:lang w:eastAsia="tr-TR"/>
        </w:rPr>
        <w:t>m</w:t>
      </w:r>
      <w:r w:rsidRPr="00ED45DF">
        <w:rPr>
          <w:rFonts w:eastAsia="Times New Roman" w:cstheme="minorHAnsi"/>
          <w:bCs/>
          <w:color w:val="000000"/>
          <w:lang w:eastAsia="tr-TR"/>
        </w:rPr>
        <w:t>ıştır</w:t>
      </w:r>
      <w:r>
        <w:rPr>
          <w:rFonts w:ascii="Times New Roman" w:eastAsia="Times New Roman" w:hAnsi="Times New Roman"/>
          <w:bCs/>
          <w:color w:val="000000"/>
          <w:sz w:val="23"/>
          <w:szCs w:val="23"/>
          <w:lang w:eastAsia="tr-TR"/>
        </w:rPr>
        <w:t>.</w:t>
      </w:r>
    </w:p>
    <w:p w:rsidR="000C6581" w:rsidRDefault="000C6581" w:rsidP="000C6581">
      <w:pPr>
        <w:pStyle w:val="ListeParagraf"/>
        <w:tabs>
          <w:tab w:val="left" w:pos="708"/>
        </w:tabs>
        <w:suppressAutoHyphens/>
        <w:spacing w:after="160" w:line="259" w:lineRule="auto"/>
        <w:ind w:left="770"/>
        <w:rPr>
          <w:rFonts w:eastAsia="Times New Roman" w:cstheme="minorHAnsi"/>
          <w:lang w:eastAsia="tr-TR"/>
        </w:rPr>
      </w:pPr>
    </w:p>
    <w:p w:rsidR="008A2954" w:rsidRPr="00683EA0" w:rsidRDefault="000C6581" w:rsidP="000A5A56">
      <w:pPr>
        <w:pStyle w:val="ListeParagraf"/>
        <w:numPr>
          <w:ilvl w:val="0"/>
          <w:numId w:val="34"/>
        </w:numPr>
        <w:tabs>
          <w:tab w:val="left" w:pos="708"/>
        </w:tabs>
        <w:suppressAutoHyphens/>
        <w:spacing w:after="160" w:line="259" w:lineRule="auto"/>
        <w:rPr>
          <w:rFonts w:eastAsia="Times New Roman" w:cstheme="minorHAnsi"/>
          <w:lang w:eastAsia="tr-TR"/>
        </w:rPr>
      </w:pPr>
      <w:r>
        <w:rPr>
          <w:rFonts w:eastAsia="Times New Roman" w:cstheme="minorHAnsi"/>
          <w:lang w:eastAsia="tr-TR"/>
        </w:rPr>
        <w:t>30</w:t>
      </w:r>
      <w:r w:rsidR="008A2954" w:rsidRPr="00942F21">
        <w:rPr>
          <w:rFonts w:eastAsia="Times New Roman" w:cstheme="minorHAnsi"/>
          <w:lang w:eastAsia="tr-TR"/>
        </w:rPr>
        <w:t>.</w:t>
      </w:r>
      <w:r>
        <w:rPr>
          <w:rFonts w:eastAsia="Times New Roman" w:cstheme="minorHAnsi"/>
          <w:lang w:eastAsia="tr-TR"/>
        </w:rPr>
        <w:t>1</w:t>
      </w:r>
      <w:r w:rsidR="008A2954" w:rsidRPr="00942F21">
        <w:rPr>
          <w:rFonts w:eastAsia="Times New Roman" w:cstheme="minorHAnsi"/>
          <w:lang w:eastAsia="tr-TR"/>
        </w:rPr>
        <w:t>2.202</w:t>
      </w:r>
      <w:r>
        <w:rPr>
          <w:rFonts w:eastAsia="Times New Roman" w:cstheme="minorHAnsi"/>
          <w:lang w:eastAsia="tr-TR"/>
        </w:rPr>
        <w:t>2</w:t>
      </w:r>
      <w:r w:rsidR="008A2954" w:rsidRPr="00E90379">
        <w:rPr>
          <w:rFonts w:eastAsia="Times New Roman" w:cstheme="minorHAnsi"/>
          <w:lang w:eastAsia="tr-TR"/>
        </w:rPr>
        <w:t xml:space="preserve"> </w:t>
      </w:r>
      <w:r w:rsidR="008A2954">
        <w:rPr>
          <w:rFonts w:eastAsia="Times New Roman" w:cstheme="minorHAnsi"/>
          <w:lang w:eastAsia="tr-TR"/>
        </w:rPr>
        <w:t>t</w:t>
      </w:r>
      <w:r w:rsidR="008A2954" w:rsidRPr="00E90379">
        <w:rPr>
          <w:rFonts w:eastAsia="Times New Roman" w:cstheme="minorHAnsi"/>
          <w:lang w:eastAsia="tr-TR"/>
        </w:rPr>
        <w:t>arihli ve 3</w:t>
      </w:r>
      <w:r>
        <w:rPr>
          <w:rFonts w:eastAsia="Times New Roman" w:cstheme="minorHAnsi"/>
          <w:lang w:eastAsia="tr-TR"/>
        </w:rPr>
        <w:t>2059</w:t>
      </w:r>
      <w:r w:rsidR="008A2954" w:rsidRPr="00E90379">
        <w:rPr>
          <w:rFonts w:eastAsia="Times New Roman" w:cstheme="minorHAnsi"/>
          <w:lang w:eastAsia="tr-TR"/>
        </w:rPr>
        <w:t xml:space="preserve"> Sayılı Resmî </w:t>
      </w:r>
      <w:r w:rsidR="00274939">
        <w:rPr>
          <w:rFonts w:eastAsia="Times New Roman" w:cstheme="minorHAnsi"/>
          <w:lang w:eastAsia="tr-TR"/>
        </w:rPr>
        <w:t>Gazetede</w:t>
      </w:r>
      <w:r w:rsidR="008A2954" w:rsidRPr="00E90379">
        <w:rPr>
          <w:rFonts w:eastAsia="Times New Roman" w:cstheme="minorHAnsi"/>
          <w:lang w:eastAsia="tr-TR"/>
        </w:rPr>
        <w:t xml:space="preserve"> yayımlanan </w:t>
      </w:r>
      <w:r>
        <w:rPr>
          <w:rFonts w:eastAsia="Times New Roman" w:cstheme="minorHAnsi"/>
          <w:lang w:eastAsia="tr-TR"/>
        </w:rPr>
        <w:t>29</w:t>
      </w:r>
      <w:r w:rsidR="008A2954">
        <w:rPr>
          <w:rFonts w:cstheme="minorHAnsi"/>
        </w:rPr>
        <w:t>.</w:t>
      </w:r>
      <w:r>
        <w:rPr>
          <w:rFonts w:cstheme="minorHAnsi"/>
        </w:rPr>
        <w:t>1</w:t>
      </w:r>
      <w:r w:rsidR="008A2954" w:rsidRPr="00E90379">
        <w:rPr>
          <w:rFonts w:cstheme="minorHAnsi"/>
        </w:rPr>
        <w:t>2</w:t>
      </w:r>
      <w:r w:rsidR="008A2954">
        <w:rPr>
          <w:rFonts w:cstheme="minorHAnsi"/>
        </w:rPr>
        <w:t>.</w:t>
      </w:r>
      <w:r w:rsidR="008A2954" w:rsidRPr="00E90379">
        <w:rPr>
          <w:rFonts w:cstheme="minorHAnsi"/>
        </w:rPr>
        <w:t>202</w:t>
      </w:r>
      <w:r>
        <w:rPr>
          <w:rFonts w:cstheme="minorHAnsi"/>
        </w:rPr>
        <w:t>2</w:t>
      </w:r>
      <w:r w:rsidR="008A2954" w:rsidRPr="00E90379">
        <w:rPr>
          <w:rFonts w:cstheme="minorHAnsi"/>
        </w:rPr>
        <w:t xml:space="preserve"> tarihli ve 1</w:t>
      </w:r>
      <w:r>
        <w:rPr>
          <w:rFonts w:cstheme="minorHAnsi"/>
        </w:rPr>
        <w:t>1523</w:t>
      </w:r>
      <w:r w:rsidR="008A2954" w:rsidRPr="00E90379">
        <w:rPr>
          <w:rFonts w:cstheme="minorHAnsi"/>
        </w:rPr>
        <w:t xml:space="preserve"> sayılı </w:t>
      </w:r>
      <w:r w:rsidR="008A2954">
        <w:rPr>
          <w:rFonts w:cstheme="minorHAnsi"/>
        </w:rPr>
        <w:t xml:space="preserve">Kurul kararı </w:t>
      </w:r>
      <w:r w:rsidR="008A2954" w:rsidRPr="00ED45DF">
        <w:rPr>
          <w:rFonts w:cstheme="minorHAnsi"/>
        </w:rPr>
        <w:t xml:space="preserve">ile </w:t>
      </w:r>
      <w:r w:rsidR="00ED45DF" w:rsidRPr="00ED45DF">
        <w:rPr>
          <w:rFonts w:eastAsia="Times New Roman" w:cstheme="minorHAnsi"/>
          <w:lang w:eastAsia="tr-TR"/>
        </w:rPr>
        <w:t xml:space="preserve">03/10/2013 tarihli ve 4638-1 sayılı Kurul Kararı ile kabul edilen </w:t>
      </w:r>
      <w:r w:rsidR="00ED45DF" w:rsidRPr="00ED45DF">
        <w:rPr>
          <w:rFonts w:eastAsia="Times New Roman" w:cstheme="minorHAnsi"/>
          <w:i/>
          <w:lang w:eastAsia="tr-TR"/>
        </w:rPr>
        <w:t>“Doğal Gaz İletim Lisansı Sahibi Şirketlerin Tarifelerine Esas Gelir Tavanlarının Belirlenmesine İlişkin Usul ve Esaslar”</w:t>
      </w:r>
      <w:r w:rsidR="00ED45DF" w:rsidRPr="00ED45DF">
        <w:rPr>
          <w:rFonts w:eastAsia="Times New Roman" w:cstheme="minorHAnsi"/>
          <w:lang w:eastAsia="tr-TR"/>
        </w:rPr>
        <w:t xml:space="preserve"> çerçevesinde </w:t>
      </w:r>
      <w:r w:rsidR="00ED45DF" w:rsidRPr="00ED45DF">
        <w:rPr>
          <w:rFonts w:eastAsia="Times New Roman" w:cstheme="minorHAnsi"/>
          <w:color w:val="000000"/>
          <w:lang w:eastAsia="tr-TR"/>
        </w:rPr>
        <w:t xml:space="preserve">23/05/2003 tarihli ve DİL/148-17/021 numaralı iletim lisansı sahibi </w:t>
      </w:r>
      <w:r w:rsidR="00ED45DF" w:rsidRPr="00ED45DF">
        <w:rPr>
          <w:rFonts w:eastAsia="Times New Roman" w:cstheme="minorHAnsi"/>
          <w:b/>
          <w:bCs/>
          <w:color w:val="000000"/>
          <w:lang w:eastAsia="tr-TR"/>
        </w:rPr>
        <w:t>Boru Hatları İle Petrol Taşıma Anonim Şirketi</w:t>
      </w:r>
      <w:r w:rsidR="00ED45DF" w:rsidRPr="00ED45DF">
        <w:rPr>
          <w:rFonts w:eastAsia="Times New Roman" w:cstheme="minorHAnsi"/>
          <w:bCs/>
          <w:color w:val="000000"/>
          <w:lang w:eastAsia="tr-TR"/>
        </w:rPr>
        <w:t>’nin (BOTAŞ) 2023 yılına ait gelir tavanı ile ilgi yıl için uygulanacak iletim ve sevkiyat kontrol bedellerinin belirlenmesine yönelik karar alın</w:t>
      </w:r>
      <w:r w:rsidR="00ED45DF">
        <w:rPr>
          <w:rFonts w:eastAsia="Times New Roman" w:cstheme="minorHAnsi"/>
          <w:bCs/>
          <w:color w:val="000000"/>
          <w:lang w:eastAsia="tr-TR"/>
        </w:rPr>
        <w:t>m</w:t>
      </w:r>
      <w:r w:rsidR="00ED45DF" w:rsidRPr="00ED45DF">
        <w:rPr>
          <w:rFonts w:eastAsia="Times New Roman" w:cstheme="minorHAnsi"/>
          <w:bCs/>
          <w:color w:val="000000"/>
          <w:lang w:eastAsia="tr-TR"/>
        </w:rPr>
        <w:t>ıştır</w:t>
      </w:r>
      <w:r w:rsidR="00ED45DF">
        <w:rPr>
          <w:rFonts w:ascii="Times New Roman" w:eastAsia="Times New Roman" w:hAnsi="Times New Roman"/>
          <w:bCs/>
          <w:color w:val="000000"/>
          <w:sz w:val="23"/>
          <w:szCs w:val="23"/>
          <w:lang w:eastAsia="tr-TR"/>
        </w:rPr>
        <w:t>.</w:t>
      </w:r>
    </w:p>
    <w:p w:rsidR="00880ED3" w:rsidRPr="00801036" w:rsidRDefault="002C3099" w:rsidP="000A5A56">
      <w:pPr>
        <w:pStyle w:val="Balk3"/>
        <w:numPr>
          <w:ilvl w:val="2"/>
          <w:numId w:val="11"/>
        </w:numPr>
        <w:spacing w:after="240"/>
        <w:rPr>
          <w:rFonts w:asciiTheme="minorHAnsi" w:hAnsiTheme="minorHAnsi"/>
          <w:color w:val="000000" w:themeColor="text1"/>
        </w:rPr>
      </w:pPr>
      <w:bookmarkStart w:id="305" w:name="_Toc66267391"/>
      <w:bookmarkStart w:id="306" w:name="_Toc132713823"/>
      <w:bookmarkEnd w:id="302"/>
      <w:r w:rsidRPr="00E9291A">
        <w:rPr>
          <w:rFonts w:asciiTheme="minorHAnsi" w:hAnsiTheme="minorHAnsi"/>
          <w:color w:val="000000" w:themeColor="text1"/>
        </w:rPr>
        <w:t>Lisans Bedelleri</w:t>
      </w:r>
      <w:bookmarkEnd w:id="305"/>
      <w:bookmarkEnd w:id="306"/>
    </w:p>
    <w:p w:rsidR="002C3099" w:rsidRPr="00942F21" w:rsidRDefault="00880ED3" w:rsidP="002C3099">
      <w:pPr>
        <w:tabs>
          <w:tab w:val="left" w:pos="284"/>
          <w:tab w:val="left" w:pos="567"/>
          <w:tab w:val="left" w:pos="709"/>
          <w:tab w:val="left" w:pos="851"/>
        </w:tabs>
        <w:spacing w:after="0"/>
        <w:rPr>
          <w:color w:val="000000" w:themeColor="text1"/>
        </w:rPr>
      </w:pPr>
      <w:r w:rsidRPr="00942F21">
        <w:rPr>
          <w:color w:val="000000" w:themeColor="text1"/>
        </w:rPr>
        <w:t xml:space="preserve">22.12.2021 tarihli ve 31697 sayılı Resmî </w:t>
      </w:r>
      <w:r w:rsidR="00274939">
        <w:rPr>
          <w:color w:val="000000" w:themeColor="text1"/>
        </w:rPr>
        <w:t>Gazetede</w:t>
      </w:r>
      <w:r w:rsidRPr="00942F21">
        <w:rPr>
          <w:color w:val="000000" w:themeColor="text1"/>
        </w:rPr>
        <w:t xml:space="preserve"> yayımlanan 16.12.2021 tarihli ve 10636 sayılı Kurul Kararı ile </w:t>
      </w:r>
      <w:r w:rsidR="002C3099" w:rsidRPr="00942F21">
        <w:rPr>
          <w:color w:val="000000" w:themeColor="text1"/>
        </w:rPr>
        <w:t>4628 sayılı Kanunun 10 uncu maddesinin 4646 sayılı Kanun ile değişik (B) fıkrasının (a) bendi uyarınca doğal gaz piyasasında 202</w:t>
      </w:r>
      <w:r w:rsidRPr="00942F21">
        <w:rPr>
          <w:color w:val="000000" w:themeColor="text1"/>
        </w:rPr>
        <w:t>2</w:t>
      </w:r>
      <w:r w:rsidR="002C3099" w:rsidRPr="00942F21">
        <w:rPr>
          <w:color w:val="000000" w:themeColor="text1"/>
        </w:rPr>
        <w:t xml:space="preserve"> yılında uygulanacak katılma payı belirlenmiştir.</w:t>
      </w:r>
    </w:p>
    <w:p w:rsidR="002C3099" w:rsidRPr="00942F21" w:rsidRDefault="002C3099" w:rsidP="002C3099">
      <w:pPr>
        <w:tabs>
          <w:tab w:val="left" w:pos="284"/>
          <w:tab w:val="left" w:pos="567"/>
          <w:tab w:val="left" w:pos="709"/>
          <w:tab w:val="left" w:pos="851"/>
        </w:tabs>
        <w:spacing w:after="0"/>
        <w:rPr>
          <w:color w:val="000000" w:themeColor="text1"/>
        </w:rPr>
      </w:pPr>
    </w:p>
    <w:p w:rsidR="002C3099" w:rsidRDefault="00880ED3" w:rsidP="002C3099">
      <w:pPr>
        <w:tabs>
          <w:tab w:val="left" w:pos="284"/>
          <w:tab w:val="left" w:pos="567"/>
          <w:tab w:val="left" w:pos="709"/>
          <w:tab w:val="left" w:pos="851"/>
        </w:tabs>
        <w:spacing w:after="0"/>
        <w:rPr>
          <w:color w:val="000000" w:themeColor="text1"/>
        </w:rPr>
      </w:pPr>
      <w:r w:rsidRPr="00942F21">
        <w:rPr>
          <w:color w:val="000000" w:themeColor="text1"/>
        </w:rPr>
        <w:t xml:space="preserve">22.12.2021 tarihli ve 31697 sayılı Resmî </w:t>
      </w:r>
      <w:r w:rsidR="00274939">
        <w:rPr>
          <w:color w:val="000000" w:themeColor="text1"/>
        </w:rPr>
        <w:t>Gazetede</w:t>
      </w:r>
      <w:r w:rsidRPr="00942F21">
        <w:rPr>
          <w:color w:val="000000" w:themeColor="text1"/>
        </w:rPr>
        <w:t xml:space="preserve"> yayımlanan 16.12.2021 tarihli ve 10637 sayılı Kurul Kararı ile </w:t>
      </w:r>
      <w:r w:rsidR="002C3099" w:rsidRPr="00942F21">
        <w:rPr>
          <w:color w:val="000000" w:themeColor="text1"/>
        </w:rPr>
        <w:t>Doğal Gaz Piyasası Lisans Yönetmeliği uyarınca 202</w:t>
      </w:r>
      <w:r w:rsidRPr="00942F21">
        <w:rPr>
          <w:color w:val="000000" w:themeColor="text1"/>
        </w:rPr>
        <w:t>2</w:t>
      </w:r>
      <w:r w:rsidR="002C3099" w:rsidRPr="00942F21">
        <w:rPr>
          <w:color w:val="000000" w:themeColor="text1"/>
        </w:rPr>
        <w:t xml:space="preserve"> yılında uygulanacak olan </w:t>
      </w:r>
      <w:r w:rsidRPr="00942F21">
        <w:rPr>
          <w:color w:val="000000" w:themeColor="text1"/>
        </w:rPr>
        <w:t xml:space="preserve">lisans alma, yıllık lisans, lisans yenileme, lisans tadili ve lisans sureti çıkartma bedelleri ile sertifika alma, sertifika yenileme, sertifika tadili, sertifika sureti çıkartma ve sertifika vize bedelleri </w:t>
      </w:r>
      <w:r w:rsidR="002C3099" w:rsidRPr="00942F21">
        <w:rPr>
          <w:color w:val="000000" w:themeColor="text1"/>
        </w:rPr>
        <w:t>belirlenmiştir.</w:t>
      </w:r>
      <w:r w:rsidR="002C3099">
        <w:rPr>
          <w:color w:val="000000" w:themeColor="text1"/>
        </w:rPr>
        <w:br w:type="page"/>
      </w:r>
    </w:p>
    <w:p w:rsidR="002C3099" w:rsidRPr="00E9291A" w:rsidRDefault="002C3099" w:rsidP="000A5A56">
      <w:pPr>
        <w:pStyle w:val="Balk2"/>
        <w:numPr>
          <w:ilvl w:val="1"/>
          <w:numId w:val="11"/>
        </w:numPr>
        <w:spacing w:before="0" w:after="240"/>
        <w:rPr>
          <w:rFonts w:asciiTheme="minorHAnsi" w:hAnsiTheme="minorHAnsi"/>
          <w:color w:val="auto"/>
          <w:sz w:val="22"/>
        </w:rPr>
      </w:pPr>
      <w:bookmarkStart w:id="307" w:name="_Toc66267392"/>
      <w:bookmarkStart w:id="308" w:name="_Toc132713824"/>
      <w:r w:rsidRPr="00E9291A">
        <w:rPr>
          <w:rFonts w:asciiTheme="minorHAnsi" w:hAnsiTheme="minorHAnsi"/>
          <w:color w:val="auto"/>
          <w:sz w:val="22"/>
        </w:rPr>
        <w:lastRenderedPageBreak/>
        <w:t>Petrol Piyasası Tarifeleri</w:t>
      </w:r>
      <w:bookmarkEnd w:id="307"/>
      <w:bookmarkEnd w:id="308"/>
    </w:p>
    <w:p w:rsidR="002C3099" w:rsidRPr="00E9291A" w:rsidRDefault="002C3099" w:rsidP="002C3099">
      <w:pPr>
        <w:spacing w:after="0"/>
      </w:pPr>
      <w:r w:rsidRPr="00E9291A">
        <w:t xml:space="preserve">5015 sayılı Petrol Piyasası Kanununun yürürlüğe girmesini müteakiben 01.01.2005 tarihinden itibaren serbest fiyat uygulamasına geçilmiştir. Petrol alım satımında fiyatların en yakın erişilebilir dünya serbest piyasa koşulları dikkate alınarak oluşturulacağı kabul edilmiştir. Yerli ham petrol için, teslim yeri olan en yakın liman veya rafineride teşekkül eden </w:t>
      </w:r>
      <w:r w:rsidRPr="001A2FB1">
        <w:rPr>
          <w:i/>
        </w:rPr>
        <w:t>"Piyasa Fiyatı"</w:t>
      </w:r>
      <w:r w:rsidRPr="00E9291A">
        <w:t xml:space="preserve"> fiyat olarak kabul edilmiştir. </w:t>
      </w:r>
    </w:p>
    <w:p w:rsidR="002C3099" w:rsidRPr="00E9291A" w:rsidRDefault="002C3099" w:rsidP="002C3099">
      <w:pPr>
        <w:spacing w:after="0"/>
      </w:pPr>
    </w:p>
    <w:p w:rsidR="002C3099" w:rsidRDefault="002C3099" w:rsidP="002C3099">
      <w:pPr>
        <w:spacing w:after="0"/>
      </w:pPr>
      <w:r w:rsidRPr="00E9291A">
        <w:t>Petrol piyasasında tarifeler tabi olduğu işlem açısından dört kategoride ele alınabilir. Bunlar;</w:t>
      </w:r>
    </w:p>
    <w:p w:rsidR="00801036" w:rsidRPr="00E9291A" w:rsidRDefault="00801036" w:rsidP="002C3099">
      <w:pPr>
        <w:spacing w:after="0"/>
      </w:pPr>
    </w:p>
    <w:p w:rsidR="002C3099" w:rsidRPr="00433536" w:rsidRDefault="002C3099" w:rsidP="000A5A56">
      <w:pPr>
        <w:pStyle w:val="ListeParagraf"/>
        <w:numPr>
          <w:ilvl w:val="0"/>
          <w:numId w:val="10"/>
        </w:numPr>
        <w:tabs>
          <w:tab w:val="left" w:pos="284"/>
          <w:tab w:val="left" w:pos="567"/>
          <w:tab w:val="left" w:pos="709"/>
          <w:tab w:val="left" w:pos="851"/>
        </w:tabs>
        <w:spacing w:after="0"/>
      </w:pPr>
      <w:r w:rsidRPr="00433536">
        <w:t>Onaya Tabi Tarifeler: İletim lisansı kapsamında yürütülen taşıma faaliyetine ilişkin iletim tarifesi ile iletim hatlarıyla bağlantılı depolama tesislerindeki lisanslı depolama faaliyetlerine ilişkin tarifeleri ifade eder.</w:t>
      </w:r>
    </w:p>
    <w:p w:rsidR="002C3099" w:rsidRPr="00E9291A" w:rsidRDefault="002C3099" w:rsidP="002C3099">
      <w:pPr>
        <w:pStyle w:val="ListeParagraf"/>
        <w:tabs>
          <w:tab w:val="left" w:pos="284"/>
          <w:tab w:val="left" w:pos="567"/>
          <w:tab w:val="left" w:pos="709"/>
          <w:tab w:val="left" w:pos="851"/>
        </w:tabs>
        <w:spacing w:after="0"/>
        <w:ind w:left="284"/>
      </w:pPr>
    </w:p>
    <w:p w:rsidR="002C3099" w:rsidRPr="00433536" w:rsidRDefault="002C3099" w:rsidP="000A5A56">
      <w:pPr>
        <w:pStyle w:val="ListeParagraf"/>
        <w:numPr>
          <w:ilvl w:val="0"/>
          <w:numId w:val="10"/>
        </w:numPr>
        <w:tabs>
          <w:tab w:val="left" w:pos="284"/>
          <w:tab w:val="left" w:pos="567"/>
          <w:tab w:val="left" w:pos="709"/>
          <w:tab w:val="left" w:pos="851"/>
        </w:tabs>
        <w:spacing w:after="0"/>
      </w:pPr>
      <w:r w:rsidRPr="00433536">
        <w:t>Bildirime Tabi Tarifeler: Kuruma bildirildikten sonra uygulanmaya başlanan, işleme ve iletim hatları ile bağlantılı olmayan lisanslı depolama faaliyetlerine ilişkin tarifeler ile rafinerici ve dağıtıcı lisans sahiplerinin tavan fiyat tarifelerindeki değişiklikleri ifade eder.</w:t>
      </w:r>
    </w:p>
    <w:p w:rsidR="002C3099" w:rsidRPr="00E9291A" w:rsidRDefault="002C3099" w:rsidP="002C3099">
      <w:pPr>
        <w:pStyle w:val="ListeParagraf"/>
        <w:spacing w:after="0"/>
      </w:pPr>
    </w:p>
    <w:p w:rsidR="002C3099" w:rsidRPr="00433536" w:rsidRDefault="002C3099" w:rsidP="000A5A56">
      <w:pPr>
        <w:pStyle w:val="ListeParagraf"/>
        <w:numPr>
          <w:ilvl w:val="0"/>
          <w:numId w:val="10"/>
        </w:numPr>
        <w:tabs>
          <w:tab w:val="left" w:pos="284"/>
          <w:tab w:val="left" w:pos="567"/>
          <w:tab w:val="left" w:pos="709"/>
          <w:tab w:val="left" w:pos="851"/>
        </w:tabs>
        <w:spacing w:after="0"/>
      </w:pPr>
      <w:r w:rsidRPr="00433536">
        <w:t>Fiyat İlanı: Onay ve bildirim gerektirmeyen, bayilik lisansı sahipleri tarafından akaryakıt istasyonlarında görünür şekilde yerleştirilmiş panolarda, akaryakıt tavan fiyatları olarak ilan edilen fiyatları ifade eder.</w:t>
      </w:r>
    </w:p>
    <w:p w:rsidR="002C3099" w:rsidRPr="00E9291A" w:rsidRDefault="002C3099" w:rsidP="002C3099">
      <w:pPr>
        <w:tabs>
          <w:tab w:val="left" w:pos="284"/>
          <w:tab w:val="left" w:pos="567"/>
          <w:tab w:val="left" w:pos="709"/>
          <w:tab w:val="left" w:pos="851"/>
        </w:tabs>
        <w:spacing w:after="0"/>
      </w:pPr>
    </w:p>
    <w:p w:rsidR="002C3099" w:rsidRPr="00433536" w:rsidRDefault="002C3099" w:rsidP="000A5A56">
      <w:pPr>
        <w:pStyle w:val="ListeParagraf"/>
        <w:numPr>
          <w:ilvl w:val="0"/>
          <w:numId w:val="10"/>
        </w:numPr>
        <w:tabs>
          <w:tab w:val="left" w:pos="284"/>
          <w:tab w:val="left" w:pos="567"/>
          <w:tab w:val="left" w:pos="709"/>
          <w:tab w:val="left" w:pos="851"/>
        </w:tabs>
        <w:spacing w:after="0"/>
      </w:pPr>
      <w:r w:rsidRPr="00433536">
        <w:t>Fiyat Listesi: İşleme lisansı sahipleri tarafından lisansları kapsamındaki ürünlere ilişkin Kuruma bildirimi yapılan ve uygulamaya girmesi sağlanan fiyat listelerindeki değişiklikleri ifade eder.</w:t>
      </w:r>
    </w:p>
    <w:p w:rsidR="002C3099" w:rsidRPr="00E9291A" w:rsidRDefault="002C3099" w:rsidP="002C3099">
      <w:pPr>
        <w:spacing w:after="0"/>
      </w:pPr>
    </w:p>
    <w:p w:rsidR="002C3099" w:rsidRPr="00E9291A" w:rsidRDefault="002C3099" w:rsidP="002C3099">
      <w:pPr>
        <w:spacing w:after="0"/>
      </w:pPr>
      <w:r w:rsidRPr="00E9291A">
        <w:t xml:space="preserve">Dağıtıcıların akaryakıt </w:t>
      </w:r>
      <w:r w:rsidRPr="009E4445">
        <w:rPr>
          <w:i/>
        </w:rPr>
        <w:t>“depo fiyatları”</w:t>
      </w:r>
      <w:r w:rsidRPr="00E9291A">
        <w:t xml:space="preserve"> ile bayilere </w:t>
      </w:r>
      <w:r w:rsidRPr="009E4445">
        <w:rPr>
          <w:i/>
        </w:rPr>
        <w:t>“tavsiye ettikleri”</w:t>
      </w:r>
      <w:r w:rsidRPr="00E9291A">
        <w:t xml:space="preserve"> veya bayiler adına belirledikleri </w:t>
      </w:r>
      <w:r w:rsidRPr="009E4445">
        <w:rPr>
          <w:i/>
        </w:rPr>
        <w:t>“tavan fiyat”</w:t>
      </w:r>
      <w:r>
        <w:t>ların</w:t>
      </w:r>
      <w:r w:rsidRPr="00E9291A">
        <w:t xml:space="preserve"> elektronik </w:t>
      </w:r>
      <w:r>
        <w:t xml:space="preserve">ortamda </w:t>
      </w:r>
      <w:r w:rsidRPr="00E9291A">
        <w:t>bildirimi ve izlenmesine ilişkin veri tabanı oluşturulmuştur. Veri tabanı, dağıtım şirketlerinin elektronik bildirimleri ile güncellenmektedir. Veri tabanındaki verilerin derlenmesi neticesinde kamuoyuna illere göre bayi tavan fiyatları ve Kamu İhale Mevzuatı kapsamında, akaryakıt fiyat farkı hesaplamalarında kullanılmak üzere, en yüksek işlem hacimli sekiz şirketin İstanbul Avrupa Yakası ortalama akaryakıt fiyatları ilan edilmektedir.</w:t>
      </w:r>
    </w:p>
    <w:p w:rsidR="002C3099" w:rsidRPr="00E9291A" w:rsidRDefault="002C3099" w:rsidP="002C3099">
      <w:pPr>
        <w:spacing w:after="0"/>
      </w:pPr>
    </w:p>
    <w:p w:rsidR="002C3099" w:rsidRDefault="002C3099" w:rsidP="002C3099">
      <w:pPr>
        <w:spacing w:after="0"/>
      </w:pPr>
      <w:r w:rsidRPr="00E9291A">
        <w:t>5015 sayılı Kanunun</w:t>
      </w:r>
      <w:r>
        <w:t xml:space="preserve"> fiyat oluşumuna ilişkin 10 </w:t>
      </w:r>
      <w:r w:rsidRPr="00E9291A">
        <w:t xml:space="preserve">uncu maddesinde rafineri ve dağıtıcı lisansı sahibi şirketler ile ilgili olarak, </w:t>
      </w:r>
      <w:r w:rsidRPr="00E9291A">
        <w:rPr>
          <w:i/>
        </w:rPr>
        <w:t>“Rafinerici ve dağıtıcı lisansı kapsamında yapılan piyasa faaliyetlerine ilişkin fiyatlar, en yakın erişilebilir dünya serbest piyasa oluşumu dikkate alınarak, lisans sahipleri tarafından hazırlanan tavan fiyatlar olarak Kuruma bildirilir.”</w:t>
      </w:r>
      <w:r w:rsidRPr="00E9291A">
        <w:t xml:space="preserve"> hükmü yer almaktadır. Bu hüküm çerçevesinde; piyasa payları piyasanın yaklaşık %90’nına sahip olan piyasa aktörlerinden rafinerici ve dağıtıcı lisansı sahiplerinin piyasa payları itibar</w:t>
      </w:r>
      <w:r w:rsidR="00A54CE2">
        <w:t>ı</w:t>
      </w:r>
      <w:r w:rsidRPr="00E9291A">
        <w:t>yl</w:t>
      </w:r>
      <w:r w:rsidR="00A54CE2">
        <w:t>a</w:t>
      </w:r>
      <w:r w:rsidRPr="00E9291A">
        <w:t xml:space="preserve"> fiyatlandırma uygulamaları;</w:t>
      </w:r>
    </w:p>
    <w:p w:rsidR="00F17ADC" w:rsidRPr="00E9291A" w:rsidRDefault="00F17ADC" w:rsidP="002C3099">
      <w:pPr>
        <w:spacing w:after="0"/>
      </w:pPr>
    </w:p>
    <w:p w:rsidR="002C3099" w:rsidRPr="00E9291A" w:rsidRDefault="002C3099" w:rsidP="002C3099">
      <w:pPr>
        <w:pStyle w:val="ListeParagraf"/>
        <w:numPr>
          <w:ilvl w:val="0"/>
          <w:numId w:val="2"/>
        </w:numPr>
        <w:tabs>
          <w:tab w:val="left" w:pos="284"/>
          <w:tab w:val="left" w:pos="567"/>
          <w:tab w:val="left" w:pos="709"/>
          <w:tab w:val="left" w:pos="851"/>
        </w:tabs>
        <w:spacing w:after="0"/>
        <w:ind w:left="284" w:firstLine="0"/>
      </w:pPr>
      <w:r w:rsidRPr="00E9291A">
        <w:t>Fiyat oluşumu,</w:t>
      </w:r>
    </w:p>
    <w:p w:rsidR="002C3099" w:rsidRPr="00E9291A" w:rsidRDefault="002C3099" w:rsidP="002C3099">
      <w:pPr>
        <w:pStyle w:val="ListeParagraf"/>
        <w:numPr>
          <w:ilvl w:val="0"/>
          <w:numId w:val="2"/>
        </w:numPr>
        <w:tabs>
          <w:tab w:val="left" w:pos="284"/>
          <w:tab w:val="left" w:pos="567"/>
          <w:tab w:val="left" w:pos="709"/>
          <w:tab w:val="left" w:pos="851"/>
        </w:tabs>
        <w:spacing w:after="0"/>
        <w:ind w:left="284" w:firstLine="0"/>
      </w:pPr>
      <w:r w:rsidRPr="00E9291A">
        <w:t>Ülkemizdeki akaryakıt fiyatları,</w:t>
      </w:r>
    </w:p>
    <w:p w:rsidR="002C3099" w:rsidRPr="00E9291A" w:rsidRDefault="002C3099" w:rsidP="002C3099">
      <w:pPr>
        <w:pStyle w:val="ListeParagraf"/>
        <w:numPr>
          <w:ilvl w:val="0"/>
          <w:numId w:val="2"/>
        </w:numPr>
        <w:tabs>
          <w:tab w:val="left" w:pos="284"/>
          <w:tab w:val="left" w:pos="567"/>
          <w:tab w:val="left" w:pos="709"/>
          <w:tab w:val="left" w:pos="851"/>
        </w:tabs>
        <w:spacing w:after="0"/>
        <w:ind w:left="284" w:firstLine="0"/>
      </w:pPr>
      <w:r w:rsidRPr="00E9291A">
        <w:t>Bu fiyatların yıllar itibar</w:t>
      </w:r>
      <w:r w:rsidR="00A54CE2">
        <w:t>ı</w:t>
      </w:r>
      <w:r w:rsidRPr="00E9291A">
        <w:t>yl</w:t>
      </w:r>
      <w:r w:rsidR="00A54CE2">
        <w:t>a</w:t>
      </w:r>
      <w:r w:rsidRPr="00E9291A">
        <w:t xml:space="preserve"> değişimi,</w:t>
      </w:r>
    </w:p>
    <w:p w:rsidR="002C3099" w:rsidRPr="00E9291A" w:rsidRDefault="002C3099" w:rsidP="002C3099">
      <w:pPr>
        <w:pStyle w:val="ListeParagraf"/>
        <w:numPr>
          <w:ilvl w:val="0"/>
          <w:numId w:val="2"/>
        </w:numPr>
        <w:tabs>
          <w:tab w:val="left" w:pos="284"/>
          <w:tab w:val="left" w:pos="567"/>
          <w:tab w:val="left" w:pos="709"/>
          <w:tab w:val="left" w:pos="851"/>
        </w:tabs>
        <w:spacing w:after="0"/>
        <w:ind w:left="284" w:firstLine="0"/>
      </w:pPr>
      <w:r w:rsidRPr="00E9291A">
        <w:t xml:space="preserve">Türkiye dağıtım ve bayi paylarının değişimi, </w:t>
      </w:r>
    </w:p>
    <w:p w:rsidR="002C3099" w:rsidRPr="00E9291A" w:rsidRDefault="002C3099" w:rsidP="002C3099">
      <w:pPr>
        <w:pStyle w:val="ListeParagraf"/>
        <w:numPr>
          <w:ilvl w:val="0"/>
          <w:numId w:val="2"/>
        </w:numPr>
        <w:tabs>
          <w:tab w:val="left" w:pos="284"/>
          <w:tab w:val="left" w:pos="567"/>
          <w:tab w:val="left" w:pos="709"/>
          <w:tab w:val="left" w:pos="851"/>
        </w:tabs>
        <w:spacing w:after="0"/>
        <w:ind w:left="284" w:firstLine="0"/>
      </w:pPr>
      <w:r w:rsidRPr="00E9291A">
        <w:t>Fiyat hareketlerinin tüketicilere yansıtılması,</w:t>
      </w:r>
    </w:p>
    <w:p w:rsidR="002C3099" w:rsidRDefault="002C3099" w:rsidP="002C3099">
      <w:pPr>
        <w:pStyle w:val="ListeParagraf"/>
        <w:numPr>
          <w:ilvl w:val="0"/>
          <w:numId w:val="2"/>
        </w:numPr>
        <w:tabs>
          <w:tab w:val="left" w:pos="284"/>
          <w:tab w:val="left" w:pos="567"/>
          <w:tab w:val="left" w:pos="709"/>
          <w:tab w:val="left" w:pos="851"/>
        </w:tabs>
        <w:spacing w:after="0"/>
        <w:ind w:left="284" w:firstLine="0"/>
      </w:pPr>
      <w:r w:rsidRPr="00E9291A">
        <w:t>En yakın erişilebilir dünya serbest piyasasında oluşan fiyatlar ile Türkiye-AB karşılaştırmaları</w:t>
      </w:r>
    </w:p>
    <w:p w:rsidR="00801036" w:rsidRPr="00E9291A" w:rsidRDefault="00801036" w:rsidP="00801036">
      <w:pPr>
        <w:pStyle w:val="ListeParagraf"/>
        <w:tabs>
          <w:tab w:val="left" w:pos="284"/>
          <w:tab w:val="left" w:pos="567"/>
          <w:tab w:val="left" w:pos="709"/>
          <w:tab w:val="left" w:pos="851"/>
        </w:tabs>
        <w:spacing w:after="0"/>
        <w:ind w:left="284"/>
      </w:pPr>
    </w:p>
    <w:p w:rsidR="002C3099" w:rsidRPr="00E9291A" w:rsidRDefault="002C3099" w:rsidP="002C3099">
      <w:pPr>
        <w:tabs>
          <w:tab w:val="left" w:pos="284"/>
          <w:tab w:val="left" w:pos="567"/>
          <w:tab w:val="left" w:pos="709"/>
          <w:tab w:val="left" w:pos="851"/>
        </w:tabs>
        <w:spacing w:after="0"/>
      </w:pPr>
      <w:r w:rsidRPr="00E9291A">
        <w:t xml:space="preserve">çerçevesinde incelenmektedir. </w:t>
      </w:r>
      <w:r>
        <w:t>Bu incelemeler neticesinde elde edilen bulgular m</w:t>
      </w:r>
      <w:r w:rsidRPr="00E9291A">
        <w:t xml:space="preserve">uhtelif zamanlarda piyasa katılımcıları ve </w:t>
      </w:r>
      <w:r>
        <w:t xml:space="preserve">ilgili </w:t>
      </w:r>
      <w:r w:rsidRPr="00E9291A">
        <w:t xml:space="preserve">Bakanlıklarla bir araya gelinerek </w:t>
      </w:r>
      <w:r>
        <w:t xml:space="preserve">değerlendirilmektedir. </w:t>
      </w:r>
    </w:p>
    <w:p w:rsidR="002C3099" w:rsidRDefault="002C3099" w:rsidP="002C3099">
      <w:pPr>
        <w:spacing w:after="0"/>
      </w:pPr>
      <w:r w:rsidRPr="00E9291A">
        <w:lastRenderedPageBreak/>
        <w:t>Dağıtıcı, iletim</w:t>
      </w:r>
      <w:r>
        <w:t xml:space="preserve"> ve</w:t>
      </w:r>
      <w:r w:rsidRPr="00E9291A">
        <w:t xml:space="preserve"> depolama lisansı almak üzere Kuruma başvuruda bulunan şirketlerin tarife dosyalarına ilişkin görüş verilmiştir. Ayrıca depolama ve iletim tarifelerinin tadil edilmesine ilişkin işlemler sonuçlandırılmıştır.</w:t>
      </w:r>
    </w:p>
    <w:p w:rsidR="00D76625" w:rsidRPr="00E9291A" w:rsidRDefault="00D76625" w:rsidP="002C3099">
      <w:pPr>
        <w:spacing w:after="0"/>
      </w:pPr>
    </w:p>
    <w:p w:rsidR="002C3099" w:rsidRPr="00E9291A" w:rsidRDefault="002C3099" w:rsidP="002C3099">
      <w:pPr>
        <w:autoSpaceDE w:val="0"/>
        <w:autoSpaceDN w:val="0"/>
        <w:adjustRightInd w:val="0"/>
        <w:spacing w:after="0"/>
        <w:rPr>
          <w:rFonts w:eastAsiaTheme="minorHAnsi"/>
        </w:rPr>
      </w:pPr>
      <w:r w:rsidRPr="00E9291A">
        <w:rPr>
          <w:rFonts w:eastAsiaTheme="minorHAnsi"/>
        </w:rPr>
        <w:t>Petrol Piyasası Fiyatla</w:t>
      </w:r>
      <w:r>
        <w:rPr>
          <w:rFonts w:eastAsiaTheme="minorHAnsi"/>
        </w:rPr>
        <w:t xml:space="preserve">ndırma Sistemi Yönetmeliğinin 8 </w:t>
      </w:r>
      <w:r w:rsidRPr="00E9291A">
        <w:rPr>
          <w:rFonts w:eastAsiaTheme="minorHAnsi"/>
        </w:rPr>
        <w:t xml:space="preserve">inci maddesinin üçüncü fıkrasında </w:t>
      </w:r>
      <w:r w:rsidRPr="00E9291A">
        <w:rPr>
          <w:rFonts w:eastAsiaTheme="minorHAnsi"/>
          <w:i/>
          <w:iCs/>
        </w:rPr>
        <w:t xml:space="preserve">“Tarife dosyası uygun bulunmayan lisans başvurularının” </w:t>
      </w:r>
      <w:r w:rsidRPr="00E9291A">
        <w:rPr>
          <w:rFonts w:eastAsiaTheme="minorHAnsi"/>
        </w:rPr>
        <w:t>reddedileceği belirtilmektedir. Bu kapsamda, Petrol Piyasası Dairesi Başkanlığına yapılan lisans başvuruları ekindeki tarife dosyaları incelenerek ilgili daireye görüş bildirilmiştir.</w:t>
      </w:r>
    </w:p>
    <w:p w:rsidR="002C3099" w:rsidRPr="00E9291A" w:rsidRDefault="002C3099" w:rsidP="002C3099">
      <w:pPr>
        <w:autoSpaceDE w:val="0"/>
        <w:autoSpaceDN w:val="0"/>
        <w:adjustRightInd w:val="0"/>
        <w:spacing w:after="0"/>
      </w:pPr>
    </w:p>
    <w:p w:rsidR="002C3099" w:rsidRPr="00E9291A" w:rsidRDefault="002C3099" w:rsidP="002C3099">
      <w:pPr>
        <w:spacing w:after="0"/>
      </w:pPr>
      <w:r w:rsidRPr="00E9291A">
        <w:t>Enerji Piyasası Bildirim Yönetmeliği kapsamında bildirim sisteminin fiyatlara ilişkin bölümünün yönetilmesi işlemleri yapılmakta, fiyat bildirimleri takip edilmekte, gerekli düzeltmelerin yapılması sağlanmakta</w:t>
      </w:r>
      <w:r>
        <w:t>dır</w:t>
      </w:r>
      <w:r w:rsidRPr="00E9291A">
        <w:t xml:space="preserve">. </w:t>
      </w:r>
    </w:p>
    <w:p w:rsidR="002C3099" w:rsidRPr="00E9291A" w:rsidRDefault="002C3099" w:rsidP="002C3099">
      <w:pPr>
        <w:spacing w:after="0"/>
      </w:pPr>
    </w:p>
    <w:p w:rsidR="002C3099" w:rsidRDefault="002C3099" w:rsidP="000A5A56">
      <w:pPr>
        <w:pStyle w:val="ListeParagraf"/>
        <w:numPr>
          <w:ilvl w:val="0"/>
          <w:numId w:val="4"/>
        </w:numPr>
        <w:autoSpaceDE w:val="0"/>
        <w:autoSpaceDN w:val="0"/>
        <w:adjustRightInd w:val="0"/>
        <w:spacing w:after="0"/>
      </w:pPr>
      <w:r w:rsidRPr="00E9291A">
        <w:t>Bildirim sistemi üzerinden yurtiçi fiyatların takibinin yapılmasının yanı</w:t>
      </w:r>
      <w:r>
        <w:t>-</w:t>
      </w:r>
      <w:r w:rsidRPr="00E9291A">
        <w:t>sıra, Platts aboneliği kapsamında Akdeniz piyasası başta olmak üzere ham petrol (Brent</w:t>
      </w:r>
      <w:r>
        <w:t>-</w:t>
      </w:r>
      <w:r w:rsidRPr="00E9291A">
        <w:t>dated) ve benzin, motorin, fueloil türleri, gazyağı, jet yakıtı gibi ürün fiyatlarının FOB ve CIF fiyatları, A</w:t>
      </w:r>
      <w:r>
        <w:t>B</w:t>
      </w:r>
      <w:r w:rsidRPr="00E9291A">
        <w:t xml:space="preserve"> ülkelerinin vergili ve vergisiz akaryakıt bayi satış fiyatları gibi yurt dışı fiyat hareketleri de takip edilmektedir. Elde edilen verilerden raporlar üretilmekte, tavan fiyat belirlenmesi sürecinde olduğu gibi dağıtıcı ve rafinerici lisansı sahiplerinin en yakın erişilebilir dünya serbest piyasa fiyat oluşumu kapsamında fiyat hareketlerini izlemek üzere analizlerde kullanılmaktadır.</w:t>
      </w:r>
      <w:r>
        <w:t xml:space="preserve"> Bu çerçevede, </w:t>
      </w:r>
      <w:r w:rsidRPr="00E9291A">
        <w:t xml:space="preserve">2014 yılında aylık olarak yayımlanmasına başlanan </w:t>
      </w:r>
      <w:r w:rsidRPr="00E9291A">
        <w:rPr>
          <w:i/>
        </w:rPr>
        <w:t>Petrol Piyasası Fiyatlandırma Rapor</w:t>
      </w:r>
      <w:r>
        <w:t xml:space="preserve">larının Kurumun internet sitesinde </w:t>
      </w:r>
      <w:r w:rsidRPr="00E9291A">
        <w:t>yayımlanma</w:t>
      </w:r>
      <w:r>
        <w:t>sına</w:t>
      </w:r>
      <w:r w:rsidRPr="00E9291A">
        <w:t xml:space="preserve"> devam e</w:t>
      </w:r>
      <w:r>
        <w:t>dil</w:t>
      </w:r>
      <w:r w:rsidRPr="00E9291A">
        <w:t>miştir.</w:t>
      </w:r>
    </w:p>
    <w:p w:rsidR="00846A82" w:rsidRPr="00E9291A" w:rsidRDefault="00846A82" w:rsidP="00846A82">
      <w:pPr>
        <w:pStyle w:val="ListeParagraf"/>
        <w:autoSpaceDE w:val="0"/>
        <w:autoSpaceDN w:val="0"/>
        <w:adjustRightInd w:val="0"/>
        <w:spacing w:after="0"/>
      </w:pPr>
    </w:p>
    <w:p w:rsidR="00C95F2B" w:rsidRDefault="00846A82" w:rsidP="002C3099">
      <w:pPr>
        <w:autoSpaceDE w:val="0"/>
        <w:autoSpaceDN w:val="0"/>
        <w:adjustRightInd w:val="0"/>
        <w:spacing w:after="0"/>
        <w:rPr>
          <w:color w:val="000000" w:themeColor="text1"/>
        </w:rPr>
      </w:pPr>
      <w:r w:rsidRPr="00410B0D">
        <w:rPr>
          <w:color w:val="000000" w:themeColor="text1"/>
        </w:rPr>
        <w:t>202</w:t>
      </w:r>
      <w:r w:rsidR="004D141C">
        <w:rPr>
          <w:color w:val="000000" w:themeColor="text1"/>
        </w:rPr>
        <w:t>2</w:t>
      </w:r>
      <w:r>
        <w:rPr>
          <w:color w:val="000000" w:themeColor="text1"/>
        </w:rPr>
        <w:t xml:space="preserve"> </w:t>
      </w:r>
      <w:r w:rsidRPr="00410B0D">
        <w:rPr>
          <w:color w:val="000000" w:themeColor="text1"/>
        </w:rPr>
        <w:t xml:space="preserve">yılında </w:t>
      </w:r>
      <w:r>
        <w:rPr>
          <w:color w:val="000000" w:themeColor="text1"/>
        </w:rPr>
        <w:t>petrol</w:t>
      </w:r>
      <w:r w:rsidRPr="00410B0D">
        <w:rPr>
          <w:color w:val="000000" w:themeColor="text1"/>
        </w:rPr>
        <w:t xml:space="preserve"> piyasasında aşağıdaki </w:t>
      </w:r>
      <w:r w:rsidR="00C95F2B">
        <w:rPr>
          <w:color w:val="000000" w:themeColor="text1"/>
        </w:rPr>
        <w:t xml:space="preserve">Tarife </w:t>
      </w:r>
      <w:r w:rsidRPr="00410B0D">
        <w:rPr>
          <w:color w:val="000000" w:themeColor="text1"/>
        </w:rPr>
        <w:t>Kurul Kararları ihdas edilmiştir</w:t>
      </w:r>
      <w:r w:rsidR="00C95F2B">
        <w:rPr>
          <w:color w:val="000000" w:themeColor="text1"/>
        </w:rPr>
        <w:t>:</w:t>
      </w:r>
    </w:p>
    <w:p w:rsidR="00C95F2B" w:rsidRDefault="00C95F2B" w:rsidP="002C3099">
      <w:pPr>
        <w:autoSpaceDE w:val="0"/>
        <w:autoSpaceDN w:val="0"/>
        <w:adjustRightInd w:val="0"/>
        <w:spacing w:after="0"/>
        <w:rPr>
          <w:color w:val="000000" w:themeColor="text1"/>
        </w:rPr>
      </w:pPr>
    </w:p>
    <w:p w:rsidR="004D141C" w:rsidRPr="000036BF" w:rsidRDefault="004D141C" w:rsidP="000A5A56">
      <w:pPr>
        <w:pStyle w:val="ListeParagraf"/>
        <w:numPr>
          <w:ilvl w:val="0"/>
          <w:numId w:val="8"/>
        </w:numPr>
        <w:spacing w:after="160" w:line="259" w:lineRule="auto"/>
      </w:pPr>
      <w:bookmarkStart w:id="309" w:name="_Hlk115903490"/>
      <w:bookmarkStart w:id="310" w:name="_Hlk78204515"/>
      <w:r w:rsidRPr="000036BF">
        <w:t xml:space="preserve">26.03.2022 tarihli ve 31790 sayılı Resmî </w:t>
      </w:r>
      <w:r w:rsidR="00274939">
        <w:t>Gazetede</w:t>
      </w:r>
      <w:r w:rsidRPr="000036BF">
        <w:t xml:space="preserve"> yayımlanan 24.03.2022 tarihli ve 10876 sayılı Kurul Kararı ile </w:t>
      </w:r>
      <w:bookmarkEnd w:id="309"/>
      <w:r w:rsidRPr="000036BF">
        <w:t xml:space="preserve">31.12.2021 tarihli ve 31706 sayılı (6. Mükerrer) Resmî </w:t>
      </w:r>
      <w:r w:rsidR="00274939">
        <w:t>Gazetede</w:t>
      </w:r>
      <w:r w:rsidRPr="000036BF">
        <w:t xml:space="preserve"> yayımlanan 30/12/2021 tarihli ve 10692 sayılı Kurul Kararı ile değişik, 26.09.2019 tarihli ve 8851 sayılı Kurul Kararı ile onaylanan ve 01.10.2019 tarihli ve 30905 sayılı Resmî </w:t>
      </w:r>
      <w:r w:rsidR="00274939">
        <w:t>Gazetede</w:t>
      </w:r>
      <w:r w:rsidRPr="000036BF">
        <w:t xml:space="preserve"> yayımlanarak yürürlüğe giren “</w:t>
      </w:r>
      <w:r w:rsidRPr="000036BF">
        <w:rPr>
          <w:b/>
        </w:rPr>
        <w:t>Dağıtıcı ve Bayi Marjlarının Paylaşımına İlişkin Kurul Kararı”</w:t>
      </w:r>
      <w:r w:rsidRPr="000036BF">
        <w:t>nın 4 üncü maddesinin aşağıdaki şekilde değiştirilmesine,</w:t>
      </w:r>
    </w:p>
    <w:p w:rsidR="004D141C" w:rsidRPr="000036BF" w:rsidRDefault="004D141C" w:rsidP="004D141C">
      <w:pPr>
        <w:pStyle w:val="ListeParagraf"/>
      </w:pPr>
    </w:p>
    <w:p w:rsidR="004D141C" w:rsidRPr="000036BF" w:rsidRDefault="004D141C" w:rsidP="004D141C">
      <w:pPr>
        <w:pStyle w:val="ListeParagraf"/>
        <w:ind w:left="1440"/>
        <w:rPr>
          <w:i/>
          <w:iCs/>
        </w:rPr>
      </w:pPr>
      <w:r w:rsidRPr="000036BF">
        <w:rPr>
          <w:i/>
          <w:iCs/>
        </w:rPr>
        <w:t>Madde 4- (1) Toplam marj (dağıtıcı ve bayi), dağıtıcı tarafından bayiye her bir benzin ve motorin türleri için tavsiye edilen veya tavan olarak belirlenen fiyattan ilgili bayiye harmanlama maliyeti dahil en yakın rafineri çıkış fiyatı düşülerek bulunur. Aynı ilde birden fazla rafineri olması durumunda en düşük fiyat esas alınır. Bayi marjı, ilgili bayiye harmanlama maliyeti dahil en yakın rafineri çıkış fiyatı ile Akaryakıt Dağıtım Fiyatı arasında farktan az olmayacak şekilde dağıtıcı ile bayi arasında serbestçe belirlenir.</w:t>
      </w:r>
    </w:p>
    <w:p w:rsidR="004D141C" w:rsidRPr="000036BF" w:rsidRDefault="004D141C" w:rsidP="004D141C">
      <w:pPr>
        <w:pStyle w:val="ListeParagraf"/>
        <w:rPr>
          <w:i/>
          <w:iCs/>
        </w:rPr>
      </w:pPr>
    </w:p>
    <w:p w:rsidR="004D141C" w:rsidRPr="000036BF" w:rsidRDefault="004D141C" w:rsidP="004D141C">
      <w:pPr>
        <w:pStyle w:val="ListeParagraf"/>
        <w:ind w:left="1440"/>
      </w:pPr>
      <w:r w:rsidRPr="000036BF">
        <w:rPr>
          <w:i/>
          <w:iCs/>
        </w:rPr>
        <w:t>(2) Elektronik sistemler ile yapılan satışlarda esas alınan toplam marj, indirimsiz satış fiyatı üzerinden hesaplanır. ”</w:t>
      </w:r>
    </w:p>
    <w:p w:rsidR="004D141C" w:rsidRPr="000036BF" w:rsidRDefault="004D141C" w:rsidP="004D141C">
      <w:pPr>
        <w:pStyle w:val="ListeParagraf"/>
      </w:pPr>
    </w:p>
    <w:p w:rsidR="004D141C" w:rsidRPr="000036BF" w:rsidRDefault="004D141C" w:rsidP="004D141C">
      <w:pPr>
        <w:pStyle w:val="ListeParagraf"/>
      </w:pPr>
      <w:r w:rsidRPr="000036BF">
        <w:t>karar verilmiştir.</w:t>
      </w:r>
    </w:p>
    <w:p w:rsidR="00C95F2B" w:rsidRPr="004D141C" w:rsidRDefault="004D141C" w:rsidP="000A5A56">
      <w:pPr>
        <w:numPr>
          <w:ilvl w:val="0"/>
          <w:numId w:val="35"/>
        </w:numPr>
        <w:spacing w:after="160" w:line="259" w:lineRule="auto"/>
        <w:contextualSpacing/>
      </w:pPr>
      <w:r>
        <w:t>08</w:t>
      </w:r>
      <w:r w:rsidR="00C95F2B" w:rsidRPr="00C95F2B">
        <w:t>.</w:t>
      </w:r>
      <w:r>
        <w:t>10</w:t>
      </w:r>
      <w:r w:rsidR="00C95F2B" w:rsidRPr="00C95F2B">
        <w:t>.202</w:t>
      </w:r>
      <w:r>
        <w:t>2</w:t>
      </w:r>
      <w:r w:rsidR="00C95F2B" w:rsidRPr="00C95F2B">
        <w:t xml:space="preserve"> tarihli ve 31</w:t>
      </w:r>
      <w:r>
        <w:t>977</w:t>
      </w:r>
      <w:r w:rsidR="00C95F2B" w:rsidRPr="00C95F2B">
        <w:t xml:space="preserve"> sayılı Resmî </w:t>
      </w:r>
      <w:r w:rsidR="00274939">
        <w:t>Gazetede</w:t>
      </w:r>
      <w:r w:rsidR="00C95F2B" w:rsidRPr="00C95F2B">
        <w:t xml:space="preserve"> yayımlanan </w:t>
      </w:r>
      <w:r>
        <w:t>06</w:t>
      </w:r>
      <w:r w:rsidR="00C95F2B" w:rsidRPr="00C95F2B">
        <w:t>.</w:t>
      </w:r>
      <w:r>
        <w:t>10</w:t>
      </w:r>
      <w:r w:rsidR="00C95F2B" w:rsidRPr="00C95F2B">
        <w:t>.202</w:t>
      </w:r>
      <w:r>
        <w:t>2</w:t>
      </w:r>
      <w:r w:rsidR="00C95F2B" w:rsidRPr="00C95F2B">
        <w:t xml:space="preserve"> tarihli 1</w:t>
      </w:r>
      <w:r>
        <w:t>1280</w:t>
      </w:r>
      <w:r w:rsidR="00C95F2B" w:rsidRPr="00C95F2B">
        <w:t xml:space="preserve"> sayılı </w:t>
      </w:r>
      <w:bookmarkEnd w:id="310"/>
      <w:r w:rsidR="00C95F2B" w:rsidRPr="00C95F2B">
        <w:t xml:space="preserve">Kurul Kararı ile </w:t>
      </w:r>
      <w:r w:rsidRPr="004D141C">
        <w:rPr>
          <w:bCs/>
        </w:rPr>
        <w:t xml:space="preserve">30/12/2021 tarihli ve 10692 sayılı Kurul Kararı ve 24/03/2022 tarihli ve 10876 sayılı Kurul Kararı ile değişik, 01/10/2019 tarihli ve 30905 sayılı </w:t>
      </w:r>
      <w:r w:rsidR="00DC783D">
        <w:rPr>
          <w:bCs/>
        </w:rPr>
        <w:t>Resmî</w:t>
      </w:r>
      <w:r w:rsidRPr="004D141C">
        <w:rPr>
          <w:bCs/>
        </w:rPr>
        <w:t xml:space="preserve"> </w:t>
      </w:r>
      <w:r w:rsidR="00274939">
        <w:rPr>
          <w:bCs/>
        </w:rPr>
        <w:t>Gazetede</w:t>
      </w:r>
      <w:r w:rsidRPr="004D141C">
        <w:rPr>
          <w:bCs/>
        </w:rPr>
        <w:t xml:space="preserve"> yayımlanarak yürürlüğe giren 26/09/2019 tarihli ve 8851 sayılı </w:t>
      </w:r>
      <w:r w:rsidRPr="004D141C">
        <w:rPr>
          <w:bCs/>
          <w:i/>
        </w:rPr>
        <w:t>Dağıtıcı ve Bayi Marjlarının Paylaşımına İlişkin Kurul Kararı</w:t>
      </w:r>
      <w:r w:rsidRPr="004D141C">
        <w:rPr>
          <w:bCs/>
        </w:rPr>
        <w:t>’nın 4 üncü maddesine ikinci fıkradan sonra gelmek üzere aşağıdaki fıkranın eklenmesine,</w:t>
      </w:r>
    </w:p>
    <w:p w:rsidR="004D141C" w:rsidRPr="004D141C" w:rsidRDefault="004D141C" w:rsidP="004D141C">
      <w:pPr>
        <w:pStyle w:val="ListeParagraf"/>
        <w:ind w:left="1440"/>
        <w:rPr>
          <w:i/>
          <w:iCs/>
        </w:rPr>
      </w:pPr>
      <w:r w:rsidRPr="004D141C">
        <w:rPr>
          <w:i/>
          <w:iCs/>
        </w:rPr>
        <w:lastRenderedPageBreak/>
        <w:t>“(3) Dağıtıcı tarafından her ne ad veya yöntem (sadakat kart, indirim kart, çeşitli mobil uygulamalar vb.) ile yapılırsa yapılsın, indirimli satışlarda yapılan indirimler dağıtıcı marjından karşılanır.”</w:t>
      </w:r>
    </w:p>
    <w:p w:rsidR="004D141C" w:rsidRDefault="004D141C" w:rsidP="004D141C">
      <w:pPr>
        <w:pStyle w:val="ListeParagraf"/>
        <w:spacing w:after="160" w:line="259" w:lineRule="auto"/>
        <w:rPr>
          <w:rFonts w:cstheme="minorHAnsi"/>
        </w:rPr>
      </w:pPr>
      <w:r w:rsidRPr="004D141C">
        <w:rPr>
          <w:rFonts w:cstheme="minorHAnsi"/>
        </w:rPr>
        <w:t>karar verilmiştir.</w:t>
      </w:r>
    </w:p>
    <w:p w:rsidR="001B6113" w:rsidRDefault="001B6113" w:rsidP="004D141C">
      <w:pPr>
        <w:pStyle w:val="ListeParagraf"/>
        <w:spacing w:after="160" w:line="259" w:lineRule="auto"/>
        <w:rPr>
          <w:rFonts w:cstheme="minorHAnsi"/>
        </w:rPr>
      </w:pPr>
    </w:p>
    <w:p w:rsidR="001B6113" w:rsidRPr="00542482" w:rsidRDefault="001B6113" w:rsidP="001B6113">
      <w:pPr>
        <w:pStyle w:val="ListeParagraf"/>
        <w:numPr>
          <w:ilvl w:val="0"/>
          <w:numId w:val="35"/>
        </w:numPr>
        <w:spacing w:after="160" w:line="259" w:lineRule="auto"/>
        <w:rPr>
          <w:rFonts w:cstheme="minorHAnsi"/>
        </w:rPr>
      </w:pPr>
      <w:r>
        <w:rPr>
          <w:rFonts w:cstheme="minorHAnsi"/>
        </w:rPr>
        <w:t xml:space="preserve">30.12.2022 tarihli ve 32059 sayılı Resmî </w:t>
      </w:r>
      <w:r w:rsidR="00274939">
        <w:rPr>
          <w:rFonts w:cstheme="minorHAnsi"/>
        </w:rPr>
        <w:t>Gazetede</w:t>
      </w:r>
      <w:r>
        <w:rPr>
          <w:rFonts w:cstheme="minorHAnsi"/>
        </w:rPr>
        <w:t xml:space="preserve"> yayımlanan 29.12.2022 tarihli ve 11528 sayılı Akaryakıt Fiyatlarının Takibine İlişkin Kurul Kararı ile dağıtıcı ve bayi marjı toplamının takibinde </w:t>
      </w:r>
      <w:r w:rsidRPr="008F254F">
        <w:t>TCMB</w:t>
      </w:r>
      <w:r w:rsidRPr="008F254F">
        <w:rPr>
          <w:spacing w:val="-5"/>
        </w:rPr>
        <w:t xml:space="preserve"> </w:t>
      </w:r>
      <w:r w:rsidRPr="008F254F">
        <w:t>faiz</w:t>
      </w:r>
      <w:r w:rsidRPr="008F254F">
        <w:rPr>
          <w:spacing w:val="-4"/>
        </w:rPr>
        <w:t xml:space="preserve"> </w:t>
      </w:r>
      <w:r w:rsidRPr="008F254F">
        <w:rPr>
          <w:spacing w:val="-1"/>
        </w:rPr>
        <w:t>oranları,</w:t>
      </w:r>
      <w:r w:rsidRPr="008F254F">
        <w:rPr>
          <w:spacing w:val="-3"/>
        </w:rPr>
        <w:t xml:space="preserve"> </w:t>
      </w:r>
      <w:r w:rsidRPr="008F254F">
        <w:rPr>
          <w:spacing w:val="-1"/>
        </w:rPr>
        <w:t>enflasyon,</w:t>
      </w:r>
      <w:r w:rsidRPr="008F254F">
        <w:rPr>
          <w:spacing w:val="-5"/>
        </w:rPr>
        <w:t xml:space="preserve"> </w:t>
      </w:r>
      <w:r w:rsidRPr="008F254F">
        <w:t>döviz</w:t>
      </w:r>
      <w:r w:rsidRPr="008F254F">
        <w:rPr>
          <w:spacing w:val="-3"/>
        </w:rPr>
        <w:t xml:space="preserve"> </w:t>
      </w:r>
      <w:r w:rsidRPr="008F254F">
        <w:t>kuru,</w:t>
      </w:r>
      <w:r w:rsidRPr="008F254F">
        <w:rPr>
          <w:spacing w:val="-3"/>
        </w:rPr>
        <w:t xml:space="preserve"> </w:t>
      </w:r>
      <w:r w:rsidRPr="008F254F">
        <w:t>asgari</w:t>
      </w:r>
      <w:r w:rsidRPr="008F254F">
        <w:rPr>
          <w:spacing w:val="-5"/>
        </w:rPr>
        <w:t xml:space="preserve"> </w:t>
      </w:r>
      <w:r w:rsidRPr="008F254F">
        <w:t>ücret</w:t>
      </w:r>
      <w:r w:rsidRPr="008F254F">
        <w:rPr>
          <w:spacing w:val="-4"/>
        </w:rPr>
        <w:t xml:space="preserve"> </w:t>
      </w:r>
      <w:r>
        <w:t>gibi</w:t>
      </w:r>
      <w:r>
        <w:rPr>
          <w:rFonts w:cstheme="minorHAnsi"/>
        </w:rPr>
        <w:t xml:space="preserve"> yurt içi piyasa koşulları ile takip edilmesi Kararı verilmiş olup </w:t>
      </w:r>
      <w:r w:rsidRPr="00542482">
        <w:rPr>
          <w:rFonts w:cstheme="minorHAnsi"/>
        </w:rPr>
        <w:t xml:space="preserve">03.11.2014 tarihli ve 5291 sayılı Kurul Kararı ile onaylanan ve 07.11.2014 tarihli ve 29168 sayılı Resmî </w:t>
      </w:r>
      <w:r w:rsidR="00274939">
        <w:rPr>
          <w:rFonts w:cstheme="minorHAnsi"/>
        </w:rPr>
        <w:t>Gazetede</w:t>
      </w:r>
      <w:r w:rsidRPr="00542482">
        <w:rPr>
          <w:rFonts w:cstheme="minorHAnsi"/>
        </w:rPr>
        <w:t xml:space="preserve"> yayımlanarak yürürlüğe giren </w:t>
      </w:r>
      <w:r w:rsidRPr="00E6446B">
        <w:rPr>
          <w:rFonts w:cstheme="minorHAnsi"/>
          <w:b/>
        </w:rPr>
        <w:t>Akaryakıt Fiyatlarının Takibine İlişkin Kurul Kararı</w:t>
      </w:r>
      <w:r w:rsidRPr="00542482">
        <w:rPr>
          <w:rFonts w:cstheme="minorHAnsi"/>
          <w:b/>
        </w:rPr>
        <w:t xml:space="preserve"> </w:t>
      </w:r>
      <w:r w:rsidRPr="00E6446B">
        <w:rPr>
          <w:rFonts w:cstheme="minorHAnsi"/>
        </w:rPr>
        <w:t>kaldırıl</w:t>
      </w:r>
      <w:r>
        <w:rPr>
          <w:rFonts w:cstheme="minorHAnsi"/>
        </w:rPr>
        <w:t>mıştır.</w:t>
      </w:r>
    </w:p>
    <w:p w:rsidR="00A024D9" w:rsidRPr="00801036" w:rsidRDefault="002C3099" w:rsidP="000A5A56">
      <w:pPr>
        <w:pStyle w:val="Balk3"/>
        <w:numPr>
          <w:ilvl w:val="2"/>
          <w:numId w:val="11"/>
        </w:numPr>
        <w:spacing w:before="0" w:after="240"/>
        <w:rPr>
          <w:rFonts w:asciiTheme="minorHAnsi" w:hAnsiTheme="minorHAnsi"/>
          <w:color w:val="000000" w:themeColor="text1"/>
        </w:rPr>
      </w:pPr>
      <w:bookmarkStart w:id="311" w:name="_Toc66267393"/>
      <w:bookmarkStart w:id="312" w:name="_Toc132713825"/>
      <w:r w:rsidRPr="00E9291A">
        <w:rPr>
          <w:rFonts w:asciiTheme="minorHAnsi" w:hAnsiTheme="minorHAnsi"/>
          <w:color w:val="000000" w:themeColor="text1"/>
        </w:rPr>
        <w:t>Lisans Bedelleri</w:t>
      </w:r>
      <w:bookmarkEnd w:id="311"/>
      <w:bookmarkEnd w:id="312"/>
    </w:p>
    <w:p w:rsidR="002C3099" w:rsidRPr="00F9112A" w:rsidRDefault="00A024D9" w:rsidP="002C3099">
      <w:pPr>
        <w:rPr>
          <w:rFonts w:cs="Arial"/>
          <w:color w:val="000000" w:themeColor="text1"/>
        </w:rPr>
      </w:pPr>
      <w:r w:rsidRPr="00A024D9">
        <w:rPr>
          <w:rFonts w:cs="Arial"/>
          <w:color w:val="000000" w:themeColor="text1"/>
        </w:rPr>
        <w:t xml:space="preserve">22.12.2021 tarihli ve 31697 sayılı </w:t>
      </w:r>
      <w:r w:rsidR="00DC783D">
        <w:rPr>
          <w:rFonts w:cs="Arial"/>
          <w:color w:val="000000" w:themeColor="text1"/>
        </w:rPr>
        <w:t>Resmî</w:t>
      </w:r>
      <w:r w:rsidRPr="00A024D9">
        <w:rPr>
          <w:rFonts w:cs="Arial"/>
          <w:color w:val="000000" w:themeColor="text1"/>
        </w:rPr>
        <w:t xml:space="preserve"> </w:t>
      </w:r>
      <w:r w:rsidR="00274939">
        <w:rPr>
          <w:rFonts w:cs="Arial"/>
          <w:color w:val="000000" w:themeColor="text1"/>
        </w:rPr>
        <w:t>Gazetede</w:t>
      </w:r>
      <w:r w:rsidRPr="00A024D9">
        <w:rPr>
          <w:rFonts w:cs="Arial"/>
          <w:color w:val="000000" w:themeColor="text1"/>
        </w:rPr>
        <w:t xml:space="preserve"> yayımlanan 16.12.2021 tarihli ve 10639 sayılı Kurul Kararı ile 4628 sayılı Enerji Piyasası Düzenleme Kurumunun Teşkilat ve Görevleri Hakkında Kanununun 5 inci maddesinin yedinci fıkrasının (i) bendi ve 10 uncu maddesinin 5015 sayılı Petrol Piyasası Kanununun 27 inci maddesi ile değişik (C) fıkrasının (b) bendi ile Petrol Piyasası Lisans Yönetmeliğinin 13 üncü maddesi uyarınca 2022 yılında uygulanacak olan lisans alma, lisans tadili, süre uzatımı (vize), lisans sureti çıkartma, tarife onayı, akaryakıt ticaret izni ve kupon hizmeti izin bedelleri belirlenmiştir.</w:t>
      </w:r>
    </w:p>
    <w:p w:rsidR="002C3099" w:rsidRDefault="002C3099" w:rsidP="002C3099">
      <w:pPr>
        <w:spacing w:after="0"/>
      </w:pPr>
      <w:r w:rsidRPr="00F9112A">
        <w:rPr>
          <w:color w:val="000000" w:themeColor="text1"/>
        </w:rPr>
        <w:t>22.12.202</w:t>
      </w:r>
      <w:r w:rsidR="00E924F5">
        <w:rPr>
          <w:color w:val="000000" w:themeColor="text1"/>
        </w:rPr>
        <w:t>1</w:t>
      </w:r>
      <w:r w:rsidRPr="00F9112A">
        <w:rPr>
          <w:color w:val="000000" w:themeColor="text1"/>
        </w:rPr>
        <w:t xml:space="preserve"> tarihli ve 31</w:t>
      </w:r>
      <w:r w:rsidR="00E924F5">
        <w:rPr>
          <w:color w:val="000000" w:themeColor="text1"/>
        </w:rPr>
        <w:t>697</w:t>
      </w:r>
      <w:r w:rsidRPr="00F9112A">
        <w:rPr>
          <w:color w:val="000000" w:themeColor="text1"/>
        </w:rPr>
        <w:t xml:space="preserve"> sayılı </w:t>
      </w:r>
      <w:r w:rsidR="00D76625" w:rsidRPr="00F9112A">
        <w:rPr>
          <w:color w:val="000000" w:themeColor="text1"/>
        </w:rPr>
        <w:t>Resmî</w:t>
      </w:r>
      <w:r w:rsidRPr="00F9112A">
        <w:rPr>
          <w:color w:val="000000" w:themeColor="text1"/>
        </w:rPr>
        <w:t xml:space="preserve"> </w:t>
      </w:r>
      <w:r w:rsidR="00274939">
        <w:rPr>
          <w:color w:val="000000" w:themeColor="text1"/>
        </w:rPr>
        <w:t>Gazetede</w:t>
      </w:r>
      <w:r w:rsidRPr="00F9112A">
        <w:rPr>
          <w:color w:val="000000" w:themeColor="text1"/>
        </w:rPr>
        <w:t xml:space="preserve"> yayımlanan 1</w:t>
      </w:r>
      <w:r w:rsidR="00E924F5">
        <w:rPr>
          <w:color w:val="000000" w:themeColor="text1"/>
        </w:rPr>
        <w:t>6</w:t>
      </w:r>
      <w:r w:rsidRPr="00F9112A">
        <w:rPr>
          <w:color w:val="000000" w:themeColor="text1"/>
        </w:rPr>
        <w:t>.12.202</w:t>
      </w:r>
      <w:r w:rsidR="00E924F5">
        <w:rPr>
          <w:color w:val="000000" w:themeColor="text1"/>
        </w:rPr>
        <w:t>1</w:t>
      </w:r>
      <w:r w:rsidRPr="00F9112A">
        <w:rPr>
          <w:color w:val="000000" w:themeColor="text1"/>
        </w:rPr>
        <w:t xml:space="preserve"> tarihli ve </w:t>
      </w:r>
      <w:r w:rsidR="00E924F5">
        <w:rPr>
          <w:color w:val="000000" w:themeColor="text1"/>
        </w:rPr>
        <w:t>10638</w:t>
      </w:r>
      <w:r w:rsidRPr="00F9112A">
        <w:rPr>
          <w:color w:val="000000" w:themeColor="text1"/>
        </w:rPr>
        <w:t xml:space="preserve"> sayılı Kurul Kararı ile 4628 sayılı Kanunun 10 uncu maddesinin </w:t>
      </w:r>
      <w:r w:rsidRPr="00F9112A">
        <w:t>5015 sayılı Kanunun 27 nci maddesi ile değişik (C) bendinin (a) alt bendi uyarınca petrol piyasasında faaliyet gösterecek lisans sahibi gerçek ve tüzel kişilerin ödemekle yükümlü oldukları 202</w:t>
      </w:r>
      <w:r w:rsidR="00E924F5">
        <w:t>2</w:t>
      </w:r>
      <w:r w:rsidRPr="00F9112A">
        <w:t xml:space="preserve"> yılı için uygulanacak katılma payı oranları belirlenmiştir.</w:t>
      </w:r>
      <w:r>
        <w:br w:type="page"/>
      </w:r>
    </w:p>
    <w:p w:rsidR="00F17ADC" w:rsidRPr="00801036" w:rsidRDefault="002C3099" w:rsidP="000A5A56">
      <w:pPr>
        <w:pStyle w:val="Balk2"/>
        <w:numPr>
          <w:ilvl w:val="1"/>
          <w:numId w:val="11"/>
        </w:numPr>
        <w:spacing w:before="0" w:after="240"/>
        <w:rPr>
          <w:rFonts w:asciiTheme="minorHAnsi" w:hAnsiTheme="minorHAnsi"/>
          <w:color w:val="auto"/>
          <w:sz w:val="22"/>
          <w:szCs w:val="22"/>
        </w:rPr>
      </w:pPr>
      <w:bookmarkStart w:id="313" w:name="_Toc66267394"/>
      <w:bookmarkStart w:id="314" w:name="_Toc132713826"/>
      <w:r w:rsidRPr="00E9291A">
        <w:rPr>
          <w:rFonts w:asciiTheme="minorHAnsi" w:hAnsiTheme="minorHAnsi"/>
          <w:color w:val="auto"/>
          <w:sz w:val="22"/>
          <w:szCs w:val="22"/>
        </w:rPr>
        <w:lastRenderedPageBreak/>
        <w:t>Sıvılaştırılmış Petrol Gazları (LPG) Piyasasında Fiyatlar</w:t>
      </w:r>
      <w:bookmarkEnd w:id="313"/>
      <w:bookmarkEnd w:id="314"/>
    </w:p>
    <w:p w:rsidR="002C3099" w:rsidRPr="00E9291A" w:rsidRDefault="002C3099" w:rsidP="002C3099">
      <w:pPr>
        <w:spacing w:after="0"/>
      </w:pPr>
      <w:r>
        <w:rPr>
          <w:rFonts w:ascii="Calibri" w:eastAsiaTheme="minorHAnsi" w:hAnsi="Calibri" w:cs="Calibri"/>
        </w:rPr>
        <w:t>5307 sayılı Sıvılaştırılmış Petrol Gazları (LPG) Piyasası Kanunu ve Elektrik</w:t>
      </w:r>
      <w:r w:rsidR="00A60F1C">
        <w:rPr>
          <w:rFonts w:ascii="Calibri" w:eastAsiaTheme="minorHAnsi" w:hAnsi="Calibri" w:cs="Calibri"/>
        </w:rPr>
        <w:t xml:space="preserve"> </w:t>
      </w:r>
      <w:r>
        <w:rPr>
          <w:rFonts w:ascii="Calibri" w:eastAsiaTheme="minorHAnsi" w:hAnsi="Calibri" w:cs="Calibri"/>
        </w:rPr>
        <w:t>Piyasası Kanununda Değişiklik Yapılmasına Dair Kanun</w:t>
      </w:r>
      <w:r w:rsidRPr="00E9291A">
        <w:t>, LPG alım satımında fiyatların, erişilebilir dünya serbest piyasa koşullarına göre oluşmasını öngörmektedir. Kanuna göre, rafinericiler ve dağıtıcılar, lisansları kapsamında yaptıkları piyasa faaliyetlerine ilişkin fiyatları, erişilebilir dünya serbest piyasalarındaki fiyat oluşumunu dikkate alarak, tavan fiyatlar olarak Kuruma bildir</w:t>
      </w:r>
      <w:r>
        <w:t>mekted</w:t>
      </w:r>
      <w:r w:rsidRPr="00E9291A">
        <w:t xml:space="preserve">irler. </w:t>
      </w:r>
    </w:p>
    <w:p w:rsidR="002C3099" w:rsidRPr="00E9291A" w:rsidRDefault="002C3099" w:rsidP="002C3099">
      <w:pPr>
        <w:spacing w:after="0"/>
      </w:pPr>
    </w:p>
    <w:p w:rsidR="002C3099" w:rsidRPr="00E9291A" w:rsidRDefault="002C3099" w:rsidP="002C3099">
      <w:pPr>
        <w:spacing w:after="0"/>
      </w:pPr>
      <w:r w:rsidRPr="00E9291A">
        <w:t>Bu kapsamda rafineri</w:t>
      </w:r>
      <w:r>
        <w:t>ci</w:t>
      </w:r>
      <w:r w:rsidRPr="00E9291A">
        <w:t>ler ve dağıtıcıların, lisansları kapsamında yaptıkları piyasa faaliyetlerine ilişkin vermiş oldukları tavan fiyat bildirimleri dikkate alınarak yurtiçi LPG fiyatlarındaki gelişmeler düzenli olarak izlenmiştir. Düzenli olarak Kuruma verilen bildirimlerin yanı sıra otogaz fiyatları üzerine kapsamlı çalışmalar gerçekleştirilmiştir. Ülkemiz LPG piyasasındaki fiyatlardaki gelişm</w:t>
      </w:r>
      <w:r>
        <w:t>e</w:t>
      </w:r>
      <w:r w:rsidRPr="00E9291A">
        <w:t>ler AB ülkelerindeki fiyat hareketleri ile karşılaştırılmış</w:t>
      </w:r>
      <w:r>
        <w:t>tır</w:t>
      </w:r>
      <w:r w:rsidRPr="00E9291A">
        <w:t xml:space="preserve">. </w:t>
      </w:r>
    </w:p>
    <w:p w:rsidR="00F17ADC" w:rsidRPr="00801036" w:rsidRDefault="002C3099" w:rsidP="000A5A56">
      <w:pPr>
        <w:pStyle w:val="Balk3"/>
        <w:numPr>
          <w:ilvl w:val="2"/>
          <w:numId w:val="11"/>
        </w:numPr>
        <w:spacing w:after="240"/>
        <w:rPr>
          <w:rFonts w:asciiTheme="minorHAnsi" w:hAnsiTheme="minorHAnsi"/>
          <w:color w:val="000000" w:themeColor="text1"/>
        </w:rPr>
      </w:pPr>
      <w:bookmarkStart w:id="315" w:name="_Toc66267395"/>
      <w:bookmarkStart w:id="316" w:name="_Toc132713827"/>
      <w:r w:rsidRPr="00E9291A">
        <w:rPr>
          <w:rFonts w:asciiTheme="minorHAnsi" w:hAnsiTheme="minorHAnsi"/>
          <w:color w:val="000000" w:themeColor="text1"/>
        </w:rPr>
        <w:t>Lisans Bedelleri</w:t>
      </w:r>
      <w:bookmarkEnd w:id="315"/>
      <w:bookmarkEnd w:id="316"/>
    </w:p>
    <w:p w:rsidR="002C3099" w:rsidRPr="00F9112A" w:rsidRDefault="002C3099" w:rsidP="002C3099">
      <w:pPr>
        <w:spacing w:after="0"/>
        <w:rPr>
          <w:color w:val="000000" w:themeColor="text1"/>
        </w:rPr>
      </w:pPr>
      <w:r w:rsidRPr="00F9112A">
        <w:rPr>
          <w:color w:val="000000" w:themeColor="text1"/>
        </w:rPr>
        <w:t>22.12.202</w:t>
      </w:r>
      <w:r w:rsidR="00713FA9">
        <w:rPr>
          <w:color w:val="000000" w:themeColor="text1"/>
        </w:rPr>
        <w:t>1</w:t>
      </w:r>
      <w:r w:rsidRPr="00F9112A">
        <w:rPr>
          <w:color w:val="000000" w:themeColor="text1"/>
        </w:rPr>
        <w:t xml:space="preserve"> tarihli ve 31</w:t>
      </w:r>
      <w:r w:rsidR="00713FA9">
        <w:rPr>
          <w:color w:val="000000" w:themeColor="text1"/>
        </w:rPr>
        <w:t>697</w:t>
      </w:r>
      <w:r w:rsidRPr="00F9112A">
        <w:rPr>
          <w:color w:val="000000" w:themeColor="text1"/>
        </w:rPr>
        <w:t xml:space="preserve"> sayılı </w:t>
      </w:r>
      <w:r w:rsidR="00FF2D6F" w:rsidRPr="00F9112A">
        <w:rPr>
          <w:color w:val="000000" w:themeColor="text1"/>
        </w:rPr>
        <w:t>Resmî</w:t>
      </w:r>
      <w:r w:rsidRPr="00F9112A">
        <w:rPr>
          <w:color w:val="000000" w:themeColor="text1"/>
        </w:rPr>
        <w:t xml:space="preserve"> </w:t>
      </w:r>
      <w:r w:rsidR="00274939">
        <w:rPr>
          <w:color w:val="000000" w:themeColor="text1"/>
        </w:rPr>
        <w:t>Gazetede</w:t>
      </w:r>
      <w:r w:rsidRPr="00F9112A">
        <w:rPr>
          <w:color w:val="000000" w:themeColor="text1"/>
        </w:rPr>
        <w:t xml:space="preserve"> yayımlanan 1</w:t>
      </w:r>
      <w:r w:rsidR="00713FA9">
        <w:rPr>
          <w:color w:val="000000" w:themeColor="text1"/>
        </w:rPr>
        <w:t>6</w:t>
      </w:r>
      <w:r w:rsidRPr="00F9112A">
        <w:rPr>
          <w:color w:val="000000" w:themeColor="text1"/>
        </w:rPr>
        <w:t>.12.202</w:t>
      </w:r>
      <w:r w:rsidR="003354DC">
        <w:rPr>
          <w:color w:val="000000" w:themeColor="text1"/>
        </w:rPr>
        <w:t xml:space="preserve">1 </w:t>
      </w:r>
      <w:r w:rsidRPr="00F9112A">
        <w:rPr>
          <w:color w:val="000000" w:themeColor="text1"/>
        </w:rPr>
        <w:t xml:space="preserve">tarihli ve </w:t>
      </w:r>
      <w:r w:rsidR="00713FA9">
        <w:rPr>
          <w:color w:val="000000" w:themeColor="text1"/>
        </w:rPr>
        <w:t>10641</w:t>
      </w:r>
      <w:r w:rsidRPr="00F9112A">
        <w:rPr>
          <w:color w:val="000000" w:themeColor="text1"/>
        </w:rPr>
        <w:t xml:space="preserve"> sayılı Kurul Kararı ile </w:t>
      </w:r>
      <w:r w:rsidRPr="00F9112A">
        <w:rPr>
          <w:rFonts w:ascii="Calibri" w:eastAsiaTheme="minorHAnsi" w:hAnsi="Calibri" w:cs="Calibri"/>
        </w:rPr>
        <w:t>5307 sayılı Sıvılaştırılmış Petrol Gazları (LPG) Piyasası Kanunu ve Elektrik Piyasası Kanununda Değişiklik Yapılmasına Dair Kanun</w:t>
      </w:r>
      <w:r w:rsidRPr="00F9112A">
        <w:t xml:space="preserve"> ve </w:t>
      </w:r>
      <w:r w:rsidRPr="00F9112A">
        <w:rPr>
          <w:color w:val="000000"/>
        </w:rPr>
        <w:t xml:space="preserve">Sıvılaştırılmış Petrol Gazları (LPG) Piyasası Lisans </w:t>
      </w:r>
      <w:r w:rsidRPr="00F9112A">
        <w:t>Yönetmeliği uyarınca sıvılaştırılmış LPG piyasasında 202</w:t>
      </w:r>
      <w:r w:rsidR="00713FA9">
        <w:t>2</w:t>
      </w:r>
      <w:r w:rsidRPr="00F9112A">
        <w:t xml:space="preserve"> yılı için uygulanacak olan lisans alma, lisans tadili, süre uzatımı (vize) ve lisans sureti çıkartma bedelleri</w:t>
      </w:r>
      <w:r w:rsidRPr="00F9112A">
        <w:rPr>
          <w:color w:val="000000" w:themeColor="text1"/>
        </w:rPr>
        <w:t xml:space="preserve"> belirlenmiştir.</w:t>
      </w:r>
    </w:p>
    <w:p w:rsidR="002C3099" w:rsidRPr="00F9112A" w:rsidRDefault="002C3099" w:rsidP="002C3099">
      <w:pPr>
        <w:spacing w:after="0"/>
        <w:rPr>
          <w:color w:val="000000" w:themeColor="text1"/>
        </w:rPr>
      </w:pPr>
    </w:p>
    <w:p w:rsidR="002C3099" w:rsidRDefault="002C3099" w:rsidP="002C3099">
      <w:pPr>
        <w:rPr>
          <w:color w:val="000000" w:themeColor="text1"/>
        </w:rPr>
      </w:pPr>
      <w:r w:rsidRPr="00F9112A">
        <w:rPr>
          <w:color w:val="000000" w:themeColor="text1"/>
        </w:rPr>
        <w:t>22.12.202</w:t>
      </w:r>
      <w:r w:rsidR="00713FA9">
        <w:rPr>
          <w:color w:val="000000" w:themeColor="text1"/>
        </w:rPr>
        <w:t>1</w:t>
      </w:r>
      <w:r w:rsidRPr="00F9112A">
        <w:rPr>
          <w:color w:val="000000" w:themeColor="text1"/>
        </w:rPr>
        <w:t xml:space="preserve"> tarihli ve 31</w:t>
      </w:r>
      <w:r w:rsidR="00713FA9">
        <w:rPr>
          <w:color w:val="000000" w:themeColor="text1"/>
        </w:rPr>
        <w:t>697</w:t>
      </w:r>
      <w:r w:rsidRPr="00F9112A">
        <w:rPr>
          <w:color w:val="000000" w:themeColor="text1"/>
        </w:rPr>
        <w:t xml:space="preserve"> sayılı </w:t>
      </w:r>
      <w:r w:rsidR="00FF2D6F" w:rsidRPr="00F9112A">
        <w:rPr>
          <w:color w:val="000000" w:themeColor="text1"/>
        </w:rPr>
        <w:t>Resmî</w:t>
      </w:r>
      <w:r w:rsidRPr="00F9112A">
        <w:rPr>
          <w:color w:val="000000" w:themeColor="text1"/>
        </w:rPr>
        <w:t xml:space="preserve"> </w:t>
      </w:r>
      <w:r w:rsidR="00274939">
        <w:rPr>
          <w:color w:val="000000" w:themeColor="text1"/>
        </w:rPr>
        <w:t>Gazetede</w:t>
      </w:r>
      <w:r w:rsidRPr="00F9112A">
        <w:rPr>
          <w:color w:val="000000" w:themeColor="text1"/>
        </w:rPr>
        <w:t xml:space="preserve"> yayımlanan 1</w:t>
      </w:r>
      <w:r w:rsidR="00713FA9">
        <w:rPr>
          <w:color w:val="000000" w:themeColor="text1"/>
        </w:rPr>
        <w:t>6</w:t>
      </w:r>
      <w:r w:rsidRPr="00F9112A">
        <w:rPr>
          <w:color w:val="000000" w:themeColor="text1"/>
        </w:rPr>
        <w:t>.12.202</w:t>
      </w:r>
      <w:r w:rsidR="003354DC">
        <w:rPr>
          <w:color w:val="000000" w:themeColor="text1"/>
        </w:rPr>
        <w:t>1</w:t>
      </w:r>
      <w:r w:rsidRPr="00F9112A">
        <w:rPr>
          <w:color w:val="000000" w:themeColor="text1"/>
        </w:rPr>
        <w:t xml:space="preserve"> tarihli ve </w:t>
      </w:r>
      <w:r w:rsidR="00713FA9">
        <w:rPr>
          <w:color w:val="000000" w:themeColor="text1"/>
        </w:rPr>
        <w:t>10640</w:t>
      </w:r>
      <w:r w:rsidRPr="00F9112A">
        <w:rPr>
          <w:color w:val="000000" w:themeColor="text1"/>
        </w:rPr>
        <w:t xml:space="preserve"> sayılı Kurul Kararı ile 4628 sayılı Kanunun 10 uncu maddesinin 5015 sayılı Kanunun 27 nci maddesi ile değişik </w:t>
      </w:r>
      <w:r w:rsidRPr="00F9112A">
        <w:t>(D) bendinin (a) alt bendi ve LPG Piyasası Lisans Yönetmeliğinin 41 inci maddesi uyarınca LPG piyasasında 202</w:t>
      </w:r>
      <w:r w:rsidR="00713FA9">
        <w:t>2</w:t>
      </w:r>
      <w:r w:rsidRPr="00F9112A">
        <w:t xml:space="preserve"> yılı için </w:t>
      </w:r>
      <w:r w:rsidRPr="00F9112A">
        <w:rPr>
          <w:color w:val="000000" w:themeColor="text1"/>
        </w:rPr>
        <w:t>uygulanacak katılma payı oranları belirlenmiştir.</w:t>
      </w:r>
    </w:p>
    <w:p w:rsidR="002C3099" w:rsidRDefault="002C3099" w:rsidP="007E5AE9">
      <w:pPr>
        <w:spacing w:after="240"/>
        <w:rPr>
          <w:highlight w:val="yellow"/>
        </w:rPr>
      </w:pPr>
    </w:p>
    <w:p w:rsidR="002C3099" w:rsidRDefault="002C3099" w:rsidP="007E5AE9">
      <w:pPr>
        <w:spacing w:after="240"/>
        <w:rPr>
          <w:highlight w:val="yellow"/>
        </w:rPr>
      </w:pPr>
    </w:p>
    <w:p w:rsidR="002C3099" w:rsidRDefault="002C3099" w:rsidP="007E5AE9">
      <w:pPr>
        <w:spacing w:after="240"/>
        <w:rPr>
          <w:highlight w:val="yellow"/>
        </w:rPr>
      </w:pPr>
    </w:p>
    <w:p w:rsidR="002C3099" w:rsidRDefault="002C3099" w:rsidP="007E5AE9">
      <w:pPr>
        <w:spacing w:after="240"/>
        <w:rPr>
          <w:highlight w:val="yellow"/>
        </w:rPr>
      </w:pPr>
    </w:p>
    <w:p w:rsidR="002C3099" w:rsidRDefault="002C3099" w:rsidP="007E5AE9">
      <w:pPr>
        <w:spacing w:after="240"/>
        <w:rPr>
          <w:highlight w:val="yellow"/>
        </w:rPr>
      </w:pPr>
    </w:p>
    <w:p w:rsidR="00870442" w:rsidRPr="00BC0424" w:rsidRDefault="00870442" w:rsidP="00A02EDE">
      <w:pPr>
        <w:rPr>
          <w:color w:val="000000" w:themeColor="text1"/>
        </w:rPr>
        <w:sectPr w:rsidR="00870442" w:rsidRPr="00BC0424" w:rsidSect="007650B8">
          <w:footerReference w:type="first" r:id="rId22"/>
          <w:pgSz w:w="11906" w:h="16838"/>
          <w:pgMar w:top="1418" w:right="566" w:bottom="1418" w:left="1418" w:header="709" w:footer="709" w:gutter="0"/>
          <w:cols w:space="708"/>
          <w:docGrid w:linePitch="360"/>
        </w:sectPr>
      </w:pPr>
    </w:p>
    <w:p w:rsidR="00C16EC8" w:rsidRDefault="00C16EC8" w:rsidP="000A5A56">
      <w:pPr>
        <w:pStyle w:val="Balk1"/>
        <w:numPr>
          <w:ilvl w:val="0"/>
          <w:numId w:val="11"/>
        </w:numPr>
        <w:spacing w:before="0"/>
        <w:rPr>
          <w:rFonts w:asciiTheme="minorHAnsi" w:hAnsiTheme="minorHAnsi"/>
          <w:color w:val="auto"/>
          <w:sz w:val="22"/>
          <w:szCs w:val="22"/>
        </w:rPr>
      </w:pPr>
      <w:bookmarkStart w:id="317" w:name="_Toc132713828"/>
      <w:r w:rsidRPr="00AD5F80">
        <w:rPr>
          <w:rFonts w:asciiTheme="minorHAnsi" w:hAnsiTheme="minorHAnsi"/>
          <w:color w:val="auto"/>
          <w:sz w:val="22"/>
          <w:szCs w:val="22"/>
        </w:rPr>
        <w:lastRenderedPageBreak/>
        <w:t>BİL</w:t>
      </w:r>
      <w:r>
        <w:rPr>
          <w:rFonts w:asciiTheme="minorHAnsi" w:hAnsiTheme="minorHAnsi"/>
          <w:color w:val="auto"/>
          <w:sz w:val="22"/>
          <w:szCs w:val="22"/>
        </w:rPr>
        <w:t>İŞİM</w:t>
      </w:r>
      <w:r w:rsidRPr="00AD5F80">
        <w:rPr>
          <w:rFonts w:asciiTheme="minorHAnsi" w:hAnsiTheme="minorHAnsi"/>
          <w:color w:val="auto"/>
          <w:sz w:val="22"/>
          <w:szCs w:val="22"/>
        </w:rPr>
        <w:t xml:space="preserve"> SİSTEMLERİ FAALİYETLERİ</w:t>
      </w:r>
      <w:bookmarkEnd w:id="317"/>
    </w:p>
    <w:p w:rsidR="00997D3F" w:rsidRPr="00997D3F" w:rsidRDefault="00127EAE" w:rsidP="00997D3F">
      <w:pPr>
        <w:rPr>
          <w:rFonts w:cstheme="minorHAnsi"/>
          <w:color w:val="000000" w:themeColor="text1"/>
        </w:rPr>
      </w:pPr>
      <w:r w:rsidRPr="00997D3F">
        <w:rPr>
          <w:rFonts w:cstheme="minorHAnsi"/>
          <w:color w:val="000000" w:themeColor="text1"/>
        </w:rPr>
        <w:t>Bu bölümde Kurum bünyesinde bilişim hizmetleri kapsamında 202</w:t>
      </w:r>
      <w:r w:rsidR="00483F7F">
        <w:rPr>
          <w:rFonts w:cstheme="minorHAnsi"/>
          <w:color w:val="000000" w:themeColor="text1"/>
        </w:rPr>
        <w:t>2</w:t>
      </w:r>
      <w:r w:rsidRPr="00997D3F">
        <w:rPr>
          <w:rFonts w:cstheme="minorHAnsi"/>
          <w:color w:val="000000" w:themeColor="text1"/>
        </w:rPr>
        <w:t xml:space="preserve"> yılında yürütüle</w:t>
      </w:r>
      <w:r>
        <w:rPr>
          <w:rFonts w:cstheme="minorHAnsi"/>
          <w:color w:val="000000" w:themeColor="text1"/>
        </w:rPr>
        <w:t xml:space="preserve">n faaliyetler anlatılmaktadır. </w:t>
      </w:r>
      <w:r w:rsidRPr="00997D3F">
        <w:rPr>
          <w:rFonts w:cstheme="minorHAnsi"/>
          <w:color w:val="000000" w:themeColor="text1"/>
        </w:rPr>
        <w:t>Bilişim sistemleri kapsamında EPVYS, EBİS, EPARS, EBYS, VEPS ve KKP’nın Kurum bünyesinde kurulumu yapılmış olup, söz konusu sistemlerin geliştirilmesine yönelik çalışmalar devam etmektedir. BGYS işletilmesi ve Ulusal Siber Güvenlik Stratejisi ve Eylem Planı 2020-2023 kapsamında ciddi mesafeler kat edilmiştir.</w:t>
      </w:r>
    </w:p>
    <w:p w:rsidR="002C1A5A" w:rsidRDefault="004945F0" w:rsidP="000A5A56">
      <w:pPr>
        <w:pStyle w:val="Balk2"/>
        <w:numPr>
          <w:ilvl w:val="1"/>
          <w:numId w:val="11"/>
        </w:numPr>
        <w:spacing w:before="0" w:after="160"/>
        <w:rPr>
          <w:rFonts w:asciiTheme="minorHAnsi" w:hAnsiTheme="minorHAnsi" w:cstheme="minorHAnsi"/>
          <w:color w:val="auto"/>
          <w:sz w:val="22"/>
          <w:szCs w:val="22"/>
        </w:rPr>
      </w:pPr>
      <w:bookmarkStart w:id="318" w:name="_Toc36205075"/>
      <w:bookmarkStart w:id="319" w:name="_Toc132713829"/>
      <w:r w:rsidRPr="000E2888">
        <w:rPr>
          <w:rFonts w:asciiTheme="minorHAnsi" w:hAnsiTheme="minorHAnsi" w:cstheme="minorHAnsi"/>
          <w:color w:val="auto"/>
          <w:sz w:val="22"/>
          <w:szCs w:val="22"/>
        </w:rPr>
        <w:t>Bilgi Güvenliği Yönetim Sistemi (BGYS)</w:t>
      </w:r>
      <w:bookmarkEnd w:id="318"/>
      <w:bookmarkEnd w:id="319"/>
    </w:p>
    <w:p w:rsidR="00127EAE" w:rsidRPr="002C1A5A" w:rsidRDefault="00127EAE" w:rsidP="00127EAE">
      <w:pPr>
        <w:rPr>
          <w:rFonts w:cstheme="minorHAnsi"/>
          <w:color w:val="000000" w:themeColor="text1"/>
        </w:rPr>
      </w:pPr>
      <w:r w:rsidRPr="002C1A5A">
        <w:rPr>
          <w:rFonts w:cstheme="minorHAnsi"/>
          <w:color w:val="000000" w:themeColor="text1"/>
        </w:rPr>
        <w:t xml:space="preserve">Kurumda işletilen BGYS ile alınmış olan TS ISO/IEC 27001 sertifikası kapsamında belge </w:t>
      </w:r>
      <w:r>
        <w:rPr>
          <w:rFonts w:cstheme="minorHAnsi"/>
          <w:color w:val="000000" w:themeColor="text1"/>
        </w:rPr>
        <w:t>sürekliliği</w:t>
      </w:r>
      <w:r w:rsidRPr="002C1A5A">
        <w:rPr>
          <w:rFonts w:cstheme="minorHAnsi"/>
          <w:color w:val="000000" w:themeColor="text1"/>
        </w:rPr>
        <w:t xml:space="preserve"> çalışmaları başarıyla tamamlanmıştır.</w:t>
      </w:r>
    </w:p>
    <w:p w:rsidR="00C8151C" w:rsidRPr="002C1A5A" w:rsidRDefault="00C8151C" w:rsidP="00C8151C">
      <w:pPr>
        <w:rPr>
          <w:rFonts w:cstheme="minorHAnsi"/>
          <w:color w:val="000000" w:themeColor="text1"/>
        </w:rPr>
      </w:pPr>
      <w:r w:rsidRPr="002C1A5A">
        <w:rPr>
          <w:rFonts w:cstheme="minorHAnsi"/>
          <w:color w:val="000000" w:themeColor="text1"/>
        </w:rPr>
        <w:t xml:space="preserve">Sektörel SOME’lerin Kurumsal SOME'ler üstünde etkin bir denetim ve yaptırım gücüne sahip olması için gereken mevzuat düzenlemelerinin yapılması ve ardından denetimlerin gerçekleştirilmesi çalışmaları kapsamında 13.07.2017 tarihli ve 30123 sayılı Resmî </w:t>
      </w:r>
      <w:r w:rsidR="00274939">
        <w:rPr>
          <w:rFonts w:cstheme="minorHAnsi"/>
          <w:color w:val="000000" w:themeColor="text1"/>
        </w:rPr>
        <w:t>Gazetede</w:t>
      </w:r>
      <w:r w:rsidRPr="002C1A5A">
        <w:rPr>
          <w:rFonts w:cstheme="minorHAnsi"/>
          <w:color w:val="000000" w:themeColor="text1"/>
        </w:rPr>
        <w:t xml:space="preserve"> yayımlanan “Enerji Sektöründe Kullanılan Endüstriyel Kontrol Sistemlerinde Bilişim Güvenliği Yönetmeliği” uyarınca, denetim faaliyetleri </w:t>
      </w:r>
      <w:r>
        <w:rPr>
          <w:rFonts w:cstheme="minorHAnsi"/>
          <w:color w:val="000000" w:themeColor="text1"/>
        </w:rPr>
        <w:t xml:space="preserve">yerinde ve uzaktan </w:t>
      </w:r>
      <w:r w:rsidRPr="002C1A5A">
        <w:rPr>
          <w:rFonts w:cstheme="minorHAnsi"/>
          <w:color w:val="000000" w:themeColor="text1"/>
        </w:rPr>
        <w:t>gerçekleştirilmiştir.</w:t>
      </w:r>
    </w:p>
    <w:p w:rsidR="00C8151C" w:rsidRPr="002C1A5A" w:rsidRDefault="00C8151C" w:rsidP="00C8151C">
      <w:pPr>
        <w:rPr>
          <w:rFonts w:cstheme="minorHAnsi"/>
          <w:color w:val="000000" w:themeColor="text1"/>
        </w:rPr>
      </w:pPr>
      <w:r w:rsidRPr="002C1A5A">
        <w:rPr>
          <w:rFonts w:cstheme="minorHAnsi"/>
          <w:color w:val="000000" w:themeColor="text1"/>
        </w:rPr>
        <w:t>Cumhurbaşkanlığı Dijital Dönüşüm Ofisi tarafından hazırlanarak 27.07.2020 tarihinde erişime açılan Bilgi ve İletişim Güvenliği Rehberi’ne uyum çerçevesinde Kurum</w:t>
      </w:r>
      <w:r>
        <w:rPr>
          <w:rFonts w:cstheme="minorHAnsi"/>
          <w:color w:val="000000" w:themeColor="text1"/>
        </w:rPr>
        <w:t>da</w:t>
      </w:r>
      <w:r w:rsidRPr="002C1A5A">
        <w:rPr>
          <w:rFonts w:cstheme="minorHAnsi"/>
          <w:color w:val="000000" w:themeColor="text1"/>
        </w:rPr>
        <w:t xml:space="preserve"> </w:t>
      </w:r>
      <w:r>
        <w:rPr>
          <w:rFonts w:cstheme="minorHAnsi"/>
          <w:color w:val="000000" w:themeColor="text1"/>
        </w:rPr>
        <w:t xml:space="preserve">ilgili çalışmalar tamamlanarak çalışma raporu ilgili Makamlarla paylaşılmıştır. Enerji sektöründe </w:t>
      </w:r>
      <w:r w:rsidRPr="002C1A5A">
        <w:rPr>
          <w:rFonts w:cstheme="minorHAnsi"/>
          <w:color w:val="000000" w:themeColor="text1"/>
        </w:rPr>
        <w:t xml:space="preserve">kritik altyapı olarak tanımlanmış işletmelerde çalışmalar </w:t>
      </w:r>
      <w:r>
        <w:rPr>
          <w:rFonts w:cstheme="minorHAnsi"/>
          <w:color w:val="000000" w:themeColor="text1"/>
        </w:rPr>
        <w:t>sürdürülmektedir</w:t>
      </w:r>
      <w:r w:rsidRPr="002C1A5A">
        <w:rPr>
          <w:rFonts w:cstheme="minorHAnsi"/>
          <w:color w:val="000000" w:themeColor="text1"/>
        </w:rPr>
        <w:t>.</w:t>
      </w:r>
    </w:p>
    <w:p w:rsidR="00C8151C" w:rsidRDefault="00C8151C" w:rsidP="00C8151C">
      <w:pPr>
        <w:rPr>
          <w:rFonts w:cstheme="minorHAnsi"/>
          <w:color w:val="000000" w:themeColor="text1"/>
        </w:rPr>
      </w:pPr>
      <w:r w:rsidRPr="002C1A5A">
        <w:rPr>
          <w:rFonts w:cstheme="minorHAnsi"/>
          <w:color w:val="000000" w:themeColor="text1"/>
        </w:rPr>
        <w:t>Enerji sektöründe siber güvenlik olgunluk modeli çalışmaları devam ettirilmiştir.</w:t>
      </w:r>
    </w:p>
    <w:p w:rsidR="00127EAE" w:rsidRPr="00BE1A83" w:rsidRDefault="00C8151C" w:rsidP="002C1A5A">
      <w:pPr>
        <w:rPr>
          <w:rFonts w:ascii="Times New Roman" w:hAnsi="Times New Roman"/>
          <w:color w:val="000000" w:themeColor="text1"/>
        </w:rPr>
      </w:pPr>
      <w:r>
        <w:rPr>
          <w:rFonts w:cstheme="minorHAnsi"/>
          <w:color w:val="000000" w:themeColor="text1"/>
        </w:rPr>
        <w:t xml:space="preserve">Ulusal Siber Güvenlik Stratejisi ve Eylem Planı (2020-2023) kapsamında; 10.2 no’lu eylem maddesi </w:t>
      </w:r>
      <w:r w:rsidRPr="002464D1">
        <w:rPr>
          <w:rFonts w:cstheme="minorHAnsi"/>
          <w:i/>
          <w:color w:val="000000" w:themeColor="text1"/>
        </w:rPr>
        <w:t>“Sektörel siber güvenlik tatbikatlarının gerçekleştirilmesi”</w:t>
      </w:r>
      <w:r>
        <w:rPr>
          <w:rFonts w:cstheme="minorHAnsi"/>
          <w:color w:val="000000" w:themeColor="text1"/>
        </w:rPr>
        <w:t xml:space="preserve"> uyarınca enerji sektörünün sektörel SOME’si olan Kurum nezdinde tatbikatlar 24-25.05.2022 tarihlerinde kritik enerji altyapı işletmecilerinin geniş katılımı ile başarıyla tamamlanmıştır.</w:t>
      </w:r>
    </w:p>
    <w:p w:rsidR="00127EAE" w:rsidRPr="00127EAE" w:rsidRDefault="004945F0" w:rsidP="000A5A56">
      <w:pPr>
        <w:pStyle w:val="Balk2"/>
        <w:numPr>
          <w:ilvl w:val="1"/>
          <w:numId w:val="11"/>
        </w:numPr>
        <w:spacing w:before="0" w:after="160"/>
        <w:rPr>
          <w:rFonts w:asciiTheme="minorHAnsi" w:hAnsiTheme="minorHAnsi" w:cstheme="minorHAnsi"/>
          <w:color w:val="auto"/>
          <w:sz w:val="22"/>
          <w:szCs w:val="22"/>
        </w:rPr>
      </w:pPr>
      <w:bookmarkStart w:id="320" w:name="_Toc36205076"/>
      <w:r w:rsidRPr="000E2888">
        <w:rPr>
          <w:rFonts w:asciiTheme="minorHAnsi" w:hAnsiTheme="minorHAnsi" w:cstheme="minorHAnsi"/>
          <w:color w:val="auto"/>
          <w:sz w:val="22"/>
          <w:szCs w:val="22"/>
        </w:rPr>
        <w:t xml:space="preserve"> </w:t>
      </w:r>
      <w:bookmarkStart w:id="321" w:name="_Toc132713830"/>
      <w:r w:rsidRPr="000E2888">
        <w:rPr>
          <w:rFonts w:asciiTheme="minorHAnsi" w:hAnsiTheme="minorHAnsi" w:cstheme="minorHAnsi"/>
          <w:color w:val="auto"/>
          <w:sz w:val="22"/>
          <w:szCs w:val="22"/>
        </w:rPr>
        <w:t>Bilişim Altyapı Sistemleri ve Destek Hizmetleri</w:t>
      </w:r>
      <w:bookmarkEnd w:id="320"/>
      <w:bookmarkEnd w:id="321"/>
    </w:p>
    <w:p w:rsidR="00C8151C" w:rsidRPr="00E6446B" w:rsidRDefault="00C8151C" w:rsidP="00C8151C">
      <w:pPr>
        <w:rPr>
          <w:rFonts w:cstheme="minorHAnsi"/>
          <w:color w:val="000000" w:themeColor="text1"/>
        </w:rPr>
      </w:pPr>
      <w:r w:rsidRPr="00E6446B">
        <w:rPr>
          <w:rFonts w:cstheme="minorHAnsi"/>
          <w:color w:val="000000" w:themeColor="text1"/>
        </w:rPr>
        <w:t>Kurum sunucuları için farklı bir EDR uygulaması temini sağlanarak son kullanıcı EDR yönetimi ile ayrıştırılma işlemi gerçekleştirilmiştir.</w:t>
      </w:r>
    </w:p>
    <w:p w:rsidR="00C8151C" w:rsidRPr="00E6446B" w:rsidRDefault="00C8151C" w:rsidP="00C8151C">
      <w:pPr>
        <w:rPr>
          <w:rFonts w:cstheme="minorHAnsi"/>
          <w:color w:val="000000" w:themeColor="text1"/>
        </w:rPr>
      </w:pPr>
      <w:r w:rsidRPr="00E6446B">
        <w:rPr>
          <w:rFonts w:cstheme="minorHAnsi"/>
          <w:color w:val="000000" w:themeColor="text1"/>
        </w:rPr>
        <w:t>Kurum’un halihazırda kullanmakta olduğu SIEM altyapısı, tes</w:t>
      </w:r>
      <w:r>
        <w:rPr>
          <w:rFonts w:cstheme="minorHAnsi"/>
          <w:color w:val="000000" w:themeColor="text1"/>
        </w:rPr>
        <w:t>p</w:t>
      </w:r>
      <w:r w:rsidRPr="00E6446B">
        <w:rPr>
          <w:rFonts w:cstheme="minorHAnsi"/>
          <w:color w:val="000000" w:themeColor="text1"/>
        </w:rPr>
        <w:t>iti sağlanabilecek olası siber olaylar karşısında daha hızlı aksiyon alınabilmesi amacı ile SOAR yapısına dönüştürülmesi için gerekli çalışmalar başlatılmıştır.</w:t>
      </w:r>
    </w:p>
    <w:p w:rsidR="00C8151C" w:rsidRPr="00E6446B" w:rsidRDefault="00C8151C" w:rsidP="00C8151C">
      <w:pPr>
        <w:rPr>
          <w:rFonts w:cstheme="minorHAnsi"/>
          <w:color w:val="000000" w:themeColor="text1"/>
        </w:rPr>
      </w:pPr>
      <w:r w:rsidRPr="00E6446B">
        <w:rPr>
          <w:rFonts w:cstheme="minorHAnsi"/>
          <w:color w:val="000000" w:themeColor="text1"/>
        </w:rPr>
        <w:t xml:space="preserve">Kurum CBS sistem altyapısının oluşturulması ve Kurum’un </w:t>
      </w:r>
      <w:r>
        <w:rPr>
          <w:rFonts w:cstheme="minorHAnsi"/>
          <w:color w:val="000000" w:themeColor="text1"/>
        </w:rPr>
        <w:t>e</w:t>
      </w:r>
      <w:r w:rsidRPr="00E6446B">
        <w:rPr>
          <w:rFonts w:cstheme="minorHAnsi"/>
          <w:color w:val="000000" w:themeColor="text1"/>
        </w:rPr>
        <w:t xml:space="preserve">lektrik ve </w:t>
      </w:r>
      <w:r>
        <w:rPr>
          <w:rFonts w:cstheme="minorHAnsi"/>
          <w:color w:val="000000" w:themeColor="text1"/>
        </w:rPr>
        <w:t>d</w:t>
      </w:r>
      <w:r w:rsidRPr="00E6446B">
        <w:rPr>
          <w:rFonts w:cstheme="minorHAnsi"/>
          <w:color w:val="000000" w:themeColor="text1"/>
        </w:rPr>
        <w:t>oğal gaz dağıtıcı firmalarının CBS verilerine güvenli erişimin sağlanabilmesini teminen site-to-site VPN tünelleri oluşturulması işlemlerine devam edilmiştir.</w:t>
      </w:r>
    </w:p>
    <w:p w:rsidR="00C8151C" w:rsidRPr="00E6446B" w:rsidRDefault="00C8151C" w:rsidP="00C8151C">
      <w:pPr>
        <w:rPr>
          <w:rFonts w:cstheme="minorHAnsi"/>
          <w:color w:val="000000" w:themeColor="text1"/>
        </w:rPr>
      </w:pPr>
      <w:r w:rsidRPr="00E6446B">
        <w:rPr>
          <w:rFonts w:cstheme="minorHAnsi"/>
          <w:color w:val="000000" w:themeColor="text1"/>
        </w:rPr>
        <w:t>Kurum ağ ve sistem altyapısı güvenliğinin gerçekleşen yeni yapılandırmalar sonrası analizi amacı ile Ağ ve Sistem Altyapısı Analizi çalışması hazırlığı başlatılmıştır.</w:t>
      </w:r>
    </w:p>
    <w:p w:rsidR="00C8151C" w:rsidRPr="00E6446B" w:rsidRDefault="00C8151C" w:rsidP="00C8151C">
      <w:pPr>
        <w:rPr>
          <w:rFonts w:cstheme="minorHAnsi"/>
          <w:color w:val="000000" w:themeColor="text1"/>
        </w:rPr>
      </w:pPr>
      <w:r w:rsidRPr="00E6446B">
        <w:rPr>
          <w:rFonts w:cstheme="minorHAnsi"/>
          <w:color w:val="000000" w:themeColor="text1"/>
        </w:rPr>
        <w:t>Yetkili hesap yönetiminin sağlıklı sürdürülebilmesi amacı ile Kurum’un halihazırda sahip olduğu teknolojiler kullanılarak iyileştirmeler gerçekleştirilmiştir.</w:t>
      </w:r>
    </w:p>
    <w:p w:rsidR="00C8151C" w:rsidRPr="00E6446B" w:rsidRDefault="00C8151C" w:rsidP="00C8151C">
      <w:pPr>
        <w:rPr>
          <w:rFonts w:cstheme="minorHAnsi"/>
          <w:color w:val="000000" w:themeColor="text1"/>
        </w:rPr>
      </w:pPr>
      <w:r w:rsidRPr="00E6446B">
        <w:rPr>
          <w:rFonts w:cstheme="minorHAnsi"/>
          <w:color w:val="000000" w:themeColor="text1"/>
        </w:rPr>
        <w:t>Zafiyet yönetiminin daha sağlıklı sürdürülebilmesi amacı ile zafiyet ve varlık yönetim yazılımı temini sağlanmıştır. Ürün koordinasyonunda yapılan zafiyet taraması ve yıllık sızma testi bulgularının sorumlulara atanması ve takibi işlemi söz konusu ürün ile yapılmaya başlanmıştır.</w:t>
      </w:r>
    </w:p>
    <w:p w:rsidR="00C8151C" w:rsidRPr="006515EF" w:rsidRDefault="00C8151C" w:rsidP="00C8151C">
      <w:pPr>
        <w:rPr>
          <w:rFonts w:cstheme="minorHAnsi"/>
          <w:color w:val="000000" w:themeColor="text1"/>
        </w:rPr>
      </w:pPr>
      <w:r w:rsidRPr="00E6446B">
        <w:rPr>
          <w:rFonts w:cstheme="minorHAnsi"/>
          <w:color w:val="000000" w:themeColor="text1"/>
        </w:rPr>
        <w:lastRenderedPageBreak/>
        <w:t>Kurum sistemleri, ağları ve siber güvenlik altyapısı ile ilgili olarak rutin çalışmalar devam ettirilmiş, yapılan düzenli incelemeler ve ilgili grupların talepleri doğrultusunda geliştirme ve iyileştirme faaliyetleri gerçekleştirilmiştir.</w:t>
      </w:r>
    </w:p>
    <w:p w:rsidR="00127EAE" w:rsidRPr="00127EAE" w:rsidRDefault="004945F0" w:rsidP="000A5A56">
      <w:pPr>
        <w:pStyle w:val="Balk2"/>
        <w:numPr>
          <w:ilvl w:val="1"/>
          <w:numId w:val="11"/>
        </w:numPr>
        <w:spacing w:before="0" w:after="160"/>
        <w:rPr>
          <w:rFonts w:asciiTheme="minorHAnsi" w:hAnsiTheme="minorHAnsi" w:cstheme="minorHAnsi"/>
          <w:color w:val="auto"/>
          <w:sz w:val="22"/>
          <w:szCs w:val="22"/>
        </w:rPr>
      </w:pPr>
      <w:bookmarkStart w:id="322" w:name="_Toc36205077"/>
      <w:bookmarkStart w:id="323" w:name="_Toc132713831"/>
      <w:r w:rsidRPr="000E2888">
        <w:rPr>
          <w:rFonts w:asciiTheme="minorHAnsi" w:hAnsiTheme="minorHAnsi" w:cstheme="minorHAnsi"/>
          <w:color w:val="auto"/>
          <w:sz w:val="22"/>
          <w:szCs w:val="22"/>
        </w:rPr>
        <w:t>Elektronik Belge Yönetim Sistemi (EBYS)</w:t>
      </w:r>
      <w:bookmarkEnd w:id="322"/>
      <w:bookmarkEnd w:id="323"/>
    </w:p>
    <w:p w:rsidR="00127EAE" w:rsidRPr="00464C36" w:rsidRDefault="00127EAE" w:rsidP="000A5A56">
      <w:pPr>
        <w:pStyle w:val="Default"/>
        <w:numPr>
          <w:ilvl w:val="0"/>
          <w:numId w:val="43"/>
        </w:numPr>
        <w:spacing w:after="200" w:line="276" w:lineRule="auto"/>
        <w:jc w:val="both"/>
        <w:rPr>
          <w:rFonts w:asciiTheme="minorHAnsi" w:eastAsia="Calibri" w:hAnsiTheme="minorHAnsi" w:cstheme="minorHAnsi"/>
          <w:color w:val="000000" w:themeColor="text1"/>
          <w:sz w:val="22"/>
        </w:rPr>
      </w:pPr>
      <w:r w:rsidRPr="00464C36">
        <w:rPr>
          <w:rFonts w:asciiTheme="minorHAnsi" w:eastAsia="Calibri" w:hAnsiTheme="minorHAnsi" w:cstheme="minorHAnsi"/>
          <w:color w:val="000000" w:themeColor="text1"/>
          <w:sz w:val="22"/>
        </w:rPr>
        <w:t>Cumhurbaşkanlığı Dijital Dönüşüm Ofisi Başkanlığı tarafından 28.08.2020 tarihinde yayımlanan e-Yazışma (EYP 2.0) Teknik Rehberi</w:t>
      </w:r>
      <w:r>
        <w:rPr>
          <w:rFonts w:asciiTheme="minorHAnsi" w:eastAsia="Calibri" w:hAnsiTheme="minorHAnsi" w:cstheme="minorHAnsi"/>
          <w:color w:val="000000" w:themeColor="text1"/>
          <w:sz w:val="22"/>
        </w:rPr>
        <w:t>’</w:t>
      </w:r>
      <w:r w:rsidRPr="00464C36">
        <w:rPr>
          <w:rFonts w:asciiTheme="minorHAnsi" w:eastAsia="Calibri" w:hAnsiTheme="minorHAnsi" w:cstheme="minorHAnsi"/>
          <w:color w:val="000000" w:themeColor="text1"/>
          <w:sz w:val="22"/>
        </w:rPr>
        <w:t xml:space="preserve">nde yapılan güncellemeler çerçevesinde Kamu SM’den kurumsal mühür ve kurumsal şifreleme </w:t>
      </w:r>
      <w:r>
        <w:rPr>
          <w:rFonts w:asciiTheme="minorHAnsi" w:eastAsia="Calibri" w:hAnsiTheme="minorHAnsi" w:cstheme="minorHAnsi"/>
          <w:color w:val="000000" w:themeColor="text1"/>
          <w:sz w:val="22"/>
        </w:rPr>
        <w:t>s</w:t>
      </w:r>
      <w:r w:rsidRPr="00464C36">
        <w:rPr>
          <w:rFonts w:asciiTheme="minorHAnsi" w:eastAsia="Calibri" w:hAnsiTheme="minorHAnsi" w:cstheme="minorHAnsi"/>
          <w:color w:val="000000" w:themeColor="text1"/>
          <w:sz w:val="22"/>
        </w:rPr>
        <w:t xml:space="preserve">ertifikaları </w:t>
      </w:r>
      <w:r w:rsidR="00C8151C" w:rsidRPr="00C8151C">
        <w:rPr>
          <w:rFonts w:asciiTheme="minorHAnsi" w:eastAsia="Calibri" w:hAnsiTheme="minorHAnsi" w:cstheme="minorHAnsi"/>
          <w:color w:val="000000" w:themeColor="text1"/>
          <w:sz w:val="22"/>
        </w:rPr>
        <w:t>yenileme işlemleri yapılmıştır.</w:t>
      </w:r>
    </w:p>
    <w:p w:rsidR="00127EAE" w:rsidRPr="00464C36" w:rsidRDefault="00127EAE" w:rsidP="000A5A56">
      <w:pPr>
        <w:pStyle w:val="NormalWeb"/>
        <w:numPr>
          <w:ilvl w:val="0"/>
          <w:numId w:val="43"/>
        </w:numPr>
        <w:shd w:val="clear" w:color="auto" w:fill="FFFFFF"/>
        <w:spacing w:before="0" w:beforeAutospacing="0" w:after="200" w:afterAutospacing="0" w:line="276" w:lineRule="auto"/>
        <w:rPr>
          <w:rFonts w:asciiTheme="minorHAnsi" w:eastAsia="Calibri" w:hAnsiTheme="minorHAnsi" w:cstheme="minorHAnsi"/>
          <w:color w:val="000000" w:themeColor="text1"/>
          <w:sz w:val="22"/>
          <w:lang w:eastAsia="en-US"/>
        </w:rPr>
      </w:pPr>
      <w:r w:rsidRPr="00464C36">
        <w:rPr>
          <w:rFonts w:asciiTheme="minorHAnsi" w:eastAsia="Calibri" w:hAnsiTheme="minorHAnsi" w:cstheme="minorHAnsi"/>
          <w:color w:val="000000" w:themeColor="text1"/>
          <w:sz w:val="22"/>
          <w:lang w:eastAsia="en-US"/>
        </w:rPr>
        <w:t>Sistemde sorun yaşayan personele uzaktan teknik destek veril</w:t>
      </w:r>
      <w:r w:rsidR="007A6D01">
        <w:rPr>
          <w:rFonts w:asciiTheme="minorHAnsi" w:eastAsia="Calibri" w:hAnsiTheme="minorHAnsi" w:cstheme="minorHAnsi"/>
          <w:color w:val="000000" w:themeColor="text1"/>
          <w:sz w:val="22"/>
          <w:lang w:eastAsia="en-US"/>
        </w:rPr>
        <w:t>miştir.</w:t>
      </w:r>
    </w:p>
    <w:p w:rsidR="00127EAE" w:rsidRPr="00464C36" w:rsidRDefault="00127EAE" w:rsidP="000A5A56">
      <w:pPr>
        <w:pStyle w:val="NormalWeb"/>
        <w:numPr>
          <w:ilvl w:val="0"/>
          <w:numId w:val="43"/>
        </w:numPr>
        <w:shd w:val="clear" w:color="auto" w:fill="FFFFFF"/>
        <w:spacing w:before="0" w:beforeAutospacing="0" w:after="200" w:afterAutospacing="0" w:line="276" w:lineRule="auto"/>
        <w:rPr>
          <w:rFonts w:asciiTheme="minorHAnsi" w:eastAsia="Calibri" w:hAnsiTheme="minorHAnsi" w:cstheme="minorHAnsi"/>
          <w:color w:val="000000" w:themeColor="text1"/>
          <w:sz w:val="22"/>
          <w:lang w:eastAsia="en-US"/>
        </w:rPr>
      </w:pPr>
      <w:r w:rsidRPr="00464C36">
        <w:rPr>
          <w:rFonts w:asciiTheme="minorHAnsi" w:eastAsia="Calibri" w:hAnsiTheme="minorHAnsi" w:cstheme="minorHAnsi"/>
          <w:color w:val="000000" w:themeColor="text1"/>
          <w:sz w:val="22"/>
          <w:lang w:eastAsia="en-US"/>
        </w:rPr>
        <w:t>Sistemin yıllık bakım sözleşmesi yapıl</w:t>
      </w:r>
      <w:r w:rsidR="007A6D01">
        <w:rPr>
          <w:rFonts w:asciiTheme="minorHAnsi" w:eastAsia="Calibri" w:hAnsiTheme="minorHAnsi" w:cstheme="minorHAnsi"/>
          <w:color w:val="000000" w:themeColor="text1"/>
          <w:sz w:val="22"/>
          <w:lang w:eastAsia="en-US"/>
        </w:rPr>
        <w:t>mıştır.</w:t>
      </w:r>
    </w:p>
    <w:p w:rsidR="00127EAE" w:rsidRPr="00464C36" w:rsidRDefault="00127EAE" w:rsidP="000A5A56">
      <w:pPr>
        <w:pStyle w:val="NormalWeb"/>
        <w:numPr>
          <w:ilvl w:val="0"/>
          <w:numId w:val="43"/>
        </w:numPr>
        <w:shd w:val="clear" w:color="auto" w:fill="FFFFFF"/>
        <w:spacing w:before="0" w:beforeAutospacing="0" w:after="200" w:afterAutospacing="0" w:line="276" w:lineRule="auto"/>
        <w:rPr>
          <w:rFonts w:asciiTheme="minorHAnsi" w:eastAsia="Calibri" w:hAnsiTheme="minorHAnsi" w:cstheme="minorHAnsi"/>
          <w:color w:val="000000" w:themeColor="text1"/>
          <w:sz w:val="22"/>
          <w:lang w:eastAsia="en-US"/>
        </w:rPr>
      </w:pPr>
      <w:r w:rsidRPr="00464C36">
        <w:rPr>
          <w:rFonts w:asciiTheme="minorHAnsi" w:eastAsia="Calibri" w:hAnsiTheme="minorHAnsi" w:cstheme="minorHAnsi"/>
          <w:color w:val="000000" w:themeColor="text1"/>
          <w:sz w:val="22"/>
          <w:lang w:eastAsia="en-US"/>
        </w:rPr>
        <w:t>Belli periyotlarda sürüm güncellemeleri gerçekleştiril</w:t>
      </w:r>
      <w:r w:rsidR="007A6D01">
        <w:rPr>
          <w:rFonts w:asciiTheme="minorHAnsi" w:eastAsia="Calibri" w:hAnsiTheme="minorHAnsi" w:cstheme="minorHAnsi"/>
          <w:color w:val="000000" w:themeColor="text1"/>
          <w:sz w:val="22"/>
          <w:lang w:eastAsia="en-US"/>
        </w:rPr>
        <w:t>miştir.</w:t>
      </w:r>
    </w:p>
    <w:p w:rsidR="00127EAE" w:rsidRPr="00464C36" w:rsidRDefault="00127EAE" w:rsidP="000A5A56">
      <w:pPr>
        <w:pStyle w:val="NormalWeb"/>
        <w:numPr>
          <w:ilvl w:val="0"/>
          <w:numId w:val="43"/>
        </w:numPr>
        <w:shd w:val="clear" w:color="auto" w:fill="FFFFFF"/>
        <w:spacing w:before="0" w:beforeAutospacing="0" w:after="200" w:afterAutospacing="0" w:line="276" w:lineRule="auto"/>
        <w:rPr>
          <w:rFonts w:asciiTheme="minorHAnsi" w:eastAsia="Calibri" w:hAnsiTheme="minorHAnsi" w:cstheme="minorHAnsi"/>
          <w:color w:val="000000" w:themeColor="text1"/>
          <w:sz w:val="22"/>
          <w:lang w:eastAsia="en-US"/>
        </w:rPr>
      </w:pPr>
      <w:r w:rsidRPr="00464C36">
        <w:rPr>
          <w:rFonts w:asciiTheme="minorHAnsi" w:eastAsia="Calibri" w:hAnsiTheme="minorHAnsi" w:cstheme="minorHAnsi"/>
          <w:color w:val="000000" w:themeColor="text1"/>
          <w:sz w:val="22"/>
          <w:lang w:eastAsia="en-US"/>
        </w:rPr>
        <w:t>Sistem üzerinde çalışan evrak türlerinde güncelleştirmeler yapıl</w:t>
      </w:r>
      <w:r w:rsidR="007A6D01">
        <w:rPr>
          <w:rFonts w:asciiTheme="minorHAnsi" w:eastAsia="Calibri" w:hAnsiTheme="minorHAnsi" w:cstheme="minorHAnsi"/>
          <w:color w:val="000000" w:themeColor="text1"/>
          <w:sz w:val="22"/>
          <w:lang w:eastAsia="en-US"/>
        </w:rPr>
        <w:t>mıştır.</w:t>
      </w:r>
    </w:p>
    <w:p w:rsidR="00127EAE" w:rsidRPr="00464C36" w:rsidRDefault="00127EAE" w:rsidP="000A5A56">
      <w:pPr>
        <w:pStyle w:val="NormalWeb"/>
        <w:numPr>
          <w:ilvl w:val="0"/>
          <w:numId w:val="43"/>
        </w:numPr>
        <w:shd w:val="clear" w:color="auto" w:fill="FFFFFF"/>
        <w:spacing w:before="0" w:beforeAutospacing="0" w:after="200" w:afterAutospacing="0" w:line="276" w:lineRule="auto"/>
        <w:rPr>
          <w:rFonts w:asciiTheme="minorHAnsi" w:eastAsia="Calibri" w:hAnsiTheme="minorHAnsi" w:cstheme="minorHAnsi"/>
          <w:color w:val="000000" w:themeColor="text1"/>
          <w:sz w:val="22"/>
          <w:lang w:eastAsia="en-US"/>
        </w:rPr>
      </w:pPr>
      <w:r w:rsidRPr="00464C36">
        <w:rPr>
          <w:rFonts w:asciiTheme="minorHAnsi" w:eastAsia="Calibri" w:hAnsiTheme="minorHAnsi" w:cstheme="minorHAnsi"/>
          <w:color w:val="000000" w:themeColor="text1"/>
          <w:sz w:val="22"/>
          <w:lang w:eastAsia="en-US"/>
        </w:rPr>
        <w:t>Sistem ayarlarında güncelleştirmeler yapı</w:t>
      </w:r>
      <w:r w:rsidR="002D7AE1">
        <w:rPr>
          <w:rFonts w:asciiTheme="minorHAnsi" w:eastAsia="Calibri" w:hAnsiTheme="minorHAnsi" w:cstheme="minorHAnsi"/>
          <w:color w:val="000000" w:themeColor="text1"/>
          <w:sz w:val="22"/>
          <w:lang w:eastAsia="en-US"/>
        </w:rPr>
        <w:t>l</w:t>
      </w:r>
      <w:r w:rsidR="007A6D01">
        <w:rPr>
          <w:rFonts w:asciiTheme="minorHAnsi" w:eastAsia="Calibri" w:hAnsiTheme="minorHAnsi" w:cstheme="minorHAnsi"/>
          <w:color w:val="000000" w:themeColor="text1"/>
          <w:sz w:val="22"/>
          <w:lang w:eastAsia="en-US"/>
        </w:rPr>
        <w:t>mıştır.</w:t>
      </w:r>
    </w:p>
    <w:p w:rsidR="00127EAE" w:rsidRPr="00464C36" w:rsidRDefault="00127EAE" w:rsidP="000A5A56">
      <w:pPr>
        <w:pStyle w:val="NormalWeb"/>
        <w:numPr>
          <w:ilvl w:val="0"/>
          <w:numId w:val="43"/>
        </w:numPr>
        <w:shd w:val="clear" w:color="auto" w:fill="FFFFFF"/>
        <w:spacing w:before="0" w:beforeAutospacing="0" w:after="200" w:afterAutospacing="0" w:line="276" w:lineRule="auto"/>
        <w:rPr>
          <w:rFonts w:asciiTheme="minorHAnsi" w:eastAsia="Calibri" w:hAnsiTheme="minorHAnsi" w:cstheme="minorHAnsi"/>
          <w:color w:val="000000" w:themeColor="text1"/>
          <w:sz w:val="22"/>
          <w:lang w:eastAsia="en-US"/>
        </w:rPr>
      </w:pPr>
      <w:r w:rsidRPr="00464C36">
        <w:rPr>
          <w:rFonts w:asciiTheme="minorHAnsi" w:eastAsia="Calibri" w:hAnsiTheme="minorHAnsi" w:cstheme="minorHAnsi"/>
          <w:color w:val="000000" w:themeColor="text1"/>
          <w:sz w:val="22"/>
          <w:lang w:eastAsia="en-US"/>
        </w:rPr>
        <w:t xml:space="preserve">Sistem </w:t>
      </w:r>
      <w:r>
        <w:rPr>
          <w:rFonts w:asciiTheme="minorHAnsi" w:eastAsia="Calibri" w:hAnsiTheme="minorHAnsi" w:cstheme="minorHAnsi"/>
          <w:color w:val="000000" w:themeColor="text1"/>
          <w:sz w:val="22"/>
          <w:lang w:eastAsia="en-US"/>
        </w:rPr>
        <w:t>E</w:t>
      </w:r>
      <w:r w:rsidRPr="00464C36">
        <w:rPr>
          <w:rFonts w:asciiTheme="minorHAnsi" w:eastAsia="Calibri" w:hAnsiTheme="minorHAnsi" w:cstheme="minorHAnsi"/>
          <w:color w:val="000000" w:themeColor="text1"/>
          <w:sz w:val="22"/>
          <w:lang w:eastAsia="en-US"/>
        </w:rPr>
        <w:t>ntegrasyon ayarlarında güncelleştirmeler yapıl</w:t>
      </w:r>
      <w:r w:rsidR="007A6D01">
        <w:rPr>
          <w:rFonts w:asciiTheme="minorHAnsi" w:eastAsia="Calibri" w:hAnsiTheme="minorHAnsi" w:cstheme="minorHAnsi"/>
          <w:color w:val="000000" w:themeColor="text1"/>
          <w:sz w:val="22"/>
          <w:lang w:eastAsia="en-US"/>
        </w:rPr>
        <w:t>mıştır.</w:t>
      </w:r>
    </w:p>
    <w:p w:rsidR="00127EAE" w:rsidRPr="00464C36" w:rsidRDefault="00127EAE" w:rsidP="000A5A56">
      <w:pPr>
        <w:pStyle w:val="NormalWeb"/>
        <w:numPr>
          <w:ilvl w:val="0"/>
          <w:numId w:val="43"/>
        </w:numPr>
        <w:shd w:val="clear" w:color="auto" w:fill="FFFFFF"/>
        <w:spacing w:before="0" w:beforeAutospacing="0" w:after="200" w:afterAutospacing="0" w:line="276" w:lineRule="auto"/>
        <w:rPr>
          <w:rFonts w:asciiTheme="minorHAnsi" w:eastAsia="Calibri" w:hAnsiTheme="minorHAnsi" w:cstheme="minorHAnsi"/>
          <w:color w:val="000000" w:themeColor="text1"/>
          <w:sz w:val="22"/>
          <w:lang w:eastAsia="en-US"/>
        </w:rPr>
      </w:pPr>
      <w:r w:rsidRPr="00464C36">
        <w:rPr>
          <w:rFonts w:asciiTheme="minorHAnsi" w:eastAsia="Calibri" w:hAnsiTheme="minorHAnsi" w:cstheme="minorHAnsi"/>
          <w:color w:val="000000" w:themeColor="text1"/>
          <w:sz w:val="22"/>
          <w:lang w:eastAsia="en-US"/>
        </w:rPr>
        <w:t xml:space="preserve">Kurum internet sitesinde yayınlanan Tüketici Şikâyetleri </w:t>
      </w:r>
      <w:r w:rsidR="00C8151C" w:rsidRPr="00464C36">
        <w:rPr>
          <w:rFonts w:asciiTheme="minorHAnsi" w:eastAsia="Calibri" w:hAnsiTheme="minorHAnsi" w:cstheme="minorHAnsi"/>
          <w:color w:val="000000" w:themeColor="text1"/>
          <w:sz w:val="22"/>
          <w:lang w:eastAsia="en-US"/>
        </w:rPr>
        <w:t>Modülü</w:t>
      </w:r>
      <w:r w:rsidR="00C8151C">
        <w:rPr>
          <w:rFonts w:asciiTheme="minorHAnsi" w:eastAsia="Calibri" w:hAnsiTheme="minorHAnsi" w:cstheme="minorHAnsi"/>
          <w:color w:val="000000" w:themeColor="text1"/>
          <w:sz w:val="22"/>
          <w:lang w:eastAsia="en-US"/>
        </w:rPr>
        <w:t>nde güncellemeler yapılmıştır</w:t>
      </w:r>
      <w:r w:rsidRPr="00464C36">
        <w:rPr>
          <w:rFonts w:asciiTheme="minorHAnsi" w:eastAsia="Calibri" w:hAnsiTheme="minorHAnsi" w:cstheme="minorHAnsi"/>
          <w:color w:val="000000" w:themeColor="text1"/>
          <w:sz w:val="22"/>
          <w:lang w:eastAsia="en-US"/>
        </w:rPr>
        <w:t>.</w:t>
      </w:r>
    </w:p>
    <w:p w:rsidR="00127EAE" w:rsidRPr="00464C36" w:rsidRDefault="00127EAE" w:rsidP="000A5A56">
      <w:pPr>
        <w:pStyle w:val="NormalWeb"/>
        <w:numPr>
          <w:ilvl w:val="0"/>
          <w:numId w:val="43"/>
        </w:numPr>
        <w:shd w:val="clear" w:color="auto" w:fill="FFFFFF"/>
        <w:spacing w:before="0" w:beforeAutospacing="0" w:after="200" w:afterAutospacing="0" w:line="276" w:lineRule="auto"/>
        <w:rPr>
          <w:rFonts w:asciiTheme="minorHAnsi" w:eastAsia="Calibri" w:hAnsiTheme="minorHAnsi" w:cstheme="minorHAnsi"/>
          <w:color w:val="000000" w:themeColor="text1"/>
          <w:sz w:val="22"/>
          <w:lang w:eastAsia="en-US"/>
        </w:rPr>
      </w:pPr>
      <w:r w:rsidRPr="00464C36">
        <w:rPr>
          <w:rFonts w:asciiTheme="minorHAnsi" w:eastAsia="Calibri" w:hAnsiTheme="minorHAnsi" w:cstheme="minorHAnsi"/>
          <w:color w:val="000000" w:themeColor="text1"/>
          <w:sz w:val="22"/>
          <w:lang w:eastAsia="en-US"/>
        </w:rPr>
        <w:t>Kuruma yeni başlayan personel</w:t>
      </w:r>
      <w:r w:rsidR="00C8151C">
        <w:rPr>
          <w:rFonts w:asciiTheme="minorHAnsi" w:eastAsia="Calibri" w:hAnsiTheme="minorHAnsi" w:cstheme="minorHAnsi"/>
          <w:color w:val="000000" w:themeColor="text1"/>
          <w:sz w:val="22"/>
          <w:lang w:eastAsia="en-US"/>
        </w:rPr>
        <w:t>ler</w:t>
      </w:r>
      <w:r w:rsidRPr="00464C36">
        <w:rPr>
          <w:rFonts w:asciiTheme="minorHAnsi" w:eastAsia="Calibri" w:hAnsiTheme="minorHAnsi" w:cstheme="minorHAnsi"/>
          <w:color w:val="000000" w:themeColor="text1"/>
          <w:sz w:val="22"/>
          <w:lang w:eastAsia="en-US"/>
        </w:rPr>
        <w:t>e e-imza alımları yapıl</w:t>
      </w:r>
      <w:r w:rsidR="007A6D01">
        <w:rPr>
          <w:rFonts w:asciiTheme="minorHAnsi" w:eastAsia="Calibri" w:hAnsiTheme="minorHAnsi" w:cstheme="minorHAnsi"/>
          <w:color w:val="000000" w:themeColor="text1"/>
          <w:sz w:val="22"/>
          <w:lang w:eastAsia="en-US"/>
        </w:rPr>
        <w:t>mıştır.</w:t>
      </w:r>
    </w:p>
    <w:p w:rsidR="00127EAE" w:rsidRPr="007D7C51" w:rsidRDefault="00127EAE" w:rsidP="000A5A56">
      <w:pPr>
        <w:pStyle w:val="NormalWeb"/>
        <w:numPr>
          <w:ilvl w:val="0"/>
          <w:numId w:val="43"/>
        </w:numPr>
        <w:shd w:val="clear" w:color="auto" w:fill="FFFFFF"/>
        <w:rPr>
          <w:rFonts w:cstheme="minorHAnsi"/>
          <w:color w:val="000000" w:themeColor="text1"/>
        </w:rPr>
      </w:pPr>
      <w:r w:rsidRPr="00464C36">
        <w:rPr>
          <w:rFonts w:asciiTheme="minorHAnsi" w:hAnsiTheme="minorHAnsi" w:cstheme="minorHAnsi"/>
          <w:color w:val="000000" w:themeColor="text1"/>
          <w:sz w:val="22"/>
        </w:rPr>
        <w:t>E-</w:t>
      </w:r>
      <w:r w:rsidR="00041598">
        <w:rPr>
          <w:rFonts w:asciiTheme="minorHAnsi" w:hAnsiTheme="minorHAnsi" w:cstheme="minorHAnsi"/>
          <w:color w:val="000000" w:themeColor="text1"/>
          <w:sz w:val="22"/>
        </w:rPr>
        <w:t>imza süreleri dolan personel</w:t>
      </w:r>
      <w:r w:rsidRPr="00464C36">
        <w:rPr>
          <w:rFonts w:asciiTheme="minorHAnsi" w:hAnsiTheme="minorHAnsi" w:cstheme="minorHAnsi"/>
          <w:color w:val="000000" w:themeColor="text1"/>
          <w:sz w:val="22"/>
        </w:rPr>
        <w:t>in e-imzalarının yenilenme işlemleri yapıl</w:t>
      </w:r>
      <w:r w:rsidR="007A6D01">
        <w:rPr>
          <w:rFonts w:asciiTheme="minorHAnsi" w:hAnsiTheme="minorHAnsi" w:cstheme="minorHAnsi"/>
          <w:color w:val="000000" w:themeColor="text1"/>
          <w:sz w:val="22"/>
        </w:rPr>
        <w:t>mıştır.</w:t>
      </w:r>
    </w:p>
    <w:p w:rsidR="004945F0" w:rsidRPr="000E2888" w:rsidRDefault="004945F0" w:rsidP="000A5A56">
      <w:pPr>
        <w:pStyle w:val="Balk2"/>
        <w:numPr>
          <w:ilvl w:val="1"/>
          <w:numId w:val="11"/>
        </w:numPr>
        <w:spacing w:before="0" w:after="160"/>
        <w:rPr>
          <w:rFonts w:asciiTheme="minorHAnsi" w:hAnsiTheme="minorHAnsi" w:cstheme="minorHAnsi"/>
          <w:color w:val="auto"/>
          <w:sz w:val="22"/>
          <w:szCs w:val="22"/>
        </w:rPr>
      </w:pPr>
      <w:bookmarkStart w:id="324" w:name="_Toc514251674"/>
      <w:bookmarkStart w:id="325" w:name="_Toc36205080"/>
      <w:bookmarkStart w:id="326" w:name="_Toc132713832"/>
      <w:r w:rsidRPr="000E2888">
        <w:rPr>
          <w:rFonts w:asciiTheme="minorHAnsi" w:hAnsiTheme="minorHAnsi" w:cstheme="minorHAnsi"/>
          <w:color w:val="auto"/>
          <w:sz w:val="22"/>
          <w:szCs w:val="22"/>
        </w:rPr>
        <w:t xml:space="preserve">Kurum </w:t>
      </w:r>
      <w:bookmarkEnd w:id="324"/>
      <w:r w:rsidRPr="000E2888">
        <w:rPr>
          <w:rFonts w:asciiTheme="minorHAnsi" w:hAnsiTheme="minorHAnsi" w:cstheme="minorHAnsi"/>
          <w:color w:val="auto"/>
          <w:sz w:val="22"/>
          <w:szCs w:val="22"/>
        </w:rPr>
        <w:t>İnternet Sitesi</w:t>
      </w:r>
      <w:bookmarkEnd w:id="325"/>
      <w:bookmarkEnd w:id="326"/>
    </w:p>
    <w:p w:rsidR="00BB4F05" w:rsidRPr="00BB4F05" w:rsidRDefault="00BB4F05" w:rsidP="00BB4F05">
      <w:pPr>
        <w:rPr>
          <w:rFonts w:cstheme="minorHAnsi"/>
          <w:color w:val="000000" w:themeColor="text1"/>
        </w:rPr>
      </w:pPr>
      <w:bookmarkStart w:id="327" w:name="_Toc442262794"/>
      <w:bookmarkStart w:id="328" w:name="_Toc514251678"/>
      <w:bookmarkStart w:id="329" w:name="_Toc36205081"/>
      <w:r w:rsidRPr="00BB4F05">
        <w:rPr>
          <w:rFonts w:cstheme="minorHAnsi"/>
          <w:color w:val="000000" w:themeColor="text1"/>
        </w:rPr>
        <w:t xml:space="preserve">Kurum internet sitesi geliştirmeleri, </w:t>
      </w:r>
      <w:r w:rsidR="00C8151C">
        <w:rPr>
          <w:rFonts w:cstheme="minorHAnsi"/>
          <w:color w:val="000000" w:themeColor="text1"/>
        </w:rPr>
        <w:t>birimlerden</w:t>
      </w:r>
      <w:r w:rsidRPr="00BB4F05">
        <w:rPr>
          <w:rFonts w:cstheme="minorHAnsi"/>
          <w:color w:val="000000" w:themeColor="text1"/>
        </w:rPr>
        <w:t xml:space="preserve"> ve kullanıcılardan gelen istekler doğrultusunda devam etmektedir.</w:t>
      </w:r>
    </w:p>
    <w:p w:rsidR="007A6D01" w:rsidRPr="007A6D01" w:rsidRDefault="004945F0" w:rsidP="000A5A56">
      <w:pPr>
        <w:pStyle w:val="Balk2"/>
        <w:numPr>
          <w:ilvl w:val="1"/>
          <w:numId w:val="11"/>
        </w:numPr>
        <w:spacing w:before="0" w:after="160"/>
        <w:rPr>
          <w:rFonts w:asciiTheme="minorHAnsi" w:hAnsiTheme="minorHAnsi" w:cstheme="minorHAnsi"/>
          <w:color w:val="auto"/>
          <w:sz w:val="22"/>
          <w:szCs w:val="22"/>
        </w:rPr>
      </w:pPr>
      <w:bookmarkStart w:id="330" w:name="_Toc132713833"/>
      <w:r w:rsidRPr="000E2888">
        <w:rPr>
          <w:rFonts w:asciiTheme="minorHAnsi" w:hAnsiTheme="minorHAnsi" w:cstheme="minorHAnsi"/>
          <w:color w:val="auto"/>
          <w:sz w:val="22"/>
          <w:szCs w:val="22"/>
        </w:rPr>
        <w:t>Kurumsal Kaynak Planlama (KKP)</w:t>
      </w:r>
      <w:bookmarkEnd w:id="327"/>
      <w:bookmarkEnd w:id="328"/>
      <w:bookmarkEnd w:id="329"/>
      <w:bookmarkEnd w:id="330"/>
      <w:r w:rsidRPr="000E2888">
        <w:rPr>
          <w:rFonts w:asciiTheme="minorHAnsi" w:hAnsiTheme="minorHAnsi" w:cstheme="minorHAnsi"/>
          <w:color w:val="auto"/>
          <w:sz w:val="22"/>
          <w:szCs w:val="22"/>
        </w:rPr>
        <w:t xml:space="preserve"> </w:t>
      </w:r>
    </w:p>
    <w:p w:rsidR="007A6D01" w:rsidRPr="007A6D01" w:rsidRDefault="00C8151C" w:rsidP="007A6D01">
      <w:pPr>
        <w:rPr>
          <w:rFonts w:cstheme="minorHAnsi"/>
          <w:color w:val="000000" w:themeColor="text1"/>
        </w:rPr>
      </w:pPr>
      <w:r w:rsidRPr="00E6446B">
        <w:rPr>
          <w:rFonts w:cstheme="minorHAnsi"/>
          <w:color w:val="000000" w:themeColor="text1"/>
        </w:rPr>
        <w:t xml:space="preserve">Kurum İntranet Portalı üzerinde geliştirilmesi ve güncelleştirilmesi 2022 yılında da devam eden KKP modüllerinden </w:t>
      </w:r>
      <w:r w:rsidR="00A60F1C" w:rsidRPr="00E6446B">
        <w:rPr>
          <w:rFonts w:cstheme="minorHAnsi"/>
          <w:color w:val="000000" w:themeColor="text1"/>
        </w:rPr>
        <w:t>satın alma</w:t>
      </w:r>
      <w:r w:rsidRPr="00E6446B">
        <w:rPr>
          <w:rFonts w:cstheme="minorHAnsi"/>
          <w:color w:val="000000" w:themeColor="text1"/>
        </w:rPr>
        <w:t xml:space="preserve"> ve demirbaş modüllerinde geliştirme ve güncelleme işlemleri devam etmekte olup hali hazırda kullanıma açılmış olan </w:t>
      </w:r>
      <w:r>
        <w:rPr>
          <w:rFonts w:cstheme="minorHAnsi"/>
          <w:color w:val="000000" w:themeColor="text1"/>
        </w:rPr>
        <w:t>insan kaynakları</w:t>
      </w:r>
      <w:r w:rsidRPr="00E6446B">
        <w:rPr>
          <w:rFonts w:cstheme="minorHAnsi"/>
          <w:color w:val="000000" w:themeColor="text1"/>
        </w:rPr>
        <w:t xml:space="preserve"> modüllerinde de geliştirme ve güncelleme işlemleri devam etmektedir.</w:t>
      </w:r>
    </w:p>
    <w:p w:rsidR="007A6D01" w:rsidRPr="007A6D01" w:rsidRDefault="0080153B" w:rsidP="000A5A56">
      <w:pPr>
        <w:pStyle w:val="Balk2"/>
        <w:numPr>
          <w:ilvl w:val="1"/>
          <w:numId w:val="11"/>
        </w:numPr>
        <w:spacing w:before="0" w:after="160"/>
        <w:rPr>
          <w:rFonts w:asciiTheme="minorHAnsi" w:hAnsiTheme="minorHAnsi" w:cstheme="minorHAnsi"/>
          <w:color w:val="auto"/>
          <w:sz w:val="22"/>
          <w:szCs w:val="22"/>
        </w:rPr>
      </w:pPr>
      <w:bookmarkStart w:id="331" w:name="_Toc132713834"/>
      <w:r w:rsidRPr="0080153B">
        <w:rPr>
          <w:rFonts w:asciiTheme="minorHAnsi" w:hAnsiTheme="minorHAnsi" w:cstheme="minorHAnsi"/>
          <w:color w:val="auto"/>
          <w:sz w:val="22"/>
          <w:szCs w:val="22"/>
        </w:rPr>
        <w:t>Enerji Piyasası Analiz ve Raporlama Sistemi (EPARS)</w:t>
      </w:r>
      <w:bookmarkEnd w:id="331"/>
    </w:p>
    <w:p w:rsidR="007A6D01" w:rsidRPr="0080153B" w:rsidRDefault="007A6D01" w:rsidP="007A6D01">
      <w:pPr>
        <w:rPr>
          <w:rFonts w:cstheme="minorHAnsi"/>
          <w:color w:val="000000" w:themeColor="text1"/>
        </w:rPr>
      </w:pPr>
      <w:r w:rsidRPr="0080153B">
        <w:rPr>
          <w:rFonts w:cstheme="minorHAnsi"/>
          <w:color w:val="000000" w:themeColor="text1"/>
        </w:rPr>
        <w:t>Kurum personeline hizmet vermekte olan EPARS, Kurumda ihtiyaç duyulan enerji piyasası bilgilerinin analizi ve raporlanması için kurulmuş olan bir sistemdir. Kurumda kullanılan tüm sistemler üzerinde yer alan, analiz ve raporlama için anlamlı olabilecek veriler EPARS veri ambarlarına aktarılmış olup, gelen talepler doğrultusunda diğer anlamlı olan veriler de bu veri ambarlarına aktarılmaya devam edilmektedir. EPARS ile bu veri ambarlarındaki veriler sorgulanabilmekte, üzerinde analizler yapılarak raporlar oluşturulabilmektedir.</w:t>
      </w:r>
    </w:p>
    <w:p w:rsidR="007A6D01" w:rsidRPr="0080153B" w:rsidRDefault="007A6D01" w:rsidP="007A6D01">
      <w:pPr>
        <w:rPr>
          <w:rFonts w:cstheme="minorHAnsi"/>
          <w:color w:val="000000" w:themeColor="text1"/>
        </w:rPr>
      </w:pPr>
      <w:r w:rsidRPr="0080153B">
        <w:rPr>
          <w:rFonts w:cstheme="minorHAnsi"/>
          <w:color w:val="000000" w:themeColor="text1"/>
        </w:rPr>
        <w:t>EPARS kapsa</w:t>
      </w:r>
      <w:r>
        <w:rPr>
          <w:rFonts w:cstheme="minorHAnsi"/>
          <w:color w:val="000000" w:themeColor="text1"/>
        </w:rPr>
        <w:t>mında yetkili Kurum personeli</w:t>
      </w:r>
      <w:r w:rsidRPr="0080153B">
        <w:rPr>
          <w:rFonts w:cstheme="minorHAnsi"/>
          <w:color w:val="000000" w:themeColor="text1"/>
        </w:rPr>
        <w:t xml:space="preserve"> dinamik olarak kendi raporlarını üretebildikleri gibi, birden fazla parametreye bağlı olarak hızlıca sorgulanabilen veriler ve bu verilerle hazırlanmış sabit raporları da kullanabilmektedirler. Raporlarda; petrol, LPG, elektrik, doğal gaz piyasalarına ait lisans verileri ve bahse konu sektörlerde faaliyet gösteren şirketler tarafından Kurum</w:t>
      </w:r>
      <w:r w:rsidR="00DA6562">
        <w:rPr>
          <w:rFonts w:cstheme="minorHAnsi"/>
          <w:color w:val="000000" w:themeColor="text1"/>
        </w:rPr>
        <w:t>a</w:t>
      </w:r>
      <w:r w:rsidRPr="0080153B">
        <w:rPr>
          <w:rFonts w:cstheme="minorHAnsi"/>
          <w:color w:val="000000" w:themeColor="text1"/>
        </w:rPr>
        <w:t xml:space="preserve"> gönderilen bildirimlerden elde edilen veriler yer </w:t>
      </w:r>
      <w:r w:rsidRPr="0080153B">
        <w:rPr>
          <w:rFonts w:cstheme="minorHAnsi"/>
          <w:color w:val="000000" w:themeColor="text1"/>
        </w:rPr>
        <w:lastRenderedPageBreak/>
        <w:t>almaktadır. Şirketlerin gönderdiği verilerin, şirketler arası doğruluk kontrolleri de EPARS çapraz kontrol raporları ile yapılmaktadır.</w:t>
      </w:r>
    </w:p>
    <w:p w:rsidR="007A6D01" w:rsidRPr="0080153B" w:rsidRDefault="00637F26" w:rsidP="007A6D01">
      <w:pPr>
        <w:rPr>
          <w:rFonts w:cstheme="minorHAnsi"/>
          <w:color w:val="000000" w:themeColor="text1"/>
        </w:rPr>
      </w:pPr>
      <w:r>
        <w:rPr>
          <w:rFonts w:cstheme="minorHAnsi"/>
          <w:color w:val="000000" w:themeColor="text1"/>
        </w:rPr>
        <w:t>2022</w:t>
      </w:r>
      <w:r w:rsidR="007A6D01" w:rsidRPr="0080153B">
        <w:rPr>
          <w:rFonts w:cstheme="minorHAnsi"/>
          <w:color w:val="000000" w:themeColor="text1"/>
        </w:rPr>
        <w:t xml:space="preserve"> yılında, Daire Başkanlıklarından gelen rapor talepleri doğrultusunda </w:t>
      </w:r>
      <w:r>
        <w:rPr>
          <w:rFonts w:cstheme="minorHAnsi"/>
          <w:color w:val="000000" w:themeColor="text1"/>
        </w:rPr>
        <w:t>82</w:t>
      </w:r>
      <w:r w:rsidR="007A6D01" w:rsidRPr="0080153B">
        <w:rPr>
          <w:rFonts w:cstheme="minorHAnsi"/>
          <w:color w:val="000000" w:themeColor="text1"/>
        </w:rPr>
        <w:t xml:space="preserve"> adet yeni rapor oluşturularak ve 1</w:t>
      </w:r>
      <w:r>
        <w:rPr>
          <w:rFonts w:cstheme="minorHAnsi"/>
          <w:color w:val="000000" w:themeColor="text1"/>
        </w:rPr>
        <w:t>75</w:t>
      </w:r>
      <w:r w:rsidR="007A6D01" w:rsidRPr="0080153B">
        <w:rPr>
          <w:rFonts w:cstheme="minorHAnsi"/>
          <w:color w:val="000000" w:themeColor="text1"/>
        </w:rPr>
        <w:t xml:space="preserve"> adet mevcut raporda ise güncelleme yapılarak yetkili Kurum personelinin kullanımına sunulmuştur. Diğer kamu kurumlarından gelen veri taleplerinin karşılanmasına yönelik ise, gerekli web servis sorguları hazırlanmıştır.</w:t>
      </w:r>
    </w:p>
    <w:p w:rsidR="007A6D01" w:rsidRPr="007A6D01" w:rsidRDefault="007A6D01" w:rsidP="007A6D01">
      <w:pPr>
        <w:rPr>
          <w:rFonts w:cstheme="minorHAnsi"/>
          <w:color w:val="000000" w:themeColor="text1"/>
        </w:rPr>
      </w:pPr>
      <w:r w:rsidRPr="0080153B">
        <w:rPr>
          <w:rFonts w:cstheme="minorHAnsi"/>
          <w:color w:val="000000" w:themeColor="text1"/>
        </w:rPr>
        <w:t>Yıl içerisinde veri yönetimi ve iş zekâsı sunucularında bakım, güvenlik, test, performans ve kapasite artırım çalışmaları rutin olarak sürdürülmüştür.</w:t>
      </w:r>
    </w:p>
    <w:p w:rsidR="00120502" w:rsidRDefault="004945F0" w:rsidP="000A5A56">
      <w:pPr>
        <w:pStyle w:val="Balk2"/>
        <w:numPr>
          <w:ilvl w:val="1"/>
          <w:numId w:val="11"/>
        </w:numPr>
        <w:spacing w:before="0" w:after="160"/>
        <w:rPr>
          <w:rFonts w:asciiTheme="minorHAnsi" w:hAnsiTheme="minorHAnsi" w:cstheme="minorHAnsi"/>
          <w:color w:val="auto"/>
          <w:sz w:val="22"/>
          <w:szCs w:val="22"/>
        </w:rPr>
      </w:pPr>
      <w:bookmarkStart w:id="332" w:name="_Toc36205083"/>
      <w:bookmarkStart w:id="333" w:name="_Toc132713835"/>
      <w:r w:rsidRPr="000E2888">
        <w:rPr>
          <w:rFonts w:asciiTheme="minorHAnsi" w:hAnsiTheme="minorHAnsi" w:cstheme="minorHAnsi"/>
          <w:color w:val="auto"/>
          <w:sz w:val="22"/>
          <w:szCs w:val="22"/>
        </w:rPr>
        <w:t xml:space="preserve">Enerji Piyasası </w:t>
      </w:r>
      <w:bookmarkEnd w:id="332"/>
      <w:r w:rsidR="00120502" w:rsidRPr="00120502">
        <w:rPr>
          <w:rFonts w:asciiTheme="minorHAnsi" w:hAnsiTheme="minorHAnsi" w:cstheme="minorHAnsi"/>
          <w:color w:val="auto"/>
          <w:sz w:val="22"/>
          <w:szCs w:val="22"/>
        </w:rPr>
        <w:t>Veri Tabanı Yönetim Sistemi (EPVYS)</w:t>
      </w:r>
      <w:bookmarkEnd w:id="333"/>
    </w:p>
    <w:p w:rsidR="007A6D01" w:rsidRPr="00120502" w:rsidRDefault="007A6D01" w:rsidP="007A6D01">
      <w:pPr>
        <w:rPr>
          <w:rFonts w:cstheme="minorHAnsi"/>
          <w:color w:val="000000" w:themeColor="text1"/>
        </w:rPr>
      </w:pPr>
      <w:r w:rsidRPr="00120502">
        <w:rPr>
          <w:rFonts w:cstheme="minorHAnsi"/>
          <w:color w:val="000000" w:themeColor="text1"/>
        </w:rPr>
        <w:t>Kuruma mevzuatla verilen görevlerin; verimlilik ve performans artışı sağlayarak, hızlı ve güvenli bir biçimde elektronik ortamda gerçekleştirilmesi ve gerek Kurum içinde gerekse diğer kurum ve kuruluşlarla birlikte çalışılabilirliğin</w:t>
      </w:r>
      <w:r>
        <w:rPr>
          <w:rFonts w:cstheme="minorHAnsi"/>
          <w:color w:val="000000" w:themeColor="text1"/>
        </w:rPr>
        <w:t>in</w:t>
      </w:r>
      <w:r w:rsidRPr="00120502">
        <w:rPr>
          <w:rFonts w:cstheme="minorHAnsi"/>
          <w:color w:val="000000" w:themeColor="text1"/>
        </w:rPr>
        <w:t xml:space="preserve"> de sağlandığı bir bilişim sistemi kurulmuş ve devreye alınmıştır. Bu kapsamda, elektrik, doğal gaz, petrol ve LPG piyasalarında faaliyet gösteren şirketlere ilişkin Lisans, Muhatap, Tarife, Dava, Denetim</w:t>
      </w:r>
      <w:r>
        <w:rPr>
          <w:rFonts w:cstheme="minorHAnsi"/>
          <w:color w:val="000000" w:themeColor="text1"/>
        </w:rPr>
        <w:t xml:space="preserve">, </w:t>
      </w:r>
      <w:r w:rsidRPr="00120502">
        <w:rPr>
          <w:rFonts w:cstheme="minorHAnsi"/>
          <w:color w:val="000000" w:themeColor="text1"/>
        </w:rPr>
        <w:t>İdari Para Cezaları</w:t>
      </w:r>
      <w:r>
        <w:rPr>
          <w:rFonts w:cstheme="minorHAnsi"/>
          <w:color w:val="000000" w:themeColor="text1"/>
        </w:rPr>
        <w:t xml:space="preserve"> ile Lisans Bedeli ve Katılma Payı</w:t>
      </w:r>
      <w:r w:rsidRPr="00120502">
        <w:rPr>
          <w:rFonts w:cstheme="minorHAnsi"/>
          <w:color w:val="000000" w:themeColor="text1"/>
        </w:rPr>
        <w:t xml:space="preserve"> bilgilerine ilişkin ihtiyaçlar doğrultusunda geliştirmeler ve güncellemeler yapılmaktadır.  Bu kapsamda </w:t>
      </w:r>
      <w:r w:rsidR="0059674B">
        <w:rPr>
          <w:rFonts w:cstheme="minorHAnsi"/>
          <w:color w:val="000000" w:themeColor="text1"/>
        </w:rPr>
        <w:t>2022</w:t>
      </w:r>
      <w:r w:rsidRPr="00120502">
        <w:rPr>
          <w:rFonts w:cstheme="minorHAnsi"/>
          <w:color w:val="000000" w:themeColor="text1"/>
        </w:rPr>
        <w:t xml:space="preserve"> yılında yapılan çalışmalar şunlardır:</w:t>
      </w:r>
    </w:p>
    <w:p w:rsidR="007A6D01" w:rsidRDefault="007A6D01" w:rsidP="000A5A56">
      <w:pPr>
        <w:pStyle w:val="ListeParagraf"/>
        <w:numPr>
          <w:ilvl w:val="0"/>
          <w:numId w:val="21"/>
        </w:numPr>
        <w:rPr>
          <w:rFonts w:cstheme="minorHAnsi"/>
          <w:color w:val="000000" w:themeColor="text1"/>
        </w:rPr>
      </w:pPr>
      <w:r w:rsidRPr="00120502">
        <w:rPr>
          <w:rFonts w:cstheme="minorHAnsi"/>
          <w:color w:val="000000" w:themeColor="text1"/>
        </w:rPr>
        <w:t>EPVYS yazılım geliştirmesi birimlerden gelen talepler doğrultusunda Kurum personeli tarafından yapılmıştır.</w:t>
      </w:r>
    </w:p>
    <w:p w:rsidR="007A6D01" w:rsidRDefault="007A6D01" w:rsidP="007A6D01">
      <w:pPr>
        <w:pStyle w:val="ListeParagraf"/>
        <w:rPr>
          <w:rFonts w:cstheme="minorHAnsi"/>
          <w:color w:val="000000" w:themeColor="text1"/>
        </w:rPr>
      </w:pPr>
    </w:p>
    <w:p w:rsidR="00C8151C" w:rsidRPr="00E6446B" w:rsidRDefault="00C8151C" w:rsidP="00C8151C">
      <w:pPr>
        <w:pStyle w:val="ListeParagraf"/>
        <w:numPr>
          <w:ilvl w:val="0"/>
          <w:numId w:val="21"/>
        </w:numPr>
        <w:rPr>
          <w:rFonts w:cstheme="minorHAnsi"/>
          <w:color w:val="000000" w:themeColor="text1"/>
        </w:rPr>
      </w:pPr>
      <w:r w:rsidRPr="002B1973">
        <w:t>2 Nisan 2022 tarihli ve 31797 sayılı Resmî Gazete</w:t>
      </w:r>
      <w:r>
        <w:t xml:space="preserve"> de yayınlanan Şarj Hizmeti Yönetmeliği kapsamında Kurum tarafından verilen </w:t>
      </w:r>
      <w:r w:rsidRPr="002B1973">
        <w:t>Şarj Ağı İşletme</w:t>
      </w:r>
      <w:r>
        <w:t xml:space="preserve">ci Lisanslarının Yeni Lisans ve Tadil </w:t>
      </w:r>
      <w:r w:rsidRPr="002B1973">
        <w:t>Başvuruları EPDK Başvuru sistemi üzerinden online olarak alınmaya başlanmıştır.</w:t>
      </w:r>
    </w:p>
    <w:p w:rsidR="00C8151C" w:rsidRPr="00E6446B" w:rsidRDefault="00C8151C" w:rsidP="00C8151C">
      <w:pPr>
        <w:pStyle w:val="ListeParagraf"/>
        <w:rPr>
          <w:rFonts w:cstheme="minorHAnsi"/>
          <w:color w:val="000000" w:themeColor="text1"/>
        </w:rPr>
      </w:pPr>
    </w:p>
    <w:p w:rsidR="00C8151C" w:rsidRPr="002B1973" w:rsidRDefault="00C8151C" w:rsidP="00C8151C">
      <w:pPr>
        <w:pStyle w:val="ListeParagraf"/>
        <w:numPr>
          <w:ilvl w:val="0"/>
          <w:numId w:val="21"/>
        </w:numPr>
      </w:pPr>
      <w:r w:rsidRPr="00E03230">
        <w:rPr>
          <w:spacing w:val="-1"/>
        </w:rPr>
        <w:t>Şarj ağlarının tamamında yer alan halka açık şarj istasyonlarının coğrafi konumları, şarj ünitesi sayıları, güçleri ve tipleri, soket sayıları ve tipleri ile uygunluk durumlarının, ödeme yönteminin ve şarj hi</w:t>
      </w:r>
      <w:r>
        <w:rPr>
          <w:spacing w:val="-1"/>
        </w:rPr>
        <w:t xml:space="preserve">zmeti fiyatlarının yayımlandığı </w:t>
      </w:r>
      <w:r w:rsidRPr="00E03230">
        <w:rPr>
          <w:spacing w:val="-1"/>
        </w:rPr>
        <w:t>serbest erişim platformu</w:t>
      </w:r>
      <w:r>
        <w:rPr>
          <w:spacing w:val="-1"/>
        </w:rPr>
        <w:t xml:space="preserve"> çalışmalarına başlanmıştır. Bu kapsamda;</w:t>
      </w:r>
    </w:p>
    <w:p w:rsidR="00C8151C" w:rsidRPr="002B1973" w:rsidRDefault="00C8151C" w:rsidP="00C8151C">
      <w:pPr>
        <w:pStyle w:val="ListeParagraf"/>
        <w:rPr>
          <w:spacing w:val="-1"/>
        </w:rPr>
      </w:pPr>
    </w:p>
    <w:p w:rsidR="00C8151C" w:rsidRDefault="00C8151C" w:rsidP="00C8151C">
      <w:pPr>
        <w:pStyle w:val="ListeParagraf"/>
        <w:numPr>
          <w:ilvl w:val="1"/>
          <w:numId w:val="21"/>
        </w:numPr>
        <w:rPr>
          <w:spacing w:val="-1"/>
        </w:rPr>
      </w:pPr>
      <w:r w:rsidRPr="002B1973">
        <w:rPr>
          <w:spacing w:val="-1"/>
        </w:rPr>
        <w:t>Şarj İstasyon verilerinin web servis ile anlık olarak alınması işlemlerini gerçekleştiren Şarj Otomasyon Sistemi kurulmuş ve işletilmeye başlanmıştır.</w:t>
      </w:r>
    </w:p>
    <w:p w:rsidR="00C8151C" w:rsidRDefault="00C8151C" w:rsidP="00C8151C">
      <w:pPr>
        <w:pStyle w:val="ListeParagraf"/>
        <w:ind w:left="1440"/>
        <w:rPr>
          <w:spacing w:val="-1"/>
        </w:rPr>
      </w:pPr>
    </w:p>
    <w:p w:rsidR="00C8151C" w:rsidRPr="00E6446B" w:rsidRDefault="00C8151C" w:rsidP="00C8151C">
      <w:pPr>
        <w:pStyle w:val="ListeParagraf"/>
        <w:numPr>
          <w:ilvl w:val="1"/>
          <w:numId w:val="21"/>
        </w:numPr>
        <w:rPr>
          <w:spacing w:val="-1"/>
        </w:rPr>
      </w:pPr>
      <w:r>
        <w:rPr>
          <w:spacing w:val="-1"/>
        </w:rPr>
        <w:t>V</w:t>
      </w:r>
      <w:r w:rsidRPr="002B1973">
        <w:rPr>
          <w:spacing w:val="-1"/>
        </w:rPr>
        <w:t xml:space="preserve">atandaşların en rahat şekilde elektrikli şarj istasyonlarına erişebilmesi için Türkiye’deki halka açık tüm elektrikli araç şarj istasyonlarının bilgilerini içinde barındıran herkese </w:t>
      </w:r>
      <w:r>
        <w:rPr>
          <w:spacing w:val="-1"/>
        </w:rPr>
        <w:t xml:space="preserve">açık ŞARJ@TR mobil uygulamasını </w:t>
      </w:r>
      <w:r w:rsidRPr="002B1973">
        <w:rPr>
          <w:spacing w:val="-1"/>
        </w:rPr>
        <w:t>geliştiril</w:t>
      </w:r>
      <w:r>
        <w:rPr>
          <w:spacing w:val="-1"/>
        </w:rPr>
        <w:t>miş ve devreye alınmıştır.</w:t>
      </w:r>
    </w:p>
    <w:p w:rsidR="00C8151C" w:rsidRDefault="00C8151C" w:rsidP="00C8151C">
      <w:pPr>
        <w:pStyle w:val="ListeParagraf"/>
        <w:rPr>
          <w:rFonts w:cstheme="minorHAnsi"/>
          <w:color w:val="000000" w:themeColor="text1"/>
        </w:rPr>
      </w:pPr>
    </w:p>
    <w:p w:rsidR="00C8151C" w:rsidRDefault="00C8151C" w:rsidP="00C8151C">
      <w:pPr>
        <w:pStyle w:val="ListeParagraf"/>
        <w:numPr>
          <w:ilvl w:val="0"/>
          <w:numId w:val="21"/>
        </w:numPr>
      </w:pPr>
      <w:r>
        <w:t xml:space="preserve">Elektronik ortamda alınmaya başlanan </w:t>
      </w:r>
      <w:r w:rsidRPr="002B1973">
        <w:t>Kamulaştırma başvuru</w:t>
      </w:r>
      <w:r>
        <w:t xml:space="preserve"> süreçlerine revizyon aşaması eklenmiştir. Kamulaştırma başvurularında </w:t>
      </w:r>
      <w:r w:rsidRPr="002B1973">
        <w:t xml:space="preserve">tadil süreçlerinin de sistem üzerinden </w:t>
      </w:r>
      <w:r>
        <w:t xml:space="preserve">işletilmesi </w:t>
      </w:r>
      <w:r w:rsidRPr="002B1973">
        <w:t>çalışmalarına başlanmıştır.</w:t>
      </w:r>
      <w:r>
        <w:t xml:space="preserve"> Bunun yanında daha eskiden yapılmış olan Kamulaştırmaların da elektronik ortama taşınması ve sürece dahil edilmesi için arşiv çalışmalarına başlanmıştır.</w:t>
      </w:r>
    </w:p>
    <w:p w:rsidR="00C348D5" w:rsidRDefault="00C348D5" w:rsidP="00C348D5">
      <w:pPr>
        <w:pStyle w:val="ListeParagraf"/>
      </w:pPr>
    </w:p>
    <w:p w:rsidR="00C8151C" w:rsidRDefault="00C8151C" w:rsidP="00C8151C">
      <w:pPr>
        <w:pStyle w:val="ListeParagraf"/>
        <w:numPr>
          <w:ilvl w:val="0"/>
          <w:numId w:val="21"/>
        </w:numPr>
      </w:pPr>
      <w:r>
        <w:t xml:space="preserve">Depolamalı </w:t>
      </w:r>
      <w:r w:rsidRPr="004D09D5">
        <w:t>Elektrik Üretim</w:t>
      </w:r>
      <w:r>
        <w:t xml:space="preserve"> Lisansı başvurularının Elektronik ortamda online olarak alınması sağlanmıştır.</w:t>
      </w:r>
    </w:p>
    <w:p w:rsidR="00C8151C" w:rsidRDefault="00C8151C" w:rsidP="00C8151C">
      <w:pPr>
        <w:pStyle w:val="ListeParagraf"/>
      </w:pPr>
    </w:p>
    <w:p w:rsidR="00C8151C" w:rsidRDefault="00C8151C" w:rsidP="00C8151C">
      <w:pPr>
        <w:pStyle w:val="ListeParagraf"/>
        <w:numPr>
          <w:ilvl w:val="0"/>
          <w:numId w:val="21"/>
        </w:numPr>
      </w:pPr>
      <w:r w:rsidRPr="004D09D5">
        <w:lastRenderedPageBreak/>
        <w:t>7318 Sayılı Vergi Usul Kanunu ile Bazı Kanunlarda Değişiklik Yapılmasına Dair Kanun çerçevesinde Vergi Denetim Kurulu Başkanlığı’nın (VDK) başlattığı soruşturmalar üzerinde Kurumumuz tarafından yapılması gereken Geçici Faaliyet Durdurma işlemlerinin sistem üzerinden takip edilmesi ve süreçlerin yönetilmesi için VDK Tespit Bilgileri Modülü devreye alınmıştır</w:t>
      </w:r>
      <w:r>
        <w:t>.</w:t>
      </w:r>
    </w:p>
    <w:p w:rsidR="00C8151C" w:rsidRDefault="00C8151C" w:rsidP="00C8151C">
      <w:pPr>
        <w:pStyle w:val="ListeParagraf"/>
      </w:pPr>
    </w:p>
    <w:p w:rsidR="00C8151C" w:rsidRDefault="00C8151C" w:rsidP="00C8151C">
      <w:pPr>
        <w:pStyle w:val="ListeParagraf"/>
        <w:numPr>
          <w:ilvl w:val="0"/>
          <w:numId w:val="21"/>
        </w:numPr>
      </w:pPr>
      <w:r w:rsidRPr="004D09D5">
        <w:t>213 sayılı Vergi Usul Kanununun mükerrer 257 nci maddesinde yapılan düzenleme çerçevesinde 5015 sayılı Kanun kapsamında lisansa tabi faaliyette bulunan mükelleflere getirilen yükümlülük kapsamında Gelir İdaresi Başkanlığı (GİB) ile entegrasyon sağlanmıştır. Bu sayede teminat yükümlülüklerinin sistem üzerinden online olarak takip edilmesi sağlanmıştır.</w:t>
      </w:r>
    </w:p>
    <w:p w:rsidR="00C8151C" w:rsidRDefault="00C8151C" w:rsidP="00C8151C">
      <w:pPr>
        <w:pStyle w:val="ListeParagraf"/>
      </w:pPr>
    </w:p>
    <w:p w:rsidR="00C8151C" w:rsidRDefault="00C8151C" w:rsidP="00C8151C">
      <w:pPr>
        <w:pStyle w:val="ListeParagraf"/>
        <w:numPr>
          <w:ilvl w:val="0"/>
          <w:numId w:val="21"/>
        </w:numPr>
      </w:pPr>
      <w:r w:rsidRPr="004D09D5">
        <w:t>Kurum bünyesinde bulunan teminat mektuplarının takip edilmesi ve süreçlerinin sistem üzerinden yönetilmesi için teminat modülü devreye alınmıştır.</w:t>
      </w:r>
    </w:p>
    <w:p w:rsidR="00C8151C" w:rsidRPr="00E6446B" w:rsidRDefault="00C8151C" w:rsidP="00C8151C">
      <w:pPr>
        <w:pStyle w:val="ListeParagraf"/>
      </w:pPr>
    </w:p>
    <w:p w:rsidR="00C8151C" w:rsidRPr="00E6446B" w:rsidRDefault="00C8151C" w:rsidP="00C8151C">
      <w:pPr>
        <w:pStyle w:val="ListeParagraf"/>
        <w:numPr>
          <w:ilvl w:val="0"/>
          <w:numId w:val="21"/>
        </w:numPr>
      </w:pPr>
      <w:r w:rsidRPr="002B1973">
        <w:rPr>
          <w:spacing w:val="-1"/>
        </w:rPr>
        <w:t>Bürokrasinin azaltılması ve Dijital Türkiye çalışmaları kapsamında Elektrik, Doğal Gaz, Petrol ve LPG piyasası Yeni Lisans Başvurusu, Tadil, Süre Uzatma, Sona Erdirme ve Suret Çıkarma işlemlerinin tamamı elektronik ortamda EPDK Başvuru Sistemi üzerinden alınmaya devam edilmektedir. Mevzuat değişiklikleri kapsamında başvuru süreçlerinde gerekli yaz</w:t>
      </w:r>
      <w:r>
        <w:rPr>
          <w:spacing w:val="-1"/>
        </w:rPr>
        <w:t>ılım güncellemeleri yapılmıştır.</w:t>
      </w:r>
    </w:p>
    <w:p w:rsidR="00C8151C" w:rsidRDefault="00C8151C" w:rsidP="00C8151C">
      <w:pPr>
        <w:pStyle w:val="ListeParagraf"/>
      </w:pPr>
    </w:p>
    <w:p w:rsidR="00C8151C" w:rsidRPr="00E6446B" w:rsidRDefault="00C8151C" w:rsidP="00C8151C">
      <w:pPr>
        <w:pStyle w:val="ListeParagraf"/>
        <w:numPr>
          <w:ilvl w:val="0"/>
          <w:numId w:val="21"/>
        </w:numPr>
      </w:pPr>
      <w:r w:rsidRPr="002B1973">
        <w:rPr>
          <w:spacing w:val="-1"/>
        </w:rPr>
        <w:t xml:space="preserve">Bürokrasinin azaltılması ve Dijital Türkiye çalışmaları kapsamında </w:t>
      </w:r>
      <w:r>
        <w:rPr>
          <w:spacing w:val="-1"/>
        </w:rPr>
        <w:t xml:space="preserve">e-Devlet üzerinden yapılan murise ait </w:t>
      </w:r>
      <w:r w:rsidRPr="002B1973">
        <w:rPr>
          <w:spacing w:val="-1"/>
        </w:rPr>
        <w:t>Elektrik</w:t>
      </w:r>
      <w:r>
        <w:rPr>
          <w:spacing w:val="-1"/>
        </w:rPr>
        <w:t xml:space="preserve"> ve Doğal Gaz abonelik ve sorgulama işlemlerinin varisler tarafından da yapılabilmesi için gerekli koordinasyon sağlanmıştır.</w:t>
      </w:r>
    </w:p>
    <w:p w:rsidR="00C8151C" w:rsidRPr="00E6446B" w:rsidRDefault="00C8151C" w:rsidP="00C8151C">
      <w:pPr>
        <w:pStyle w:val="ListeParagraf"/>
      </w:pPr>
    </w:p>
    <w:p w:rsidR="00C8151C" w:rsidRPr="00E6446B" w:rsidRDefault="00C8151C" w:rsidP="00C8151C">
      <w:pPr>
        <w:pStyle w:val="ListeParagraf"/>
        <w:numPr>
          <w:ilvl w:val="0"/>
          <w:numId w:val="21"/>
        </w:numPr>
      </w:pPr>
      <w:r w:rsidRPr="00651063">
        <w:rPr>
          <w:rFonts w:cstheme="minorHAnsi"/>
          <w:color w:val="000000" w:themeColor="text1"/>
        </w:rPr>
        <w:t>Lisans ve lisans tadil başvurularının, sertifika, izin, YEKDEM ve kamulaştırma işlemlerinin elektronik ortamda alınarak işlemlerin hızlandırılması, işlemlerde istenen belgelerin sadeleştirilmesi/azaltılması ve elektronik ortamda temin edilebilecek belgelerin fiziki olarak alınmaması yönündeki çalışmalara devam edilmektedir.</w:t>
      </w:r>
    </w:p>
    <w:p w:rsidR="00C8151C" w:rsidRPr="00E6446B" w:rsidRDefault="00C8151C" w:rsidP="00C8151C">
      <w:pPr>
        <w:pStyle w:val="ListeParagraf"/>
      </w:pPr>
    </w:p>
    <w:p w:rsidR="00C8151C" w:rsidRPr="00E6446B" w:rsidRDefault="00C8151C" w:rsidP="00C8151C">
      <w:pPr>
        <w:pStyle w:val="ListeParagraf"/>
        <w:numPr>
          <w:ilvl w:val="0"/>
          <w:numId w:val="21"/>
        </w:numPr>
      </w:pPr>
      <w:r w:rsidRPr="00120502">
        <w:rPr>
          <w:rFonts w:cstheme="minorHAnsi"/>
          <w:color w:val="000000" w:themeColor="text1"/>
        </w:rPr>
        <w:t xml:space="preserve">Cumhurbaşkanlığı Ulusal Veri Sözlüğü (UVS) projesi kapsamında </w:t>
      </w:r>
      <w:r>
        <w:rPr>
          <w:rFonts w:cstheme="minorHAnsi"/>
          <w:color w:val="000000" w:themeColor="text1"/>
        </w:rPr>
        <w:t>Ulusal Veri Sözlüğü çalışmaları kapsamında gerekli işlemler yapılmaktadır.</w:t>
      </w:r>
    </w:p>
    <w:p w:rsidR="008A4529" w:rsidRPr="007A6D01" w:rsidRDefault="00120502" w:rsidP="000A5A56">
      <w:pPr>
        <w:pStyle w:val="Balk2"/>
        <w:numPr>
          <w:ilvl w:val="1"/>
          <w:numId w:val="11"/>
        </w:numPr>
        <w:spacing w:before="0" w:after="160"/>
        <w:rPr>
          <w:rFonts w:asciiTheme="minorHAnsi" w:hAnsiTheme="minorHAnsi" w:cstheme="minorHAnsi"/>
          <w:color w:val="auto"/>
          <w:sz w:val="22"/>
          <w:szCs w:val="22"/>
        </w:rPr>
      </w:pPr>
      <w:bookmarkStart w:id="334" w:name="_Toc132713836"/>
      <w:r w:rsidRPr="00120502">
        <w:rPr>
          <w:rFonts w:asciiTheme="minorHAnsi" w:hAnsiTheme="minorHAnsi" w:cstheme="minorHAnsi"/>
          <w:color w:val="auto"/>
          <w:sz w:val="22"/>
          <w:szCs w:val="22"/>
        </w:rPr>
        <w:t xml:space="preserve">Diğer Kurum ve Kuruluşlar </w:t>
      </w:r>
      <w:r w:rsidR="00E464D3">
        <w:rPr>
          <w:rFonts w:asciiTheme="minorHAnsi" w:hAnsiTheme="minorHAnsi" w:cstheme="minorHAnsi"/>
          <w:color w:val="auto"/>
          <w:sz w:val="22"/>
          <w:szCs w:val="22"/>
        </w:rPr>
        <w:t>i</w:t>
      </w:r>
      <w:r w:rsidRPr="00120502">
        <w:rPr>
          <w:rFonts w:asciiTheme="minorHAnsi" w:hAnsiTheme="minorHAnsi" w:cstheme="minorHAnsi"/>
          <w:color w:val="auto"/>
          <w:sz w:val="22"/>
          <w:szCs w:val="22"/>
        </w:rPr>
        <w:t>le Veri Paylaşımı (Veri Erişim ve Paylaşım Sistemi (VEPS))</w:t>
      </w:r>
      <w:bookmarkStart w:id="335" w:name="_Toc36205086"/>
      <w:bookmarkEnd w:id="334"/>
    </w:p>
    <w:p w:rsidR="007A6D01" w:rsidRPr="009C74CA" w:rsidRDefault="007A6D01" w:rsidP="007A6D01">
      <w:r>
        <w:t>Bu başlık altında 202</w:t>
      </w:r>
      <w:r w:rsidR="00C8151C">
        <w:t>2</w:t>
      </w:r>
      <w:r>
        <w:t xml:space="preserve"> yılında gerçekleştirilen faaliyetler aşağıda özetlenmektedir:</w:t>
      </w:r>
    </w:p>
    <w:p w:rsidR="00C8151C" w:rsidRDefault="00C8151C" w:rsidP="00C8151C">
      <w:pPr>
        <w:pStyle w:val="ListeParagraf"/>
        <w:numPr>
          <w:ilvl w:val="0"/>
          <w:numId w:val="21"/>
        </w:numPr>
        <w:ind w:left="714" w:hanging="357"/>
        <w:rPr>
          <w:color w:val="000000" w:themeColor="text1"/>
        </w:rPr>
      </w:pPr>
      <w:r w:rsidRPr="00E85222">
        <w:rPr>
          <w:rFonts w:cstheme="minorHAnsi"/>
          <w:color w:val="000000" w:themeColor="text1"/>
        </w:rPr>
        <w:t>Gelir İdaresi Başkanlığı (GİB) ile yapılmış olan entegrasyon mevzuat değişiklikleri kapsamında güncellenmiş</w:t>
      </w:r>
      <w:r>
        <w:rPr>
          <w:rFonts w:cstheme="minorHAnsi"/>
          <w:color w:val="000000" w:themeColor="text1"/>
        </w:rPr>
        <w:t xml:space="preserve">, VDK tespit ve GİB Teminat modüleri kapsamında </w:t>
      </w:r>
      <w:r w:rsidRPr="00E85222">
        <w:rPr>
          <w:rFonts w:cstheme="minorHAnsi"/>
          <w:color w:val="000000" w:themeColor="text1"/>
        </w:rPr>
        <w:t>karşılıklı olarak ilave servisler devreye alınmıştır</w:t>
      </w:r>
      <w:r>
        <w:rPr>
          <w:color w:val="000000" w:themeColor="text1"/>
        </w:rPr>
        <w:t>.</w:t>
      </w:r>
    </w:p>
    <w:p w:rsidR="00C8151C" w:rsidRPr="009C74CA" w:rsidRDefault="00C8151C" w:rsidP="00C8151C">
      <w:pPr>
        <w:pStyle w:val="ListeParagraf"/>
        <w:ind w:left="714" w:hanging="357"/>
        <w:rPr>
          <w:rFonts w:cstheme="minorHAnsi"/>
          <w:color w:val="000000" w:themeColor="text1"/>
        </w:rPr>
      </w:pPr>
    </w:p>
    <w:p w:rsidR="00C8151C" w:rsidRDefault="00C8151C" w:rsidP="00C8151C">
      <w:pPr>
        <w:pStyle w:val="ListeParagraf"/>
        <w:numPr>
          <w:ilvl w:val="0"/>
          <w:numId w:val="21"/>
        </w:numPr>
        <w:ind w:left="714" w:hanging="357"/>
        <w:rPr>
          <w:color w:val="000000" w:themeColor="text1"/>
        </w:rPr>
      </w:pPr>
      <w:r w:rsidRPr="00E85222">
        <w:rPr>
          <w:rFonts w:cstheme="minorHAnsi"/>
          <w:color w:val="000000" w:themeColor="text1"/>
        </w:rPr>
        <w:t>Gelir İdaresi Başkanlığı Kamu Alacakları Tahsilat Platformu (KATP) Sistemi ile entegrasyon çalışmalarına başlanmıştır</w:t>
      </w:r>
      <w:r>
        <w:rPr>
          <w:color w:val="000000" w:themeColor="text1"/>
        </w:rPr>
        <w:t>.</w:t>
      </w:r>
    </w:p>
    <w:p w:rsidR="00C8151C" w:rsidRPr="009C74CA" w:rsidRDefault="00C8151C" w:rsidP="00C8151C">
      <w:pPr>
        <w:pStyle w:val="ListeParagraf"/>
        <w:ind w:left="714" w:hanging="357"/>
        <w:rPr>
          <w:rFonts w:cstheme="minorHAnsi"/>
          <w:color w:val="000000" w:themeColor="text1"/>
        </w:rPr>
      </w:pPr>
    </w:p>
    <w:p w:rsidR="00C8151C" w:rsidRDefault="00C8151C" w:rsidP="00C8151C">
      <w:pPr>
        <w:pStyle w:val="ListeParagraf"/>
        <w:numPr>
          <w:ilvl w:val="0"/>
          <w:numId w:val="20"/>
        </w:numPr>
        <w:ind w:left="714" w:hanging="357"/>
      </w:pPr>
      <w:r w:rsidRPr="00E85222">
        <w:rPr>
          <w:rFonts w:cstheme="minorHAnsi"/>
          <w:color w:val="000000" w:themeColor="text1"/>
        </w:rPr>
        <w:t>Türkiye İstatistik Kurumu (TÜİ</w:t>
      </w:r>
      <w:r>
        <w:rPr>
          <w:rFonts w:cstheme="minorHAnsi"/>
          <w:color w:val="000000" w:themeColor="text1"/>
        </w:rPr>
        <w:t>K) ile entegrasyon sağlanmıştır</w:t>
      </w:r>
      <w:r>
        <w:t>.</w:t>
      </w:r>
    </w:p>
    <w:p w:rsidR="00C8151C" w:rsidRPr="009C74CA" w:rsidRDefault="00C8151C" w:rsidP="00C8151C">
      <w:pPr>
        <w:pStyle w:val="ListeParagraf"/>
        <w:ind w:left="714" w:hanging="357"/>
        <w:rPr>
          <w:rFonts w:cstheme="minorHAnsi"/>
          <w:color w:val="000000" w:themeColor="text1"/>
        </w:rPr>
      </w:pPr>
    </w:p>
    <w:p w:rsidR="007A6D01" w:rsidRPr="007A6D01" w:rsidRDefault="00C8151C" w:rsidP="000A5A56">
      <w:pPr>
        <w:pStyle w:val="ListeParagraf"/>
        <w:numPr>
          <w:ilvl w:val="0"/>
          <w:numId w:val="21"/>
        </w:numPr>
        <w:ind w:left="714" w:hanging="357"/>
        <w:rPr>
          <w:color w:val="000000" w:themeColor="text1"/>
        </w:rPr>
      </w:pPr>
      <w:r w:rsidRPr="00E85222">
        <w:rPr>
          <w:rFonts w:cstheme="minorHAnsi"/>
          <w:color w:val="000000" w:themeColor="text1"/>
        </w:rPr>
        <w:t>Maden ve Petrol İşleri Genel Müdürlüğü</w:t>
      </w:r>
      <w:r>
        <w:rPr>
          <w:rFonts w:cstheme="minorHAnsi"/>
          <w:color w:val="000000" w:themeColor="text1"/>
        </w:rPr>
        <w:t xml:space="preserve"> (</w:t>
      </w:r>
      <w:r w:rsidRPr="00E85222">
        <w:rPr>
          <w:rFonts w:cstheme="minorHAnsi"/>
          <w:color w:val="000000" w:themeColor="text1"/>
        </w:rPr>
        <w:t>MAPEG</w:t>
      </w:r>
      <w:r>
        <w:rPr>
          <w:rFonts w:cstheme="minorHAnsi"/>
          <w:color w:val="000000" w:themeColor="text1"/>
        </w:rPr>
        <w:t>) ile entegrasyon sağlanmıştır</w:t>
      </w:r>
      <w:r>
        <w:rPr>
          <w:color w:val="000000" w:themeColor="text1"/>
        </w:rPr>
        <w:t>.</w:t>
      </w:r>
    </w:p>
    <w:p w:rsidR="009C74CA" w:rsidRPr="007A6D01" w:rsidRDefault="00C348D5" w:rsidP="000A5A56">
      <w:pPr>
        <w:pStyle w:val="Balk2"/>
        <w:numPr>
          <w:ilvl w:val="1"/>
          <w:numId w:val="11"/>
        </w:numPr>
        <w:tabs>
          <w:tab w:val="left" w:pos="567"/>
        </w:tabs>
        <w:spacing w:before="0" w:after="160"/>
        <w:rPr>
          <w:rFonts w:asciiTheme="minorHAnsi" w:hAnsiTheme="minorHAnsi" w:cstheme="minorHAnsi"/>
          <w:color w:val="auto"/>
          <w:sz w:val="22"/>
          <w:szCs w:val="22"/>
        </w:rPr>
      </w:pPr>
      <w:bookmarkStart w:id="336" w:name="_Toc132713837"/>
      <w:r>
        <w:rPr>
          <w:rFonts w:asciiTheme="minorHAnsi" w:hAnsiTheme="minorHAnsi" w:cstheme="minorHAnsi"/>
          <w:color w:val="auto"/>
          <w:sz w:val="22"/>
          <w:szCs w:val="22"/>
        </w:rPr>
        <w:lastRenderedPageBreak/>
        <w:t xml:space="preserve">Enerji Piyasası </w:t>
      </w:r>
      <w:r w:rsidR="004945F0" w:rsidRPr="008A4529">
        <w:rPr>
          <w:rFonts w:asciiTheme="minorHAnsi" w:hAnsiTheme="minorHAnsi" w:cstheme="minorHAnsi"/>
          <w:color w:val="auto"/>
          <w:sz w:val="22"/>
          <w:szCs w:val="22"/>
        </w:rPr>
        <w:t>Bildirim Sistemi (EBİS)</w:t>
      </w:r>
      <w:bookmarkEnd w:id="335"/>
      <w:bookmarkEnd w:id="336"/>
    </w:p>
    <w:p w:rsidR="007A6D01" w:rsidRDefault="007A6D01" w:rsidP="004945F0">
      <w:pPr>
        <w:rPr>
          <w:rFonts w:cstheme="minorHAnsi"/>
          <w:color w:val="000000" w:themeColor="text1"/>
        </w:rPr>
      </w:pPr>
      <w:r w:rsidRPr="00464C36">
        <w:rPr>
          <w:rFonts w:cstheme="minorHAnsi"/>
          <w:color w:val="000000" w:themeColor="text1"/>
        </w:rPr>
        <w:t xml:space="preserve">EBİS yazılım geliştirmesi birimlerden gelen talepler doğrultusunda Kurum personeli tarafından yapılmıştır. Bildirim sistemi üzerinden alınan veriler Kurum tarafından yayımlanan yıllık ve aylık sektör raporlarının hazırlanmasında kullanılmakta ve söz konusu raporlar, Kurum internet sitesinde yayımlanmaktadır. Bürokrasinin azaltılması ve Dijital Türkiye çalışmaları kapsamında Elektrik ve Doğal Gaz abonelerinin Abonelik Başvuru, Fesih Başvuru ve Borç Sorgulama işlemlerinin izlenmesi için gerekli veriler bildirim sistemleri aracılığıyla alınmaya başlanmış olup bu veriler düzenli olarak Cumhurbaşkanlığına iletilmektedir. </w:t>
      </w:r>
    </w:p>
    <w:p w:rsidR="009C74CA" w:rsidRDefault="009C74CA" w:rsidP="004945F0">
      <w:pPr>
        <w:rPr>
          <w:rFonts w:cstheme="minorHAnsi"/>
          <w:color w:val="000000" w:themeColor="text1"/>
        </w:rPr>
      </w:pPr>
    </w:p>
    <w:p w:rsidR="00C16EC8" w:rsidRDefault="00C16EC8" w:rsidP="004C6AF7">
      <w:pPr>
        <w:sectPr w:rsidR="00C16EC8" w:rsidSect="007650B8">
          <w:pgSz w:w="11906" w:h="16838"/>
          <w:pgMar w:top="1418" w:right="566" w:bottom="1418" w:left="1418" w:header="709" w:footer="709" w:gutter="0"/>
          <w:cols w:space="708"/>
          <w:docGrid w:linePitch="360"/>
        </w:sectPr>
      </w:pPr>
    </w:p>
    <w:p w:rsidR="00E12CFF" w:rsidRPr="00E9291A" w:rsidRDefault="00E12CFF" w:rsidP="000A5A56">
      <w:pPr>
        <w:pStyle w:val="Balk1"/>
        <w:numPr>
          <w:ilvl w:val="0"/>
          <w:numId w:val="11"/>
        </w:numPr>
        <w:spacing w:before="0"/>
        <w:rPr>
          <w:rFonts w:asciiTheme="minorHAnsi" w:hAnsiTheme="minorHAnsi"/>
          <w:color w:val="auto"/>
          <w:sz w:val="22"/>
          <w:szCs w:val="22"/>
        </w:rPr>
      </w:pPr>
      <w:bookmarkStart w:id="337" w:name="_Toc132713838"/>
      <w:r w:rsidRPr="00E9291A">
        <w:rPr>
          <w:rFonts w:asciiTheme="minorHAnsi" w:hAnsiTheme="minorHAnsi"/>
          <w:color w:val="auto"/>
          <w:sz w:val="22"/>
          <w:szCs w:val="22"/>
        </w:rPr>
        <w:lastRenderedPageBreak/>
        <w:t>DENETİM</w:t>
      </w:r>
      <w:bookmarkEnd w:id="337"/>
      <w:r w:rsidRPr="00E9291A">
        <w:rPr>
          <w:rFonts w:asciiTheme="minorHAnsi" w:hAnsiTheme="minorHAnsi"/>
          <w:color w:val="auto"/>
          <w:sz w:val="22"/>
          <w:szCs w:val="22"/>
        </w:rPr>
        <w:tab/>
      </w:r>
    </w:p>
    <w:p w:rsidR="00F5580D" w:rsidRPr="00E9291A" w:rsidRDefault="00F5580D" w:rsidP="00F5580D">
      <w:pPr>
        <w:spacing w:after="0"/>
      </w:pPr>
      <w:bookmarkStart w:id="338" w:name="_Toc442431308"/>
      <w:r w:rsidRPr="00E9291A">
        <w:t xml:space="preserve">Kurum, 4628, 4646, 5015, 5307 ve 6446 sayılı Kanunlar kapsamında enerji piyasalarında denetim yapmaya yetkilidir. Bu çerçevede elektrik, doğal gaz, petrol ve </w:t>
      </w:r>
      <w:r>
        <w:t>LPG</w:t>
      </w:r>
      <w:r w:rsidRPr="00E9291A">
        <w:t xml:space="preserve"> piyasalarında yapılacak denetimler ile ön araştırma ve soruşturmalarda izlenecek usul ve esaslar hakkında çıkarılan dört ayrı yönetmelikle denetim ve soruşturmaların nasıl yapılacağı belirlenmiştir.  </w:t>
      </w:r>
    </w:p>
    <w:p w:rsidR="00F5580D" w:rsidRPr="00E9291A" w:rsidRDefault="00F5580D" w:rsidP="00F5580D">
      <w:pPr>
        <w:spacing w:after="0"/>
      </w:pPr>
    </w:p>
    <w:p w:rsidR="00F5580D" w:rsidRPr="00E9291A" w:rsidRDefault="00F5580D" w:rsidP="00F5580D">
      <w:r w:rsidRPr="00E9291A">
        <w:t>Kurul, re’sen veya kendisine intikal eden ihbar veya şikâyetler üzerine, piyasada faaliyette bulunan gerçek veya tüzel kişilerin ilgili mevzuat hükümlerine aykırı faaliyet ve işlemleri nedeniyle, doğrudan soruşturma açılmasına ya da soruşturma açılmasına gerek olup olmadığının tespiti için ön araştırma yapılmasına karar verebilmektedir.</w:t>
      </w:r>
      <w:r>
        <w:t xml:space="preserve"> </w:t>
      </w:r>
      <w:r w:rsidRPr="009906C5">
        <w:t xml:space="preserve">Bu doğrultuda elektrik, doğal gaz, petrol ve LPG piyasalarında yürütülecek denetim, ön araştırma ve soruşturma faaliyetlerinin icrasına ilişkin yönetmeliklerde 6719 sayılı </w:t>
      </w:r>
      <w:r w:rsidRPr="002835C9">
        <w:t xml:space="preserve">Elektrik Piyasası Kanunu İle Bazı Kanunlarda Değişiklik Yapılmasına Dair Kanun </w:t>
      </w:r>
      <w:r w:rsidRPr="009906C5">
        <w:t xml:space="preserve">sonrasında </w:t>
      </w:r>
      <w:r>
        <w:t>gerekli</w:t>
      </w:r>
      <w:r w:rsidRPr="009906C5">
        <w:t xml:space="preserve"> değişiklikler yapılmış ve </w:t>
      </w:r>
      <w:r>
        <w:t xml:space="preserve">bahse konu yönetmelikler </w:t>
      </w:r>
      <w:r w:rsidRPr="009906C5">
        <w:t xml:space="preserve">04.01.2017 tarihli ve 29938 sayılı </w:t>
      </w:r>
      <w:r w:rsidR="00DA6562" w:rsidRPr="009906C5">
        <w:t>Resmî</w:t>
      </w:r>
      <w:r w:rsidRPr="009906C5">
        <w:t xml:space="preserve"> </w:t>
      </w:r>
      <w:r w:rsidR="00274939">
        <w:t>Gazetede</w:t>
      </w:r>
      <w:r w:rsidRPr="009906C5">
        <w:t xml:space="preserve"> yayımlanarak yürürlüğe girmiştir. </w:t>
      </w:r>
      <w:r>
        <w:t>Yapılan değişikliklerle</w:t>
      </w:r>
      <w:r w:rsidRPr="009906C5">
        <w:t xml:space="preserve">, Kurul ön araştırma ve soruşturma açma yetkisini Başkanlık Makamına </w:t>
      </w:r>
      <w:r>
        <w:t>devretmiştir.</w:t>
      </w:r>
    </w:p>
    <w:p w:rsidR="00F5580D" w:rsidRPr="00E9291A" w:rsidRDefault="00F5580D" w:rsidP="00F5580D">
      <w:pPr>
        <w:spacing w:after="0"/>
      </w:pPr>
      <w:r w:rsidRPr="00E9291A">
        <w:t>Kurum, piyasa faaliyetlerini kendi personeli veya kamu kurum ve kuruluşları ile özel denetim kuruluşlarından hizmet alımı yoluyla denetime tâbi tutmaktadır.</w:t>
      </w:r>
    </w:p>
    <w:p w:rsidR="00F5580D" w:rsidRPr="00E9291A" w:rsidRDefault="00F5580D" w:rsidP="00F5580D">
      <w:pPr>
        <w:spacing w:after="0"/>
      </w:pPr>
    </w:p>
    <w:p w:rsidR="00F5580D" w:rsidRPr="00E9291A" w:rsidRDefault="00F5580D" w:rsidP="00F5580D">
      <w:pPr>
        <w:spacing w:after="0"/>
      </w:pPr>
      <w:r w:rsidRPr="00E9291A">
        <w:t xml:space="preserve">Petrol Piyasası ve </w:t>
      </w:r>
      <w:r>
        <w:t>LPG</w:t>
      </w:r>
      <w:r w:rsidRPr="00E9291A">
        <w:t xml:space="preserve"> Piyasasında Yapılacak Denetimlere İlişkin </w:t>
      </w:r>
      <w:r w:rsidR="00DA6562" w:rsidRPr="00E9291A">
        <w:t xml:space="preserve">İş </w:t>
      </w:r>
      <w:r w:rsidR="00DA6562">
        <w:t>B</w:t>
      </w:r>
      <w:r w:rsidR="00DA6562" w:rsidRPr="00E9291A">
        <w:t>irliği</w:t>
      </w:r>
      <w:r w:rsidRPr="00E9291A">
        <w:t xml:space="preserve"> Protokolleri kapsamında ilgili kuruluşlar tarafından Kurum adına yü</w:t>
      </w:r>
      <w:r>
        <w:t>rütülen denetim çalışmaları 202</w:t>
      </w:r>
      <w:r w:rsidR="0087589F">
        <w:t>2</w:t>
      </w:r>
      <w:r w:rsidRPr="00E9291A">
        <w:t xml:space="preserve"> yılında da yoğun bir şekilde devam etmiştir.</w:t>
      </w:r>
    </w:p>
    <w:p w:rsidR="00F5580D" w:rsidRPr="00801036" w:rsidRDefault="003D0DD5" w:rsidP="000A5A56">
      <w:pPr>
        <w:pStyle w:val="Balk2"/>
        <w:numPr>
          <w:ilvl w:val="1"/>
          <w:numId w:val="11"/>
        </w:numPr>
        <w:spacing w:before="240" w:after="240"/>
        <w:rPr>
          <w:rFonts w:asciiTheme="minorHAnsi" w:hAnsiTheme="minorHAnsi"/>
          <w:color w:val="000000" w:themeColor="text1"/>
          <w:sz w:val="22"/>
          <w:szCs w:val="22"/>
        </w:rPr>
      </w:pPr>
      <w:bookmarkStart w:id="339" w:name="_Toc442431302"/>
      <w:bookmarkStart w:id="340" w:name="_Toc505346108"/>
      <w:bookmarkStart w:id="341" w:name="_Toc132713839"/>
      <w:r w:rsidRPr="00E9291A">
        <w:rPr>
          <w:rFonts w:asciiTheme="minorHAnsi" w:hAnsiTheme="minorHAnsi"/>
          <w:color w:val="000000" w:themeColor="text1"/>
          <w:sz w:val="22"/>
          <w:szCs w:val="22"/>
        </w:rPr>
        <w:t>Elektrik Piyasası Denetim Faaliyetleri</w:t>
      </w:r>
      <w:bookmarkEnd w:id="339"/>
      <w:bookmarkEnd w:id="340"/>
      <w:bookmarkEnd w:id="341"/>
    </w:p>
    <w:p w:rsidR="00236E43" w:rsidRPr="00236E43" w:rsidRDefault="00236E43" w:rsidP="00236E43">
      <w:pPr>
        <w:rPr>
          <w:rFonts w:cstheme="minorHAnsi"/>
        </w:rPr>
      </w:pPr>
      <w:r w:rsidRPr="00236E43">
        <w:rPr>
          <w:rFonts w:cstheme="minorHAnsi"/>
        </w:rPr>
        <w:t xml:space="preserve">02.12.2020 tarihli ve 31322 sayılı </w:t>
      </w:r>
      <w:r w:rsidR="00DC783D">
        <w:rPr>
          <w:rFonts w:cstheme="minorHAnsi"/>
        </w:rPr>
        <w:t>Resmî</w:t>
      </w:r>
      <w:r w:rsidRPr="00236E43">
        <w:rPr>
          <w:rFonts w:cstheme="minorHAnsi"/>
        </w:rPr>
        <w:t xml:space="preserve"> </w:t>
      </w:r>
      <w:r w:rsidR="00274939">
        <w:rPr>
          <w:rFonts w:cstheme="minorHAnsi"/>
        </w:rPr>
        <w:t>Gazetede</w:t>
      </w:r>
      <w:r w:rsidRPr="00236E43">
        <w:rPr>
          <w:rFonts w:cstheme="minorHAnsi"/>
        </w:rPr>
        <w:t xml:space="preserve"> yayımlanarak yürürlüğe giren 7257 sayılı “Elektrik Piyasası Kanunu İle Bazı Kanunlarda Değişiklik Yapılmasına Dair Kanun” ile 6446 sayılı Elektrik Piyasası Kanunu’nun 15 inci maddesinde değişiklik yapılarak, elektrik dağıtım şirketlerinin denetiminin Enerji ve Tabii Kaynaklar Bakanlığı (Bakanlık) tarafından yapılacağı ve Bakanlık’ın denetim faaliyetini Kurumumuz da dahil olmak üzere bu konuda ihtisas sahibi olan kamu kurum ve kuruluşları ile birlikte yapabileceği gibi bu kurum ve kuruluşlara kısmen veya tamamen yetki devretmek suretiyle de yaptırmaya yetkili olduğu hüküm altına alınmıştır.</w:t>
      </w:r>
    </w:p>
    <w:p w:rsidR="00236E43" w:rsidRPr="00236E43" w:rsidRDefault="00236E43" w:rsidP="00236E43">
      <w:pPr>
        <w:rPr>
          <w:rFonts w:cstheme="minorHAnsi"/>
        </w:rPr>
      </w:pPr>
      <w:r w:rsidRPr="00236E43">
        <w:rPr>
          <w:rFonts w:cstheme="minorHAnsi"/>
        </w:rPr>
        <w:t>09.03.2021 tarih ve 51663 sayılı Bakanlık Makam Oluru ile elektrik dağıtım şirketlerinin denetimine yönelik iş ve işlemlerin Kurum ve Türkiye Elektrik Dağıtım Anonim Şirketi (TEDAŞ) tarafından yürütülmesi ve bu bağlamda;</w:t>
      </w:r>
    </w:p>
    <w:p w:rsidR="00236E43" w:rsidRPr="00236E43" w:rsidRDefault="00236E43" w:rsidP="00236E43">
      <w:pPr>
        <w:pStyle w:val="ListeParagraf"/>
        <w:numPr>
          <w:ilvl w:val="0"/>
          <w:numId w:val="74"/>
        </w:numPr>
        <w:spacing w:after="160" w:line="259" w:lineRule="auto"/>
        <w:rPr>
          <w:rFonts w:cstheme="minorHAnsi"/>
        </w:rPr>
      </w:pPr>
      <w:r w:rsidRPr="00236E43">
        <w:rPr>
          <w:rFonts w:cstheme="minorHAnsi"/>
        </w:rPr>
        <w:t>Kullanıcılar ile ilgili faaliyetler, tüketici hizmetlerine ilişkin uygulamalar ve tüketici şikâyetlerine ilişkin iş ve işlemler,</w:t>
      </w:r>
    </w:p>
    <w:p w:rsidR="00236E43" w:rsidRPr="00236E43" w:rsidRDefault="00236E43" w:rsidP="00236E43">
      <w:pPr>
        <w:pStyle w:val="ListeParagraf"/>
        <w:numPr>
          <w:ilvl w:val="0"/>
          <w:numId w:val="74"/>
        </w:numPr>
        <w:spacing w:after="160" w:line="259" w:lineRule="auto"/>
        <w:rPr>
          <w:rFonts w:cstheme="minorHAnsi"/>
        </w:rPr>
      </w:pPr>
      <w:r w:rsidRPr="00236E43">
        <w:rPr>
          <w:rFonts w:cstheme="minorHAnsi"/>
        </w:rPr>
        <w:t>Mali konular, kullanıcılardan tahsil edilen her türlü bedel ve tarife kapsamında yapılan uygulamalar ile gelir, gider hesapları, yatırım hesapları, yükümlü olunan fon, pay ve benzeri kesintilerle ilgili hesaplar ve sigorta uygulamalarına ilişkin iş ve işlemler,</w:t>
      </w:r>
    </w:p>
    <w:p w:rsidR="00236E43" w:rsidRPr="00236E43" w:rsidRDefault="00236E43" w:rsidP="00236E43">
      <w:pPr>
        <w:pStyle w:val="ListeParagraf"/>
        <w:numPr>
          <w:ilvl w:val="0"/>
          <w:numId w:val="74"/>
        </w:numPr>
        <w:spacing w:after="160" w:line="259" w:lineRule="auto"/>
        <w:rPr>
          <w:rFonts w:cstheme="minorHAnsi"/>
        </w:rPr>
      </w:pPr>
      <w:r w:rsidRPr="00236E43">
        <w:rPr>
          <w:rFonts w:cstheme="minorHAnsi"/>
        </w:rPr>
        <w:t xml:space="preserve">Satın alma ve satış işlemleri ile ilgili faaliyetler, yapılan her türlü mal ve hizmet alımlarının veya satışlarının ve yatırım ihalelerine ilişkin iş ve işlemler, </w:t>
      </w:r>
    </w:p>
    <w:p w:rsidR="00236E43" w:rsidRPr="00236E43" w:rsidRDefault="00236E43" w:rsidP="00236E43">
      <w:pPr>
        <w:pStyle w:val="ListeParagraf"/>
        <w:numPr>
          <w:ilvl w:val="0"/>
          <w:numId w:val="74"/>
        </w:numPr>
        <w:spacing w:after="160" w:line="259" w:lineRule="auto"/>
        <w:rPr>
          <w:rFonts w:cstheme="minorHAnsi"/>
        </w:rPr>
      </w:pPr>
      <w:r w:rsidRPr="00236E43">
        <w:rPr>
          <w:rFonts w:cstheme="minorHAnsi"/>
        </w:rPr>
        <w:t>Hukuki süreçler, şirketlerin uygulamalarından dolayı lisans sahibi tüzel kişiler, müşteriler, kamu kurumları ve diğer kuruluşlar ile oluşan hukuki süreçlerin durumları ve konuların tespiti,</w:t>
      </w:r>
    </w:p>
    <w:p w:rsidR="00236E43" w:rsidRPr="00236E43" w:rsidRDefault="00236E43" w:rsidP="00236E43">
      <w:pPr>
        <w:pStyle w:val="ListeParagraf"/>
        <w:numPr>
          <w:ilvl w:val="0"/>
          <w:numId w:val="74"/>
        </w:numPr>
        <w:spacing w:after="160" w:line="259" w:lineRule="auto"/>
        <w:rPr>
          <w:rFonts w:cstheme="minorHAnsi"/>
        </w:rPr>
      </w:pPr>
      <w:r w:rsidRPr="00236E43">
        <w:rPr>
          <w:rFonts w:cstheme="minorHAnsi"/>
        </w:rPr>
        <w:t>Gerekli görülmesi halinde ilgili mevzuat kapsamında incelenmesi gereken diğer hususlar,</w:t>
      </w:r>
    </w:p>
    <w:p w:rsidR="00236E43" w:rsidRPr="00236E43" w:rsidRDefault="00236E43" w:rsidP="00236E43">
      <w:pPr>
        <w:rPr>
          <w:rFonts w:cstheme="minorHAnsi"/>
        </w:rPr>
      </w:pPr>
    </w:p>
    <w:p w:rsidR="00236E43" w:rsidRPr="00236E43" w:rsidRDefault="00236E43" w:rsidP="00236E43">
      <w:pPr>
        <w:rPr>
          <w:rFonts w:cstheme="minorHAnsi"/>
        </w:rPr>
      </w:pPr>
      <w:r w:rsidRPr="00236E43">
        <w:rPr>
          <w:rFonts w:cstheme="minorHAnsi"/>
        </w:rPr>
        <w:t xml:space="preserve">konularında tüm elektrik dağıtım şirketleri nezdinde yapılacak olan periyodik denetimlerin Kurumumuz tarafından gerçekleştirilmesi karara bağlanmıştır. </w:t>
      </w:r>
    </w:p>
    <w:p w:rsidR="00236E43" w:rsidRPr="00236E43" w:rsidRDefault="00236E43" w:rsidP="00236E43">
      <w:pPr>
        <w:spacing w:after="0"/>
        <w:rPr>
          <w:rFonts w:cstheme="minorHAnsi"/>
          <w:color w:val="000000" w:themeColor="text1"/>
        </w:rPr>
      </w:pPr>
      <w:r w:rsidRPr="00236E43">
        <w:rPr>
          <w:rFonts w:cstheme="minorHAnsi"/>
        </w:rPr>
        <w:lastRenderedPageBreak/>
        <w:t>Bu minvalde, ülke sathındaki 21 elektrik dağıtım şirketinde yukarıda sayılan konu başlıklarında denetim yapmak üzere, 10.08.2022 tarihli ve 504452 sayılı Başkanlık Oluru uyarınca 15.08.2022 tarihinde başlayan denetimlerimiz 06.11.2022 tarihinde tamamlanmıştır. Tamamlanan denetimler akabinde, denetim raporlarının yazım aşamasına geçilmiş olup elde edilen bulgular ve yapılan tespitler bağlamında 2023 yılı içerisinde soruşturma süreçlerinin başlatılması planlanmaktadır.</w:t>
      </w:r>
    </w:p>
    <w:p w:rsidR="00F5580D" w:rsidRDefault="00F5580D" w:rsidP="00F5580D">
      <w:pPr>
        <w:spacing w:after="0"/>
        <w:rPr>
          <w:color w:val="000000" w:themeColor="text1"/>
        </w:rPr>
      </w:pPr>
      <w:r w:rsidRPr="00E9291A">
        <w:rPr>
          <w:color w:val="000000" w:themeColor="text1"/>
        </w:rPr>
        <w:t xml:space="preserve">Elektrik piyasasında gerçekleştirilen denetimler ve soruşturmalar neticesinde 6446 sayılı </w:t>
      </w:r>
      <w:r>
        <w:rPr>
          <w:color w:val="000000" w:themeColor="text1"/>
        </w:rPr>
        <w:t xml:space="preserve">Elektrik Piyasası Kanunu’nun </w:t>
      </w:r>
      <w:r w:rsidRPr="00E9291A">
        <w:rPr>
          <w:color w:val="000000" w:themeColor="text1"/>
        </w:rPr>
        <w:t xml:space="preserve">16 ncı maddesi kapsamındaki yaptırım ve cezalar uygulanmaktadır. </w:t>
      </w:r>
    </w:p>
    <w:p w:rsidR="00F5580D" w:rsidRDefault="00F5580D" w:rsidP="00F5580D">
      <w:pPr>
        <w:spacing w:after="0"/>
        <w:rPr>
          <w:color w:val="000000" w:themeColor="text1"/>
        </w:rPr>
      </w:pPr>
    </w:p>
    <w:p w:rsidR="003D0DD5" w:rsidRPr="0075500C" w:rsidRDefault="00F5580D" w:rsidP="003D0DD5">
      <w:r>
        <w:t>202</w:t>
      </w:r>
      <w:r w:rsidR="00236E43">
        <w:t>2</w:t>
      </w:r>
      <w:r w:rsidR="00A850D9">
        <w:t xml:space="preserve"> </w:t>
      </w:r>
      <w:r>
        <w:t xml:space="preserve">yılı içerisinde 6446 sayılı Elektrik Piyasası Kanunu ve bu Kanun uyarınca hazırlanmış ikincil mevzuata aykırılık teşkil ettiği değerlendirilen iş ve işlemler gerçekleştiren </w:t>
      </w:r>
      <w:r w:rsidR="00236E43">
        <w:t xml:space="preserve">105 </w:t>
      </w:r>
      <w:r w:rsidR="008E3215">
        <w:t xml:space="preserve">adet </w:t>
      </w:r>
      <w:r>
        <w:t xml:space="preserve">lisans </w:t>
      </w:r>
      <w:r w:rsidR="000B0FFE">
        <w:t>sahibi hakkında</w:t>
      </w:r>
      <w:r>
        <w:t xml:space="preserve"> </w:t>
      </w:r>
      <w:r w:rsidRPr="00FA1354">
        <w:t>yeni soruşturma süreci başlatılmıştır. Yıl içerisinde yürütülen ve bir önceki yılda başlatılmış olup yıl içerisinde neticelendirilen soruşturmalar kapsamında 202</w:t>
      </w:r>
      <w:r w:rsidR="00236E43">
        <w:t>2</w:t>
      </w:r>
      <w:r w:rsidRPr="00FA1354">
        <w:t xml:space="preserve"> yılında </w:t>
      </w:r>
      <w:r w:rsidR="00236E43">
        <w:t>43</w:t>
      </w:r>
      <w:r w:rsidRPr="00FA1354">
        <w:t xml:space="preserve"> adet ihtar yaptırımı; </w:t>
      </w:r>
      <w:r w:rsidR="008E3215" w:rsidRPr="00FA1354">
        <w:t>2</w:t>
      </w:r>
      <w:r w:rsidR="00236E43">
        <w:t>9</w:t>
      </w:r>
      <w:r w:rsidRPr="00FA1354">
        <w:t xml:space="preserve"> farklı lisans sahibi hakkında toplam </w:t>
      </w:r>
      <w:r w:rsidR="00236E43">
        <w:t>42.982.836</w:t>
      </w:r>
      <w:r w:rsidRPr="00FA1354">
        <w:t xml:space="preserve"> -TL. tutarında </w:t>
      </w:r>
      <w:r w:rsidR="00236E43">
        <w:t>3</w:t>
      </w:r>
      <w:r w:rsidR="008E3215" w:rsidRPr="00FA1354">
        <w:t>8</w:t>
      </w:r>
      <w:r w:rsidRPr="00FA1354">
        <w:t xml:space="preserve"> adet idari para cezası yaptırımı uygulanmıştır. </w:t>
      </w:r>
    </w:p>
    <w:p w:rsidR="003D0DD5" w:rsidRPr="00E9291A" w:rsidRDefault="003D0DD5" w:rsidP="000A5A56">
      <w:pPr>
        <w:pStyle w:val="Balk2"/>
        <w:numPr>
          <w:ilvl w:val="1"/>
          <w:numId w:val="11"/>
        </w:numPr>
        <w:spacing w:before="0" w:after="240"/>
        <w:rPr>
          <w:rFonts w:asciiTheme="minorHAnsi" w:hAnsiTheme="minorHAnsi"/>
          <w:color w:val="000000" w:themeColor="text1"/>
          <w:sz w:val="22"/>
          <w:szCs w:val="22"/>
        </w:rPr>
      </w:pPr>
      <w:bookmarkStart w:id="342" w:name="_Toc442431303"/>
      <w:bookmarkStart w:id="343" w:name="_Toc505346109"/>
      <w:bookmarkStart w:id="344" w:name="_Toc132713840"/>
      <w:r w:rsidRPr="00E9291A">
        <w:rPr>
          <w:rFonts w:asciiTheme="minorHAnsi" w:hAnsiTheme="minorHAnsi"/>
          <w:color w:val="000000" w:themeColor="text1"/>
          <w:sz w:val="22"/>
          <w:szCs w:val="22"/>
        </w:rPr>
        <w:t>Doğal Gaz Piyasası İnceleme ve Denetim Faaliyetleri</w:t>
      </w:r>
      <w:bookmarkEnd w:id="342"/>
      <w:bookmarkEnd w:id="343"/>
      <w:bookmarkEnd w:id="344"/>
    </w:p>
    <w:p w:rsidR="00801036" w:rsidRPr="00801036" w:rsidRDefault="003D0DD5" w:rsidP="000A5A56">
      <w:pPr>
        <w:pStyle w:val="Balk3"/>
        <w:numPr>
          <w:ilvl w:val="2"/>
          <w:numId w:val="11"/>
        </w:numPr>
        <w:spacing w:after="240"/>
        <w:rPr>
          <w:rFonts w:asciiTheme="minorHAnsi" w:hAnsiTheme="minorHAnsi"/>
          <w:color w:val="000000" w:themeColor="text1"/>
        </w:rPr>
      </w:pPr>
      <w:bookmarkStart w:id="345" w:name="_Toc442431304"/>
      <w:bookmarkStart w:id="346" w:name="_Toc505346110"/>
      <w:bookmarkStart w:id="347" w:name="_Toc132713841"/>
      <w:r w:rsidRPr="00E9291A">
        <w:rPr>
          <w:rFonts w:asciiTheme="minorHAnsi" w:hAnsiTheme="minorHAnsi"/>
          <w:color w:val="000000" w:themeColor="text1"/>
        </w:rPr>
        <w:t>Doğal Gaz Dağıtım Şirketlerinin 5 Yıllık Yatırım Yükümlülükleri İncelemeleri</w:t>
      </w:r>
      <w:bookmarkEnd w:id="345"/>
      <w:bookmarkEnd w:id="346"/>
      <w:bookmarkEnd w:id="347"/>
    </w:p>
    <w:p w:rsidR="00467DA8" w:rsidRDefault="00467DA8" w:rsidP="00467DA8">
      <w:pPr>
        <w:spacing w:after="0"/>
        <w:rPr>
          <w:color w:val="000000" w:themeColor="text1"/>
        </w:rPr>
      </w:pPr>
      <w:r w:rsidRPr="00467DA8">
        <w:rPr>
          <w:color w:val="000000" w:themeColor="text1"/>
        </w:rPr>
        <w:t>Kurum tarafından her bir dağıtım bölgesi için ayrı ayrı yapılan “Doğal Gaz Dağıtım Lisansı İhalesi” neticesinde lisans almaya hak kazanan tüm dağıtım şirketlerinin, dağıtım lisansı, lisansın mütemmim cüzü olan ihale şartnamesi ve ilgili mevzuat kapsamında 5 (beş) yıllık yatırım yükümlülükleri bulunmaktadır.</w:t>
      </w:r>
    </w:p>
    <w:p w:rsidR="00467DA8" w:rsidRPr="00467DA8" w:rsidRDefault="00467DA8" w:rsidP="00467DA8">
      <w:pPr>
        <w:spacing w:after="0"/>
        <w:rPr>
          <w:color w:val="000000" w:themeColor="text1"/>
        </w:rPr>
      </w:pPr>
    </w:p>
    <w:p w:rsidR="00467DA8" w:rsidRPr="00467DA8" w:rsidRDefault="00467DA8" w:rsidP="00467DA8">
      <w:pPr>
        <w:spacing w:after="0"/>
        <w:rPr>
          <w:color w:val="000000" w:themeColor="text1"/>
        </w:rPr>
      </w:pPr>
      <w:r w:rsidRPr="00467DA8">
        <w:rPr>
          <w:color w:val="000000" w:themeColor="text1"/>
        </w:rPr>
        <w:t>4646 sayılı Doğal Gaz Piyasası Kanununun 4 üncü maddesinin dördüncü fıkrasının (g) bendinin beşinci paragrafı, Doğal Gaz Piyasası Dağıtım ve Müşteri Hizmetleri Yönetmeliğinin 30 uncu maddesi ve lisans sahibi dağıtım şirketlerinin lisanslarının “Genel Hükümler” bölümünün ilgili maddesi çerçevesinde, 5 (beş) yıllık yatırım yükümlülüklerinin yerine getirilip getirilmediğinin tespiti için 29.01.2009 tarihli ve 1955 sayılı Kurul Kararı alınmıştır. İlgili Kurul Kararları çerçevesinde, doğal gaz dağıtım şirketlerinin 5 yıllık yatırım yükümlülüklerinin Kurum adına izlenmesi ve incelenmesine yönelik olarak, İstanbul Uygulamalı Gaz ve Enerji Teknolojileri Araştırma Mühendislik Sanayi Ticaret A.Ş. (UGETAM) ve S&amp;Q Mart Kalite Güvenlik Sanayi ve Ticaret A.Ş. (S&amp;Q MART) ile Elektrik Tesisleri Mühendislik Müteahhitlik Danışmanlık ve Ticaret A.Ş. (ELTEM-</w:t>
      </w:r>
      <w:r w:rsidR="00D1660C" w:rsidRPr="00467DA8">
        <w:rPr>
          <w:color w:val="000000" w:themeColor="text1"/>
        </w:rPr>
        <w:t>TEK) yetkilendirilmiştir</w:t>
      </w:r>
      <w:r w:rsidRPr="00467DA8">
        <w:rPr>
          <w:color w:val="000000" w:themeColor="text1"/>
        </w:rPr>
        <w:t xml:space="preserve">. </w:t>
      </w:r>
    </w:p>
    <w:p w:rsidR="00467DA8" w:rsidRPr="00467DA8" w:rsidRDefault="00467DA8" w:rsidP="00467DA8">
      <w:pPr>
        <w:spacing w:after="0"/>
        <w:rPr>
          <w:color w:val="000000" w:themeColor="text1"/>
        </w:rPr>
      </w:pPr>
    </w:p>
    <w:p w:rsidR="00467DA8" w:rsidRPr="00467DA8" w:rsidRDefault="00467DA8" w:rsidP="00467DA8">
      <w:pPr>
        <w:spacing w:after="0"/>
        <w:rPr>
          <w:color w:val="000000" w:themeColor="text1"/>
        </w:rPr>
      </w:pPr>
      <w:r w:rsidRPr="00467DA8">
        <w:rPr>
          <w:color w:val="000000" w:themeColor="text1"/>
        </w:rPr>
        <w:t xml:space="preserve">05.07.2011 tarih ve 3303-4 sayılı ve 18.04.2012 tarih ve 3783-2 sayılı Kurul Kararları ile doğal gaz dağıtım şirketlerinin 5 yıllık yatırım yükümlülükleri kapsamında kendilerinden kaynaklanmayan mücbir sebeplerle yapılamayan yatırımların incelenmesine ilişkin düzenleme, ayrıca 08.01.2015 tarihli ve 5409-5 sayılı Kurul Kararı çerçevesinde de 5 yıllık yatırım yükümlülüğü raporlarında mücbir sebep olarak görünen yatırımların mevcut durumlarının tespiti amacıyla düzenleme yapılmıştır. </w:t>
      </w:r>
    </w:p>
    <w:p w:rsidR="00467DA8" w:rsidRPr="00467DA8" w:rsidRDefault="00467DA8" w:rsidP="00467DA8">
      <w:pPr>
        <w:spacing w:after="0"/>
        <w:rPr>
          <w:color w:val="000000" w:themeColor="text1"/>
        </w:rPr>
      </w:pPr>
    </w:p>
    <w:p w:rsidR="00467DA8" w:rsidRDefault="00467DA8" w:rsidP="00467DA8">
      <w:pPr>
        <w:spacing w:after="0"/>
        <w:rPr>
          <w:color w:val="000000" w:themeColor="text1"/>
        </w:rPr>
      </w:pPr>
      <w:r w:rsidRPr="00467DA8">
        <w:rPr>
          <w:color w:val="000000" w:themeColor="text1"/>
        </w:rPr>
        <w:t>Söz konusu çalışmalara yönelik olarak belirlenen kapsam ve raporlama konusunda yap</w:t>
      </w:r>
      <w:r>
        <w:rPr>
          <w:color w:val="000000" w:themeColor="text1"/>
        </w:rPr>
        <w:t>ılan yetkilendirme çerçevesinde; b</w:t>
      </w:r>
      <w:r w:rsidRPr="00467DA8">
        <w:rPr>
          <w:color w:val="000000" w:themeColor="text1"/>
        </w:rPr>
        <w:t xml:space="preserve">ahse konu raporlar Kurum bünyesinde kurulan Komisyon tarafından incelenmekte ve Komisyon incelemeleri neticesinde mevzuata aykırılık olarak değerlendirilen hususlar Denetim Dairesi Başkanlığına intikal ettirilmektedir. </w:t>
      </w:r>
    </w:p>
    <w:p w:rsidR="00B47751" w:rsidRPr="00467DA8" w:rsidRDefault="00B47751" w:rsidP="00467DA8">
      <w:pPr>
        <w:spacing w:after="0"/>
        <w:rPr>
          <w:color w:val="000000" w:themeColor="text1"/>
        </w:rPr>
      </w:pPr>
    </w:p>
    <w:p w:rsidR="00467DA8" w:rsidRDefault="00467DA8" w:rsidP="00467DA8">
      <w:pPr>
        <w:spacing w:after="0"/>
        <w:rPr>
          <w:color w:val="000000" w:themeColor="text1"/>
        </w:rPr>
      </w:pPr>
      <w:r w:rsidRPr="00467DA8">
        <w:rPr>
          <w:color w:val="000000" w:themeColor="text1"/>
        </w:rPr>
        <w:t xml:space="preserve">Diğer taraftan Doğal Gaz Piyasası Dağıtım ve Müşteri Hizmetleri Yönetmeliğinin 70 inci maddesi kapsamında, doğal gaz dağıtım şirketlerinin dağıtım bölgesine genişleme yoluyla dâhil edilen şehirlerin süreli yükümlülüklerinin incelenmesini teminen, 29/01/2009 tarihli ve 1955-1 sayılı Kurul Kararıyla yetkilendirilmiş/yetkilendirilecek şirketler tarafından aynı Kurul Kararı kapsamındaki hususlarda inceleme </w:t>
      </w:r>
      <w:r w:rsidRPr="00467DA8">
        <w:rPr>
          <w:color w:val="000000" w:themeColor="text1"/>
        </w:rPr>
        <w:lastRenderedPageBreak/>
        <w:t>yapılması ve hazırlanacak denetim raporlarının Doğal Gaz Piyasası Dairesi Başkanlığı tarafından değerlendirilmesine ilişkin 24/10/2019 tarihli ve 8900 sayılı Kurul Kararı alınmıştır.</w:t>
      </w:r>
    </w:p>
    <w:p w:rsidR="00B47751" w:rsidRPr="00467DA8" w:rsidRDefault="00B47751" w:rsidP="00467DA8">
      <w:pPr>
        <w:spacing w:after="0"/>
        <w:rPr>
          <w:color w:val="000000" w:themeColor="text1"/>
        </w:rPr>
      </w:pPr>
    </w:p>
    <w:p w:rsidR="00467DA8" w:rsidRPr="00467DA8" w:rsidRDefault="00467DA8" w:rsidP="00467DA8">
      <w:pPr>
        <w:spacing w:after="0"/>
        <w:rPr>
          <w:color w:val="000000" w:themeColor="text1"/>
        </w:rPr>
      </w:pPr>
      <w:r w:rsidRPr="00467DA8">
        <w:rPr>
          <w:color w:val="000000" w:themeColor="text1"/>
        </w:rPr>
        <w:t>Anılan Kurul Kararı gereğince, yetkili firmalar UGETAM, S&amp;Q MART ve ELTEM-TEK tarafından genişleme bölgelerindeki incelemeler devam etmekte ve tamamlanan inceleme raporları Kuruma sunulmaktadır.</w:t>
      </w:r>
    </w:p>
    <w:p w:rsidR="00467DA8" w:rsidRDefault="00467DA8" w:rsidP="003D0DD5">
      <w:pPr>
        <w:spacing w:after="120"/>
        <w:rPr>
          <w:color w:val="000000" w:themeColor="text1"/>
        </w:rPr>
      </w:pPr>
    </w:p>
    <w:p w:rsidR="00F43485" w:rsidRPr="0078671F" w:rsidRDefault="003D0DD5" w:rsidP="000A5A56">
      <w:pPr>
        <w:pStyle w:val="Balk3"/>
        <w:numPr>
          <w:ilvl w:val="2"/>
          <w:numId w:val="11"/>
        </w:numPr>
        <w:spacing w:before="0" w:after="240"/>
        <w:rPr>
          <w:rFonts w:asciiTheme="minorHAnsi" w:hAnsiTheme="minorHAnsi"/>
          <w:color w:val="000000" w:themeColor="text1"/>
        </w:rPr>
      </w:pPr>
      <w:bookmarkStart w:id="348" w:name="_Toc442431305"/>
      <w:bookmarkStart w:id="349" w:name="_Toc505346111"/>
      <w:bookmarkStart w:id="350" w:name="_Toc132713842"/>
      <w:r w:rsidRPr="00E9291A">
        <w:rPr>
          <w:rFonts w:asciiTheme="minorHAnsi" w:hAnsiTheme="minorHAnsi"/>
          <w:color w:val="000000" w:themeColor="text1"/>
        </w:rPr>
        <w:t>Doğal Gaz Piyasası Denetim Faaliyetleri</w:t>
      </w:r>
      <w:bookmarkStart w:id="351" w:name="_Toc416447612"/>
      <w:bookmarkStart w:id="352" w:name="_Toc442441762"/>
      <w:bookmarkStart w:id="353" w:name="_Toc505346203"/>
      <w:bookmarkEnd w:id="348"/>
      <w:bookmarkEnd w:id="349"/>
      <w:bookmarkEnd w:id="350"/>
    </w:p>
    <w:p w:rsidR="00236E43" w:rsidRDefault="00F43485" w:rsidP="00236E43">
      <w:r w:rsidRPr="00FA1354">
        <w:t xml:space="preserve">Doğal gaz piyasasına yönelik gerçekleştirilen denetim faaliyetleri kapsamında lisans ve sertifika sahipleri hakkında </w:t>
      </w:r>
      <w:r w:rsidR="00236E43" w:rsidRPr="00FA1354">
        <w:t>202</w:t>
      </w:r>
      <w:r w:rsidR="00236E43">
        <w:t>2</w:t>
      </w:r>
      <w:r w:rsidR="00236E43" w:rsidRPr="00FA1354">
        <w:t xml:space="preserve"> yılı içerisinde;</w:t>
      </w:r>
    </w:p>
    <w:p w:rsidR="00236E43" w:rsidRDefault="00236E43" w:rsidP="00236E43">
      <w:pPr>
        <w:pStyle w:val="ListeParagraf"/>
        <w:numPr>
          <w:ilvl w:val="0"/>
          <w:numId w:val="22"/>
        </w:numPr>
        <w:spacing w:after="0"/>
        <w:ind w:left="284" w:hanging="284"/>
      </w:pPr>
      <w:r>
        <w:t>117 adet yeni soruşturmaya başlanılmış, önceki senelerde başlanılmış olmakla birlikte sonlandırılmamış olan 37  adet soruşturma ile beraber toplam 154  adet soruşturma yürütülmüş, yürütülen 154  adet soruşturmanın 118  adedi sonlandırılmış, 36  adedi ise 2023  yılına devretmiş,</w:t>
      </w:r>
    </w:p>
    <w:p w:rsidR="00236E43" w:rsidRDefault="00236E43" w:rsidP="00236E43">
      <w:pPr>
        <w:spacing w:after="0"/>
      </w:pPr>
    </w:p>
    <w:p w:rsidR="00236E43" w:rsidRDefault="00236E43" w:rsidP="00236E43">
      <w:pPr>
        <w:numPr>
          <w:ilvl w:val="0"/>
          <w:numId w:val="23"/>
        </w:numPr>
        <w:spacing w:after="0"/>
        <w:ind w:left="284" w:hanging="284"/>
        <w:contextualSpacing/>
        <w:rPr>
          <w:szCs w:val="24"/>
        </w:rPr>
      </w:pPr>
      <w:r>
        <w:rPr>
          <w:szCs w:val="24"/>
        </w:rPr>
        <w:t xml:space="preserve">91 </w:t>
      </w:r>
      <w:r w:rsidRPr="000B0FFE">
        <w:rPr>
          <w:szCs w:val="24"/>
        </w:rPr>
        <w:t>adet soruşturma</w:t>
      </w:r>
      <w:r>
        <w:rPr>
          <w:szCs w:val="24"/>
        </w:rPr>
        <w:t>,</w:t>
      </w:r>
      <w:r w:rsidRPr="000B0FFE">
        <w:rPr>
          <w:szCs w:val="24"/>
        </w:rPr>
        <w:t xml:space="preserve"> lisans ve sertifika sahibi kişilerin</w:t>
      </w:r>
      <w:r w:rsidRPr="00E361DE">
        <w:rPr>
          <w:szCs w:val="24"/>
        </w:rPr>
        <w:t>,</w:t>
      </w:r>
      <w:r>
        <w:rPr>
          <w:szCs w:val="24"/>
        </w:rPr>
        <w:t xml:space="preserve"> </w:t>
      </w:r>
      <w:r w:rsidRPr="00E361DE">
        <w:rPr>
          <w:szCs w:val="24"/>
        </w:rPr>
        <w:t>bundan böyle ilgili mevzuat hükümlerine uygun hareket etmesi hususunda ihta</w:t>
      </w:r>
      <w:r>
        <w:rPr>
          <w:szCs w:val="24"/>
        </w:rPr>
        <w:t>r edilmesi ile sonlandırılmış</w:t>
      </w:r>
      <w:r w:rsidRPr="00E361DE">
        <w:rPr>
          <w:szCs w:val="24"/>
        </w:rPr>
        <w:t>,</w:t>
      </w:r>
    </w:p>
    <w:p w:rsidR="00236E43" w:rsidRPr="008652A1" w:rsidRDefault="00236E43" w:rsidP="00236E43">
      <w:pPr>
        <w:pStyle w:val="ListeParagraf"/>
        <w:numPr>
          <w:ilvl w:val="0"/>
          <w:numId w:val="23"/>
        </w:numPr>
        <w:spacing w:after="0" w:line="240" w:lineRule="auto"/>
        <w:ind w:left="284" w:hanging="284"/>
        <w:rPr>
          <w:szCs w:val="24"/>
        </w:rPr>
      </w:pPr>
      <w:r>
        <w:rPr>
          <w:szCs w:val="24"/>
        </w:rPr>
        <w:t>2 adet soruşturmada, kişilerin sahibi oldukları lisanslar iptal edilmiş,</w:t>
      </w:r>
    </w:p>
    <w:p w:rsidR="00236E43" w:rsidRPr="00CC6929" w:rsidRDefault="00236E43" w:rsidP="00236E43">
      <w:pPr>
        <w:spacing w:after="0"/>
        <w:ind w:left="284"/>
        <w:contextualSpacing/>
        <w:rPr>
          <w:szCs w:val="24"/>
        </w:rPr>
      </w:pPr>
    </w:p>
    <w:p w:rsidR="00236E43" w:rsidRDefault="00236E43" w:rsidP="00236E43">
      <w:pPr>
        <w:numPr>
          <w:ilvl w:val="0"/>
          <w:numId w:val="23"/>
        </w:numPr>
        <w:spacing w:after="0"/>
        <w:ind w:left="284" w:hanging="284"/>
        <w:contextualSpacing/>
        <w:rPr>
          <w:szCs w:val="24"/>
        </w:rPr>
      </w:pPr>
      <w:r w:rsidRPr="000B0FFE">
        <w:rPr>
          <w:szCs w:val="24"/>
        </w:rPr>
        <w:t>2</w:t>
      </w:r>
      <w:r>
        <w:rPr>
          <w:szCs w:val="24"/>
        </w:rPr>
        <w:t xml:space="preserve">3 </w:t>
      </w:r>
      <w:r w:rsidRPr="000B0FFE">
        <w:rPr>
          <w:szCs w:val="24"/>
        </w:rPr>
        <w:t>adet soruşturmada İç Tesisat ve Servis Hatları Sertifikası sahiplerinin can güvenliğini tehlikeye atacak şekilde fiillerde bulunulmasına bağlı olarak, bundan böyle ilgili mevzuat hükümlerine uygun hareket etmesi hususunda sertifika sahibi kişiler ihtar edilmiş ve kişilerin sahibi olduğu ilgili sertifikalar iptal edilmiş,</w:t>
      </w:r>
    </w:p>
    <w:p w:rsidR="00236E43" w:rsidRPr="000B0FFE" w:rsidRDefault="00236E43" w:rsidP="00236E43">
      <w:pPr>
        <w:spacing w:after="0"/>
        <w:ind w:left="284"/>
        <w:contextualSpacing/>
        <w:rPr>
          <w:szCs w:val="24"/>
        </w:rPr>
      </w:pPr>
    </w:p>
    <w:p w:rsidR="00236E43" w:rsidRDefault="00236E43" w:rsidP="00236E43">
      <w:pPr>
        <w:numPr>
          <w:ilvl w:val="0"/>
          <w:numId w:val="23"/>
        </w:numPr>
        <w:spacing w:after="0"/>
        <w:ind w:left="284" w:hanging="284"/>
        <w:contextualSpacing/>
        <w:rPr>
          <w:szCs w:val="24"/>
        </w:rPr>
      </w:pPr>
      <w:r>
        <w:rPr>
          <w:szCs w:val="24"/>
        </w:rPr>
        <w:t>1</w:t>
      </w:r>
      <w:r w:rsidRPr="000B0FFE">
        <w:rPr>
          <w:szCs w:val="24"/>
        </w:rPr>
        <w:t xml:space="preserve"> adet soruşturmada </w:t>
      </w:r>
      <w:r>
        <w:rPr>
          <w:szCs w:val="24"/>
        </w:rPr>
        <w:t xml:space="preserve">1 </w:t>
      </w:r>
      <w:r w:rsidRPr="000B0FFE">
        <w:rPr>
          <w:szCs w:val="24"/>
        </w:rPr>
        <w:t>İç Tesisat ve Servis Hatları Sertifikası sahibi kişi hakkında idari para cezası uygulanmasına karar verilmiş,</w:t>
      </w:r>
    </w:p>
    <w:p w:rsidR="00236E43" w:rsidRPr="000B0FFE" w:rsidRDefault="00236E43" w:rsidP="00236E43">
      <w:pPr>
        <w:spacing w:after="0"/>
        <w:ind w:left="284"/>
        <w:contextualSpacing/>
        <w:rPr>
          <w:szCs w:val="24"/>
        </w:rPr>
      </w:pPr>
    </w:p>
    <w:p w:rsidR="00F43485" w:rsidRPr="00DF4D9D" w:rsidRDefault="00236E43" w:rsidP="00236E43">
      <w:pPr>
        <w:rPr>
          <w:szCs w:val="24"/>
        </w:rPr>
      </w:pPr>
      <w:r>
        <w:rPr>
          <w:szCs w:val="24"/>
        </w:rPr>
        <w:t>1</w:t>
      </w:r>
      <w:r w:rsidRPr="00DF4D9D">
        <w:rPr>
          <w:szCs w:val="24"/>
        </w:rPr>
        <w:t xml:space="preserve"> adet soruşturma ise kişi hakkında idari yaptırım uygulanmaksızın sonlandırılmıştır.</w:t>
      </w:r>
    </w:p>
    <w:p w:rsidR="00F43485" w:rsidRPr="0078671F" w:rsidRDefault="003D0DD5" w:rsidP="000A5A56">
      <w:pPr>
        <w:pStyle w:val="Balk2"/>
        <w:numPr>
          <w:ilvl w:val="1"/>
          <w:numId w:val="11"/>
        </w:numPr>
        <w:spacing w:before="0" w:after="240"/>
        <w:rPr>
          <w:rFonts w:asciiTheme="minorHAnsi" w:hAnsiTheme="minorHAnsi"/>
          <w:color w:val="000000" w:themeColor="text1"/>
          <w:sz w:val="22"/>
          <w:szCs w:val="22"/>
        </w:rPr>
      </w:pPr>
      <w:bookmarkStart w:id="354" w:name="_Toc442431306"/>
      <w:bookmarkStart w:id="355" w:name="_Toc505346112"/>
      <w:bookmarkStart w:id="356" w:name="_Toc132713843"/>
      <w:r w:rsidRPr="00E9291A">
        <w:rPr>
          <w:rFonts w:asciiTheme="minorHAnsi" w:hAnsiTheme="minorHAnsi"/>
          <w:color w:val="000000" w:themeColor="text1"/>
          <w:sz w:val="22"/>
          <w:szCs w:val="22"/>
        </w:rPr>
        <w:t>Petrol Piyasası Denetim Faaliyetleri</w:t>
      </w:r>
      <w:bookmarkEnd w:id="354"/>
      <w:bookmarkEnd w:id="355"/>
      <w:bookmarkEnd w:id="356"/>
    </w:p>
    <w:p w:rsidR="00F43485" w:rsidRPr="00E9291A" w:rsidRDefault="00F43485" w:rsidP="00F43485">
      <w:pPr>
        <w:spacing w:after="0"/>
        <w:rPr>
          <w:color w:val="000000" w:themeColor="text1"/>
        </w:rPr>
      </w:pPr>
      <w:r w:rsidRPr="00E9291A">
        <w:rPr>
          <w:color w:val="000000" w:themeColor="text1"/>
        </w:rPr>
        <w:t>Petrol piyasası denetimleri, piyasada faaliyette bulunan gerçek veya tüzel kişilerin piyasaya ilişkin faaliyetlerinin ve hesaplarının ilgili mevzuat hükümlerine uygunluğunun incelenmesi ve bu kişilerce piyasaya arz edilen petrol ve madeni yağın teknik düzenlemelere uygunluğunun araştırılması, hat</w:t>
      </w:r>
      <w:r>
        <w:rPr>
          <w:color w:val="000000" w:themeColor="text1"/>
        </w:rPr>
        <w:t>a, aykırılık, usulsüzlük ve sui</w:t>
      </w:r>
      <w:r w:rsidRPr="00E9291A">
        <w:rPr>
          <w:color w:val="000000" w:themeColor="text1"/>
        </w:rPr>
        <w:t xml:space="preserve">istimallerin tespit edilmesi halinde ilgili kanunlarda öngörülen gerekli yaptırımların uygulanması suretiyle yapılan çalışmalardır. Petrol piyasası faaliyetlerine yönelik olarak gerçekleştirilen inceleme ve denetim faaliyetleri neticesinde, idari para cezaları ve idari yaptırımlar uygulanmaktadır. </w:t>
      </w:r>
    </w:p>
    <w:p w:rsidR="00F43485" w:rsidRPr="00E9291A" w:rsidRDefault="00F43485" w:rsidP="00F43485">
      <w:pPr>
        <w:spacing w:after="0"/>
        <w:rPr>
          <w:color w:val="000000" w:themeColor="text1"/>
        </w:rPr>
      </w:pPr>
    </w:p>
    <w:p w:rsidR="00F43485" w:rsidRPr="00E9291A" w:rsidRDefault="00F43485" w:rsidP="00F43485">
      <w:pPr>
        <w:spacing w:after="0"/>
        <w:rPr>
          <w:color w:val="000000" w:themeColor="text1"/>
        </w:rPr>
      </w:pPr>
      <w:r w:rsidRPr="00E9291A">
        <w:rPr>
          <w:color w:val="000000" w:themeColor="text1"/>
        </w:rPr>
        <w:t xml:space="preserve">Petrol Piyasası ve </w:t>
      </w:r>
      <w:r>
        <w:rPr>
          <w:color w:val="000000" w:themeColor="text1"/>
        </w:rPr>
        <w:t>LPG</w:t>
      </w:r>
      <w:r w:rsidRPr="00E9291A">
        <w:rPr>
          <w:color w:val="000000" w:themeColor="text1"/>
        </w:rPr>
        <w:t xml:space="preserve"> Piyasasında Yapılacak Denetimlere İlişkin </w:t>
      </w:r>
      <w:r w:rsidR="00997E58" w:rsidRPr="00E9291A">
        <w:rPr>
          <w:color w:val="000000" w:themeColor="text1"/>
        </w:rPr>
        <w:t xml:space="preserve">İş </w:t>
      </w:r>
      <w:r w:rsidR="00997E58">
        <w:rPr>
          <w:color w:val="000000" w:themeColor="text1"/>
        </w:rPr>
        <w:t>B</w:t>
      </w:r>
      <w:r w:rsidR="00997E58" w:rsidRPr="00E9291A">
        <w:rPr>
          <w:color w:val="000000" w:themeColor="text1"/>
        </w:rPr>
        <w:t>irliği</w:t>
      </w:r>
      <w:r w:rsidRPr="00E9291A">
        <w:rPr>
          <w:color w:val="000000" w:themeColor="text1"/>
        </w:rPr>
        <w:t xml:space="preserve"> Protokolleri kapsamındaki denetimler Kurumun koordinasyonunda yürütülmektedir. Bu kapsamda, denetim yapılacak piyasa faaliyetleri, denetim tarihi ve denetimin gerçekleştirileceği bölgeler Kurum tarafından belirlenmekte, bu konuda alınan Kurul Kararından itibaren 1 (bir) yıl içerisinde denetim ilgili paydaşlarla müştereken planlanmakta veya denetimle yetkilendirilen kamu kurum ve kuruluşlarının kendi sorumluluk bölgelerinde bu kuruluşlarca planlanarak</w:t>
      </w:r>
      <w:r>
        <w:rPr>
          <w:color w:val="000000" w:themeColor="text1"/>
        </w:rPr>
        <w:t>,</w:t>
      </w:r>
      <w:r w:rsidRPr="00E9291A">
        <w:rPr>
          <w:color w:val="000000" w:themeColor="text1"/>
        </w:rPr>
        <w:t xml:space="preserve"> </w:t>
      </w:r>
      <w:r>
        <w:rPr>
          <w:color w:val="000000" w:themeColor="text1"/>
        </w:rPr>
        <w:t xml:space="preserve">lisans sahiplerinin yılda en az bir kez olmak üzere ulusal marker da dâhil olmak üzere </w:t>
      </w:r>
      <w:r w:rsidRPr="00E9291A">
        <w:rPr>
          <w:color w:val="000000" w:themeColor="text1"/>
        </w:rPr>
        <w:t>denetimleri gerçekleştirilme</w:t>
      </w:r>
      <w:r>
        <w:rPr>
          <w:color w:val="000000" w:themeColor="text1"/>
        </w:rPr>
        <w:t xml:space="preserve">ktedir. </w:t>
      </w:r>
    </w:p>
    <w:p w:rsidR="00F43485" w:rsidRPr="00E9291A" w:rsidRDefault="00F43485" w:rsidP="00F43485">
      <w:pPr>
        <w:spacing w:after="0"/>
        <w:rPr>
          <w:color w:val="000000" w:themeColor="text1"/>
        </w:rPr>
      </w:pPr>
    </w:p>
    <w:p w:rsidR="00F43485" w:rsidRDefault="00F43485" w:rsidP="00F43485">
      <w:pPr>
        <w:spacing w:after="0"/>
        <w:rPr>
          <w:color w:val="000000" w:themeColor="text1"/>
        </w:rPr>
      </w:pPr>
      <w:r w:rsidRPr="00E9291A">
        <w:rPr>
          <w:color w:val="000000" w:themeColor="text1"/>
        </w:rPr>
        <w:lastRenderedPageBreak/>
        <w:t>Gerek tespitler neticesinde gerekse yapılan şikâyet ve ihbarlar çerçevesinde Kurum adına denetim yapmakla yetkilendirilen kurum ve kuruluşlar tarafından denetimlerin yapılmasına devam edilmiştir. Özellikle yerleşim planı dışında gizli tank ve düzeneklerle kaçak akaryakıt satışının yapıldığı tesislere yönelik olarak Ticaret Bakanlığı ve Savcılık nezaretinde İl Jandarma Komutanlıkları</w:t>
      </w:r>
      <w:r>
        <w:rPr>
          <w:color w:val="000000" w:themeColor="text1"/>
        </w:rPr>
        <w:t xml:space="preserve"> ve İl Emniyet Müdürlüklerince</w:t>
      </w:r>
      <w:r w:rsidRPr="00E9291A">
        <w:rPr>
          <w:color w:val="000000" w:themeColor="text1"/>
        </w:rPr>
        <w:t xml:space="preserve"> denetimler yapılarak kaçak akaryakıt satışına yönelik tespitler yapılmıştır.</w:t>
      </w:r>
    </w:p>
    <w:p w:rsidR="00236E43" w:rsidRDefault="00236E43" w:rsidP="00236E43">
      <w:pPr>
        <w:spacing w:after="0"/>
        <w:rPr>
          <w:color w:val="000000" w:themeColor="text1"/>
        </w:rPr>
      </w:pPr>
      <w:r>
        <w:rPr>
          <w:color w:val="000000" w:themeColor="text1"/>
        </w:rPr>
        <w:t>Protokol yapılan kuruluşlara dair detaylı veriler aşağıdaki tablolarda gösterilmektedir.</w:t>
      </w:r>
    </w:p>
    <w:p w:rsidR="00236E43" w:rsidRPr="00E6446B" w:rsidRDefault="00236E43" w:rsidP="00236E43">
      <w:pPr>
        <w:pStyle w:val="Balk5"/>
        <w:spacing w:line="360" w:lineRule="auto"/>
        <w:jc w:val="center"/>
        <w:rPr>
          <w:b/>
          <w:bCs/>
          <w:color w:val="000000" w:themeColor="text1"/>
        </w:rPr>
      </w:pPr>
      <w:bookmarkStart w:id="357" w:name="_Toc132713929"/>
      <w:r w:rsidRPr="0016318B">
        <w:rPr>
          <w:rFonts w:asciiTheme="minorHAnsi" w:hAnsiTheme="minorHAnsi"/>
          <w:b/>
          <w:bCs/>
          <w:color w:val="000000" w:themeColor="text1"/>
        </w:rPr>
        <w:t>Tablo 6.1:</w:t>
      </w:r>
      <w:r w:rsidRPr="00E6446B">
        <w:t xml:space="preserve"> </w:t>
      </w:r>
      <w:r>
        <w:rPr>
          <w:rFonts w:asciiTheme="minorHAnsi" w:hAnsiTheme="minorHAnsi"/>
          <w:b/>
          <w:bCs/>
          <w:color w:val="000000" w:themeColor="text1"/>
        </w:rPr>
        <w:t xml:space="preserve">2022 </w:t>
      </w:r>
      <w:r w:rsidRPr="008C0C45">
        <w:rPr>
          <w:rFonts w:asciiTheme="minorHAnsi" w:hAnsiTheme="minorHAnsi"/>
          <w:b/>
          <w:bCs/>
          <w:color w:val="000000" w:themeColor="text1"/>
        </w:rPr>
        <w:t>Yılı</w:t>
      </w:r>
      <w:r w:rsidRPr="00E6446B">
        <w:rPr>
          <w:rFonts w:asciiTheme="minorHAnsi" w:hAnsiTheme="minorHAnsi"/>
          <w:b/>
          <w:bCs/>
          <w:color w:val="000000" w:themeColor="text1"/>
        </w:rPr>
        <w:t xml:space="preserve"> </w:t>
      </w:r>
      <w:r w:rsidRPr="008C0C45">
        <w:rPr>
          <w:rFonts w:asciiTheme="minorHAnsi" w:hAnsiTheme="minorHAnsi"/>
          <w:b/>
          <w:bCs/>
          <w:color w:val="000000" w:themeColor="text1"/>
        </w:rPr>
        <w:t>Denetim Kapsamında Protokolcü Kuruluşlara</w:t>
      </w:r>
      <w:r w:rsidRPr="00E6446B">
        <w:rPr>
          <w:rFonts w:asciiTheme="minorHAnsi" w:hAnsiTheme="minorHAnsi"/>
          <w:b/>
          <w:bCs/>
          <w:color w:val="000000" w:themeColor="text1"/>
        </w:rPr>
        <w:t xml:space="preserve"> Ait Araç Listesi</w:t>
      </w:r>
      <w:bookmarkEnd w:id="357"/>
    </w:p>
    <w:tbl>
      <w:tblPr>
        <w:tblW w:w="2501"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3259"/>
        <w:gridCol w:w="1698"/>
      </w:tblGrid>
      <w:tr w:rsidR="00236E43" w:rsidRPr="006C4C6E" w:rsidTr="00206F52">
        <w:trPr>
          <w:trHeight w:val="353"/>
          <w:jc w:val="center"/>
        </w:trPr>
        <w:tc>
          <w:tcPr>
            <w:tcW w:w="3287" w:type="pct"/>
            <w:shd w:val="clear" w:color="000000" w:fill="6E9ECA"/>
            <w:vAlign w:val="center"/>
            <w:hideMark/>
          </w:tcPr>
          <w:p w:rsidR="00236E43" w:rsidRPr="00E6446B" w:rsidRDefault="00236E43" w:rsidP="00C348D5">
            <w:pPr>
              <w:spacing w:after="0" w:line="240" w:lineRule="auto"/>
              <w:rPr>
                <w:rFonts w:ascii="Calibri" w:eastAsia="Times New Roman" w:hAnsi="Calibri"/>
                <w:b/>
                <w:bCs/>
                <w:color w:val="000000"/>
                <w:lang w:eastAsia="tr-TR"/>
              </w:rPr>
            </w:pPr>
            <w:r w:rsidRPr="00C348D5">
              <w:rPr>
                <w:rFonts w:ascii="Calibri" w:eastAsia="Times New Roman" w:hAnsi="Calibri"/>
                <w:b/>
                <w:bCs/>
                <w:color w:val="FFFFFF"/>
                <w:lang w:eastAsia="tr-TR"/>
              </w:rPr>
              <w:t>Araç Bilgileri</w:t>
            </w:r>
          </w:p>
        </w:tc>
        <w:tc>
          <w:tcPr>
            <w:tcW w:w="1713" w:type="pct"/>
            <w:shd w:val="clear" w:color="000000" w:fill="6E9ECA"/>
            <w:vAlign w:val="center"/>
            <w:hideMark/>
          </w:tcPr>
          <w:p w:rsidR="00236E43" w:rsidRPr="006C4C6E" w:rsidRDefault="00236E43" w:rsidP="00206F52">
            <w:pPr>
              <w:spacing w:after="0" w:line="240" w:lineRule="auto"/>
              <w:jc w:val="center"/>
              <w:rPr>
                <w:rFonts w:ascii="Calibri" w:eastAsia="Times New Roman" w:hAnsi="Calibri"/>
                <w:b/>
                <w:bCs/>
                <w:color w:val="FFFFFF"/>
                <w:lang w:eastAsia="tr-TR"/>
              </w:rPr>
            </w:pPr>
            <w:r w:rsidRPr="00E6446B">
              <w:rPr>
                <w:rFonts w:ascii="Calibri" w:eastAsia="Times New Roman" w:hAnsi="Calibri"/>
                <w:b/>
                <w:bCs/>
                <w:color w:val="FFFFFF"/>
                <w:lang w:eastAsia="tr-TR"/>
              </w:rPr>
              <w:t>Teslim Edilen Araç Sayısı</w:t>
            </w:r>
            <w:r w:rsidRPr="006C4C6E">
              <w:rPr>
                <w:rFonts w:ascii="Calibri" w:eastAsia="Times New Roman" w:hAnsi="Calibri"/>
                <w:b/>
                <w:bCs/>
                <w:color w:val="FFFFFF"/>
                <w:lang w:eastAsia="tr-TR"/>
              </w:rPr>
              <w:t xml:space="preserve"> </w:t>
            </w:r>
          </w:p>
        </w:tc>
      </w:tr>
      <w:tr w:rsidR="00236E43" w:rsidRPr="00474AD0" w:rsidTr="00206F52">
        <w:trPr>
          <w:trHeight w:val="330"/>
          <w:jc w:val="center"/>
        </w:trPr>
        <w:tc>
          <w:tcPr>
            <w:tcW w:w="3287" w:type="pct"/>
            <w:shd w:val="clear" w:color="auto" w:fill="auto"/>
            <w:vAlign w:val="bottom"/>
          </w:tcPr>
          <w:p w:rsidR="00236E43" w:rsidRPr="006C4C6E" w:rsidRDefault="00236E43" w:rsidP="00206F52">
            <w:pPr>
              <w:spacing w:after="0" w:line="240" w:lineRule="auto"/>
              <w:jc w:val="left"/>
              <w:rPr>
                <w:rFonts w:ascii="Calibri" w:eastAsia="Times New Roman" w:hAnsi="Calibri"/>
                <w:b/>
                <w:bCs/>
                <w:color w:val="000000"/>
                <w:lang w:eastAsia="tr-TR"/>
              </w:rPr>
            </w:pPr>
            <w:r w:rsidRPr="00E6446B">
              <w:rPr>
                <w:rFonts w:ascii="Calibri" w:eastAsia="Times New Roman" w:hAnsi="Calibri"/>
                <w:b/>
                <w:bCs/>
                <w:color w:val="000000"/>
                <w:lang w:eastAsia="tr-TR"/>
              </w:rPr>
              <w:t>Ticaret Bakanlığı</w:t>
            </w:r>
          </w:p>
        </w:tc>
        <w:tc>
          <w:tcPr>
            <w:tcW w:w="1713" w:type="pct"/>
            <w:shd w:val="clear" w:color="auto" w:fill="auto"/>
            <w:vAlign w:val="center"/>
          </w:tcPr>
          <w:p w:rsidR="00236E43" w:rsidRPr="00C348D5" w:rsidRDefault="00236E43" w:rsidP="00206F52">
            <w:pPr>
              <w:spacing w:after="0" w:line="240" w:lineRule="auto"/>
              <w:jc w:val="center"/>
              <w:rPr>
                <w:rFonts w:ascii="Calibri" w:eastAsia="Times New Roman" w:hAnsi="Calibri"/>
                <w:b/>
                <w:color w:val="000000"/>
                <w:lang w:eastAsia="tr-TR"/>
              </w:rPr>
            </w:pPr>
            <w:r w:rsidRPr="00C348D5">
              <w:rPr>
                <w:rFonts w:ascii="Calibri" w:eastAsia="Times New Roman" w:hAnsi="Calibri"/>
                <w:b/>
                <w:color w:val="000000"/>
                <w:lang w:eastAsia="tr-TR"/>
              </w:rPr>
              <w:t>45</w:t>
            </w:r>
          </w:p>
        </w:tc>
      </w:tr>
      <w:tr w:rsidR="00236E43" w:rsidRPr="00474AD0" w:rsidTr="00206F52">
        <w:trPr>
          <w:trHeight w:val="427"/>
          <w:jc w:val="center"/>
        </w:trPr>
        <w:tc>
          <w:tcPr>
            <w:tcW w:w="3287" w:type="pct"/>
            <w:shd w:val="clear" w:color="auto" w:fill="auto"/>
            <w:vAlign w:val="bottom"/>
          </w:tcPr>
          <w:p w:rsidR="00236E43" w:rsidRPr="006C4C6E" w:rsidRDefault="00236E43" w:rsidP="00206F52">
            <w:pPr>
              <w:spacing w:after="0" w:line="240" w:lineRule="auto"/>
              <w:jc w:val="left"/>
              <w:rPr>
                <w:rFonts w:ascii="Calibri" w:eastAsia="Times New Roman" w:hAnsi="Calibri"/>
                <w:b/>
                <w:bCs/>
                <w:color w:val="000000"/>
                <w:lang w:eastAsia="tr-TR"/>
              </w:rPr>
            </w:pPr>
            <w:r w:rsidRPr="00E6446B">
              <w:rPr>
                <w:rFonts w:ascii="Calibri" w:eastAsia="Times New Roman" w:hAnsi="Calibri"/>
                <w:b/>
                <w:bCs/>
                <w:color w:val="000000"/>
                <w:lang w:eastAsia="tr-TR"/>
              </w:rPr>
              <w:t>İçişleri Bakanlığı</w:t>
            </w:r>
          </w:p>
        </w:tc>
        <w:tc>
          <w:tcPr>
            <w:tcW w:w="1713" w:type="pct"/>
            <w:shd w:val="clear" w:color="auto" w:fill="auto"/>
            <w:vAlign w:val="center"/>
          </w:tcPr>
          <w:p w:rsidR="00236E43" w:rsidRPr="00C348D5" w:rsidRDefault="00236E43" w:rsidP="00206F52">
            <w:pPr>
              <w:spacing w:after="0" w:line="240" w:lineRule="auto"/>
              <w:jc w:val="center"/>
              <w:rPr>
                <w:rFonts w:ascii="Calibri" w:eastAsia="Times New Roman" w:hAnsi="Calibri"/>
                <w:b/>
                <w:color w:val="000000"/>
                <w:lang w:eastAsia="tr-TR"/>
              </w:rPr>
            </w:pPr>
            <w:r w:rsidRPr="00C348D5">
              <w:rPr>
                <w:rFonts w:ascii="Calibri" w:eastAsia="Times New Roman" w:hAnsi="Calibri"/>
                <w:b/>
                <w:color w:val="000000"/>
                <w:lang w:eastAsia="tr-TR"/>
              </w:rPr>
              <w:t>211</w:t>
            </w:r>
          </w:p>
        </w:tc>
      </w:tr>
      <w:tr w:rsidR="00236E43" w:rsidRPr="00474AD0" w:rsidTr="00206F52">
        <w:trPr>
          <w:trHeight w:val="330"/>
          <w:jc w:val="center"/>
        </w:trPr>
        <w:tc>
          <w:tcPr>
            <w:tcW w:w="3287" w:type="pct"/>
            <w:shd w:val="clear" w:color="auto" w:fill="auto"/>
            <w:vAlign w:val="bottom"/>
          </w:tcPr>
          <w:p w:rsidR="00236E43" w:rsidRPr="00C348D5" w:rsidRDefault="00236E43" w:rsidP="00C348D5">
            <w:pPr>
              <w:spacing w:after="0" w:line="240" w:lineRule="auto"/>
              <w:jc w:val="right"/>
              <w:rPr>
                <w:rFonts w:ascii="Calibri" w:eastAsia="Times New Roman" w:hAnsi="Calibri"/>
                <w:bCs/>
                <w:color w:val="000000"/>
                <w:lang w:eastAsia="tr-TR"/>
              </w:rPr>
            </w:pPr>
            <w:r w:rsidRPr="00C348D5">
              <w:rPr>
                <w:rFonts w:ascii="Calibri" w:eastAsia="Times New Roman" w:hAnsi="Calibri"/>
                <w:bCs/>
                <w:color w:val="000000"/>
                <w:lang w:eastAsia="tr-TR"/>
              </w:rPr>
              <w:t>Jandarma Genel Komutanlığı</w:t>
            </w:r>
          </w:p>
        </w:tc>
        <w:tc>
          <w:tcPr>
            <w:tcW w:w="1713" w:type="pct"/>
            <w:shd w:val="clear" w:color="auto" w:fill="auto"/>
            <w:vAlign w:val="center"/>
          </w:tcPr>
          <w:p w:rsidR="00236E43" w:rsidRPr="00474AD0" w:rsidRDefault="00236E43" w:rsidP="00206F52">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89</w:t>
            </w:r>
          </w:p>
        </w:tc>
      </w:tr>
      <w:tr w:rsidR="00236E43" w:rsidRPr="00474AD0" w:rsidTr="00206F52">
        <w:trPr>
          <w:trHeight w:val="330"/>
          <w:jc w:val="center"/>
        </w:trPr>
        <w:tc>
          <w:tcPr>
            <w:tcW w:w="3287" w:type="pct"/>
            <w:shd w:val="clear" w:color="auto" w:fill="auto"/>
            <w:vAlign w:val="bottom"/>
          </w:tcPr>
          <w:p w:rsidR="00236E43" w:rsidRPr="00C348D5" w:rsidRDefault="00236E43" w:rsidP="00C348D5">
            <w:pPr>
              <w:spacing w:after="0" w:line="240" w:lineRule="auto"/>
              <w:jc w:val="right"/>
              <w:rPr>
                <w:rFonts w:ascii="Calibri" w:eastAsia="Times New Roman" w:hAnsi="Calibri"/>
                <w:bCs/>
                <w:color w:val="000000"/>
                <w:lang w:eastAsia="tr-TR"/>
              </w:rPr>
            </w:pPr>
            <w:r w:rsidRPr="00C348D5">
              <w:rPr>
                <w:rFonts w:ascii="Calibri" w:eastAsia="Times New Roman" w:hAnsi="Calibri"/>
                <w:bCs/>
                <w:color w:val="000000"/>
                <w:lang w:eastAsia="tr-TR"/>
              </w:rPr>
              <w:t>Emniyet Genel Müdürlüğü</w:t>
            </w:r>
          </w:p>
        </w:tc>
        <w:tc>
          <w:tcPr>
            <w:tcW w:w="1713" w:type="pct"/>
            <w:shd w:val="clear" w:color="auto" w:fill="auto"/>
            <w:vAlign w:val="center"/>
          </w:tcPr>
          <w:p w:rsidR="00236E43" w:rsidRPr="00474AD0" w:rsidRDefault="00236E43" w:rsidP="00206F52">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111</w:t>
            </w:r>
          </w:p>
        </w:tc>
      </w:tr>
      <w:tr w:rsidR="00236E43" w:rsidRPr="00474AD0" w:rsidTr="00206F52">
        <w:trPr>
          <w:trHeight w:val="330"/>
          <w:jc w:val="center"/>
        </w:trPr>
        <w:tc>
          <w:tcPr>
            <w:tcW w:w="3287" w:type="pct"/>
            <w:shd w:val="clear" w:color="auto" w:fill="auto"/>
            <w:vAlign w:val="bottom"/>
          </w:tcPr>
          <w:p w:rsidR="00236E43" w:rsidRPr="00C348D5" w:rsidRDefault="00236E43" w:rsidP="00C348D5">
            <w:pPr>
              <w:spacing w:after="0" w:line="240" w:lineRule="auto"/>
              <w:jc w:val="right"/>
              <w:rPr>
                <w:rFonts w:ascii="Calibri" w:eastAsia="Times New Roman" w:hAnsi="Calibri"/>
                <w:bCs/>
                <w:color w:val="000000"/>
                <w:lang w:eastAsia="tr-TR"/>
              </w:rPr>
            </w:pPr>
            <w:r w:rsidRPr="00C348D5">
              <w:rPr>
                <w:rFonts w:ascii="Calibri" w:eastAsia="Times New Roman" w:hAnsi="Calibri"/>
                <w:bCs/>
                <w:color w:val="000000"/>
                <w:lang w:eastAsia="tr-TR"/>
              </w:rPr>
              <w:t>Sahil Güvenlik Komutanlığı</w:t>
            </w:r>
          </w:p>
        </w:tc>
        <w:tc>
          <w:tcPr>
            <w:tcW w:w="1713" w:type="pct"/>
            <w:shd w:val="clear" w:color="auto" w:fill="auto"/>
            <w:vAlign w:val="center"/>
          </w:tcPr>
          <w:p w:rsidR="00236E43" w:rsidRPr="00474AD0" w:rsidRDefault="00236E43" w:rsidP="00206F52">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11</w:t>
            </w:r>
          </w:p>
        </w:tc>
      </w:tr>
      <w:tr w:rsidR="00236E43" w:rsidRPr="00474AD0" w:rsidTr="00206F52">
        <w:trPr>
          <w:trHeight w:val="330"/>
          <w:jc w:val="center"/>
        </w:trPr>
        <w:tc>
          <w:tcPr>
            <w:tcW w:w="3287" w:type="pct"/>
            <w:shd w:val="clear" w:color="auto" w:fill="auto"/>
            <w:vAlign w:val="bottom"/>
          </w:tcPr>
          <w:p w:rsidR="00236E43" w:rsidRPr="006C4C6E" w:rsidRDefault="00236E43" w:rsidP="00206F52">
            <w:pPr>
              <w:spacing w:after="0" w:line="240" w:lineRule="auto"/>
              <w:jc w:val="left"/>
              <w:rPr>
                <w:rFonts w:ascii="Calibri" w:eastAsia="Times New Roman" w:hAnsi="Calibri"/>
                <w:b/>
                <w:bCs/>
                <w:color w:val="000000"/>
                <w:lang w:eastAsia="tr-TR"/>
              </w:rPr>
            </w:pPr>
            <w:r>
              <w:rPr>
                <w:rFonts w:ascii="Calibri" w:eastAsia="Times New Roman" w:hAnsi="Calibri"/>
                <w:b/>
                <w:bCs/>
                <w:color w:val="000000"/>
                <w:lang w:eastAsia="tr-TR"/>
              </w:rPr>
              <w:t>TOPLAM</w:t>
            </w:r>
          </w:p>
        </w:tc>
        <w:tc>
          <w:tcPr>
            <w:tcW w:w="1713" w:type="pct"/>
            <w:shd w:val="clear" w:color="auto" w:fill="auto"/>
            <w:vAlign w:val="center"/>
          </w:tcPr>
          <w:p w:rsidR="00236E43" w:rsidRPr="00C348D5" w:rsidRDefault="00236E43" w:rsidP="00206F52">
            <w:pPr>
              <w:spacing w:after="0" w:line="240" w:lineRule="auto"/>
              <w:jc w:val="center"/>
              <w:rPr>
                <w:rFonts w:ascii="Calibri" w:eastAsia="Times New Roman" w:hAnsi="Calibri"/>
                <w:b/>
                <w:color w:val="000000"/>
                <w:lang w:eastAsia="tr-TR"/>
              </w:rPr>
            </w:pPr>
            <w:r w:rsidRPr="00C348D5">
              <w:rPr>
                <w:rFonts w:ascii="Calibri" w:eastAsia="Times New Roman" w:hAnsi="Calibri"/>
                <w:b/>
                <w:color w:val="000000"/>
                <w:lang w:eastAsia="tr-TR"/>
              </w:rPr>
              <w:t>256</w:t>
            </w:r>
          </w:p>
        </w:tc>
      </w:tr>
    </w:tbl>
    <w:p w:rsidR="00236E43" w:rsidRDefault="00236E43" w:rsidP="00236E43">
      <w:pPr>
        <w:spacing w:after="0"/>
        <w:rPr>
          <w:color w:val="000000" w:themeColor="text1"/>
        </w:rPr>
      </w:pPr>
    </w:p>
    <w:p w:rsidR="00236E43" w:rsidRPr="00E6446B" w:rsidRDefault="00236E43" w:rsidP="00236E43">
      <w:pPr>
        <w:pStyle w:val="Balk5"/>
        <w:spacing w:line="360" w:lineRule="auto"/>
        <w:jc w:val="center"/>
        <w:rPr>
          <w:b/>
          <w:bCs/>
          <w:color w:val="000000" w:themeColor="text1"/>
        </w:rPr>
      </w:pPr>
      <w:bookmarkStart w:id="358" w:name="_Toc132713930"/>
      <w:r>
        <w:rPr>
          <w:rFonts w:asciiTheme="minorHAnsi" w:hAnsiTheme="minorHAnsi"/>
          <w:b/>
          <w:bCs/>
          <w:color w:val="000000" w:themeColor="text1"/>
        </w:rPr>
        <w:t>Tablo 6.2</w:t>
      </w:r>
      <w:r w:rsidR="0016318B">
        <w:rPr>
          <w:rFonts w:asciiTheme="minorHAnsi" w:hAnsiTheme="minorHAnsi"/>
          <w:b/>
          <w:bCs/>
          <w:color w:val="000000" w:themeColor="text1"/>
        </w:rPr>
        <w:t xml:space="preserve">: </w:t>
      </w:r>
      <w:r>
        <w:rPr>
          <w:rFonts w:asciiTheme="minorHAnsi" w:hAnsiTheme="minorHAnsi"/>
          <w:b/>
          <w:bCs/>
          <w:color w:val="000000" w:themeColor="text1"/>
        </w:rPr>
        <w:t>2022 Yılı Denetim Kapsamında Protokolcü Kuruluşlar Denetçi Sayıları</w:t>
      </w:r>
      <w:bookmarkEnd w:id="358"/>
    </w:p>
    <w:tbl>
      <w:tblPr>
        <w:tblW w:w="2715"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3259"/>
        <w:gridCol w:w="2123"/>
      </w:tblGrid>
      <w:tr w:rsidR="00236E43" w:rsidRPr="006C4C6E" w:rsidTr="00206F52">
        <w:trPr>
          <w:trHeight w:val="693"/>
          <w:jc w:val="center"/>
        </w:trPr>
        <w:tc>
          <w:tcPr>
            <w:tcW w:w="3028" w:type="pct"/>
            <w:shd w:val="clear" w:color="000000" w:fill="6E9ECA"/>
            <w:vAlign w:val="center"/>
            <w:hideMark/>
          </w:tcPr>
          <w:p w:rsidR="00236E43" w:rsidRPr="006C4C6E" w:rsidRDefault="00236E43" w:rsidP="00206F52">
            <w:pPr>
              <w:spacing w:after="0" w:line="240" w:lineRule="auto"/>
              <w:rPr>
                <w:rFonts w:ascii="Calibri" w:eastAsia="Times New Roman" w:hAnsi="Calibri"/>
                <w:b/>
                <w:bCs/>
                <w:color w:val="FFFFFF"/>
                <w:lang w:eastAsia="tr-TR"/>
              </w:rPr>
            </w:pPr>
            <w:r>
              <w:rPr>
                <w:rFonts w:ascii="Calibri" w:eastAsia="Times New Roman" w:hAnsi="Calibri"/>
                <w:b/>
                <w:bCs/>
                <w:color w:val="FFFFFF"/>
                <w:lang w:eastAsia="tr-TR"/>
              </w:rPr>
              <w:t>İlgili Kurum</w:t>
            </w:r>
          </w:p>
        </w:tc>
        <w:tc>
          <w:tcPr>
            <w:tcW w:w="1972" w:type="pct"/>
            <w:shd w:val="clear" w:color="000000" w:fill="6E9ECA"/>
            <w:vAlign w:val="center"/>
            <w:hideMark/>
          </w:tcPr>
          <w:p w:rsidR="00236E43" w:rsidRPr="006C4C6E" w:rsidRDefault="00236E43" w:rsidP="00206F52">
            <w:pPr>
              <w:spacing w:after="0" w:line="240" w:lineRule="auto"/>
              <w:jc w:val="center"/>
              <w:rPr>
                <w:rFonts w:ascii="Calibri" w:eastAsia="Times New Roman" w:hAnsi="Calibri"/>
                <w:b/>
                <w:bCs/>
                <w:color w:val="FFFFFF"/>
                <w:lang w:eastAsia="tr-TR"/>
              </w:rPr>
            </w:pPr>
            <w:r>
              <w:rPr>
                <w:rFonts w:ascii="Calibri" w:eastAsia="Times New Roman" w:hAnsi="Calibri"/>
                <w:b/>
                <w:bCs/>
                <w:color w:val="FFFFFF"/>
                <w:lang w:eastAsia="tr-TR"/>
              </w:rPr>
              <w:t>Denetçi Sayısı</w:t>
            </w:r>
          </w:p>
        </w:tc>
      </w:tr>
      <w:tr w:rsidR="00236E43" w:rsidRPr="00474AD0" w:rsidTr="00206F52">
        <w:trPr>
          <w:trHeight w:val="330"/>
          <w:jc w:val="center"/>
        </w:trPr>
        <w:tc>
          <w:tcPr>
            <w:tcW w:w="3028" w:type="pct"/>
            <w:shd w:val="clear" w:color="auto" w:fill="auto"/>
            <w:vAlign w:val="bottom"/>
          </w:tcPr>
          <w:p w:rsidR="00236E43" w:rsidRPr="006C4C6E" w:rsidRDefault="00236E43" w:rsidP="00206F52">
            <w:pPr>
              <w:spacing w:after="0" w:line="240" w:lineRule="auto"/>
              <w:jc w:val="left"/>
              <w:rPr>
                <w:rFonts w:ascii="Calibri" w:eastAsia="Times New Roman" w:hAnsi="Calibri"/>
                <w:b/>
                <w:bCs/>
                <w:color w:val="000000"/>
                <w:lang w:eastAsia="tr-TR"/>
              </w:rPr>
            </w:pPr>
            <w:r w:rsidRPr="00E6446B">
              <w:rPr>
                <w:rFonts w:ascii="Calibri" w:eastAsia="Times New Roman" w:hAnsi="Calibri"/>
                <w:b/>
                <w:bCs/>
                <w:color w:val="000000"/>
                <w:lang w:eastAsia="tr-TR"/>
              </w:rPr>
              <w:t>Ticaret Bakanlığı</w:t>
            </w:r>
          </w:p>
        </w:tc>
        <w:tc>
          <w:tcPr>
            <w:tcW w:w="1972" w:type="pct"/>
            <w:shd w:val="clear" w:color="auto" w:fill="auto"/>
            <w:vAlign w:val="center"/>
          </w:tcPr>
          <w:p w:rsidR="00236E43" w:rsidRPr="00DB7855" w:rsidRDefault="00DB7855" w:rsidP="00206F52">
            <w:pPr>
              <w:spacing w:after="0" w:line="240" w:lineRule="auto"/>
              <w:jc w:val="center"/>
              <w:rPr>
                <w:rFonts w:ascii="Calibri" w:eastAsia="Times New Roman" w:hAnsi="Calibri"/>
                <w:b/>
                <w:color w:val="000000"/>
                <w:lang w:eastAsia="tr-TR"/>
              </w:rPr>
            </w:pPr>
            <w:r w:rsidRPr="00DB7855">
              <w:rPr>
                <w:rFonts w:ascii="Calibri" w:eastAsia="Times New Roman" w:hAnsi="Calibri"/>
                <w:b/>
                <w:color w:val="000000"/>
                <w:lang w:eastAsia="tr-TR"/>
              </w:rPr>
              <w:t>576</w:t>
            </w:r>
          </w:p>
        </w:tc>
      </w:tr>
      <w:tr w:rsidR="00236E43" w:rsidRPr="00474AD0" w:rsidTr="00206F52">
        <w:trPr>
          <w:trHeight w:val="330"/>
          <w:jc w:val="center"/>
        </w:trPr>
        <w:tc>
          <w:tcPr>
            <w:tcW w:w="3028" w:type="pct"/>
            <w:shd w:val="clear" w:color="auto" w:fill="auto"/>
            <w:vAlign w:val="bottom"/>
          </w:tcPr>
          <w:p w:rsidR="00236E43" w:rsidRPr="00DB7855" w:rsidRDefault="00236E43" w:rsidP="00206F52">
            <w:pPr>
              <w:spacing w:after="0" w:line="240" w:lineRule="auto"/>
              <w:jc w:val="left"/>
              <w:rPr>
                <w:rFonts w:ascii="Calibri" w:eastAsia="Times New Roman" w:hAnsi="Calibri"/>
                <w:b/>
                <w:bCs/>
                <w:color w:val="000000"/>
                <w:lang w:eastAsia="tr-TR"/>
              </w:rPr>
            </w:pPr>
            <w:r w:rsidRPr="00DB7855">
              <w:rPr>
                <w:rFonts w:ascii="Calibri" w:eastAsia="Times New Roman" w:hAnsi="Calibri"/>
                <w:b/>
                <w:bCs/>
                <w:color w:val="000000"/>
                <w:lang w:eastAsia="tr-TR"/>
              </w:rPr>
              <w:t>İçişleri Bakanlığı</w:t>
            </w:r>
          </w:p>
        </w:tc>
        <w:tc>
          <w:tcPr>
            <w:tcW w:w="1972" w:type="pct"/>
            <w:shd w:val="clear" w:color="auto" w:fill="auto"/>
            <w:vAlign w:val="center"/>
          </w:tcPr>
          <w:p w:rsidR="00236E43" w:rsidRPr="00DB7855" w:rsidRDefault="00236E43" w:rsidP="00206F52">
            <w:pPr>
              <w:spacing w:after="0" w:line="240" w:lineRule="auto"/>
              <w:jc w:val="center"/>
              <w:rPr>
                <w:rFonts w:ascii="Calibri" w:eastAsia="Times New Roman" w:hAnsi="Calibri"/>
                <w:b/>
                <w:color w:val="000000"/>
                <w:lang w:eastAsia="tr-TR"/>
              </w:rPr>
            </w:pPr>
            <w:r w:rsidRPr="00DB7855">
              <w:rPr>
                <w:rFonts w:ascii="Calibri" w:eastAsia="Times New Roman" w:hAnsi="Calibri"/>
                <w:b/>
                <w:color w:val="000000"/>
                <w:lang w:eastAsia="tr-TR"/>
              </w:rPr>
              <w:t>2.</w:t>
            </w:r>
            <w:r w:rsidR="00DB7855" w:rsidRPr="00DB7855">
              <w:rPr>
                <w:rFonts w:ascii="Calibri" w:eastAsia="Times New Roman" w:hAnsi="Calibri"/>
                <w:b/>
                <w:color w:val="000000"/>
                <w:lang w:eastAsia="tr-TR"/>
              </w:rPr>
              <w:t>659</w:t>
            </w:r>
          </w:p>
        </w:tc>
      </w:tr>
      <w:tr w:rsidR="00236E43" w:rsidRPr="00474AD0" w:rsidTr="00206F52">
        <w:trPr>
          <w:trHeight w:val="330"/>
          <w:jc w:val="center"/>
        </w:trPr>
        <w:tc>
          <w:tcPr>
            <w:tcW w:w="3028" w:type="pct"/>
            <w:shd w:val="clear" w:color="auto" w:fill="auto"/>
            <w:vAlign w:val="bottom"/>
          </w:tcPr>
          <w:p w:rsidR="00236E43" w:rsidRPr="00DB7855" w:rsidRDefault="00236E43" w:rsidP="00DB7855">
            <w:pPr>
              <w:spacing w:after="0" w:line="240" w:lineRule="auto"/>
              <w:jc w:val="right"/>
              <w:rPr>
                <w:rFonts w:ascii="Calibri" w:eastAsia="Times New Roman" w:hAnsi="Calibri"/>
                <w:bCs/>
                <w:color w:val="000000"/>
                <w:lang w:eastAsia="tr-TR"/>
              </w:rPr>
            </w:pPr>
            <w:r w:rsidRPr="00DB7855">
              <w:rPr>
                <w:rFonts w:ascii="Calibri" w:eastAsia="Times New Roman" w:hAnsi="Calibri"/>
                <w:bCs/>
                <w:color w:val="000000"/>
                <w:lang w:eastAsia="tr-TR"/>
              </w:rPr>
              <w:t>Jandarma Genel Komutanlığı</w:t>
            </w:r>
          </w:p>
        </w:tc>
        <w:tc>
          <w:tcPr>
            <w:tcW w:w="1972" w:type="pct"/>
            <w:shd w:val="clear" w:color="auto" w:fill="auto"/>
            <w:vAlign w:val="center"/>
          </w:tcPr>
          <w:p w:rsidR="00236E43" w:rsidRPr="00DB7855" w:rsidRDefault="00236E43" w:rsidP="00206F52">
            <w:pPr>
              <w:spacing w:after="0" w:line="240" w:lineRule="auto"/>
              <w:jc w:val="center"/>
              <w:rPr>
                <w:rFonts w:ascii="Calibri" w:eastAsia="Times New Roman" w:hAnsi="Calibri"/>
                <w:color w:val="000000"/>
                <w:lang w:eastAsia="tr-TR"/>
              </w:rPr>
            </w:pPr>
            <w:r w:rsidRPr="00DB7855">
              <w:rPr>
                <w:rFonts w:ascii="Calibri" w:eastAsia="Times New Roman" w:hAnsi="Calibri"/>
                <w:color w:val="000000"/>
                <w:lang w:eastAsia="tr-TR"/>
              </w:rPr>
              <w:t>833</w:t>
            </w:r>
          </w:p>
        </w:tc>
      </w:tr>
      <w:tr w:rsidR="00236E43" w:rsidRPr="00474AD0" w:rsidTr="00206F52">
        <w:trPr>
          <w:trHeight w:val="330"/>
          <w:jc w:val="center"/>
        </w:trPr>
        <w:tc>
          <w:tcPr>
            <w:tcW w:w="3028" w:type="pct"/>
            <w:shd w:val="clear" w:color="auto" w:fill="auto"/>
            <w:vAlign w:val="bottom"/>
          </w:tcPr>
          <w:p w:rsidR="00236E43" w:rsidRPr="00DB7855" w:rsidRDefault="00236E43" w:rsidP="00DB7855">
            <w:pPr>
              <w:spacing w:after="0" w:line="240" w:lineRule="auto"/>
              <w:jc w:val="right"/>
              <w:rPr>
                <w:rFonts w:ascii="Calibri" w:eastAsia="Times New Roman" w:hAnsi="Calibri"/>
                <w:bCs/>
                <w:color w:val="000000"/>
                <w:lang w:eastAsia="tr-TR"/>
              </w:rPr>
            </w:pPr>
            <w:r w:rsidRPr="00DB7855">
              <w:rPr>
                <w:rFonts w:ascii="Calibri" w:eastAsia="Times New Roman" w:hAnsi="Calibri"/>
                <w:bCs/>
                <w:color w:val="000000"/>
                <w:lang w:eastAsia="tr-TR"/>
              </w:rPr>
              <w:t>Emniyet Genel Müdürlüğü</w:t>
            </w:r>
          </w:p>
        </w:tc>
        <w:tc>
          <w:tcPr>
            <w:tcW w:w="1972" w:type="pct"/>
            <w:shd w:val="clear" w:color="auto" w:fill="auto"/>
            <w:vAlign w:val="center"/>
          </w:tcPr>
          <w:p w:rsidR="00236E43" w:rsidRPr="00DB7855" w:rsidRDefault="00DB7855" w:rsidP="00206F52">
            <w:pPr>
              <w:spacing w:after="0" w:line="240" w:lineRule="auto"/>
              <w:jc w:val="center"/>
              <w:rPr>
                <w:rFonts w:ascii="Calibri" w:eastAsia="Times New Roman" w:hAnsi="Calibri"/>
                <w:color w:val="000000"/>
                <w:lang w:eastAsia="tr-TR"/>
              </w:rPr>
            </w:pPr>
            <w:r w:rsidRPr="00DB7855">
              <w:rPr>
                <w:rFonts w:ascii="Calibri" w:eastAsia="Times New Roman" w:hAnsi="Calibri"/>
                <w:color w:val="000000"/>
                <w:lang w:eastAsia="tr-TR"/>
              </w:rPr>
              <w:t>947</w:t>
            </w:r>
          </w:p>
        </w:tc>
      </w:tr>
      <w:tr w:rsidR="00236E43" w:rsidRPr="00474AD0" w:rsidTr="00206F52">
        <w:trPr>
          <w:trHeight w:val="330"/>
          <w:jc w:val="center"/>
        </w:trPr>
        <w:tc>
          <w:tcPr>
            <w:tcW w:w="3028" w:type="pct"/>
            <w:shd w:val="clear" w:color="auto" w:fill="auto"/>
            <w:vAlign w:val="bottom"/>
          </w:tcPr>
          <w:p w:rsidR="00236E43" w:rsidRPr="00DB7855" w:rsidRDefault="00236E43" w:rsidP="00DB7855">
            <w:pPr>
              <w:spacing w:after="0" w:line="240" w:lineRule="auto"/>
              <w:jc w:val="right"/>
              <w:rPr>
                <w:rFonts w:ascii="Calibri" w:eastAsia="Times New Roman" w:hAnsi="Calibri"/>
                <w:bCs/>
                <w:color w:val="000000"/>
                <w:lang w:eastAsia="tr-TR"/>
              </w:rPr>
            </w:pPr>
            <w:r w:rsidRPr="00DB7855">
              <w:rPr>
                <w:rFonts w:ascii="Calibri" w:eastAsia="Times New Roman" w:hAnsi="Calibri"/>
                <w:bCs/>
                <w:color w:val="000000"/>
                <w:lang w:eastAsia="tr-TR"/>
              </w:rPr>
              <w:t>Sahil Güvenlik Komutanlığı</w:t>
            </w:r>
          </w:p>
        </w:tc>
        <w:tc>
          <w:tcPr>
            <w:tcW w:w="1972" w:type="pct"/>
            <w:shd w:val="clear" w:color="auto" w:fill="auto"/>
            <w:vAlign w:val="center"/>
          </w:tcPr>
          <w:p w:rsidR="00236E43" w:rsidRPr="00DB7855" w:rsidRDefault="00236E43" w:rsidP="00206F52">
            <w:pPr>
              <w:spacing w:after="0" w:line="240" w:lineRule="auto"/>
              <w:jc w:val="center"/>
              <w:rPr>
                <w:rFonts w:ascii="Calibri" w:eastAsia="Times New Roman" w:hAnsi="Calibri"/>
                <w:color w:val="000000"/>
                <w:lang w:eastAsia="tr-TR"/>
              </w:rPr>
            </w:pPr>
            <w:r w:rsidRPr="00DB7855">
              <w:rPr>
                <w:rFonts w:ascii="Calibri" w:eastAsia="Times New Roman" w:hAnsi="Calibri"/>
                <w:color w:val="000000"/>
                <w:lang w:eastAsia="tr-TR"/>
              </w:rPr>
              <w:t>8</w:t>
            </w:r>
            <w:r w:rsidR="00DB7855" w:rsidRPr="00DB7855">
              <w:rPr>
                <w:rFonts w:ascii="Calibri" w:eastAsia="Times New Roman" w:hAnsi="Calibri"/>
                <w:color w:val="000000"/>
                <w:lang w:eastAsia="tr-TR"/>
              </w:rPr>
              <w:t>79</w:t>
            </w:r>
          </w:p>
        </w:tc>
      </w:tr>
      <w:tr w:rsidR="00236E43" w:rsidRPr="00474AD0" w:rsidTr="00206F52">
        <w:trPr>
          <w:trHeight w:val="361"/>
          <w:jc w:val="center"/>
        </w:trPr>
        <w:tc>
          <w:tcPr>
            <w:tcW w:w="3028" w:type="pct"/>
            <w:shd w:val="clear" w:color="auto" w:fill="auto"/>
            <w:vAlign w:val="bottom"/>
          </w:tcPr>
          <w:p w:rsidR="00236E43" w:rsidRPr="006C4C6E" w:rsidRDefault="00236E43" w:rsidP="00206F52">
            <w:pPr>
              <w:spacing w:after="0" w:line="240" w:lineRule="auto"/>
              <w:jc w:val="left"/>
              <w:rPr>
                <w:rFonts w:ascii="Calibri" w:eastAsia="Times New Roman" w:hAnsi="Calibri"/>
                <w:b/>
                <w:bCs/>
                <w:color w:val="000000"/>
                <w:lang w:eastAsia="tr-TR"/>
              </w:rPr>
            </w:pPr>
            <w:r w:rsidRPr="00E6446B">
              <w:rPr>
                <w:rFonts w:ascii="Calibri" w:eastAsia="Times New Roman" w:hAnsi="Calibri"/>
                <w:b/>
                <w:bCs/>
                <w:color w:val="000000"/>
                <w:lang w:eastAsia="tr-TR"/>
              </w:rPr>
              <w:t>TOPLAM</w:t>
            </w:r>
          </w:p>
        </w:tc>
        <w:tc>
          <w:tcPr>
            <w:tcW w:w="1972" w:type="pct"/>
            <w:shd w:val="clear" w:color="auto" w:fill="auto"/>
            <w:vAlign w:val="center"/>
          </w:tcPr>
          <w:p w:rsidR="00236E43" w:rsidRPr="00DB7855" w:rsidRDefault="00DB7855" w:rsidP="00206F52">
            <w:pPr>
              <w:spacing w:after="0" w:line="240" w:lineRule="auto"/>
              <w:jc w:val="center"/>
              <w:rPr>
                <w:rFonts w:ascii="Calibri" w:eastAsia="Times New Roman" w:hAnsi="Calibri"/>
                <w:b/>
                <w:color w:val="000000"/>
                <w:lang w:eastAsia="tr-TR"/>
              </w:rPr>
            </w:pPr>
            <w:r w:rsidRPr="00DB7855">
              <w:rPr>
                <w:rFonts w:ascii="Calibri" w:eastAsia="Times New Roman" w:hAnsi="Calibri"/>
                <w:b/>
                <w:color w:val="000000"/>
                <w:lang w:eastAsia="tr-TR"/>
              </w:rPr>
              <w:t>3.235</w:t>
            </w:r>
          </w:p>
        </w:tc>
      </w:tr>
    </w:tbl>
    <w:p w:rsidR="00236E43" w:rsidRPr="00E9291A" w:rsidRDefault="00236E43" w:rsidP="00F43485">
      <w:pPr>
        <w:spacing w:after="0"/>
        <w:rPr>
          <w:color w:val="000000" w:themeColor="text1"/>
        </w:rPr>
      </w:pPr>
    </w:p>
    <w:p w:rsidR="00F43485" w:rsidRPr="00E9291A" w:rsidRDefault="00F43485" w:rsidP="00F43485">
      <w:pPr>
        <w:spacing w:after="0"/>
        <w:rPr>
          <w:color w:val="000000" w:themeColor="text1"/>
        </w:rPr>
      </w:pPr>
    </w:p>
    <w:p w:rsidR="00F43485" w:rsidRDefault="00F43485" w:rsidP="00F43485">
      <w:pPr>
        <w:spacing w:after="0"/>
        <w:rPr>
          <w:color w:val="000000" w:themeColor="text1"/>
        </w:rPr>
      </w:pPr>
      <w:r w:rsidRPr="00FA1354">
        <w:rPr>
          <w:color w:val="000000" w:themeColor="text1"/>
        </w:rPr>
        <w:t xml:space="preserve">Protokol yapılan kuruluşlara </w:t>
      </w:r>
      <w:r w:rsidR="002B6174">
        <w:rPr>
          <w:color w:val="000000" w:themeColor="text1"/>
        </w:rPr>
        <w:t>2021-2022</w:t>
      </w:r>
      <w:r w:rsidRPr="00FA1354">
        <w:rPr>
          <w:color w:val="000000" w:themeColor="text1"/>
        </w:rPr>
        <w:t xml:space="preserve"> yılları arasında yapılan ödenek aktarımları Tablo 6.</w:t>
      </w:r>
      <w:r w:rsidR="0016318B">
        <w:rPr>
          <w:color w:val="000000" w:themeColor="text1"/>
        </w:rPr>
        <w:t>3</w:t>
      </w:r>
      <w:r w:rsidRPr="00FA1354">
        <w:rPr>
          <w:color w:val="000000" w:themeColor="text1"/>
        </w:rPr>
        <w:t>’de gösterilmektedir.</w:t>
      </w:r>
    </w:p>
    <w:p w:rsidR="003D0DD5" w:rsidRDefault="008C0C45" w:rsidP="008C0C45">
      <w:pPr>
        <w:pStyle w:val="Balk5"/>
        <w:jc w:val="center"/>
        <w:rPr>
          <w:rFonts w:asciiTheme="minorHAnsi" w:hAnsiTheme="minorHAnsi"/>
          <w:b/>
          <w:bCs/>
          <w:color w:val="000000" w:themeColor="text1"/>
        </w:rPr>
      </w:pPr>
      <w:bookmarkStart w:id="359" w:name="_Toc132713931"/>
      <w:r>
        <w:rPr>
          <w:rStyle w:val="Gl"/>
          <w:color w:val="000000" w:themeColor="text1"/>
        </w:rPr>
        <w:t>Tablo 6.</w:t>
      </w:r>
      <w:r w:rsidR="00236E43">
        <w:rPr>
          <w:rStyle w:val="Gl"/>
          <w:color w:val="000000" w:themeColor="text1"/>
        </w:rPr>
        <w:t>3</w:t>
      </w:r>
      <w:r w:rsidRPr="00122C27">
        <w:rPr>
          <w:rStyle w:val="Gl"/>
          <w:color w:val="000000" w:themeColor="text1"/>
        </w:rPr>
        <w:t xml:space="preserve">: </w:t>
      </w:r>
      <w:r w:rsidR="002B6174">
        <w:rPr>
          <w:rFonts w:asciiTheme="minorHAnsi" w:hAnsiTheme="minorHAnsi"/>
          <w:b/>
          <w:bCs/>
          <w:color w:val="000000" w:themeColor="text1"/>
        </w:rPr>
        <w:t xml:space="preserve">2021 </w:t>
      </w:r>
      <w:r w:rsidR="00051D88">
        <w:rPr>
          <w:rFonts w:asciiTheme="minorHAnsi" w:hAnsiTheme="minorHAnsi"/>
          <w:b/>
          <w:bCs/>
          <w:color w:val="000000" w:themeColor="text1"/>
        </w:rPr>
        <w:t xml:space="preserve">ve </w:t>
      </w:r>
      <w:r w:rsidR="002B6174">
        <w:rPr>
          <w:rFonts w:asciiTheme="minorHAnsi" w:hAnsiTheme="minorHAnsi"/>
          <w:b/>
          <w:bCs/>
          <w:color w:val="000000" w:themeColor="text1"/>
        </w:rPr>
        <w:t xml:space="preserve">2022 </w:t>
      </w:r>
      <w:r w:rsidRPr="008C0C45">
        <w:rPr>
          <w:rFonts w:asciiTheme="minorHAnsi" w:hAnsiTheme="minorHAnsi"/>
          <w:b/>
          <w:bCs/>
          <w:color w:val="000000" w:themeColor="text1"/>
        </w:rPr>
        <w:t>Yılları</w:t>
      </w:r>
      <w:r w:rsidR="00051D88">
        <w:rPr>
          <w:rFonts w:asciiTheme="minorHAnsi" w:hAnsiTheme="minorHAnsi"/>
          <w:b/>
          <w:bCs/>
          <w:color w:val="000000" w:themeColor="text1"/>
        </w:rPr>
        <w:t>nda</w:t>
      </w:r>
      <w:r w:rsidRPr="008C0C45">
        <w:rPr>
          <w:rFonts w:asciiTheme="minorHAnsi" w:hAnsiTheme="minorHAnsi"/>
          <w:b/>
          <w:bCs/>
          <w:color w:val="000000" w:themeColor="text1"/>
        </w:rPr>
        <w:t xml:space="preserve"> Denetim Kapsamında Protokolcü Kuruluşlara Ödenek Aktarımı</w:t>
      </w:r>
      <w:bookmarkEnd w:id="351"/>
      <w:bookmarkEnd w:id="352"/>
      <w:bookmarkEnd w:id="353"/>
      <w:bookmarkEnd w:id="359"/>
    </w:p>
    <w:tbl>
      <w:tblPr>
        <w:tblW w:w="4859"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3259"/>
        <w:gridCol w:w="1986"/>
        <w:gridCol w:w="2208"/>
        <w:gridCol w:w="2179"/>
      </w:tblGrid>
      <w:tr w:rsidR="00474AD0" w:rsidRPr="006C4C6E" w:rsidTr="00474AD0">
        <w:trPr>
          <w:trHeight w:val="353"/>
          <w:jc w:val="center"/>
        </w:trPr>
        <w:tc>
          <w:tcPr>
            <w:tcW w:w="1692" w:type="pct"/>
            <w:vMerge w:val="restart"/>
            <w:shd w:val="clear" w:color="000000" w:fill="6E9ECA"/>
            <w:vAlign w:val="center"/>
            <w:hideMark/>
          </w:tcPr>
          <w:p w:rsidR="00474AD0" w:rsidRPr="006C4C6E" w:rsidRDefault="00474AD0" w:rsidP="00772A4E">
            <w:pPr>
              <w:spacing w:after="0" w:line="240" w:lineRule="auto"/>
              <w:rPr>
                <w:rFonts w:ascii="Calibri" w:eastAsia="Times New Roman" w:hAnsi="Calibri"/>
                <w:b/>
                <w:bCs/>
                <w:color w:val="FFFFFF"/>
                <w:lang w:eastAsia="tr-TR"/>
              </w:rPr>
            </w:pPr>
            <w:r w:rsidRPr="006C4C6E">
              <w:rPr>
                <w:rFonts w:ascii="Calibri" w:eastAsia="Times New Roman" w:hAnsi="Calibri"/>
                <w:b/>
                <w:bCs/>
                <w:color w:val="FFFFFF"/>
                <w:lang w:eastAsia="tr-TR"/>
              </w:rPr>
              <w:t>Protokol Kapsamındaki Kuruluşlar</w:t>
            </w:r>
          </w:p>
        </w:tc>
        <w:tc>
          <w:tcPr>
            <w:tcW w:w="2177" w:type="pct"/>
            <w:gridSpan w:val="2"/>
            <w:shd w:val="clear" w:color="000000" w:fill="6E9ECA"/>
            <w:vAlign w:val="center"/>
            <w:hideMark/>
          </w:tcPr>
          <w:p w:rsidR="00474AD0" w:rsidRPr="006C4C6E" w:rsidRDefault="00474AD0" w:rsidP="00772A4E">
            <w:pPr>
              <w:spacing w:after="0" w:line="240" w:lineRule="auto"/>
              <w:jc w:val="center"/>
              <w:rPr>
                <w:rFonts w:ascii="Calibri" w:eastAsia="Times New Roman" w:hAnsi="Calibri"/>
                <w:b/>
                <w:bCs/>
                <w:color w:val="FFFFFF"/>
                <w:lang w:eastAsia="tr-TR"/>
              </w:rPr>
            </w:pPr>
            <w:r w:rsidRPr="006C4C6E">
              <w:rPr>
                <w:rFonts w:ascii="Calibri" w:eastAsia="Times New Roman" w:hAnsi="Calibri"/>
                <w:b/>
                <w:bCs/>
                <w:color w:val="FFFFFF"/>
                <w:lang w:eastAsia="tr-TR"/>
              </w:rPr>
              <w:t>Aktarılan Ödenek Tutarı (TL)</w:t>
            </w:r>
          </w:p>
        </w:tc>
        <w:tc>
          <w:tcPr>
            <w:tcW w:w="1131" w:type="pct"/>
            <w:shd w:val="clear" w:color="000000" w:fill="6E9ECA"/>
            <w:vAlign w:val="center"/>
            <w:hideMark/>
          </w:tcPr>
          <w:p w:rsidR="00474AD0" w:rsidRPr="006C4C6E" w:rsidRDefault="00474AD0" w:rsidP="00772A4E">
            <w:pPr>
              <w:spacing w:after="0" w:line="240" w:lineRule="auto"/>
              <w:jc w:val="center"/>
              <w:rPr>
                <w:rFonts w:ascii="Calibri" w:eastAsia="Times New Roman" w:hAnsi="Calibri"/>
                <w:b/>
                <w:bCs/>
                <w:color w:val="FFFFFF"/>
                <w:lang w:eastAsia="tr-TR"/>
              </w:rPr>
            </w:pPr>
            <w:r w:rsidRPr="006C4C6E">
              <w:rPr>
                <w:rFonts w:ascii="Calibri" w:eastAsia="Times New Roman" w:hAnsi="Calibri"/>
                <w:b/>
                <w:bCs/>
                <w:color w:val="FFFFFF"/>
                <w:lang w:eastAsia="tr-TR"/>
              </w:rPr>
              <w:t>Değişim</w:t>
            </w:r>
            <w:r>
              <w:rPr>
                <w:rFonts w:ascii="Calibri" w:eastAsia="Times New Roman" w:hAnsi="Calibri"/>
                <w:b/>
                <w:bCs/>
                <w:color w:val="FFFFFF"/>
                <w:lang w:eastAsia="tr-TR"/>
              </w:rPr>
              <w:t xml:space="preserve"> </w:t>
            </w:r>
            <w:r w:rsidRPr="006C4C6E">
              <w:rPr>
                <w:rFonts w:ascii="Calibri" w:eastAsia="Times New Roman" w:hAnsi="Calibri"/>
                <w:b/>
                <w:bCs/>
                <w:color w:val="FFFFFF"/>
                <w:lang w:eastAsia="tr-TR"/>
              </w:rPr>
              <w:t>(%)</w:t>
            </w:r>
          </w:p>
        </w:tc>
      </w:tr>
      <w:tr w:rsidR="00474AD0" w:rsidRPr="006C4C6E" w:rsidTr="00474AD0">
        <w:trPr>
          <w:trHeight w:val="330"/>
          <w:jc w:val="center"/>
        </w:trPr>
        <w:tc>
          <w:tcPr>
            <w:tcW w:w="1692" w:type="pct"/>
            <w:vMerge/>
            <w:vAlign w:val="center"/>
            <w:hideMark/>
          </w:tcPr>
          <w:p w:rsidR="00474AD0" w:rsidRPr="006C4C6E" w:rsidRDefault="00474AD0" w:rsidP="00772A4E">
            <w:pPr>
              <w:spacing w:after="0" w:line="240" w:lineRule="auto"/>
              <w:rPr>
                <w:rFonts w:ascii="Calibri" w:eastAsia="Times New Roman" w:hAnsi="Calibri"/>
                <w:b/>
                <w:bCs/>
                <w:color w:val="FFFFFF"/>
                <w:lang w:eastAsia="tr-TR"/>
              </w:rPr>
            </w:pPr>
          </w:p>
        </w:tc>
        <w:tc>
          <w:tcPr>
            <w:tcW w:w="1031" w:type="pct"/>
            <w:shd w:val="clear" w:color="000000" w:fill="6E9ECA"/>
            <w:vAlign w:val="center"/>
            <w:hideMark/>
          </w:tcPr>
          <w:p w:rsidR="00474AD0" w:rsidRPr="00474AD0" w:rsidRDefault="002B6174" w:rsidP="00772A4E">
            <w:pPr>
              <w:spacing w:after="0" w:line="240" w:lineRule="auto"/>
              <w:jc w:val="center"/>
              <w:rPr>
                <w:rFonts w:ascii="Calibri" w:eastAsia="Times New Roman" w:hAnsi="Calibri"/>
                <w:b/>
                <w:bCs/>
                <w:color w:val="FFFFFF"/>
                <w:lang w:eastAsia="tr-TR"/>
              </w:rPr>
            </w:pPr>
            <w:r>
              <w:rPr>
                <w:rFonts w:ascii="Calibri" w:eastAsia="Times New Roman" w:hAnsi="Calibri"/>
                <w:b/>
                <w:bCs/>
                <w:color w:val="FFFFFF"/>
                <w:lang w:eastAsia="tr-TR"/>
              </w:rPr>
              <w:t>2021</w:t>
            </w:r>
            <w:r w:rsidRPr="00474AD0">
              <w:rPr>
                <w:rFonts w:ascii="Calibri" w:eastAsia="Times New Roman" w:hAnsi="Calibri"/>
                <w:b/>
                <w:bCs/>
                <w:color w:val="FFFFFF"/>
                <w:lang w:eastAsia="tr-TR"/>
              </w:rPr>
              <w:t xml:space="preserve"> </w:t>
            </w:r>
            <w:r w:rsidR="00474AD0" w:rsidRPr="00474AD0">
              <w:rPr>
                <w:rFonts w:ascii="Calibri" w:eastAsia="Times New Roman" w:hAnsi="Calibri"/>
                <w:b/>
                <w:bCs/>
                <w:color w:val="FFFFFF"/>
                <w:lang w:eastAsia="tr-TR"/>
              </w:rPr>
              <w:t>Yılı</w:t>
            </w:r>
          </w:p>
        </w:tc>
        <w:tc>
          <w:tcPr>
            <w:tcW w:w="1146" w:type="pct"/>
            <w:shd w:val="clear" w:color="000000" w:fill="6E9ECA"/>
            <w:vAlign w:val="center"/>
            <w:hideMark/>
          </w:tcPr>
          <w:p w:rsidR="00474AD0" w:rsidRPr="00474AD0" w:rsidRDefault="002B6174" w:rsidP="00772A4E">
            <w:pPr>
              <w:spacing w:after="0" w:line="240" w:lineRule="auto"/>
              <w:jc w:val="center"/>
              <w:rPr>
                <w:rFonts w:ascii="Calibri" w:eastAsia="Times New Roman" w:hAnsi="Calibri"/>
                <w:b/>
                <w:bCs/>
                <w:color w:val="FFFFFF"/>
                <w:lang w:eastAsia="tr-TR"/>
              </w:rPr>
            </w:pPr>
            <w:r>
              <w:rPr>
                <w:rFonts w:ascii="Calibri" w:eastAsia="Times New Roman" w:hAnsi="Calibri"/>
                <w:b/>
                <w:bCs/>
                <w:color w:val="FFFFFF"/>
                <w:lang w:eastAsia="tr-TR"/>
              </w:rPr>
              <w:t>2022</w:t>
            </w:r>
            <w:r w:rsidRPr="00474AD0">
              <w:rPr>
                <w:rFonts w:ascii="Calibri" w:eastAsia="Times New Roman" w:hAnsi="Calibri"/>
                <w:b/>
                <w:bCs/>
                <w:color w:val="FFFFFF"/>
                <w:lang w:eastAsia="tr-TR"/>
              </w:rPr>
              <w:t xml:space="preserve"> </w:t>
            </w:r>
            <w:r w:rsidR="00474AD0" w:rsidRPr="00474AD0">
              <w:rPr>
                <w:rFonts w:ascii="Calibri" w:eastAsia="Times New Roman" w:hAnsi="Calibri"/>
                <w:b/>
                <w:bCs/>
                <w:color w:val="FFFFFF"/>
                <w:lang w:eastAsia="tr-TR"/>
              </w:rPr>
              <w:t>Yılı</w:t>
            </w:r>
          </w:p>
        </w:tc>
        <w:tc>
          <w:tcPr>
            <w:tcW w:w="1131" w:type="pct"/>
            <w:shd w:val="clear" w:color="000000" w:fill="6E9ECA"/>
            <w:vAlign w:val="center"/>
            <w:hideMark/>
          </w:tcPr>
          <w:p w:rsidR="00474AD0" w:rsidRPr="00474AD0" w:rsidRDefault="002B6174" w:rsidP="002B6174">
            <w:pPr>
              <w:spacing w:after="0" w:line="240" w:lineRule="auto"/>
              <w:jc w:val="center"/>
              <w:rPr>
                <w:rFonts w:ascii="Calibri" w:eastAsia="Times New Roman" w:hAnsi="Calibri"/>
                <w:b/>
                <w:bCs/>
                <w:color w:val="FFFFFF"/>
                <w:lang w:eastAsia="tr-TR"/>
              </w:rPr>
            </w:pPr>
            <w:r>
              <w:rPr>
                <w:rFonts w:ascii="Calibri" w:eastAsia="Times New Roman" w:hAnsi="Calibri"/>
                <w:b/>
                <w:bCs/>
                <w:color w:val="FFFFFF"/>
                <w:lang w:eastAsia="tr-TR"/>
              </w:rPr>
              <w:t>2021</w:t>
            </w:r>
            <w:r w:rsidR="00474AD0" w:rsidRPr="00474AD0">
              <w:rPr>
                <w:rFonts w:ascii="Calibri" w:eastAsia="Times New Roman" w:hAnsi="Calibri"/>
                <w:b/>
                <w:bCs/>
                <w:color w:val="FFFFFF"/>
                <w:lang w:eastAsia="tr-TR"/>
              </w:rPr>
              <w:t>→</w:t>
            </w:r>
            <w:r>
              <w:rPr>
                <w:rFonts w:ascii="Calibri" w:eastAsia="Times New Roman" w:hAnsi="Calibri"/>
                <w:b/>
                <w:bCs/>
                <w:color w:val="FFFFFF"/>
                <w:lang w:eastAsia="tr-TR"/>
              </w:rPr>
              <w:t>2022</w:t>
            </w:r>
          </w:p>
        </w:tc>
      </w:tr>
      <w:tr w:rsidR="002B6174" w:rsidRPr="006C4C6E" w:rsidTr="000C2D59">
        <w:trPr>
          <w:trHeight w:val="330"/>
          <w:jc w:val="center"/>
        </w:trPr>
        <w:tc>
          <w:tcPr>
            <w:tcW w:w="1692" w:type="pct"/>
            <w:shd w:val="clear" w:color="auto" w:fill="auto"/>
            <w:vAlign w:val="center"/>
            <w:hideMark/>
          </w:tcPr>
          <w:p w:rsidR="002B6174" w:rsidRPr="006C4C6E" w:rsidRDefault="002B6174" w:rsidP="002B6174">
            <w:pPr>
              <w:spacing w:after="0" w:line="240" w:lineRule="auto"/>
              <w:jc w:val="left"/>
              <w:rPr>
                <w:rFonts w:ascii="Calibri" w:eastAsia="Times New Roman" w:hAnsi="Calibri"/>
                <w:b/>
                <w:bCs/>
                <w:color w:val="000000"/>
                <w:lang w:eastAsia="tr-TR"/>
              </w:rPr>
            </w:pPr>
            <w:r w:rsidRPr="006C4C6E">
              <w:rPr>
                <w:rFonts w:ascii="Calibri" w:eastAsia="Times New Roman" w:hAnsi="Calibri"/>
                <w:b/>
                <w:bCs/>
                <w:color w:val="000000"/>
                <w:lang w:eastAsia="tr-TR"/>
              </w:rPr>
              <w:t xml:space="preserve">Jandarma Genel Komutanlığı </w:t>
            </w:r>
          </w:p>
        </w:tc>
        <w:tc>
          <w:tcPr>
            <w:tcW w:w="1031" w:type="pct"/>
            <w:shd w:val="clear" w:color="auto" w:fill="auto"/>
            <w:vAlign w:val="center"/>
            <w:hideMark/>
          </w:tcPr>
          <w:p w:rsidR="002B6174" w:rsidRPr="00474AD0" w:rsidRDefault="002B6174" w:rsidP="002B6174">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8.000.000</w:t>
            </w:r>
          </w:p>
        </w:tc>
        <w:tc>
          <w:tcPr>
            <w:tcW w:w="1146" w:type="pct"/>
            <w:shd w:val="clear" w:color="auto" w:fill="auto"/>
            <w:vAlign w:val="center"/>
          </w:tcPr>
          <w:p w:rsidR="002B6174" w:rsidRPr="00474AD0" w:rsidRDefault="002B6174" w:rsidP="002B6174">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12.000.000</w:t>
            </w:r>
          </w:p>
        </w:tc>
        <w:tc>
          <w:tcPr>
            <w:tcW w:w="1131" w:type="pct"/>
            <w:shd w:val="clear" w:color="auto" w:fill="auto"/>
            <w:vAlign w:val="center"/>
          </w:tcPr>
          <w:p w:rsidR="002B6174" w:rsidRPr="00474AD0" w:rsidRDefault="002B6174" w:rsidP="002B6174">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50,00</w:t>
            </w:r>
          </w:p>
        </w:tc>
      </w:tr>
      <w:tr w:rsidR="002B6174" w:rsidRPr="006C4C6E" w:rsidTr="000C2D59">
        <w:trPr>
          <w:trHeight w:val="330"/>
          <w:jc w:val="center"/>
        </w:trPr>
        <w:tc>
          <w:tcPr>
            <w:tcW w:w="1692" w:type="pct"/>
            <w:shd w:val="clear" w:color="auto" w:fill="auto"/>
            <w:vAlign w:val="center"/>
            <w:hideMark/>
          </w:tcPr>
          <w:p w:rsidR="002B6174" w:rsidRPr="006C4C6E" w:rsidRDefault="002B6174" w:rsidP="002B6174">
            <w:pPr>
              <w:spacing w:after="0" w:line="240" w:lineRule="auto"/>
              <w:jc w:val="left"/>
              <w:rPr>
                <w:rFonts w:ascii="Calibri" w:eastAsia="Times New Roman" w:hAnsi="Calibri"/>
                <w:b/>
                <w:bCs/>
                <w:color w:val="000000"/>
                <w:lang w:eastAsia="tr-TR"/>
              </w:rPr>
            </w:pPr>
            <w:r w:rsidRPr="006C4C6E">
              <w:rPr>
                <w:rFonts w:ascii="Calibri" w:eastAsia="Times New Roman" w:hAnsi="Calibri"/>
                <w:b/>
                <w:bCs/>
                <w:color w:val="000000"/>
                <w:lang w:eastAsia="tr-TR"/>
              </w:rPr>
              <w:t xml:space="preserve">Emniyet Genel Müdürlüğü </w:t>
            </w:r>
          </w:p>
        </w:tc>
        <w:tc>
          <w:tcPr>
            <w:tcW w:w="1031" w:type="pct"/>
            <w:shd w:val="clear" w:color="auto" w:fill="auto"/>
            <w:vAlign w:val="center"/>
            <w:hideMark/>
          </w:tcPr>
          <w:p w:rsidR="002B6174" w:rsidRPr="00474AD0" w:rsidRDefault="002B6174" w:rsidP="002B6174">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10.000.000</w:t>
            </w:r>
          </w:p>
        </w:tc>
        <w:tc>
          <w:tcPr>
            <w:tcW w:w="1146" w:type="pct"/>
            <w:shd w:val="clear" w:color="auto" w:fill="auto"/>
            <w:vAlign w:val="center"/>
          </w:tcPr>
          <w:p w:rsidR="002B6174" w:rsidRPr="00474AD0" w:rsidRDefault="002B6174" w:rsidP="002B6174">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18.000.000</w:t>
            </w:r>
          </w:p>
        </w:tc>
        <w:tc>
          <w:tcPr>
            <w:tcW w:w="1131" w:type="pct"/>
            <w:shd w:val="clear" w:color="auto" w:fill="auto"/>
            <w:vAlign w:val="center"/>
          </w:tcPr>
          <w:p w:rsidR="002B6174" w:rsidRPr="00474AD0" w:rsidRDefault="002B6174" w:rsidP="002B6174">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80,00</w:t>
            </w:r>
          </w:p>
        </w:tc>
      </w:tr>
      <w:tr w:rsidR="002B6174" w:rsidRPr="006C4C6E" w:rsidTr="000C2D59">
        <w:trPr>
          <w:trHeight w:val="330"/>
          <w:jc w:val="center"/>
        </w:trPr>
        <w:tc>
          <w:tcPr>
            <w:tcW w:w="1692" w:type="pct"/>
            <w:shd w:val="clear" w:color="auto" w:fill="auto"/>
            <w:vAlign w:val="center"/>
            <w:hideMark/>
          </w:tcPr>
          <w:p w:rsidR="002B6174" w:rsidRPr="006C4C6E" w:rsidRDefault="002B6174" w:rsidP="002B6174">
            <w:pPr>
              <w:spacing w:after="0" w:line="240" w:lineRule="auto"/>
              <w:jc w:val="left"/>
              <w:rPr>
                <w:rFonts w:ascii="Calibri" w:eastAsia="Times New Roman" w:hAnsi="Calibri"/>
                <w:b/>
                <w:bCs/>
                <w:color w:val="000000"/>
                <w:lang w:eastAsia="tr-TR"/>
              </w:rPr>
            </w:pPr>
            <w:r w:rsidRPr="006C4C6E">
              <w:rPr>
                <w:rFonts w:ascii="Calibri" w:eastAsia="Times New Roman" w:hAnsi="Calibri"/>
                <w:b/>
                <w:bCs/>
                <w:color w:val="000000"/>
                <w:lang w:eastAsia="tr-TR"/>
              </w:rPr>
              <w:t xml:space="preserve">Sahil Güvenlik Komutanlığı  </w:t>
            </w:r>
          </w:p>
        </w:tc>
        <w:tc>
          <w:tcPr>
            <w:tcW w:w="1031" w:type="pct"/>
            <w:shd w:val="clear" w:color="auto" w:fill="auto"/>
            <w:vAlign w:val="center"/>
            <w:hideMark/>
          </w:tcPr>
          <w:p w:rsidR="002B6174" w:rsidRPr="00474AD0" w:rsidRDefault="002B6174" w:rsidP="002B6174">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7.500.000</w:t>
            </w:r>
          </w:p>
        </w:tc>
        <w:tc>
          <w:tcPr>
            <w:tcW w:w="1146" w:type="pct"/>
            <w:shd w:val="clear" w:color="auto" w:fill="auto"/>
            <w:vAlign w:val="center"/>
          </w:tcPr>
          <w:p w:rsidR="002B6174" w:rsidRPr="00474AD0" w:rsidRDefault="002B6174" w:rsidP="002B6174">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7.500.000</w:t>
            </w:r>
          </w:p>
        </w:tc>
        <w:tc>
          <w:tcPr>
            <w:tcW w:w="1131" w:type="pct"/>
            <w:shd w:val="clear" w:color="auto" w:fill="auto"/>
            <w:vAlign w:val="center"/>
          </w:tcPr>
          <w:p w:rsidR="002B6174" w:rsidRPr="00474AD0" w:rsidRDefault="002B6174" w:rsidP="002B6174">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0,00</w:t>
            </w:r>
          </w:p>
        </w:tc>
      </w:tr>
      <w:tr w:rsidR="002B6174" w:rsidRPr="006C4C6E" w:rsidTr="000C2D59">
        <w:trPr>
          <w:trHeight w:val="330"/>
          <w:jc w:val="center"/>
        </w:trPr>
        <w:tc>
          <w:tcPr>
            <w:tcW w:w="1692" w:type="pct"/>
            <w:shd w:val="clear" w:color="auto" w:fill="auto"/>
            <w:vAlign w:val="center"/>
            <w:hideMark/>
          </w:tcPr>
          <w:p w:rsidR="002B6174" w:rsidRPr="006C4C6E" w:rsidRDefault="002B6174" w:rsidP="002B6174">
            <w:pPr>
              <w:spacing w:after="0" w:line="240" w:lineRule="auto"/>
              <w:rPr>
                <w:rFonts w:ascii="Calibri" w:eastAsia="Times New Roman" w:hAnsi="Calibri"/>
                <w:b/>
                <w:bCs/>
                <w:color w:val="000000"/>
                <w:lang w:eastAsia="tr-TR"/>
              </w:rPr>
            </w:pPr>
            <w:r w:rsidRPr="006C4C6E">
              <w:rPr>
                <w:rFonts w:ascii="Calibri" w:eastAsia="Times New Roman" w:hAnsi="Calibri"/>
                <w:b/>
                <w:bCs/>
                <w:color w:val="000000"/>
                <w:lang w:eastAsia="tr-TR"/>
              </w:rPr>
              <w:t>Ticaret Bakanlığı</w:t>
            </w:r>
          </w:p>
        </w:tc>
        <w:tc>
          <w:tcPr>
            <w:tcW w:w="1031" w:type="pct"/>
            <w:shd w:val="clear" w:color="auto" w:fill="auto"/>
            <w:vAlign w:val="center"/>
            <w:hideMark/>
          </w:tcPr>
          <w:p w:rsidR="002B6174" w:rsidRPr="00474AD0" w:rsidRDefault="002B6174" w:rsidP="002B6174">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5.000.000</w:t>
            </w:r>
          </w:p>
        </w:tc>
        <w:tc>
          <w:tcPr>
            <w:tcW w:w="1146" w:type="pct"/>
            <w:shd w:val="clear" w:color="auto" w:fill="auto"/>
            <w:vAlign w:val="center"/>
          </w:tcPr>
          <w:p w:rsidR="002B6174" w:rsidRPr="00474AD0" w:rsidRDefault="002B6174" w:rsidP="002B6174">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8.000.000</w:t>
            </w:r>
          </w:p>
        </w:tc>
        <w:tc>
          <w:tcPr>
            <w:tcW w:w="1131" w:type="pct"/>
            <w:shd w:val="clear" w:color="auto" w:fill="auto"/>
            <w:vAlign w:val="center"/>
          </w:tcPr>
          <w:p w:rsidR="002B6174" w:rsidRPr="00474AD0" w:rsidRDefault="002B6174" w:rsidP="002B6174">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60,00</w:t>
            </w:r>
          </w:p>
        </w:tc>
      </w:tr>
      <w:tr w:rsidR="002B6174" w:rsidRPr="006C4C6E" w:rsidTr="00474AD0">
        <w:trPr>
          <w:trHeight w:val="330"/>
          <w:jc w:val="center"/>
        </w:trPr>
        <w:tc>
          <w:tcPr>
            <w:tcW w:w="1692" w:type="pct"/>
            <w:shd w:val="clear" w:color="auto" w:fill="auto"/>
            <w:vAlign w:val="center"/>
          </w:tcPr>
          <w:p w:rsidR="002B6174" w:rsidRPr="006C4C6E" w:rsidRDefault="002B6174" w:rsidP="002B6174">
            <w:pPr>
              <w:spacing w:after="0" w:line="240" w:lineRule="auto"/>
              <w:rPr>
                <w:rFonts w:ascii="Calibri" w:eastAsia="Times New Roman" w:hAnsi="Calibri"/>
                <w:b/>
                <w:bCs/>
                <w:color w:val="000000"/>
                <w:lang w:eastAsia="tr-TR"/>
              </w:rPr>
            </w:pPr>
            <w:r>
              <w:rPr>
                <w:rFonts w:ascii="Calibri" w:eastAsia="Times New Roman" w:hAnsi="Calibri"/>
                <w:b/>
                <w:bCs/>
                <w:color w:val="000000"/>
                <w:lang w:eastAsia="tr-TR"/>
              </w:rPr>
              <w:t>ODTÜ-PAL</w:t>
            </w:r>
          </w:p>
        </w:tc>
        <w:tc>
          <w:tcPr>
            <w:tcW w:w="1031" w:type="pct"/>
            <w:shd w:val="clear" w:color="auto" w:fill="auto"/>
            <w:vAlign w:val="center"/>
          </w:tcPr>
          <w:p w:rsidR="002B6174" w:rsidRPr="00474AD0" w:rsidRDefault="002B6174" w:rsidP="002B6174">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162.500</w:t>
            </w:r>
          </w:p>
        </w:tc>
        <w:tc>
          <w:tcPr>
            <w:tcW w:w="1146" w:type="pct"/>
            <w:shd w:val="clear" w:color="auto" w:fill="auto"/>
            <w:vAlign w:val="center"/>
          </w:tcPr>
          <w:p w:rsidR="002B6174" w:rsidRPr="00474AD0" w:rsidRDefault="002B6174" w:rsidP="002B6174">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500.000</w:t>
            </w:r>
          </w:p>
        </w:tc>
        <w:tc>
          <w:tcPr>
            <w:tcW w:w="1131" w:type="pct"/>
            <w:shd w:val="clear" w:color="auto" w:fill="auto"/>
            <w:vAlign w:val="center"/>
          </w:tcPr>
          <w:p w:rsidR="002B6174" w:rsidRPr="00474AD0" w:rsidRDefault="002B6174" w:rsidP="002B6174">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207,69</w:t>
            </w:r>
          </w:p>
        </w:tc>
      </w:tr>
      <w:tr w:rsidR="002B6174" w:rsidRPr="006C4C6E" w:rsidTr="000C2D59">
        <w:trPr>
          <w:trHeight w:val="330"/>
          <w:jc w:val="center"/>
        </w:trPr>
        <w:tc>
          <w:tcPr>
            <w:tcW w:w="1692" w:type="pct"/>
            <w:shd w:val="clear" w:color="auto" w:fill="auto"/>
            <w:vAlign w:val="center"/>
            <w:hideMark/>
          </w:tcPr>
          <w:p w:rsidR="002B6174" w:rsidRPr="006C4C6E" w:rsidRDefault="002B6174" w:rsidP="002B6174">
            <w:pPr>
              <w:spacing w:after="0" w:line="240" w:lineRule="auto"/>
              <w:rPr>
                <w:rFonts w:ascii="Calibri" w:eastAsia="Times New Roman" w:hAnsi="Calibri"/>
                <w:b/>
                <w:bCs/>
                <w:color w:val="000000"/>
                <w:lang w:eastAsia="tr-TR"/>
              </w:rPr>
            </w:pPr>
            <w:r w:rsidRPr="006C4C6E">
              <w:rPr>
                <w:rFonts w:ascii="Calibri" w:eastAsia="Times New Roman" w:hAnsi="Calibri"/>
                <w:b/>
                <w:bCs/>
                <w:color w:val="000000"/>
                <w:lang w:eastAsia="tr-TR"/>
              </w:rPr>
              <w:t xml:space="preserve">TÜBİTAK </w:t>
            </w:r>
          </w:p>
        </w:tc>
        <w:tc>
          <w:tcPr>
            <w:tcW w:w="1031" w:type="pct"/>
            <w:shd w:val="clear" w:color="auto" w:fill="auto"/>
            <w:vAlign w:val="center"/>
            <w:hideMark/>
          </w:tcPr>
          <w:p w:rsidR="002B6174" w:rsidRPr="00474AD0" w:rsidRDefault="002B6174" w:rsidP="002B6174">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70.000.000</w:t>
            </w:r>
          </w:p>
        </w:tc>
        <w:tc>
          <w:tcPr>
            <w:tcW w:w="1146" w:type="pct"/>
            <w:shd w:val="clear" w:color="auto" w:fill="auto"/>
            <w:vAlign w:val="center"/>
          </w:tcPr>
          <w:p w:rsidR="002B6174" w:rsidRPr="00474AD0" w:rsidRDefault="002B6174" w:rsidP="002B6174">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80.000.000</w:t>
            </w:r>
          </w:p>
        </w:tc>
        <w:tc>
          <w:tcPr>
            <w:tcW w:w="1131" w:type="pct"/>
            <w:shd w:val="clear" w:color="auto" w:fill="auto"/>
            <w:vAlign w:val="center"/>
          </w:tcPr>
          <w:p w:rsidR="002B6174" w:rsidRPr="00474AD0" w:rsidRDefault="002B6174" w:rsidP="002B6174">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14,29</w:t>
            </w:r>
          </w:p>
        </w:tc>
      </w:tr>
      <w:tr w:rsidR="002B6174" w:rsidRPr="006C4C6E" w:rsidTr="000C2D59">
        <w:trPr>
          <w:trHeight w:val="330"/>
          <w:jc w:val="center"/>
        </w:trPr>
        <w:tc>
          <w:tcPr>
            <w:tcW w:w="1692" w:type="pct"/>
            <w:shd w:val="clear" w:color="auto" w:fill="auto"/>
            <w:vAlign w:val="center"/>
            <w:hideMark/>
          </w:tcPr>
          <w:p w:rsidR="002B6174" w:rsidRPr="006C4C6E" w:rsidRDefault="002B6174" w:rsidP="002B6174">
            <w:pPr>
              <w:spacing w:after="0" w:line="240" w:lineRule="auto"/>
              <w:rPr>
                <w:rFonts w:ascii="Calibri" w:eastAsia="Times New Roman" w:hAnsi="Calibri"/>
                <w:b/>
                <w:bCs/>
                <w:color w:val="000000"/>
                <w:lang w:eastAsia="tr-TR"/>
              </w:rPr>
            </w:pPr>
            <w:r w:rsidRPr="006C4C6E">
              <w:rPr>
                <w:rFonts w:ascii="Calibri" w:eastAsia="Times New Roman" w:hAnsi="Calibri"/>
                <w:b/>
                <w:bCs/>
                <w:color w:val="000000"/>
                <w:lang w:eastAsia="tr-TR"/>
              </w:rPr>
              <w:t xml:space="preserve">TOPLAM </w:t>
            </w:r>
          </w:p>
        </w:tc>
        <w:tc>
          <w:tcPr>
            <w:tcW w:w="1031" w:type="pct"/>
            <w:shd w:val="clear" w:color="auto" w:fill="auto"/>
            <w:vAlign w:val="center"/>
            <w:hideMark/>
          </w:tcPr>
          <w:p w:rsidR="002B6174" w:rsidRPr="00474AD0" w:rsidRDefault="002B6174" w:rsidP="002B6174">
            <w:pPr>
              <w:spacing w:after="0" w:line="240" w:lineRule="auto"/>
              <w:jc w:val="right"/>
              <w:rPr>
                <w:rFonts w:ascii="Calibri" w:eastAsia="Times New Roman" w:hAnsi="Calibri"/>
                <w:b/>
                <w:color w:val="000000"/>
                <w:lang w:eastAsia="tr-TR"/>
              </w:rPr>
            </w:pPr>
            <w:r>
              <w:rPr>
                <w:rFonts w:ascii="Calibri" w:eastAsia="Times New Roman" w:hAnsi="Calibri"/>
                <w:b/>
                <w:color w:val="000000"/>
                <w:lang w:eastAsia="tr-TR"/>
              </w:rPr>
              <w:t>100.662.500</w:t>
            </w:r>
          </w:p>
        </w:tc>
        <w:tc>
          <w:tcPr>
            <w:tcW w:w="1146" w:type="pct"/>
            <w:shd w:val="clear" w:color="auto" w:fill="auto"/>
            <w:vAlign w:val="center"/>
          </w:tcPr>
          <w:p w:rsidR="002B6174" w:rsidRPr="00474AD0" w:rsidRDefault="002B6174" w:rsidP="002B6174">
            <w:pPr>
              <w:spacing w:after="0" w:line="240" w:lineRule="auto"/>
              <w:jc w:val="right"/>
              <w:rPr>
                <w:rFonts w:ascii="Calibri" w:eastAsia="Times New Roman" w:hAnsi="Calibri"/>
                <w:b/>
                <w:color w:val="000000"/>
                <w:lang w:eastAsia="tr-TR"/>
              </w:rPr>
            </w:pPr>
            <w:r>
              <w:rPr>
                <w:rFonts w:ascii="Calibri" w:eastAsia="Times New Roman" w:hAnsi="Calibri"/>
                <w:b/>
                <w:color w:val="000000"/>
                <w:lang w:eastAsia="tr-TR"/>
              </w:rPr>
              <w:t>126.000.000</w:t>
            </w:r>
          </w:p>
        </w:tc>
        <w:tc>
          <w:tcPr>
            <w:tcW w:w="1131" w:type="pct"/>
            <w:shd w:val="clear" w:color="auto" w:fill="auto"/>
            <w:vAlign w:val="center"/>
          </w:tcPr>
          <w:p w:rsidR="002B6174" w:rsidRPr="00474AD0" w:rsidRDefault="002B6174" w:rsidP="002B6174">
            <w:pPr>
              <w:spacing w:after="0" w:line="240" w:lineRule="auto"/>
              <w:jc w:val="center"/>
              <w:rPr>
                <w:rFonts w:ascii="Calibri" w:eastAsia="Times New Roman" w:hAnsi="Calibri"/>
                <w:b/>
                <w:color w:val="000000"/>
                <w:lang w:eastAsia="tr-TR"/>
              </w:rPr>
            </w:pPr>
            <w:r>
              <w:rPr>
                <w:rFonts w:ascii="Calibri" w:eastAsia="Times New Roman" w:hAnsi="Calibri"/>
                <w:b/>
                <w:color w:val="000000"/>
                <w:lang w:eastAsia="tr-TR"/>
              </w:rPr>
              <w:t>25,17</w:t>
            </w:r>
          </w:p>
        </w:tc>
      </w:tr>
    </w:tbl>
    <w:p w:rsidR="00474AD0" w:rsidRDefault="00474AD0" w:rsidP="003D0DD5">
      <w:pPr>
        <w:spacing w:after="0"/>
      </w:pPr>
    </w:p>
    <w:p w:rsidR="00E476DD" w:rsidRPr="00122C27" w:rsidRDefault="00E476DD" w:rsidP="00E476DD">
      <w:pPr>
        <w:spacing w:after="0"/>
      </w:pPr>
      <w:r>
        <w:lastRenderedPageBreak/>
        <w:t>A</w:t>
      </w:r>
      <w:r w:rsidRPr="00122C27">
        <w:t>yrıca lisans sahiplerinin 5015 sayılı Kanun ve ilgili mevzuata uygun faaliyet gösterip göstermedikleri de incelenmiştir.</w:t>
      </w:r>
    </w:p>
    <w:p w:rsidR="00E476DD" w:rsidRPr="00122C27" w:rsidRDefault="00E476DD" w:rsidP="00E476DD">
      <w:pPr>
        <w:spacing w:after="0"/>
      </w:pPr>
    </w:p>
    <w:p w:rsidR="00E476DD" w:rsidRDefault="00E476DD" w:rsidP="009D79C2">
      <w:r w:rsidRPr="00122C27">
        <w:t xml:space="preserve">Petrol piyasası denetimleri kapsamında ilgili lisans sahipleri tarafından piyasa faaliyetine konu edilen akaryakıtın yeterli şart ve seviyede </w:t>
      </w:r>
      <w:r>
        <w:t xml:space="preserve">ulusal marker </w:t>
      </w:r>
      <w:r w:rsidRPr="00122C27">
        <w:t xml:space="preserve">içerip içermediğinin tespit edilmesi amacıyla Emniyet Genel Müdürlüğü, </w:t>
      </w:r>
      <w:r w:rsidR="004F4A9F">
        <w:t>Sanayi ve Teknoloji Bakanlığı</w:t>
      </w:r>
      <w:r w:rsidR="004F4A9F">
        <w:rPr>
          <w:rStyle w:val="DipnotBavurusu"/>
        </w:rPr>
        <w:footnoteReference w:id="2"/>
      </w:r>
      <w:r w:rsidR="004F4A9F">
        <w:t>,</w:t>
      </w:r>
      <w:r w:rsidRPr="00122C27">
        <w:t xml:space="preserve">Ticaret Bakanlığı, Jandarma Genel Komutanlığı ve Sahil Güvenlik Komutanlığı personelinin katılımıyla yapılan denetimler kapsamında </w:t>
      </w:r>
      <w:r>
        <w:t xml:space="preserve">ulusal marker </w:t>
      </w:r>
      <w:r w:rsidRPr="00122C27">
        <w:t xml:space="preserve">ölçüm sonucu geçersiz çıkan numuneler, TÜBİTAK, </w:t>
      </w:r>
      <w:r w:rsidR="00E42987" w:rsidRPr="00573D98">
        <w:t>EGE-PAL</w:t>
      </w:r>
      <w:r w:rsidR="00E42987">
        <w:t xml:space="preserve"> ve </w:t>
      </w:r>
      <w:r w:rsidR="00E42987" w:rsidRPr="00122C27">
        <w:t xml:space="preserve">ODTÜ PAM, </w:t>
      </w:r>
      <w:r w:rsidR="00E42987" w:rsidRPr="00573D98">
        <w:t>’a</w:t>
      </w:r>
      <w:r w:rsidRPr="00122C27">
        <w:t xml:space="preserve"> intikal ettirilmiştir. Söz konusu denetimler sonucunda standart dışı veya kaçak akaryakıt şüphesi ile alınan ve yapılan analizler neticesinde teknik düzenlemelere aykırı olduğu tespit edilen ve/veya </w:t>
      </w:r>
      <w:r>
        <w:t xml:space="preserve">UM </w:t>
      </w:r>
      <w:r w:rsidRPr="00122C27">
        <w:t>ölçüm sonucu geçersiz çıkan tesislere ilişkin yasal işlemler gerçekleştirilmiştir.</w:t>
      </w:r>
    </w:p>
    <w:p w:rsidR="003D0DD5" w:rsidRPr="007A7736" w:rsidRDefault="003D0DD5" w:rsidP="009D79C2">
      <w:pPr>
        <w:pStyle w:val="Balk5"/>
        <w:spacing w:after="240"/>
        <w:jc w:val="center"/>
        <w:rPr>
          <w:rStyle w:val="Gl"/>
          <w:color w:val="000000" w:themeColor="text1"/>
        </w:rPr>
      </w:pPr>
      <w:bookmarkStart w:id="360" w:name="_Toc132713932"/>
      <w:r w:rsidRPr="00122C27">
        <w:rPr>
          <w:rStyle w:val="Gl"/>
          <w:color w:val="000000" w:themeColor="text1"/>
        </w:rPr>
        <w:t>Tablo 6.</w:t>
      </w:r>
      <w:r w:rsidR="00E42987">
        <w:rPr>
          <w:rStyle w:val="Gl"/>
          <w:color w:val="000000" w:themeColor="text1"/>
        </w:rPr>
        <w:t>4</w:t>
      </w:r>
      <w:r w:rsidRPr="00122C27">
        <w:rPr>
          <w:rStyle w:val="Gl"/>
          <w:color w:val="000000" w:themeColor="text1"/>
        </w:rPr>
        <w:t xml:space="preserve">: </w:t>
      </w:r>
      <w:r w:rsidRPr="00FA1354">
        <w:rPr>
          <w:rStyle w:val="Gl"/>
          <w:color w:val="000000" w:themeColor="text1"/>
        </w:rPr>
        <w:t>20</w:t>
      </w:r>
      <w:r w:rsidR="00E42987">
        <w:rPr>
          <w:rStyle w:val="Gl"/>
          <w:color w:val="000000" w:themeColor="text1"/>
        </w:rPr>
        <w:t>20</w:t>
      </w:r>
      <w:r w:rsidR="00E476DD" w:rsidRPr="00FA1354">
        <w:rPr>
          <w:rStyle w:val="Gl"/>
          <w:color w:val="000000" w:themeColor="text1"/>
        </w:rPr>
        <w:t>-202</w:t>
      </w:r>
      <w:r w:rsidR="00E42987">
        <w:rPr>
          <w:rStyle w:val="Gl"/>
          <w:color w:val="000000" w:themeColor="text1"/>
        </w:rPr>
        <w:t>2</w:t>
      </w:r>
      <w:r w:rsidRPr="00FA1354">
        <w:rPr>
          <w:rStyle w:val="Gl"/>
          <w:color w:val="000000" w:themeColor="text1"/>
        </w:rPr>
        <w:t xml:space="preserve"> Yılları Ulusal Marker Saha Cihazı (XP) Analiz Sonuçları Karşılaştırması</w:t>
      </w:r>
      <w:bookmarkEnd w:id="360"/>
    </w:p>
    <w:tbl>
      <w:tblPr>
        <w:tblW w:w="0" w:type="auto"/>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2106"/>
        <w:gridCol w:w="757"/>
        <w:gridCol w:w="941"/>
        <w:gridCol w:w="757"/>
        <w:gridCol w:w="941"/>
        <w:gridCol w:w="1232"/>
        <w:gridCol w:w="757"/>
        <w:gridCol w:w="941"/>
        <w:gridCol w:w="1232"/>
      </w:tblGrid>
      <w:tr w:rsidR="00E42987" w:rsidRPr="003402BD" w:rsidTr="00041598">
        <w:trPr>
          <w:trHeight w:val="340"/>
          <w:tblHeader/>
          <w:jc w:val="center"/>
        </w:trPr>
        <w:tc>
          <w:tcPr>
            <w:tcW w:w="0" w:type="auto"/>
            <w:vMerge w:val="restart"/>
            <w:shd w:val="clear" w:color="000000" w:fill="6E9ECA"/>
            <w:vAlign w:val="center"/>
            <w:hideMark/>
          </w:tcPr>
          <w:p w:rsidR="003D0DD5" w:rsidRPr="00DA6562" w:rsidRDefault="003D0DD5" w:rsidP="00C079ED">
            <w:pPr>
              <w:spacing w:after="0" w:line="240" w:lineRule="auto"/>
              <w:jc w:val="center"/>
              <w:rPr>
                <w:rFonts w:ascii="Calibri" w:eastAsia="Times New Roman" w:hAnsi="Calibri"/>
                <w:b/>
                <w:bCs/>
                <w:color w:val="FFFFFF"/>
                <w:szCs w:val="20"/>
                <w:lang w:eastAsia="tr-TR"/>
              </w:rPr>
            </w:pPr>
            <w:r w:rsidRPr="00DA6562">
              <w:rPr>
                <w:rFonts w:ascii="Calibri" w:eastAsia="Times New Roman" w:hAnsi="Calibri"/>
                <w:b/>
                <w:bCs/>
                <w:color w:val="FFFFFF"/>
                <w:szCs w:val="20"/>
                <w:lang w:eastAsia="tr-TR"/>
              </w:rPr>
              <w:t>Ölçüm Sayıları</w:t>
            </w:r>
          </w:p>
        </w:tc>
        <w:tc>
          <w:tcPr>
            <w:tcW w:w="0" w:type="auto"/>
            <w:gridSpan w:val="2"/>
            <w:shd w:val="clear" w:color="000000" w:fill="6E9ECA"/>
            <w:noWrap/>
            <w:vAlign w:val="center"/>
            <w:hideMark/>
          </w:tcPr>
          <w:p w:rsidR="003D0DD5" w:rsidRPr="00DA6562" w:rsidRDefault="00E42987" w:rsidP="00C079ED">
            <w:pPr>
              <w:spacing w:after="0" w:line="240" w:lineRule="auto"/>
              <w:jc w:val="center"/>
              <w:rPr>
                <w:rFonts w:ascii="Calibri" w:eastAsia="Times New Roman" w:hAnsi="Calibri"/>
                <w:b/>
                <w:bCs/>
                <w:color w:val="FFFFFF"/>
                <w:szCs w:val="20"/>
                <w:lang w:eastAsia="tr-TR"/>
              </w:rPr>
            </w:pPr>
            <w:r w:rsidRPr="00DA6562">
              <w:rPr>
                <w:rFonts w:ascii="Calibri" w:eastAsia="Times New Roman" w:hAnsi="Calibri"/>
                <w:b/>
                <w:bCs/>
                <w:color w:val="FFFFFF"/>
                <w:szCs w:val="20"/>
                <w:lang w:eastAsia="tr-TR"/>
              </w:rPr>
              <w:t>20</w:t>
            </w:r>
            <w:r>
              <w:rPr>
                <w:rFonts w:ascii="Calibri" w:eastAsia="Times New Roman" w:hAnsi="Calibri"/>
                <w:b/>
                <w:bCs/>
                <w:color w:val="FFFFFF"/>
                <w:szCs w:val="20"/>
                <w:lang w:eastAsia="tr-TR"/>
              </w:rPr>
              <w:t>20</w:t>
            </w:r>
            <w:r w:rsidRPr="00DA6562">
              <w:rPr>
                <w:rFonts w:ascii="Calibri" w:eastAsia="Times New Roman" w:hAnsi="Calibri"/>
                <w:b/>
                <w:bCs/>
                <w:color w:val="FFFFFF"/>
                <w:szCs w:val="20"/>
                <w:lang w:eastAsia="tr-TR"/>
              </w:rPr>
              <w:t xml:space="preserve"> </w:t>
            </w:r>
            <w:r w:rsidR="003D0DD5" w:rsidRPr="00DA6562">
              <w:rPr>
                <w:rFonts w:ascii="Calibri" w:eastAsia="Times New Roman" w:hAnsi="Calibri"/>
                <w:b/>
                <w:bCs/>
                <w:color w:val="FFFFFF"/>
                <w:szCs w:val="20"/>
                <w:lang w:eastAsia="tr-TR"/>
              </w:rPr>
              <w:t>Yılı</w:t>
            </w:r>
          </w:p>
        </w:tc>
        <w:tc>
          <w:tcPr>
            <w:tcW w:w="0" w:type="auto"/>
            <w:gridSpan w:val="2"/>
            <w:shd w:val="clear" w:color="000000" w:fill="6E9ECA"/>
            <w:noWrap/>
            <w:vAlign w:val="center"/>
            <w:hideMark/>
          </w:tcPr>
          <w:p w:rsidR="003D0DD5" w:rsidRPr="00DA6562" w:rsidRDefault="00E42987" w:rsidP="00C079ED">
            <w:pPr>
              <w:spacing w:after="0" w:line="240" w:lineRule="auto"/>
              <w:jc w:val="center"/>
              <w:rPr>
                <w:rFonts w:ascii="Calibri" w:eastAsia="Times New Roman" w:hAnsi="Calibri"/>
                <w:b/>
                <w:bCs/>
                <w:color w:val="FFFFFF"/>
                <w:szCs w:val="20"/>
                <w:lang w:eastAsia="tr-TR"/>
              </w:rPr>
            </w:pPr>
            <w:r w:rsidRPr="00DA6562">
              <w:rPr>
                <w:rFonts w:ascii="Calibri" w:eastAsia="Times New Roman" w:hAnsi="Calibri"/>
                <w:b/>
                <w:bCs/>
                <w:color w:val="FFFFFF"/>
                <w:szCs w:val="20"/>
                <w:lang w:eastAsia="tr-TR"/>
              </w:rPr>
              <w:t>202</w:t>
            </w:r>
            <w:r>
              <w:rPr>
                <w:rFonts w:ascii="Calibri" w:eastAsia="Times New Roman" w:hAnsi="Calibri"/>
                <w:b/>
                <w:bCs/>
                <w:color w:val="FFFFFF"/>
                <w:szCs w:val="20"/>
                <w:lang w:eastAsia="tr-TR"/>
              </w:rPr>
              <w:t>1</w:t>
            </w:r>
            <w:r w:rsidRPr="00DA6562">
              <w:rPr>
                <w:rFonts w:ascii="Calibri" w:eastAsia="Times New Roman" w:hAnsi="Calibri"/>
                <w:b/>
                <w:bCs/>
                <w:color w:val="FFFFFF"/>
                <w:szCs w:val="20"/>
                <w:lang w:eastAsia="tr-TR"/>
              </w:rPr>
              <w:t xml:space="preserve"> </w:t>
            </w:r>
            <w:r w:rsidR="003D0DD5" w:rsidRPr="00DA6562">
              <w:rPr>
                <w:rFonts w:ascii="Calibri" w:eastAsia="Times New Roman" w:hAnsi="Calibri"/>
                <w:b/>
                <w:bCs/>
                <w:color w:val="FFFFFF"/>
                <w:szCs w:val="20"/>
                <w:lang w:eastAsia="tr-TR"/>
              </w:rPr>
              <w:t>Yılı</w:t>
            </w:r>
          </w:p>
        </w:tc>
        <w:tc>
          <w:tcPr>
            <w:tcW w:w="0" w:type="auto"/>
            <w:shd w:val="clear" w:color="000000" w:fill="6E9ECA"/>
            <w:vAlign w:val="center"/>
            <w:hideMark/>
          </w:tcPr>
          <w:p w:rsidR="003D0DD5" w:rsidRPr="00DA6562" w:rsidRDefault="003D0DD5" w:rsidP="00C079ED">
            <w:pPr>
              <w:spacing w:after="0" w:line="240" w:lineRule="auto"/>
              <w:jc w:val="center"/>
              <w:rPr>
                <w:rFonts w:ascii="Calibri" w:eastAsia="Times New Roman" w:hAnsi="Calibri"/>
                <w:b/>
                <w:bCs/>
                <w:color w:val="FFFFFF"/>
                <w:szCs w:val="20"/>
                <w:lang w:eastAsia="tr-TR"/>
              </w:rPr>
            </w:pPr>
            <w:r w:rsidRPr="00DA6562">
              <w:rPr>
                <w:rFonts w:ascii="Calibri" w:eastAsia="Times New Roman" w:hAnsi="Calibri"/>
                <w:b/>
                <w:bCs/>
                <w:color w:val="FFFFFF"/>
                <w:szCs w:val="20"/>
                <w:lang w:eastAsia="tr-TR"/>
              </w:rPr>
              <w:t>Değişim (%)</w:t>
            </w:r>
          </w:p>
        </w:tc>
        <w:tc>
          <w:tcPr>
            <w:tcW w:w="0" w:type="auto"/>
            <w:gridSpan w:val="2"/>
            <w:shd w:val="clear" w:color="000000" w:fill="6E9ECA"/>
            <w:vAlign w:val="center"/>
            <w:hideMark/>
          </w:tcPr>
          <w:p w:rsidR="003D0DD5" w:rsidRPr="00DA6562" w:rsidRDefault="00E42987" w:rsidP="00C079ED">
            <w:pPr>
              <w:spacing w:after="0" w:line="240" w:lineRule="auto"/>
              <w:jc w:val="center"/>
              <w:rPr>
                <w:rFonts w:ascii="Calibri" w:eastAsia="Times New Roman" w:hAnsi="Calibri"/>
                <w:b/>
                <w:bCs/>
                <w:color w:val="FFFFFF"/>
                <w:szCs w:val="20"/>
                <w:lang w:eastAsia="tr-TR"/>
              </w:rPr>
            </w:pPr>
            <w:r w:rsidRPr="00DA6562">
              <w:rPr>
                <w:rFonts w:ascii="Calibri" w:eastAsia="Times New Roman" w:hAnsi="Calibri"/>
                <w:b/>
                <w:bCs/>
                <w:color w:val="FFFFFF"/>
                <w:szCs w:val="20"/>
                <w:lang w:eastAsia="tr-TR"/>
              </w:rPr>
              <w:t>202</w:t>
            </w:r>
            <w:r>
              <w:rPr>
                <w:rFonts w:ascii="Calibri" w:eastAsia="Times New Roman" w:hAnsi="Calibri"/>
                <w:b/>
                <w:bCs/>
                <w:color w:val="FFFFFF"/>
                <w:szCs w:val="20"/>
                <w:lang w:eastAsia="tr-TR"/>
              </w:rPr>
              <w:t>2</w:t>
            </w:r>
            <w:r w:rsidRPr="00DA6562">
              <w:rPr>
                <w:rFonts w:ascii="Calibri" w:eastAsia="Times New Roman" w:hAnsi="Calibri"/>
                <w:b/>
                <w:bCs/>
                <w:color w:val="FFFFFF"/>
                <w:szCs w:val="20"/>
                <w:lang w:eastAsia="tr-TR"/>
              </w:rPr>
              <w:t xml:space="preserve"> </w:t>
            </w:r>
            <w:r w:rsidR="003D0DD5" w:rsidRPr="00DA6562">
              <w:rPr>
                <w:rFonts w:ascii="Calibri" w:eastAsia="Times New Roman" w:hAnsi="Calibri"/>
                <w:b/>
                <w:bCs/>
                <w:color w:val="FFFFFF"/>
                <w:szCs w:val="20"/>
                <w:lang w:eastAsia="tr-TR"/>
              </w:rPr>
              <w:t>Yılı</w:t>
            </w:r>
          </w:p>
        </w:tc>
        <w:tc>
          <w:tcPr>
            <w:tcW w:w="0" w:type="auto"/>
            <w:shd w:val="clear" w:color="000000" w:fill="6E9ECA"/>
            <w:vAlign w:val="center"/>
            <w:hideMark/>
          </w:tcPr>
          <w:p w:rsidR="003D0DD5" w:rsidRPr="00DA6562" w:rsidRDefault="003D0DD5" w:rsidP="00C079ED">
            <w:pPr>
              <w:spacing w:after="0" w:line="240" w:lineRule="auto"/>
              <w:jc w:val="center"/>
              <w:rPr>
                <w:rFonts w:ascii="Calibri" w:eastAsia="Times New Roman" w:hAnsi="Calibri"/>
                <w:b/>
                <w:bCs/>
                <w:color w:val="FFFFFF"/>
                <w:szCs w:val="20"/>
                <w:lang w:eastAsia="tr-TR"/>
              </w:rPr>
            </w:pPr>
            <w:r w:rsidRPr="00DA6562">
              <w:rPr>
                <w:rFonts w:ascii="Calibri" w:eastAsia="Times New Roman" w:hAnsi="Calibri"/>
                <w:b/>
                <w:bCs/>
                <w:color w:val="FFFFFF"/>
                <w:szCs w:val="20"/>
                <w:lang w:eastAsia="tr-TR"/>
              </w:rPr>
              <w:t>Değişim (%)</w:t>
            </w:r>
          </w:p>
        </w:tc>
      </w:tr>
      <w:tr w:rsidR="00E42987" w:rsidRPr="003402BD" w:rsidTr="00041598">
        <w:trPr>
          <w:trHeight w:val="340"/>
          <w:tblHeader/>
          <w:jc w:val="center"/>
        </w:trPr>
        <w:tc>
          <w:tcPr>
            <w:tcW w:w="0" w:type="auto"/>
            <w:vMerge/>
            <w:vAlign w:val="center"/>
            <w:hideMark/>
          </w:tcPr>
          <w:p w:rsidR="003D0DD5" w:rsidRPr="00DA6562" w:rsidRDefault="003D0DD5" w:rsidP="00C079ED">
            <w:pPr>
              <w:spacing w:after="0" w:line="240" w:lineRule="auto"/>
              <w:rPr>
                <w:rFonts w:ascii="Calibri" w:eastAsia="Times New Roman" w:hAnsi="Calibri"/>
                <w:b/>
                <w:bCs/>
                <w:color w:val="FFFFFF"/>
                <w:szCs w:val="20"/>
                <w:lang w:eastAsia="tr-TR"/>
              </w:rPr>
            </w:pPr>
          </w:p>
        </w:tc>
        <w:tc>
          <w:tcPr>
            <w:tcW w:w="0" w:type="auto"/>
            <w:shd w:val="clear" w:color="000000" w:fill="6E9ECA"/>
            <w:vAlign w:val="center"/>
            <w:hideMark/>
          </w:tcPr>
          <w:p w:rsidR="003D0DD5" w:rsidRPr="00DA6562" w:rsidRDefault="003D0DD5" w:rsidP="00C079ED">
            <w:pPr>
              <w:spacing w:after="0" w:line="240" w:lineRule="auto"/>
              <w:jc w:val="center"/>
              <w:rPr>
                <w:rFonts w:ascii="Calibri" w:eastAsia="Times New Roman" w:hAnsi="Calibri"/>
                <w:b/>
                <w:bCs/>
                <w:color w:val="FFFFFF"/>
                <w:szCs w:val="20"/>
                <w:lang w:eastAsia="tr-TR"/>
              </w:rPr>
            </w:pPr>
            <w:r w:rsidRPr="00DA6562">
              <w:rPr>
                <w:rFonts w:ascii="Calibri" w:eastAsia="Times New Roman" w:hAnsi="Calibri"/>
                <w:b/>
                <w:bCs/>
                <w:color w:val="FFFFFF"/>
                <w:szCs w:val="20"/>
                <w:lang w:eastAsia="tr-TR"/>
              </w:rPr>
              <w:t>Adet</w:t>
            </w:r>
          </w:p>
        </w:tc>
        <w:tc>
          <w:tcPr>
            <w:tcW w:w="0" w:type="auto"/>
            <w:shd w:val="clear" w:color="000000" w:fill="6E9ECA"/>
            <w:vAlign w:val="center"/>
            <w:hideMark/>
          </w:tcPr>
          <w:p w:rsidR="003D0DD5" w:rsidRPr="00DA6562" w:rsidRDefault="003D0DD5" w:rsidP="00C079ED">
            <w:pPr>
              <w:spacing w:after="0" w:line="240" w:lineRule="auto"/>
              <w:jc w:val="center"/>
              <w:rPr>
                <w:rFonts w:ascii="Calibri" w:eastAsia="Times New Roman" w:hAnsi="Calibri"/>
                <w:b/>
                <w:bCs/>
                <w:color w:val="FFFFFF"/>
                <w:szCs w:val="20"/>
                <w:lang w:eastAsia="tr-TR"/>
              </w:rPr>
            </w:pPr>
            <w:r w:rsidRPr="00DA6562">
              <w:rPr>
                <w:rFonts w:ascii="Calibri" w:eastAsia="Times New Roman" w:hAnsi="Calibri"/>
                <w:b/>
                <w:bCs/>
                <w:color w:val="FFFFFF"/>
                <w:szCs w:val="20"/>
                <w:lang w:eastAsia="tr-TR"/>
              </w:rPr>
              <w:t>Oran (%)</w:t>
            </w:r>
          </w:p>
        </w:tc>
        <w:tc>
          <w:tcPr>
            <w:tcW w:w="0" w:type="auto"/>
            <w:shd w:val="clear" w:color="000000" w:fill="6E9ECA"/>
            <w:vAlign w:val="center"/>
            <w:hideMark/>
          </w:tcPr>
          <w:p w:rsidR="003D0DD5" w:rsidRPr="00DA6562" w:rsidRDefault="003D0DD5" w:rsidP="00C079ED">
            <w:pPr>
              <w:spacing w:after="0" w:line="240" w:lineRule="auto"/>
              <w:jc w:val="center"/>
              <w:rPr>
                <w:rFonts w:ascii="Calibri" w:eastAsia="Times New Roman" w:hAnsi="Calibri"/>
                <w:b/>
                <w:bCs/>
                <w:color w:val="FFFFFF"/>
                <w:szCs w:val="20"/>
                <w:lang w:eastAsia="tr-TR"/>
              </w:rPr>
            </w:pPr>
            <w:r w:rsidRPr="00DA6562">
              <w:rPr>
                <w:rFonts w:ascii="Calibri" w:eastAsia="Times New Roman" w:hAnsi="Calibri"/>
                <w:b/>
                <w:bCs/>
                <w:color w:val="FFFFFF"/>
                <w:szCs w:val="20"/>
                <w:lang w:eastAsia="tr-TR"/>
              </w:rPr>
              <w:t>Adet</w:t>
            </w:r>
          </w:p>
        </w:tc>
        <w:tc>
          <w:tcPr>
            <w:tcW w:w="0" w:type="auto"/>
            <w:shd w:val="clear" w:color="000000" w:fill="6E9ECA"/>
            <w:vAlign w:val="center"/>
            <w:hideMark/>
          </w:tcPr>
          <w:p w:rsidR="003D0DD5" w:rsidRPr="00DA6562" w:rsidRDefault="003D0DD5" w:rsidP="00C079ED">
            <w:pPr>
              <w:spacing w:after="0" w:line="240" w:lineRule="auto"/>
              <w:jc w:val="center"/>
              <w:rPr>
                <w:rFonts w:ascii="Calibri" w:eastAsia="Times New Roman" w:hAnsi="Calibri"/>
                <w:b/>
                <w:bCs/>
                <w:color w:val="FFFFFF"/>
                <w:szCs w:val="20"/>
                <w:lang w:eastAsia="tr-TR"/>
              </w:rPr>
            </w:pPr>
            <w:r w:rsidRPr="00DA6562">
              <w:rPr>
                <w:rFonts w:ascii="Calibri" w:eastAsia="Times New Roman" w:hAnsi="Calibri"/>
                <w:b/>
                <w:bCs/>
                <w:color w:val="FFFFFF"/>
                <w:szCs w:val="20"/>
                <w:lang w:eastAsia="tr-TR"/>
              </w:rPr>
              <w:t>Oran (%)</w:t>
            </w:r>
          </w:p>
        </w:tc>
        <w:tc>
          <w:tcPr>
            <w:tcW w:w="0" w:type="auto"/>
            <w:shd w:val="clear" w:color="000000" w:fill="6E9ECA"/>
            <w:vAlign w:val="center"/>
            <w:hideMark/>
          </w:tcPr>
          <w:p w:rsidR="003D0DD5" w:rsidRPr="00DA6562" w:rsidRDefault="00E42987" w:rsidP="00C079ED">
            <w:pPr>
              <w:spacing w:after="0" w:line="240" w:lineRule="auto"/>
              <w:jc w:val="center"/>
              <w:rPr>
                <w:rFonts w:ascii="Calibri" w:eastAsia="Times New Roman" w:hAnsi="Calibri"/>
                <w:b/>
                <w:bCs/>
                <w:color w:val="FFFFFF"/>
                <w:szCs w:val="20"/>
                <w:lang w:eastAsia="tr-TR"/>
              </w:rPr>
            </w:pPr>
            <w:r w:rsidRPr="00DA6562">
              <w:rPr>
                <w:rFonts w:ascii="Calibri" w:eastAsia="Times New Roman" w:hAnsi="Calibri"/>
                <w:b/>
                <w:bCs/>
                <w:color w:val="FFFFFF"/>
                <w:szCs w:val="20"/>
                <w:lang w:eastAsia="tr-TR"/>
              </w:rPr>
              <w:t>20</w:t>
            </w:r>
            <w:r>
              <w:rPr>
                <w:rFonts w:ascii="Calibri" w:eastAsia="Times New Roman" w:hAnsi="Calibri"/>
                <w:b/>
                <w:bCs/>
                <w:color w:val="FFFFFF"/>
                <w:szCs w:val="20"/>
                <w:lang w:eastAsia="tr-TR"/>
              </w:rPr>
              <w:t>20</w:t>
            </w:r>
            <w:r w:rsidR="00F1350A" w:rsidRPr="00DA6562">
              <w:rPr>
                <w:rFonts w:ascii="Calibri" w:eastAsia="Times New Roman" w:hAnsi="Calibri"/>
                <w:b/>
                <w:bCs/>
                <w:color w:val="FFFFFF"/>
                <w:szCs w:val="20"/>
                <w:lang w:eastAsia="tr-TR"/>
              </w:rPr>
              <w:t>→</w:t>
            </w:r>
            <w:r w:rsidRPr="00DA6562">
              <w:rPr>
                <w:rFonts w:ascii="Calibri" w:eastAsia="Times New Roman" w:hAnsi="Calibri"/>
                <w:b/>
                <w:bCs/>
                <w:color w:val="FFFFFF"/>
                <w:szCs w:val="20"/>
                <w:lang w:eastAsia="tr-TR"/>
              </w:rPr>
              <w:t>202</w:t>
            </w:r>
            <w:r>
              <w:rPr>
                <w:rFonts w:ascii="Calibri" w:eastAsia="Times New Roman" w:hAnsi="Calibri"/>
                <w:b/>
                <w:bCs/>
                <w:color w:val="FFFFFF"/>
                <w:szCs w:val="20"/>
                <w:lang w:eastAsia="tr-TR"/>
              </w:rPr>
              <w:t>1</w:t>
            </w:r>
          </w:p>
        </w:tc>
        <w:tc>
          <w:tcPr>
            <w:tcW w:w="0" w:type="auto"/>
            <w:shd w:val="clear" w:color="000000" w:fill="6E9ECA"/>
            <w:vAlign w:val="center"/>
            <w:hideMark/>
          </w:tcPr>
          <w:p w:rsidR="003D0DD5" w:rsidRPr="00DA6562" w:rsidRDefault="003D0DD5" w:rsidP="00C079ED">
            <w:pPr>
              <w:spacing w:after="0" w:line="240" w:lineRule="auto"/>
              <w:jc w:val="center"/>
              <w:rPr>
                <w:rFonts w:ascii="Calibri" w:eastAsia="Times New Roman" w:hAnsi="Calibri"/>
                <w:b/>
                <w:bCs/>
                <w:color w:val="FFFFFF"/>
                <w:szCs w:val="20"/>
                <w:lang w:eastAsia="tr-TR"/>
              </w:rPr>
            </w:pPr>
            <w:r w:rsidRPr="00DA6562">
              <w:rPr>
                <w:rFonts w:ascii="Calibri" w:eastAsia="Times New Roman" w:hAnsi="Calibri"/>
                <w:b/>
                <w:bCs/>
                <w:color w:val="FFFFFF"/>
                <w:szCs w:val="20"/>
                <w:lang w:eastAsia="tr-TR"/>
              </w:rPr>
              <w:t>Adet</w:t>
            </w:r>
          </w:p>
        </w:tc>
        <w:tc>
          <w:tcPr>
            <w:tcW w:w="0" w:type="auto"/>
            <w:shd w:val="clear" w:color="000000" w:fill="6E9ECA"/>
            <w:vAlign w:val="center"/>
            <w:hideMark/>
          </w:tcPr>
          <w:p w:rsidR="003D0DD5" w:rsidRPr="00DA6562" w:rsidRDefault="003D0DD5" w:rsidP="00C079ED">
            <w:pPr>
              <w:spacing w:after="0" w:line="240" w:lineRule="auto"/>
              <w:jc w:val="center"/>
              <w:rPr>
                <w:rFonts w:ascii="Calibri" w:eastAsia="Times New Roman" w:hAnsi="Calibri"/>
                <w:b/>
                <w:bCs/>
                <w:color w:val="FFFFFF"/>
                <w:szCs w:val="20"/>
                <w:lang w:eastAsia="tr-TR"/>
              </w:rPr>
            </w:pPr>
            <w:r w:rsidRPr="00DA6562">
              <w:rPr>
                <w:rFonts w:ascii="Calibri" w:eastAsia="Times New Roman" w:hAnsi="Calibri"/>
                <w:b/>
                <w:bCs/>
                <w:color w:val="FFFFFF"/>
                <w:szCs w:val="20"/>
                <w:lang w:eastAsia="tr-TR"/>
              </w:rPr>
              <w:t>Oran (%)</w:t>
            </w:r>
          </w:p>
        </w:tc>
        <w:tc>
          <w:tcPr>
            <w:tcW w:w="0" w:type="auto"/>
            <w:shd w:val="clear" w:color="000000" w:fill="6E9ECA"/>
            <w:vAlign w:val="center"/>
            <w:hideMark/>
          </w:tcPr>
          <w:p w:rsidR="003D0DD5" w:rsidRPr="00DA6562" w:rsidRDefault="00E42987" w:rsidP="00C079ED">
            <w:pPr>
              <w:spacing w:after="0" w:line="240" w:lineRule="auto"/>
              <w:jc w:val="center"/>
              <w:rPr>
                <w:rFonts w:ascii="Calibri" w:eastAsia="Times New Roman" w:hAnsi="Calibri"/>
                <w:b/>
                <w:bCs/>
                <w:color w:val="FFFFFF"/>
                <w:szCs w:val="20"/>
                <w:lang w:eastAsia="tr-TR"/>
              </w:rPr>
            </w:pPr>
            <w:r w:rsidRPr="00DA6562">
              <w:rPr>
                <w:rFonts w:ascii="Calibri" w:eastAsia="Times New Roman" w:hAnsi="Calibri"/>
                <w:b/>
                <w:bCs/>
                <w:color w:val="FFFFFF"/>
                <w:szCs w:val="20"/>
                <w:lang w:eastAsia="tr-TR"/>
              </w:rPr>
              <w:t>202</w:t>
            </w:r>
            <w:r>
              <w:rPr>
                <w:rFonts w:ascii="Calibri" w:eastAsia="Times New Roman" w:hAnsi="Calibri"/>
                <w:b/>
                <w:bCs/>
                <w:color w:val="FFFFFF"/>
                <w:szCs w:val="20"/>
                <w:lang w:eastAsia="tr-TR"/>
              </w:rPr>
              <w:t>1</w:t>
            </w:r>
            <w:r w:rsidR="00F1350A" w:rsidRPr="00DA6562">
              <w:rPr>
                <w:rFonts w:ascii="Calibri" w:eastAsia="Times New Roman" w:hAnsi="Calibri"/>
                <w:b/>
                <w:bCs/>
                <w:color w:val="FFFFFF"/>
                <w:szCs w:val="20"/>
                <w:lang w:eastAsia="tr-TR"/>
              </w:rPr>
              <w:t>→</w:t>
            </w:r>
            <w:r w:rsidRPr="00DA6562">
              <w:rPr>
                <w:rFonts w:ascii="Calibri" w:eastAsia="Times New Roman" w:hAnsi="Calibri"/>
                <w:b/>
                <w:bCs/>
                <w:color w:val="FFFFFF"/>
                <w:szCs w:val="20"/>
                <w:lang w:eastAsia="tr-TR"/>
              </w:rPr>
              <w:t>202</w:t>
            </w:r>
            <w:r>
              <w:rPr>
                <w:rFonts w:ascii="Calibri" w:eastAsia="Times New Roman" w:hAnsi="Calibri"/>
                <w:b/>
                <w:bCs/>
                <w:color w:val="FFFFFF"/>
                <w:szCs w:val="20"/>
                <w:lang w:eastAsia="tr-TR"/>
              </w:rPr>
              <w:t>2</w:t>
            </w:r>
          </w:p>
        </w:tc>
      </w:tr>
      <w:tr w:rsidR="00E42987" w:rsidRPr="003402BD" w:rsidTr="00041598">
        <w:trPr>
          <w:trHeight w:val="340"/>
          <w:jc w:val="center"/>
        </w:trPr>
        <w:tc>
          <w:tcPr>
            <w:tcW w:w="0" w:type="auto"/>
            <w:shd w:val="clear" w:color="auto" w:fill="auto"/>
            <w:vAlign w:val="center"/>
            <w:hideMark/>
          </w:tcPr>
          <w:p w:rsidR="00E42987" w:rsidRPr="00DA6562" w:rsidRDefault="00E42987" w:rsidP="00E42987">
            <w:pPr>
              <w:spacing w:after="0" w:line="240" w:lineRule="auto"/>
              <w:jc w:val="left"/>
              <w:rPr>
                <w:rFonts w:ascii="Calibri" w:eastAsia="Times New Roman" w:hAnsi="Calibri"/>
                <w:b/>
                <w:bCs/>
                <w:color w:val="000000"/>
                <w:szCs w:val="20"/>
                <w:lang w:eastAsia="tr-TR"/>
              </w:rPr>
            </w:pPr>
            <w:r w:rsidRPr="00DA6562">
              <w:rPr>
                <w:rFonts w:ascii="Calibri" w:eastAsia="Times New Roman" w:hAnsi="Calibri"/>
                <w:b/>
                <w:bCs/>
                <w:color w:val="000000"/>
                <w:szCs w:val="20"/>
                <w:lang w:eastAsia="tr-TR"/>
              </w:rPr>
              <w:t>Geçerli Ölçüm Sayısı</w:t>
            </w:r>
          </w:p>
        </w:tc>
        <w:tc>
          <w:tcPr>
            <w:tcW w:w="0" w:type="auto"/>
            <w:shd w:val="clear" w:color="auto" w:fill="auto"/>
            <w:vAlign w:val="center"/>
            <w:hideMark/>
          </w:tcPr>
          <w:p w:rsidR="00E42987" w:rsidRPr="00DA6562" w:rsidRDefault="00E42987" w:rsidP="00E42987">
            <w:pPr>
              <w:spacing w:after="0" w:line="240" w:lineRule="auto"/>
              <w:jc w:val="right"/>
              <w:rPr>
                <w:rFonts w:ascii="Calibri" w:eastAsia="Times New Roman" w:hAnsi="Calibri"/>
                <w:color w:val="000000"/>
                <w:szCs w:val="20"/>
                <w:lang w:eastAsia="tr-TR"/>
              </w:rPr>
            </w:pPr>
            <w:r w:rsidRPr="00DA6562">
              <w:rPr>
                <w:rFonts w:ascii="Calibri" w:eastAsia="Times New Roman" w:hAnsi="Calibri"/>
                <w:color w:val="000000"/>
                <w:szCs w:val="20"/>
                <w:lang w:eastAsia="tr-TR"/>
              </w:rPr>
              <w:t>85.668</w:t>
            </w:r>
          </w:p>
        </w:tc>
        <w:tc>
          <w:tcPr>
            <w:tcW w:w="0" w:type="auto"/>
            <w:shd w:val="clear" w:color="auto" w:fill="auto"/>
            <w:vAlign w:val="center"/>
            <w:hideMark/>
          </w:tcPr>
          <w:p w:rsidR="00E42987" w:rsidRPr="00DA6562" w:rsidRDefault="00E42987" w:rsidP="00E42987">
            <w:pPr>
              <w:spacing w:after="0" w:line="240" w:lineRule="auto"/>
              <w:jc w:val="center"/>
              <w:rPr>
                <w:rFonts w:ascii="Calibri" w:eastAsia="Times New Roman" w:hAnsi="Calibri"/>
                <w:color w:val="000000"/>
                <w:szCs w:val="20"/>
                <w:lang w:eastAsia="tr-TR"/>
              </w:rPr>
            </w:pPr>
            <w:r w:rsidRPr="00DA6562">
              <w:rPr>
                <w:rFonts w:ascii="Calibri" w:eastAsia="Times New Roman" w:hAnsi="Calibri"/>
                <w:color w:val="000000"/>
                <w:szCs w:val="20"/>
                <w:lang w:eastAsia="tr-TR"/>
              </w:rPr>
              <w:t>99,16</w:t>
            </w:r>
          </w:p>
        </w:tc>
        <w:tc>
          <w:tcPr>
            <w:tcW w:w="0" w:type="auto"/>
            <w:shd w:val="clear" w:color="auto" w:fill="auto"/>
            <w:vAlign w:val="center"/>
          </w:tcPr>
          <w:p w:rsidR="00E42987" w:rsidRPr="00DA6562" w:rsidRDefault="00E42987" w:rsidP="00E42987">
            <w:pPr>
              <w:spacing w:after="0" w:line="240" w:lineRule="auto"/>
              <w:jc w:val="right"/>
              <w:rPr>
                <w:rFonts w:ascii="Calibri" w:eastAsia="Times New Roman" w:hAnsi="Calibri"/>
                <w:color w:val="000000"/>
                <w:szCs w:val="20"/>
                <w:lang w:eastAsia="tr-TR"/>
              </w:rPr>
            </w:pPr>
            <w:r w:rsidRPr="00DA6562">
              <w:rPr>
                <w:rFonts w:ascii="Calibri" w:eastAsia="Times New Roman" w:hAnsi="Calibri"/>
                <w:color w:val="000000"/>
                <w:szCs w:val="20"/>
                <w:lang w:eastAsia="tr-TR"/>
              </w:rPr>
              <w:t>87.448</w:t>
            </w:r>
          </w:p>
        </w:tc>
        <w:tc>
          <w:tcPr>
            <w:tcW w:w="0" w:type="auto"/>
            <w:shd w:val="clear" w:color="auto" w:fill="auto"/>
            <w:noWrap/>
            <w:vAlign w:val="center"/>
          </w:tcPr>
          <w:p w:rsidR="00E42987" w:rsidRPr="00DA6562" w:rsidRDefault="00E42987" w:rsidP="00E42987">
            <w:pPr>
              <w:spacing w:after="0" w:line="240" w:lineRule="auto"/>
              <w:jc w:val="center"/>
              <w:rPr>
                <w:rFonts w:ascii="Calibri" w:eastAsia="Times New Roman" w:hAnsi="Calibri"/>
                <w:color w:val="000000"/>
                <w:szCs w:val="20"/>
                <w:lang w:eastAsia="tr-TR"/>
              </w:rPr>
            </w:pPr>
            <w:r w:rsidRPr="00DA6562">
              <w:rPr>
                <w:rFonts w:ascii="Calibri" w:eastAsia="Times New Roman" w:hAnsi="Calibri"/>
                <w:color w:val="000000"/>
                <w:szCs w:val="20"/>
                <w:lang w:eastAsia="tr-TR"/>
              </w:rPr>
              <w:t>99,29</w:t>
            </w:r>
            <w:r>
              <w:rPr>
                <w:rFonts w:ascii="Calibri" w:eastAsia="Times New Roman" w:hAnsi="Calibri"/>
                <w:color w:val="000000"/>
                <w:szCs w:val="20"/>
                <w:lang w:eastAsia="tr-TR"/>
              </w:rPr>
              <w:t xml:space="preserve"> </w:t>
            </w:r>
          </w:p>
        </w:tc>
        <w:tc>
          <w:tcPr>
            <w:tcW w:w="0" w:type="auto"/>
            <w:shd w:val="clear" w:color="auto" w:fill="auto"/>
            <w:noWrap/>
            <w:vAlign w:val="center"/>
            <w:hideMark/>
          </w:tcPr>
          <w:p w:rsidR="00E42987" w:rsidRPr="00DA6562" w:rsidRDefault="00E42987" w:rsidP="00E42987">
            <w:pPr>
              <w:spacing w:after="0" w:line="240" w:lineRule="auto"/>
              <w:jc w:val="center"/>
              <w:rPr>
                <w:rFonts w:ascii="Calibri" w:eastAsia="Times New Roman" w:hAnsi="Calibri"/>
                <w:color w:val="000000"/>
                <w:szCs w:val="20"/>
                <w:lang w:eastAsia="tr-TR"/>
              </w:rPr>
            </w:pPr>
            <w:r w:rsidRPr="00DA6562">
              <w:rPr>
                <w:rFonts w:ascii="Calibri" w:eastAsia="Times New Roman" w:hAnsi="Calibri"/>
                <w:color w:val="000000"/>
                <w:szCs w:val="20"/>
                <w:lang w:eastAsia="tr-TR"/>
              </w:rPr>
              <w:t>2,07</w:t>
            </w:r>
          </w:p>
        </w:tc>
        <w:tc>
          <w:tcPr>
            <w:tcW w:w="0" w:type="auto"/>
            <w:shd w:val="clear" w:color="auto" w:fill="auto"/>
            <w:vAlign w:val="center"/>
          </w:tcPr>
          <w:p w:rsidR="00E42987" w:rsidRPr="00DA6562" w:rsidRDefault="00E42987" w:rsidP="00E42987">
            <w:pPr>
              <w:spacing w:after="0" w:line="240" w:lineRule="auto"/>
              <w:jc w:val="right"/>
              <w:rPr>
                <w:rFonts w:ascii="Calibri" w:eastAsia="Times New Roman" w:hAnsi="Calibri"/>
                <w:color w:val="000000"/>
                <w:szCs w:val="20"/>
                <w:lang w:eastAsia="tr-TR"/>
              </w:rPr>
            </w:pPr>
            <w:r>
              <w:rPr>
                <w:rFonts w:ascii="Calibri" w:eastAsia="Times New Roman" w:hAnsi="Calibri"/>
                <w:color w:val="000000"/>
                <w:szCs w:val="20"/>
                <w:lang w:eastAsia="tr-TR"/>
              </w:rPr>
              <w:t>93.551</w:t>
            </w:r>
          </w:p>
        </w:tc>
        <w:tc>
          <w:tcPr>
            <w:tcW w:w="0" w:type="auto"/>
            <w:shd w:val="clear" w:color="auto" w:fill="auto"/>
            <w:vAlign w:val="center"/>
          </w:tcPr>
          <w:p w:rsidR="00E42987" w:rsidRPr="00DA6562" w:rsidRDefault="00E42987" w:rsidP="00E42987">
            <w:pPr>
              <w:spacing w:after="0" w:line="240" w:lineRule="auto"/>
              <w:jc w:val="center"/>
              <w:rPr>
                <w:rFonts w:ascii="Calibri" w:eastAsia="Times New Roman" w:hAnsi="Calibri"/>
                <w:color w:val="000000"/>
                <w:szCs w:val="20"/>
                <w:lang w:eastAsia="tr-TR"/>
              </w:rPr>
            </w:pPr>
            <w:r>
              <w:rPr>
                <w:rFonts w:ascii="Calibri" w:eastAsia="Times New Roman" w:hAnsi="Calibri"/>
                <w:color w:val="000000"/>
                <w:szCs w:val="20"/>
                <w:lang w:eastAsia="tr-TR"/>
              </w:rPr>
              <w:t xml:space="preserve">98,7 </w:t>
            </w:r>
          </w:p>
        </w:tc>
        <w:tc>
          <w:tcPr>
            <w:tcW w:w="0" w:type="auto"/>
            <w:shd w:val="clear" w:color="auto" w:fill="auto"/>
            <w:vAlign w:val="center"/>
          </w:tcPr>
          <w:p w:rsidR="00E42987" w:rsidRPr="00DA6562" w:rsidRDefault="00E42987" w:rsidP="00E42987">
            <w:pPr>
              <w:spacing w:after="0" w:line="240" w:lineRule="auto"/>
              <w:jc w:val="center"/>
              <w:rPr>
                <w:rFonts w:ascii="Calibri" w:eastAsia="Times New Roman" w:hAnsi="Calibri"/>
                <w:color w:val="000000"/>
                <w:szCs w:val="20"/>
                <w:lang w:eastAsia="tr-TR"/>
              </w:rPr>
            </w:pPr>
            <w:r>
              <w:rPr>
                <w:rFonts w:ascii="Calibri" w:eastAsia="Times New Roman" w:hAnsi="Calibri"/>
                <w:color w:val="000000"/>
                <w:szCs w:val="20"/>
                <w:lang w:eastAsia="tr-TR"/>
              </w:rPr>
              <w:t xml:space="preserve">6,98 </w:t>
            </w:r>
          </w:p>
        </w:tc>
      </w:tr>
      <w:tr w:rsidR="00E42987" w:rsidRPr="003402BD" w:rsidTr="00041598">
        <w:trPr>
          <w:trHeight w:val="340"/>
          <w:jc w:val="center"/>
        </w:trPr>
        <w:tc>
          <w:tcPr>
            <w:tcW w:w="0" w:type="auto"/>
            <w:shd w:val="clear" w:color="auto" w:fill="auto"/>
            <w:vAlign w:val="center"/>
            <w:hideMark/>
          </w:tcPr>
          <w:p w:rsidR="00E42987" w:rsidRPr="00DA6562" w:rsidRDefault="00E42987" w:rsidP="00E42987">
            <w:pPr>
              <w:spacing w:after="0" w:line="240" w:lineRule="auto"/>
              <w:jc w:val="left"/>
              <w:rPr>
                <w:rFonts w:ascii="Calibri" w:eastAsia="Times New Roman" w:hAnsi="Calibri"/>
                <w:b/>
                <w:bCs/>
                <w:color w:val="000000"/>
                <w:szCs w:val="20"/>
                <w:lang w:eastAsia="tr-TR"/>
              </w:rPr>
            </w:pPr>
            <w:r w:rsidRPr="00DA6562">
              <w:rPr>
                <w:rFonts w:ascii="Calibri" w:eastAsia="Times New Roman" w:hAnsi="Calibri"/>
                <w:b/>
                <w:bCs/>
                <w:color w:val="000000"/>
                <w:szCs w:val="20"/>
                <w:lang w:eastAsia="tr-TR"/>
              </w:rPr>
              <w:t>Geçersiz Ölçüm Sayısı</w:t>
            </w:r>
          </w:p>
        </w:tc>
        <w:tc>
          <w:tcPr>
            <w:tcW w:w="0" w:type="auto"/>
            <w:shd w:val="clear" w:color="auto" w:fill="auto"/>
            <w:vAlign w:val="center"/>
            <w:hideMark/>
          </w:tcPr>
          <w:p w:rsidR="00E42987" w:rsidRPr="00DA6562" w:rsidRDefault="00E42987" w:rsidP="00E42987">
            <w:pPr>
              <w:spacing w:after="0" w:line="240" w:lineRule="auto"/>
              <w:jc w:val="right"/>
              <w:rPr>
                <w:rFonts w:ascii="Calibri" w:eastAsia="Times New Roman" w:hAnsi="Calibri"/>
                <w:color w:val="000000"/>
                <w:szCs w:val="20"/>
                <w:lang w:eastAsia="tr-TR"/>
              </w:rPr>
            </w:pPr>
            <w:r w:rsidRPr="00DA6562">
              <w:rPr>
                <w:rFonts w:ascii="Calibri" w:eastAsia="Times New Roman" w:hAnsi="Calibri"/>
                <w:color w:val="000000"/>
                <w:szCs w:val="20"/>
                <w:lang w:eastAsia="tr-TR"/>
              </w:rPr>
              <w:t>725</w:t>
            </w:r>
          </w:p>
        </w:tc>
        <w:tc>
          <w:tcPr>
            <w:tcW w:w="0" w:type="auto"/>
            <w:shd w:val="clear" w:color="auto" w:fill="auto"/>
            <w:vAlign w:val="center"/>
            <w:hideMark/>
          </w:tcPr>
          <w:p w:rsidR="00E42987" w:rsidRPr="00DA6562" w:rsidRDefault="00E42987" w:rsidP="00E42987">
            <w:pPr>
              <w:spacing w:after="0" w:line="240" w:lineRule="auto"/>
              <w:jc w:val="center"/>
              <w:rPr>
                <w:rFonts w:ascii="Calibri" w:eastAsia="Times New Roman" w:hAnsi="Calibri"/>
                <w:color w:val="000000"/>
                <w:szCs w:val="20"/>
                <w:lang w:eastAsia="tr-TR"/>
              </w:rPr>
            </w:pPr>
            <w:r w:rsidRPr="00DA6562">
              <w:rPr>
                <w:rFonts w:ascii="Calibri" w:eastAsia="Times New Roman" w:hAnsi="Calibri"/>
                <w:color w:val="000000"/>
                <w:szCs w:val="20"/>
                <w:lang w:eastAsia="tr-TR"/>
              </w:rPr>
              <w:t>0,84</w:t>
            </w:r>
          </w:p>
        </w:tc>
        <w:tc>
          <w:tcPr>
            <w:tcW w:w="0" w:type="auto"/>
            <w:shd w:val="clear" w:color="auto" w:fill="auto"/>
            <w:vAlign w:val="center"/>
          </w:tcPr>
          <w:p w:rsidR="00CB73EB" w:rsidRDefault="00CB73EB" w:rsidP="00CB73EB">
            <w:pPr>
              <w:spacing w:after="0" w:line="240" w:lineRule="auto"/>
              <w:jc w:val="center"/>
              <w:rPr>
                <w:rFonts w:ascii="Calibri" w:eastAsia="Times New Roman" w:hAnsi="Calibri"/>
                <w:color w:val="000000"/>
                <w:szCs w:val="20"/>
                <w:lang w:eastAsia="tr-TR"/>
              </w:rPr>
            </w:pPr>
          </w:p>
          <w:p w:rsidR="00E42987" w:rsidRDefault="00E42987" w:rsidP="00CB73EB">
            <w:pPr>
              <w:spacing w:after="0" w:line="240" w:lineRule="auto"/>
              <w:jc w:val="center"/>
              <w:rPr>
                <w:rFonts w:ascii="Calibri" w:eastAsia="Times New Roman" w:hAnsi="Calibri"/>
                <w:color w:val="000000"/>
                <w:szCs w:val="20"/>
                <w:lang w:eastAsia="tr-TR"/>
              </w:rPr>
            </w:pPr>
            <w:r w:rsidRPr="00DA6562">
              <w:rPr>
                <w:rFonts w:ascii="Calibri" w:eastAsia="Times New Roman" w:hAnsi="Calibri"/>
                <w:color w:val="000000"/>
                <w:szCs w:val="20"/>
                <w:lang w:eastAsia="tr-TR"/>
              </w:rPr>
              <w:t>622</w:t>
            </w:r>
          </w:p>
          <w:p w:rsidR="00E42987" w:rsidRPr="00DA6562" w:rsidRDefault="00E42987" w:rsidP="00CB73EB">
            <w:pPr>
              <w:spacing w:after="0" w:line="240" w:lineRule="auto"/>
              <w:jc w:val="center"/>
              <w:rPr>
                <w:rFonts w:ascii="Calibri" w:eastAsia="Times New Roman" w:hAnsi="Calibri"/>
                <w:color w:val="000000"/>
                <w:szCs w:val="20"/>
                <w:lang w:eastAsia="tr-TR"/>
              </w:rPr>
            </w:pPr>
          </w:p>
        </w:tc>
        <w:tc>
          <w:tcPr>
            <w:tcW w:w="0" w:type="auto"/>
            <w:shd w:val="clear" w:color="auto" w:fill="auto"/>
            <w:noWrap/>
            <w:vAlign w:val="center"/>
          </w:tcPr>
          <w:p w:rsidR="00E42987" w:rsidRPr="00DA6562" w:rsidRDefault="00E42987" w:rsidP="00E42987">
            <w:pPr>
              <w:spacing w:after="0" w:line="240" w:lineRule="auto"/>
              <w:jc w:val="center"/>
              <w:rPr>
                <w:rFonts w:ascii="Calibri" w:eastAsia="Times New Roman" w:hAnsi="Calibri"/>
                <w:color w:val="000000"/>
                <w:szCs w:val="20"/>
                <w:lang w:eastAsia="tr-TR"/>
              </w:rPr>
            </w:pPr>
            <w:r w:rsidRPr="00DA6562">
              <w:rPr>
                <w:rFonts w:ascii="Calibri" w:eastAsia="Times New Roman" w:hAnsi="Calibri"/>
                <w:color w:val="000000"/>
                <w:szCs w:val="20"/>
                <w:lang w:eastAsia="tr-TR"/>
              </w:rPr>
              <w:t>0,71</w:t>
            </w:r>
            <w:r>
              <w:rPr>
                <w:rFonts w:ascii="Calibri" w:eastAsia="Times New Roman" w:hAnsi="Calibri"/>
                <w:color w:val="000000"/>
                <w:szCs w:val="20"/>
                <w:lang w:eastAsia="tr-TR"/>
              </w:rPr>
              <w:t xml:space="preserve"> </w:t>
            </w:r>
          </w:p>
        </w:tc>
        <w:tc>
          <w:tcPr>
            <w:tcW w:w="0" w:type="auto"/>
            <w:shd w:val="clear" w:color="auto" w:fill="auto"/>
            <w:noWrap/>
            <w:vAlign w:val="center"/>
            <w:hideMark/>
          </w:tcPr>
          <w:p w:rsidR="00E42987" w:rsidRPr="00DA6562" w:rsidRDefault="00E42987" w:rsidP="00E42987">
            <w:pPr>
              <w:spacing w:after="0" w:line="240" w:lineRule="auto"/>
              <w:jc w:val="center"/>
              <w:rPr>
                <w:rFonts w:ascii="Calibri" w:eastAsia="Times New Roman" w:hAnsi="Calibri"/>
                <w:color w:val="000000"/>
                <w:szCs w:val="20"/>
                <w:lang w:eastAsia="tr-TR"/>
              </w:rPr>
            </w:pPr>
            <w:r w:rsidRPr="00DA6562">
              <w:rPr>
                <w:rFonts w:ascii="Calibri" w:eastAsia="Times New Roman" w:hAnsi="Calibri"/>
                <w:color w:val="000000"/>
                <w:szCs w:val="20"/>
                <w:lang w:eastAsia="tr-TR"/>
              </w:rPr>
              <w:t>-14,20</w:t>
            </w:r>
          </w:p>
        </w:tc>
        <w:tc>
          <w:tcPr>
            <w:tcW w:w="0" w:type="auto"/>
            <w:shd w:val="clear" w:color="auto" w:fill="auto"/>
            <w:vAlign w:val="center"/>
          </w:tcPr>
          <w:p w:rsidR="00E42987" w:rsidRPr="00DA6562" w:rsidRDefault="00E42987" w:rsidP="00E42987">
            <w:pPr>
              <w:spacing w:after="0" w:line="240" w:lineRule="auto"/>
              <w:jc w:val="right"/>
              <w:rPr>
                <w:rFonts w:ascii="Calibri" w:eastAsia="Times New Roman" w:hAnsi="Calibri"/>
                <w:color w:val="000000"/>
                <w:szCs w:val="20"/>
                <w:lang w:eastAsia="tr-TR"/>
              </w:rPr>
            </w:pPr>
            <w:r>
              <w:rPr>
                <w:rFonts w:ascii="Calibri" w:eastAsia="Times New Roman" w:hAnsi="Calibri"/>
                <w:color w:val="000000"/>
                <w:szCs w:val="20"/>
                <w:lang w:eastAsia="tr-TR"/>
              </w:rPr>
              <w:t xml:space="preserve">1.191 </w:t>
            </w:r>
          </w:p>
        </w:tc>
        <w:tc>
          <w:tcPr>
            <w:tcW w:w="0" w:type="auto"/>
            <w:shd w:val="clear" w:color="auto" w:fill="auto"/>
            <w:vAlign w:val="center"/>
          </w:tcPr>
          <w:p w:rsidR="00E42987" w:rsidRPr="00DA6562" w:rsidRDefault="00E42987" w:rsidP="00E42987">
            <w:pPr>
              <w:spacing w:after="0" w:line="240" w:lineRule="auto"/>
              <w:jc w:val="center"/>
              <w:rPr>
                <w:rFonts w:ascii="Calibri" w:eastAsia="Times New Roman" w:hAnsi="Calibri"/>
                <w:color w:val="000000"/>
                <w:szCs w:val="20"/>
                <w:lang w:eastAsia="tr-TR"/>
              </w:rPr>
            </w:pPr>
            <w:r>
              <w:rPr>
                <w:rFonts w:ascii="Calibri" w:eastAsia="Times New Roman" w:hAnsi="Calibri"/>
                <w:color w:val="000000"/>
                <w:szCs w:val="20"/>
                <w:lang w:eastAsia="tr-TR"/>
              </w:rPr>
              <w:t xml:space="preserve">1,3 </w:t>
            </w:r>
          </w:p>
        </w:tc>
        <w:tc>
          <w:tcPr>
            <w:tcW w:w="0" w:type="auto"/>
            <w:shd w:val="clear" w:color="auto" w:fill="auto"/>
            <w:vAlign w:val="center"/>
          </w:tcPr>
          <w:p w:rsidR="00E42987" w:rsidRPr="00DA6562" w:rsidRDefault="00E42987" w:rsidP="00E42987">
            <w:pPr>
              <w:spacing w:after="0" w:line="240" w:lineRule="auto"/>
              <w:jc w:val="center"/>
              <w:rPr>
                <w:rFonts w:ascii="Calibri" w:eastAsia="Times New Roman" w:hAnsi="Calibri"/>
                <w:color w:val="000000"/>
                <w:szCs w:val="20"/>
                <w:lang w:eastAsia="tr-TR"/>
              </w:rPr>
            </w:pPr>
            <w:r>
              <w:rPr>
                <w:rFonts w:ascii="Calibri" w:eastAsia="Times New Roman" w:hAnsi="Calibri"/>
                <w:color w:val="000000"/>
                <w:szCs w:val="20"/>
                <w:lang w:eastAsia="tr-TR"/>
              </w:rPr>
              <w:t>91</w:t>
            </w:r>
          </w:p>
        </w:tc>
      </w:tr>
      <w:tr w:rsidR="00E42987" w:rsidRPr="003402BD" w:rsidTr="00041598">
        <w:trPr>
          <w:trHeight w:val="340"/>
          <w:jc w:val="center"/>
        </w:trPr>
        <w:tc>
          <w:tcPr>
            <w:tcW w:w="0" w:type="auto"/>
            <w:shd w:val="clear" w:color="auto" w:fill="auto"/>
            <w:vAlign w:val="center"/>
            <w:hideMark/>
          </w:tcPr>
          <w:p w:rsidR="00E42987" w:rsidRPr="00DA6562" w:rsidRDefault="00E42987" w:rsidP="00E42987">
            <w:pPr>
              <w:spacing w:after="0" w:line="240" w:lineRule="auto"/>
              <w:jc w:val="left"/>
              <w:rPr>
                <w:rFonts w:ascii="Calibri" w:eastAsia="Times New Roman" w:hAnsi="Calibri"/>
                <w:b/>
                <w:bCs/>
                <w:color w:val="000000"/>
                <w:szCs w:val="20"/>
                <w:lang w:eastAsia="tr-TR"/>
              </w:rPr>
            </w:pPr>
            <w:r w:rsidRPr="00DA6562">
              <w:rPr>
                <w:rFonts w:ascii="Calibri" w:eastAsia="Times New Roman" w:hAnsi="Calibri"/>
                <w:b/>
                <w:bCs/>
                <w:color w:val="000000"/>
                <w:szCs w:val="20"/>
                <w:lang w:eastAsia="tr-TR"/>
              </w:rPr>
              <w:t>Toplam Ölçüm Sayısı</w:t>
            </w:r>
          </w:p>
        </w:tc>
        <w:tc>
          <w:tcPr>
            <w:tcW w:w="0" w:type="auto"/>
            <w:shd w:val="clear" w:color="auto" w:fill="auto"/>
            <w:vAlign w:val="center"/>
            <w:hideMark/>
          </w:tcPr>
          <w:p w:rsidR="00E42987" w:rsidRPr="00DA6562" w:rsidRDefault="00E42987" w:rsidP="00E42987">
            <w:pPr>
              <w:spacing w:after="0" w:line="240" w:lineRule="auto"/>
              <w:jc w:val="right"/>
              <w:rPr>
                <w:rFonts w:ascii="Calibri" w:eastAsia="Times New Roman" w:hAnsi="Calibri"/>
                <w:b/>
                <w:bCs/>
                <w:color w:val="000000"/>
                <w:szCs w:val="20"/>
                <w:lang w:eastAsia="tr-TR"/>
              </w:rPr>
            </w:pPr>
            <w:r w:rsidRPr="00DA6562">
              <w:rPr>
                <w:rFonts w:ascii="Calibri" w:eastAsia="Times New Roman" w:hAnsi="Calibri"/>
                <w:b/>
                <w:bCs/>
                <w:color w:val="000000"/>
                <w:szCs w:val="20"/>
                <w:lang w:eastAsia="tr-TR"/>
              </w:rPr>
              <w:t>86.393</w:t>
            </w:r>
          </w:p>
        </w:tc>
        <w:tc>
          <w:tcPr>
            <w:tcW w:w="0" w:type="auto"/>
            <w:shd w:val="clear" w:color="auto" w:fill="auto"/>
            <w:vAlign w:val="center"/>
            <w:hideMark/>
          </w:tcPr>
          <w:p w:rsidR="00E42987" w:rsidRPr="00DA6562" w:rsidRDefault="00E42987" w:rsidP="00E42987">
            <w:pPr>
              <w:spacing w:after="0" w:line="240" w:lineRule="auto"/>
              <w:jc w:val="center"/>
              <w:rPr>
                <w:rFonts w:ascii="Calibri" w:eastAsia="Times New Roman" w:hAnsi="Calibri"/>
                <w:b/>
                <w:bCs/>
                <w:color w:val="000000"/>
                <w:szCs w:val="20"/>
                <w:lang w:eastAsia="tr-TR"/>
              </w:rPr>
            </w:pPr>
            <w:r w:rsidRPr="00DA6562">
              <w:rPr>
                <w:rFonts w:ascii="Calibri" w:eastAsia="Times New Roman" w:hAnsi="Calibri"/>
                <w:b/>
                <w:bCs/>
                <w:color w:val="000000"/>
                <w:szCs w:val="20"/>
                <w:lang w:eastAsia="tr-TR"/>
              </w:rPr>
              <w:t>100</w:t>
            </w:r>
          </w:p>
        </w:tc>
        <w:tc>
          <w:tcPr>
            <w:tcW w:w="0" w:type="auto"/>
            <w:shd w:val="clear" w:color="auto" w:fill="auto"/>
            <w:vAlign w:val="center"/>
          </w:tcPr>
          <w:p w:rsidR="00E42987" w:rsidRPr="00DA6562" w:rsidRDefault="00E42987" w:rsidP="00E42987">
            <w:pPr>
              <w:spacing w:after="0" w:line="240" w:lineRule="auto"/>
              <w:jc w:val="right"/>
              <w:rPr>
                <w:rFonts w:ascii="Calibri" w:eastAsia="Times New Roman" w:hAnsi="Calibri"/>
                <w:b/>
                <w:bCs/>
                <w:color w:val="000000"/>
                <w:szCs w:val="20"/>
                <w:lang w:eastAsia="tr-TR"/>
              </w:rPr>
            </w:pPr>
            <w:r w:rsidRPr="00DA6562">
              <w:rPr>
                <w:rFonts w:ascii="Calibri" w:eastAsia="Times New Roman" w:hAnsi="Calibri"/>
                <w:b/>
                <w:bCs/>
                <w:color w:val="000000"/>
                <w:szCs w:val="20"/>
                <w:lang w:eastAsia="tr-TR"/>
              </w:rPr>
              <w:t>88.070</w:t>
            </w:r>
            <w:r>
              <w:rPr>
                <w:rFonts w:ascii="Calibri" w:eastAsia="Times New Roman" w:hAnsi="Calibri"/>
                <w:b/>
                <w:bCs/>
                <w:color w:val="000000"/>
                <w:szCs w:val="20"/>
                <w:lang w:eastAsia="tr-TR"/>
              </w:rPr>
              <w:t xml:space="preserve"> </w:t>
            </w:r>
          </w:p>
        </w:tc>
        <w:tc>
          <w:tcPr>
            <w:tcW w:w="0" w:type="auto"/>
            <w:shd w:val="clear" w:color="auto" w:fill="auto"/>
            <w:noWrap/>
            <w:vAlign w:val="center"/>
          </w:tcPr>
          <w:p w:rsidR="00E42987" w:rsidRPr="00DA6562" w:rsidRDefault="00E42987" w:rsidP="00E42987">
            <w:pPr>
              <w:spacing w:after="0" w:line="240" w:lineRule="auto"/>
              <w:jc w:val="center"/>
              <w:rPr>
                <w:rFonts w:ascii="Calibri" w:eastAsia="Times New Roman" w:hAnsi="Calibri"/>
                <w:b/>
                <w:bCs/>
                <w:color w:val="000000"/>
                <w:szCs w:val="20"/>
                <w:lang w:eastAsia="tr-TR"/>
              </w:rPr>
            </w:pPr>
            <w:r w:rsidRPr="00DA6562">
              <w:rPr>
                <w:rFonts w:ascii="Calibri" w:eastAsia="Times New Roman" w:hAnsi="Calibri"/>
                <w:b/>
                <w:bCs/>
                <w:color w:val="000000"/>
                <w:szCs w:val="20"/>
                <w:lang w:eastAsia="tr-TR"/>
              </w:rPr>
              <w:t>100</w:t>
            </w:r>
          </w:p>
        </w:tc>
        <w:tc>
          <w:tcPr>
            <w:tcW w:w="0" w:type="auto"/>
            <w:shd w:val="clear" w:color="auto" w:fill="auto"/>
            <w:noWrap/>
            <w:vAlign w:val="center"/>
            <w:hideMark/>
          </w:tcPr>
          <w:p w:rsidR="00E42987" w:rsidRPr="00DA6562" w:rsidRDefault="00E42987" w:rsidP="00E42987">
            <w:pPr>
              <w:spacing w:after="0" w:line="240" w:lineRule="auto"/>
              <w:jc w:val="center"/>
              <w:rPr>
                <w:rFonts w:ascii="Calibri" w:eastAsia="Times New Roman" w:hAnsi="Calibri"/>
                <w:b/>
                <w:bCs/>
                <w:color w:val="000000"/>
                <w:szCs w:val="20"/>
                <w:lang w:eastAsia="tr-TR"/>
              </w:rPr>
            </w:pPr>
            <w:r w:rsidRPr="00DA6562">
              <w:rPr>
                <w:rFonts w:ascii="Calibri" w:eastAsia="Times New Roman" w:hAnsi="Calibri"/>
                <w:b/>
                <w:bCs/>
                <w:color w:val="000000"/>
                <w:szCs w:val="20"/>
                <w:lang w:eastAsia="tr-TR"/>
              </w:rPr>
              <w:t>1,9</w:t>
            </w:r>
            <w:r>
              <w:rPr>
                <w:rFonts w:ascii="Calibri" w:eastAsia="Times New Roman" w:hAnsi="Calibri"/>
                <w:b/>
                <w:bCs/>
                <w:color w:val="000000"/>
                <w:szCs w:val="20"/>
                <w:lang w:eastAsia="tr-TR"/>
              </w:rPr>
              <w:t>4</w:t>
            </w:r>
          </w:p>
        </w:tc>
        <w:tc>
          <w:tcPr>
            <w:tcW w:w="0" w:type="auto"/>
            <w:shd w:val="clear" w:color="auto" w:fill="auto"/>
            <w:vAlign w:val="center"/>
          </w:tcPr>
          <w:p w:rsidR="00E42987" w:rsidRPr="00DA6562" w:rsidRDefault="00E42987" w:rsidP="00E42987">
            <w:pPr>
              <w:spacing w:after="0" w:line="240" w:lineRule="auto"/>
              <w:jc w:val="right"/>
              <w:rPr>
                <w:rFonts w:ascii="Calibri" w:eastAsia="Times New Roman" w:hAnsi="Calibri"/>
                <w:b/>
                <w:bCs/>
                <w:color w:val="000000"/>
                <w:szCs w:val="20"/>
                <w:lang w:eastAsia="tr-TR"/>
              </w:rPr>
            </w:pPr>
            <w:r>
              <w:rPr>
                <w:rFonts w:ascii="Calibri" w:eastAsia="Times New Roman" w:hAnsi="Calibri"/>
                <w:b/>
                <w:bCs/>
                <w:color w:val="000000"/>
                <w:szCs w:val="20"/>
                <w:lang w:eastAsia="tr-TR"/>
              </w:rPr>
              <w:t>94.742</w:t>
            </w:r>
          </w:p>
        </w:tc>
        <w:tc>
          <w:tcPr>
            <w:tcW w:w="0" w:type="auto"/>
            <w:shd w:val="clear" w:color="auto" w:fill="auto"/>
            <w:vAlign w:val="center"/>
          </w:tcPr>
          <w:p w:rsidR="00E42987" w:rsidRPr="00DA6562" w:rsidRDefault="00E42987" w:rsidP="00E42987">
            <w:pPr>
              <w:spacing w:after="0" w:line="240" w:lineRule="auto"/>
              <w:jc w:val="center"/>
              <w:rPr>
                <w:rFonts w:ascii="Calibri" w:eastAsia="Times New Roman" w:hAnsi="Calibri"/>
                <w:b/>
                <w:bCs/>
                <w:color w:val="000000"/>
                <w:szCs w:val="20"/>
                <w:lang w:eastAsia="tr-TR"/>
              </w:rPr>
            </w:pPr>
            <w:r w:rsidRPr="00DA6562">
              <w:rPr>
                <w:rFonts w:ascii="Calibri" w:eastAsia="Times New Roman" w:hAnsi="Calibri"/>
                <w:b/>
                <w:bCs/>
                <w:color w:val="000000"/>
                <w:szCs w:val="20"/>
                <w:lang w:eastAsia="tr-TR"/>
              </w:rPr>
              <w:t>100</w:t>
            </w:r>
          </w:p>
        </w:tc>
        <w:tc>
          <w:tcPr>
            <w:tcW w:w="0" w:type="auto"/>
            <w:shd w:val="clear" w:color="auto" w:fill="auto"/>
            <w:vAlign w:val="center"/>
          </w:tcPr>
          <w:p w:rsidR="00E42987" w:rsidRPr="00DA6562" w:rsidRDefault="00E42987" w:rsidP="00E42987">
            <w:pPr>
              <w:spacing w:after="0" w:line="240" w:lineRule="auto"/>
              <w:jc w:val="center"/>
              <w:rPr>
                <w:rFonts w:ascii="Calibri" w:eastAsia="Times New Roman" w:hAnsi="Calibri"/>
                <w:b/>
                <w:bCs/>
                <w:color w:val="000000"/>
                <w:szCs w:val="20"/>
                <w:lang w:eastAsia="tr-TR"/>
              </w:rPr>
            </w:pPr>
            <w:r>
              <w:rPr>
                <w:rFonts w:ascii="Calibri" w:eastAsia="Times New Roman" w:hAnsi="Calibri"/>
                <w:b/>
                <w:bCs/>
                <w:color w:val="000000"/>
                <w:szCs w:val="20"/>
                <w:lang w:eastAsia="tr-TR"/>
              </w:rPr>
              <w:t xml:space="preserve">8 </w:t>
            </w:r>
          </w:p>
        </w:tc>
      </w:tr>
    </w:tbl>
    <w:p w:rsidR="003D0DD5" w:rsidRDefault="003D0DD5" w:rsidP="003D0DD5">
      <w:pPr>
        <w:spacing w:after="0"/>
      </w:pPr>
    </w:p>
    <w:p w:rsidR="002D1BFD" w:rsidRPr="00FA1354" w:rsidRDefault="00956B4A" w:rsidP="009D79C2">
      <w:r w:rsidRPr="00122C27">
        <w:t xml:space="preserve">Petrol piyasasında </w:t>
      </w:r>
      <w:r w:rsidR="00E42987">
        <w:t>2022</w:t>
      </w:r>
      <w:r w:rsidR="00E42987" w:rsidRPr="00122C27">
        <w:t xml:space="preserve"> </w:t>
      </w:r>
      <w:r w:rsidRPr="00122C27">
        <w:t>yılında yapılan denetim ve soruşturmalar sonucunda</w:t>
      </w:r>
      <w:r>
        <w:t xml:space="preserve">; </w:t>
      </w:r>
      <w:r w:rsidRPr="00E210CE">
        <w:t>n</w:t>
      </w:r>
      <w:r>
        <w:t>iteliği itibarıyla düzeltme imkânı</w:t>
      </w:r>
      <w:r w:rsidRPr="00E210CE">
        <w:t xml:space="preserve"> olan fiiller kap</w:t>
      </w:r>
      <w:r>
        <w:t xml:space="preserve">samında yapılan </w:t>
      </w:r>
      <w:r w:rsidRPr="00E37EC5">
        <w:t xml:space="preserve">denetimlerde </w:t>
      </w:r>
      <w:r w:rsidR="00E42987">
        <w:rPr>
          <w:b/>
        </w:rPr>
        <w:t>2.094</w:t>
      </w:r>
      <w:r w:rsidR="00E42987" w:rsidRPr="00FA1354">
        <w:t xml:space="preserve"> </w:t>
      </w:r>
      <w:r w:rsidRPr="00FA1354">
        <w:t>adet ihtar işlemi tesis edilmiş olup, Kurumca uygulanan idari para cezaları ise Tablo 6.</w:t>
      </w:r>
      <w:r w:rsidR="007677C9">
        <w:t>5</w:t>
      </w:r>
      <w:r w:rsidRPr="00FA1354">
        <w:t xml:space="preserve"> ve Tablo 6.</w:t>
      </w:r>
      <w:r w:rsidR="007677C9">
        <w:t>6</w:t>
      </w:r>
      <w:r w:rsidRPr="00FA1354">
        <w:t>’te gösterilmektedir.</w:t>
      </w:r>
    </w:p>
    <w:p w:rsidR="003D0DD5" w:rsidRPr="007A7736" w:rsidRDefault="003D0DD5" w:rsidP="009D79C2">
      <w:pPr>
        <w:pStyle w:val="Balk5"/>
        <w:spacing w:after="240"/>
        <w:jc w:val="center"/>
        <w:rPr>
          <w:rStyle w:val="Gl"/>
          <w:rFonts w:eastAsia="Calibri" w:cs="Times New Roman"/>
          <w:color w:val="000000" w:themeColor="text1"/>
        </w:rPr>
      </w:pPr>
      <w:bookmarkStart w:id="361" w:name="_Toc132713933"/>
      <w:r w:rsidRPr="00FA1354">
        <w:rPr>
          <w:rStyle w:val="Gl"/>
          <w:color w:val="000000" w:themeColor="text1"/>
        </w:rPr>
        <w:t>T</w:t>
      </w:r>
      <w:r w:rsidR="00956B4A" w:rsidRPr="00FA1354">
        <w:rPr>
          <w:rStyle w:val="Gl"/>
          <w:color w:val="000000" w:themeColor="text1"/>
        </w:rPr>
        <w:t>ablo 6.</w:t>
      </w:r>
      <w:r w:rsidR="00E42987">
        <w:rPr>
          <w:rStyle w:val="Gl"/>
          <w:color w:val="000000" w:themeColor="text1"/>
        </w:rPr>
        <w:t>5</w:t>
      </w:r>
      <w:r w:rsidR="00956B4A" w:rsidRPr="00FA1354">
        <w:rPr>
          <w:rStyle w:val="Gl"/>
          <w:color w:val="000000" w:themeColor="text1"/>
        </w:rPr>
        <w:t>: Petrol Piyasasında 202</w:t>
      </w:r>
      <w:r w:rsidR="00E42987">
        <w:rPr>
          <w:rStyle w:val="Gl"/>
          <w:color w:val="000000" w:themeColor="text1"/>
        </w:rPr>
        <w:t>2</w:t>
      </w:r>
      <w:r w:rsidRPr="00FA1354">
        <w:rPr>
          <w:rStyle w:val="Gl"/>
          <w:color w:val="000000" w:themeColor="text1"/>
        </w:rPr>
        <w:t xml:space="preserve"> Yılında Uygulanan İdari Para Cezalarının Lisans Tipine Göre Dağılımı</w:t>
      </w:r>
      <w:bookmarkEnd w:id="361"/>
    </w:p>
    <w:tbl>
      <w:tblPr>
        <w:tblW w:w="4678" w:type="pct"/>
        <w:jc w:val="center"/>
        <w:tblCellMar>
          <w:left w:w="70" w:type="dxa"/>
          <w:right w:w="70" w:type="dxa"/>
        </w:tblCellMar>
        <w:tblLook w:val="04A0" w:firstRow="1" w:lastRow="0" w:firstColumn="1" w:lastColumn="0" w:noHBand="0" w:noVBand="1"/>
      </w:tblPr>
      <w:tblGrid>
        <w:gridCol w:w="5431"/>
        <w:gridCol w:w="1118"/>
        <w:gridCol w:w="641"/>
        <w:gridCol w:w="1432"/>
        <w:gridCol w:w="641"/>
      </w:tblGrid>
      <w:tr w:rsidR="003D0DD5" w:rsidRPr="003402BD" w:rsidTr="00034DE5">
        <w:trPr>
          <w:trHeight w:val="397"/>
          <w:jc w:val="center"/>
        </w:trPr>
        <w:tc>
          <w:tcPr>
            <w:tcW w:w="2932" w:type="pct"/>
            <w:tcBorders>
              <w:top w:val="single" w:sz="8" w:space="0" w:color="BFBFBF"/>
              <w:left w:val="single" w:sz="8" w:space="0" w:color="BFBFBF"/>
              <w:bottom w:val="single" w:sz="8" w:space="0" w:color="BFBFBF"/>
              <w:right w:val="single" w:sz="8" w:space="0" w:color="BFBFBF"/>
            </w:tcBorders>
            <w:shd w:val="clear" w:color="000000" w:fill="6E9ECA"/>
            <w:vAlign w:val="center"/>
            <w:hideMark/>
          </w:tcPr>
          <w:p w:rsidR="003D0DD5" w:rsidRPr="003402BD" w:rsidRDefault="003D0DD5" w:rsidP="00C079ED">
            <w:pPr>
              <w:spacing w:after="0" w:line="240" w:lineRule="auto"/>
              <w:jc w:val="center"/>
              <w:rPr>
                <w:rFonts w:ascii="Calibri" w:eastAsia="Times New Roman" w:hAnsi="Calibri"/>
                <w:b/>
                <w:bCs/>
                <w:color w:val="FFFFFF"/>
                <w:lang w:eastAsia="tr-TR"/>
              </w:rPr>
            </w:pPr>
            <w:r w:rsidRPr="003402BD">
              <w:rPr>
                <w:rFonts w:ascii="Calibri" w:eastAsia="Times New Roman" w:hAnsi="Calibri"/>
                <w:b/>
                <w:bCs/>
                <w:color w:val="FFFFFF"/>
                <w:lang w:eastAsia="tr-TR"/>
              </w:rPr>
              <w:t>Lisans Tipi</w:t>
            </w:r>
          </w:p>
        </w:tc>
        <w:tc>
          <w:tcPr>
            <w:tcW w:w="603" w:type="pct"/>
            <w:tcBorders>
              <w:top w:val="single" w:sz="8" w:space="0" w:color="BFBFBF"/>
              <w:left w:val="nil"/>
              <w:bottom w:val="single" w:sz="8" w:space="0" w:color="BFBFBF"/>
              <w:right w:val="single" w:sz="8" w:space="0" w:color="BFBFBF"/>
            </w:tcBorders>
            <w:shd w:val="clear" w:color="000000" w:fill="6E9ECA"/>
            <w:vAlign w:val="center"/>
            <w:hideMark/>
          </w:tcPr>
          <w:p w:rsidR="003D0DD5" w:rsidRPr="003402BD" w:rsidRDefault="003D0DD5" w:rsidP="00C079ED">
            <w:pPr>
              <w:spacing w:after="0" w:line="240" w:lineRule="auto"/>
              <w:jc w:val="center"/>
              <w:rPr>
                <w:rFonts w:ascii="Calibri" w:eastAsia="Times New Roman" w:hAnsi="Calibri"/>
                <w:b/>
                <w:bCs/>
                <w:color w:val="FFFFFF"/>
                <w:lang w:eastAsia="tr-TR"/>
              </w:rPr>
            </w:pPr>
            <w:r w:rsidRPr="003402BD">
              <w:rPr>
                <w:rFonts w:ascii="Calibri" w:eastAsia="Times New Roman" w:hAnsi="Calibri"/>
                <w:b/>
                <w:bCs/>
                <w:color w:val="FFFFFF"/>
                <w:lang w:eastAsia="tr-TR"/>
              </w:rPr>
              <w:t>Uygulanan İdari Para Cezası Adedi</w:t>
            </w:r>
          </w:p>
        </w:tc>
        <w:tc>
          <w:tcPr>
            <w:tcW w:w="346" w:type="pct"/>
            <w:tcBorders>
              <w:top w:val="single" w:sz="8" w:space="0" w:color="BFBFBF"/>
              <w:left w:val="nil"/>
              <w:bottom w:val="single" w:sz="8" w:space="0" w:color="BFBFBF"/>
              <w:right w:val="single" w:sz="8" w:space="0" w:color="BFBFBF"/>
            </w:tcBorders>
            <w:shd w:val="clear" w:color="000000" w:fill="6E9ECA"/>
            <w:vAlign w:val="center"/>
            <w:hideMark/>
          </w:tcPr>
          <w:p w:rsidR="003D0DD5" w:rsidRPr="003402BD" w:rsidRDefault="003D0DD5" w:rsidP="00C079ED">
            <w:pPr>
              <w:spacing w:after="0" w:line="240" w:lineRule="auto"/>
              <w:jc w:val="center"/>
              <w:rPr>
                <w:rFonts w:ascii="Calibri" w:eastAsia="Times New Roman" w:hAnsi="Calibri"/>
                <w:b/>
                <w:bCs/>
                <w:color w:val="FFFFFF"/>
                <w:lang w:eastAsia="tr-TR"/>
              </w:rPr>
            </w:pPr>
            <w:r w:rsidRPr="003402BD">
              <w:rPr>
                <w:rFonts w:ascii="Calibri" w:eastAsia="Times New Roman" w:hAnsi="Calibri"/>
                <w:b/>
                <w:bCs/>
                <w:color w:val="FFFFFF"/>
                <w:lang w:eastAsia="tr-TR"/>
              </w:rPr>
              <w:t>Oran (%)</w:t>
            </w:r>
          </w:p>
        </w:tc>
        <w:tc>
          <w:tcPr>
            <w:tcW w:w="773" w:type="pct"/>
            <w:tcBorders>
              <w:top w:val="single" w:sz="8" w:space="0" w:color="BFBFBF"/>
              <w:left w:val="nil"/>
              <w:bottom w:val="single" w:sz="8" w:space="0" w:color="BFBFBF"/>
              <w:right w:val="single" w:sz="8" w:space="0" w:color="BFBFBF"/>
            </w:tcBorders>
            <w:shd w:val="clear" w:color="000000" w:fill="6E9ECA"/>
            <w:vAlign w:val="center"/>
            <w:hideMark/>
          </w:tcPr>
          <w:p w:rsidR="003D0DD5" w:rsidRPr="003402BD" w:rsidRDefault="003D0DD5" w:rsidP="00C079ED">
            <w:pPr>
              <w:spacing w:after="0" w:line="240" w:lineRule="auto"/>
              <w:jc w:val="center"/>
              <w:rPr>
                <w:rFonts w:ascii="Calibri" w:eastAsia="Times New Roman" w:hAnsi="Calibri"/>
                <w:b/>
                <w:bCs/>
                <w:color w:val="FFFFFF"/>
                <w:lang w:eastAsia="tr-TR"/>
              </w:rPr>
            </w:pPr>
            <w:r w:rsidRPr="003402BD">
              <w:rPr>
                <w:rFonts w:ascii="Calibri" w:eastAsia="Times New Roman" w:hAnsi="Calibri"/>
                <w:b/>
                <w:bCs/>
                <w:color w:val="FFFFFF"/>
                <w:lang w:eastAsia="tr-TR"/>
              </w:rPr>
              <w:t>İdari Para Cezası Tutarı (TL)</w:t>
            </w:r>
          </w:p>
        </w:tc>
        <w:tc>
          <w:tcPr>
            <w:tcW w:w="346" w:type="pct"/>
            <w:tcBorders>
              <w:top w:val="single" w:sz="8" w:space="0" w:color="BFBFBF"/>
              <w:left w:val="nil"/>
              <w:bottom w:val="single" w:sz="8" w:space="0" w:color="BFBFBF"/>
              <w:right w:val="single" w:sz="8" w:space="0" w:color="BFBFBF"/>
            </w:tcBorders>
            <w:shd w:val="clear" w:color="000000" w:fill="6E9ECA"/>
            <w:vAlign w:val="center"/>
            <w:hideMark/>
          </w:tcPr>
          <w:p w:rsidR="003D0DD5" w:rsidRPr="003402BD" w:rsidRDefault="00750D7E" w:rsidP="00C079ED">
            <w:pPr>
              <w:spacing w:after="0" w:line="240" w:lineRule="auto"/>
              <w:jc w:val="center"/>
              <w:rPr>
                <w:rFonts w:ascii="Calibri" w:eastAsia="Times New Roman" w:hAnsi="Calibri"/>
                <w:b/>
                <w:bCs/>
                <w:color w:val="FFFFFF"/>
                <w:lang w:eastAsia="tr-TR"/>
              </w:rPr>
            </w:pPr>
            <w:r w:rsidRPr="003402BD">
              <w:rPr>
                <w:rFonts w:ascii="Calibri" w:eastAsia="Times New Roman" w:hAnsi="Calibri"/>
                <w:b/>
                <w:bCs/>
                <w:color w:val="FFFFFF"/>
                <w:lang w:eastAsia="tr-TR"/>
              </w:rPr>
              <w:t>Oran</w:t>
            </w:r>
            <w:r w:rsidRPr="003402BD">
              <w:rPr>
                <w:rFonts w:ascii="Calibri" w:eastAsia="Times New Roman" w:hAnsi="Calibri"/>
                <w:color w:val="FFFFFF"/>
                <w:sz w:val="16"/>
                <w:szCs w:val="16"/>
                <w:lang w:eastAsia="tr-TR"/>
              </w:rPr>
              <w:t xml:space="preserve"> (</w:t>
            </w:r>
            <w:r w:rsidR="003D0DD5" w:rsidRPr="003402BD">
              <w:rPr>
                <w:rFonts w:ascii="Calibri" w:eastAsia="Times New Roman" w:hAnsi="Calibri"/>
                <w:b/>
                <w:bCs/>
                <w:color w:val="FFFFFF"/>
                <w:lang w:eastAsia="tr-TR"/>
              </w:rPr>
              <w:t>%)</w:t>
            </w:r>
          </w:p>
        </w:tc>
      </w:tr>
      <w:tr w:rsidR="00034DE5" w:rsidRPr="00925097" w:rsidTr="00034DE5">
        <w:trPr>
          <w:trHeight w:val="397"/>
          <w:jc w:val="center"/>
        </w:trPr>
        <w:tc>
          <w:tcPr>
            <w:tcW w:w="2932" w:type="pct"/>
            <w:tcBorders>
              <w:top w:val="nil"/>
              <w:left w:val="single" w:sz="8" w:space="0" w:color="BFBFBF"/>
              <w:bottom w:val="single" w:sz="8" w:space="0" w:color="BFBFBF"/>
              <w:right w:val="single" w:sz="8" w:space="0" w:color="BFBFBF"/>
            </w:tcBorders>
            <w:shd w:val="clear" w:color="auto" w:fill="auto"/>
            <w:noWrap/>
            <w:vAlign w:val="center"/>
            <w:hideMark/>
          </w:tcPr>
          <w:p w:rsidR="00034DE5" w:rsidRPr="00925097" w:rsidRDefault="00034DE5" w:rsidP="00034DE5">
            <w:pPr>
              <w:spacing w:after="0" w:line="240" w:lineRule="auto"/>
              <w:rPr>
                <w:rFonts w:ascii="Calibri" w:eastAsia="Times New Roman" w:hAnsi="Calibri"/>
                <w:color w:val="000000"/>
                <w:lang w:eastAsia="tr-TR"/>
              </w:rPr>
            </w:pPr>
            <w:r w:rsidRPr="00925097">
              <w:rPr>
                <w:rFonts w:ascii="Calibri" w:eastAsia="Times New Roman" w:hAnsi="Calibri"/>
                <w:color w:val="000000"/>
                <w:lang w:eastAsia="tr-TR"/>
              </w:rPr>
              <w:t>Dağıtıcı</w:t>
            </w:r>
          </w:p>
        </w:tc>
        <w:tc>
          <w:tcPr>
            <w:tcW w:w="603" w:type="pct"/>
            <w:tcBorders>
              <w:top w:val="nil"/>
              <w:left w:val="nil"/>
              <w:bottom w:val="single" w:sz="8" w:space="0" w:color="BFBFBF"/>
              <w:right w:val="single" w:sz="8" w:space="0" w:color="BFBFBF"/>
            </w:tcBorders>
            <w:shd w:val="clear" w:color="auto" w:fill="auto"/>
            <w:noWrap/>
            <w:vAlign w:val="center"/>
            <w:hideMark/>
          </w:tcPr>
          <w:p w:rsidR="00034DE5" w:rsidRPr="00925097" w:rsidRDefault="00034DE5" w:rsidP="00034DE5">
            <w:pPr>
              <w:spacing w:after="0" w:line="240" w:lineRule="auto"/>
              <w:jc w:val="center"/>
              <w:rPr>
                <w:rFonts w:ascii="Calibri" w:eastAsia="Times New Roman" w:hAnsi="Calibri"/>
                <w:color w:val="000000"/>
                <w:lang w:eastAsia="tr-TR"/>
              </w:rPr>
            </w:pPr>
            <w:r w:rsidRPr="00925097">
              <w:rPr>
                <w:rFonts w:ascii="Calibri" w:eastAsia="Times New Roman" w:hAnsi="Calibri"/>
                <w:color w:val="000000"/>
                <w:lang w:eastAsia="tr-TR"/>
              </w:rPr>
              <w:t xml:space="preserve">119 </w:t>
            </w:r>
          </w:p>
        </w:tc>
        <w:tc>
          <w:tcPr>
            <w:tcW w:w="346" w:type="pct"/>
            <w:tcBorders>
              <w:top w:val="nil"/>
              <w:left w:val="nil"/>
              <w:bottom w:val="single" w:sz="8" w:space="0" w:color="BFBFBF"/>
              <w:right w:val="single" w:sz="8" w:space="0" w:color="BFBFBF"/>
            </w:tcBorders>
            <w:shd w:val="clear" w:color="auto" w:fill="auto"/>
            <w:noWrap/>
            <w:vAlign w:val="center"/>
            <w:hideMark/>
          </w:tcPr>
          <w:p w:rsidR="00034DE5" w:rsidRPr="00925097" w:rsidRDefault="00034DE5" w:rsidP="00034DE5">
            <w:pPr>
              <w:spacing w:after="0" w:line="240" w:lineRule="auto"/>
              <w:jc w:val="center"/>
              <w:rPr>
                <w:rFonts w:ascii="Calibri" w:eastAsia="Times New Roman" w:hAnsi="Calibri"/>
                <w:color w:val="000000"/>
                <w:lang w:eastAsia="tr-TR"/>
              </w:rPr>
            </w:pPr>
            <w:r w:rsidRPr="00925097">
              <w:rPr>
                <w:rFonts w:ascii="Calibri" w:eastAsia="Times New Roman" w:hAnsi="Calibri"/>
                <w:color w:val="000000"/>
                <w:lang w:eastAsia="tr-TR"/>
              </w:rPr>
              <w:t xml:space="preserve">23,85 </w:t>
            </w:r>
          </w:p>
        </w:tc>
        <w:tc>
          <w:tcPr>
            <w:tcW w:w="773" w:type="pct"/>
            <w:tcBorders>
              <w:top w:val="nil"/>
              <w:left w:val="nil"/>
              <w:bottom w:val="single" w:sz="8" w:space="0" w:color="BFBFBF"/>
              <w:right w:val="single" w:sz="8" w:space="0" w:color="BFBFBF"/>
            </w:tcBorders>
            <w:shd w:val="clear" w:color="auto" w:fill="auto"/>
            <w:noWrap/>
            <w:vAlign w:val="center"/>
            <w:hideMark/>
          </w:tcPr>
          <w:p w:rsidR="00034DE5" w:rsidRPr="00925097" w:rsidRDefault="00034DE5" w:rsidP="00034DE5">
            <w:pPr>
              <w:spacing w:after="0" w:line="240" w:lineRule="auto"/>
              <w:jc w:val="right"/>
              <w:rPr>
                <w:rFonts w:ascii="Calibri" w:eastAsia="Times New Roman" w:hAnsi="Calibri"/>
                <w:color w:val="000000"/>
                <w:lang w:eastAsia="tr-TR"/>
              </w:rPr>
            </w:pPr>
            <w:r w:rsidRPr="00925097">
              <w:rPr>
                <w:rFonts w:ascii="Calibri" w:hAnsi="Calibri" w:cs="Calibri"/>
                <w:iCs/>
                <w:color w:val="000000"/>
              </w:rPr>
              <w:t xml:space="preserve">378.517.095 </w:t>
            </w:r>
          </w:p>
        </w:tc>
        <w:tc>
          <w:tcPr>
            <w:tcW w:w="346" w:type="pct"/>
            <w:tcBorders>
              <w:top w:val="nil"/>
              <w:left w:val="nil"/>
              <w:bottom w:val="single" w:sz="8" w:space="0" w:color="BFBFBF"/>
              <w:right w:val="single" w:sz="8" w:space="0" w:color="BFBFBF"/>
            </w:tcBorders>
            <w:shd w:val="clear" w:color="auto" w:fill="auto"/>
            <w:noWrap/>
            <w:vAlign w:val="center"/>
            <w:hideMark/>
          </w:tcPr>
          <w:p w:rsidR="00034DE5" w:rsidRPr="00925097" w:rsidRDefault="00034DE5" w:rsidP="00034DE5">
            <w:pPr>
              <w:spacing w:after="0" w:line="240" w:lineRule="auto"/>
              <w:jc w:val="center"/>
              <w:rPr>
                <w:rFonts w:ascii="Calibri" w:eastAsia="Times New Roman" w:hAnsi="Calibri"/>
                <w:color w:val="000000"/>
                <w:lang w:eastAsia="tr-TR"/>
              </w:rPr>
            </w:pPr>
            <w:r w:rsidRPr="00925097">
              <w:rPr>
                <w:rFonts w:ascii="Calibri" w:eastAsia="Times New Roman" w:hAnsi="Calibri"/>
                <w:color w:val="000000"/>
                <w:lang w:eastAsia="tr-TR"/>
              </w:rPr>
              <w:t xml:space="preserve">81,11 </w:t>
            </w:r>
          </w:p>
        </w:tc>
      </w:tr>
      <w:tr w:rsidR="00034DE5" w:rsidRPr="00925097" w:rsidTr="00034DE5">
        <w:trPr>
          <w:trHeight w:val="397"/>
          <w:jc w:val="center"/>
        </w:trPr>
        <w:tc>
          <w:tcPr>
            <w:tcW w:w="2932" w:type="pct"/>
            <w:tcBorders>
              <w:top w:val="nil"/>
              <w:left w:val="single" w:sz="8" w:space="0" w:color="BFBFBF"/>
              <w:bottom w:val="single" w:sz="8" w:space="0" w:color="BFBFBF"/>
              <w:right w:val="single" w:sz="8" w:space="0" w:color="BFBFBF"/>
            </w:tcBorders>
            <w:shd w:val="clear" w:color="auto" w:fill="auto"/>
            <w:noWrap/>
            <w:vAlign w:val="center"/>
            <w:hideMark/>
          </w:tcPr>
          <w:p w:rsidR="00034DE5" w:rsidRPr="00925097" w:rsidRDefault="00034DE5" w:rsidP="00034DE5">
            <w:pPr>
              <w:spacing w:after="0" w:line="240" w:lineRule="auto"/>
              <w:rPr>
                <w:rFonts w:ascii="Calibri" w:eastAsia="Times New Roman" w:hAnsi="Calibri"/>
                <w:color w:val="000000"/>
                <w:lang w:eastAsia="tr-TR"/>
              </w:rPr>
            </w:pPr>
            <w:r w:rsidRPr="00925097">
              <w:rPr>
                <w:rFonts w:ascii="Calibri" w:eastAsia="Times New Roman" w:hAnsi="Calibri"/>
                <w:color w:val="000000"/>
                <w:lang w:eastAsia="tr-TR"/>
              </w:rPr>
              <w:t>Bayilik</w:t>
            </w:r>
          </w:p>
        </w:tc>
        <w:tc>
          <w:tcPr>
            <w:tcW w:w="603" w:type="pct"/>
            <w:tcBorders>
              <w:top w:val="nil"/>
              <w:left w:val="nil"/>
              <w:bottom w:val="single" w:sz="8" w:space="0" w:color="BFBFBF"/>
              <w:right w:val="single" w:sz="8" w:space="0" w:color="BFBFBF"/>
            </w:tcBorders>
            <w:shd w:val="clear" w:color="auto" w:fill="auto"/>
            <w:noWrap/>
            <w:vAlign w:val="center"/>
            <w:hideMark/>
          </w:tcPr>
          <w:p w:rsidR="00034DE5" w:rsidRPr="00925097" w:rsidRDefault="00034DE5" w:rsidP="00034DE5">
            <w:pPr>
              <w:spacing w:after="0" w:line="240" w:lineRule="auto"/>
              <w:jc w:val="center"/>
              <w:rPr>
                <w:rFonts w:ascii="Calibri" w:eastAsia="Times New Roman" w:hAnsi="Calibri"/>
                <w:color w:val="000000"/>
                <w:lang w:eastAsia="tr-TR"/>
              </w:rPr>
            </w:pPr>
            <w:r w:rsidRPr="00925097">
              <w:rPr>
                <w:rFonts w:ascii="Calibri" w:eastAsia="Times New Roman" w:hAnsi="Calibri"/>
                <w:color w:val="000000"/>
                <w:lang w:eastAsia="tr-TR"/>
              </w:rPr>
              <w:t xml:space="preserve">369 </w:t>
            </w:r>
          </w:p>
        </w:tc>
        <w:tc>
          <w:tcPr>
            <w:tcW w:w="346" w:type="pct"/>
            <w:tcBorders>
              <w:top w:val="nil"/>
              <w:left w:val="nil"/>
              <w:bottom w:val="single" w:sz="8" w:space="0" w:color="BFBFBF"/>
              <w:right w:val="single" w:sz="8" w:space="0" w:color="BFBFBF"/>
            </w:tcBorders>
            <w:shd w:val="clear" w:color="auto" w:fill="auto"/>
            <w:noWrap/>
            <w:vAlign w:val="center"/>
            <w:hideMark/>
          </w:tcPr>
          <w:p w:rsidR="00034DE5" w:rsidRPr="00925097" w:rsidRDefault="00034DE5" w:rsidP="00034DE5">
            <w:pPr>
              <w:spacing w:after="0" w:line="240" w:lineRule="auto"/>
              <w:jc w:val="center"/>
              <w:rPr>
                <w:rFonts w:ascii="Calibri" w:eastAsia="Times New Roman" w:hAnsi="Calibri"/>
                <w:color w:val="000000"/>
                <w:lang w:eastAsia="tr-TR"/>
              </w:rPr>
            </w:pPr>
            <w:r w:rsidRPr="00925097">
              <w:rPr>
                <w:rFonts w:ascii="Calibri" w:eastAsia="Times New Roman" w:hAnsi="Calibri"/>
                <w:color w:val="000000"/>
                <w:lang w:eastAsia="tr-TR"/>
              </w:rPr>
              <w:t xml:space="preserve">73,95 </w:t>
            </w:r>
          </w:p>
        </w:tc>
        <w:tc>
          <w:tcPr>
            <w:tcW w:w="773" w:type="pct"/>
            <w:tcBorders>
              <w:top w:val="nil"/>
              <w:left w:val="nil"/>
              <w:bottom w:val="single" w:sz="8" w:space="0" w:color="BFBFBF"/>
              <w:right w:val="single" w:sz="8" w:space="0" w:color="BFBFBF"/>
            </w:tcBorders>
            <w:shd w:val="clear" w:color="auto" w:fill="auto"/>
            <w:noWrap/>
            <w:vAlign w:val="center"/>
            <w:hideMark/>
          </w:tcPr>
          <w:p w:rsidR="00034DE5" w:rsidRPr="00925097" w:rsidRDefault="00034DE5" w:rsidP="00034DE5">
            <w:pPr>
              <w:spacing w:after="0" w:line="240" w:lineRule="auto"/>
              <w:jc w:val="right"/>
              <w:rPr>
                <w:rFonts w:ascii="Calibri" w:eastAsia="Times New Roman" w:hAnsi="Calibri"/>
                <w:color w:val="000000"/>
                <w:lang w:eastAsia="tr-TR"/>
              </w:rPr>
            </w:pPr>
            <w:r w:rsidRPr="00925097">
              <w:rPr>
                <w:rFonts w:ascii="Calibri" w:hAnsi="Calibri" w:cs="Calibri"/>
                <w:iCs/>
                <w:color w:val="000000"/>
              </w:rPr>
              <w:t xml:space="preserve">81.105.312 </w:t>
            </w:r>
          </w:p>
        </w:tc>
        <w:tc>
          <w:tcPr>
            <w:tcW w:w="346" w:type="pct"/>
            <w:tcBorders>
              <w:top w:val="nil"/>
              <w:left w:val="nil"/>
              <w:bottom w:val="single" w:sz="8" w:space="0" w:color="BFBFBF"/>
              <w:right w:val="single" w:sz="8" w:space="0" w:color="BFBFBF"/>
            </w:tcBorders>
            <w:shd w:val="clear" w:color="auto" w:fill="auto"/>
            <w:noWrap/>
            <w:vAlign w:val="center"/>
            <w:hideMark/>
          </w:tcPr>
          <w:p w:rsidR="00034DE5" w:rsidRPr="00925097" w:rsidRDefault="00034DE5" w:rsidP="00034DE5">
            <w:pPr>
              <w:spacing w:after="0" w:line="240" w:lineRule="auto"/>
              <w:jc w:val="center"/>
              <w:rPr>
                <w:rFonts w:ascii="Calibri" w:eastAsia="Times New Roman" w:hAnsi="Calibri"/>
                <w:color w:val="000000"/>
                <w:lang w:eastAsia="tr-TR"/>
              </w:rPr>
            </w:pPr>
            <w:r w:rsidRPr="00925097">
              <w:rPr>
                <w:rFonts w:ascii="Calibri" w:eastAsia="Times New Roman" w:hAnsi="Calibri"/>
                <w:color w:val="000000"/>
                <w:lang w:eastAsia="tr-TR"/>
              </w:rPr>
              <w:t xml:space="preserve">17,38 </w:t>
            </w:r>
          </w:p>
        </w:tc>
      </w:tr>
      <w:tr w:rsidR="00034DE5" w:rsidRPr="00925097" w:rsidTr="00034DE5">
        <w:trPr>
          <w:trHeight w:val="397"/>
          <w:jc w:val="center"/>
        </w:trPr>
        <w:tc>
          <w:tcPr>
            <w:tcW w:w="2932" w:type="pct"/>
            <w:tcBorders>
              <w:top w:val="nil"/>
              <w:left w:val="single" w:sz="8" w:space="0" w:color="BFBFBF"/>
              <w:bottom w:val="single" w:sz="8" w:space="0" w:color="BFBFBF"/>
              <w:right w:val="single" w:sz="8" w:space="0" w:color="BFBFBF"/>
            </w:tcBorders>
            <w:shd w:val="clear" w:color="auto" w:fill="auto"/>
            <w:noWrap/>
            <w:vAlign w:val="center"/>
          </w:tcPr>
          <w:p w:rsidR="00034DE5" w:rsidRPr="00925097" w:rsidRDefault="00034DE5" w:rsidP="00034DE5">
            <w:pPr>
              <w:spacing w:after="0" w:line="240" w:lineRule="auto"/>
              <w:rPr>
                <w:rFonts w:ascii="Calibri" w:eastAsia="Times New Roman" w:hAnsi="Calibri"/>
                <w:color w:val="000000"/>
                <w:lang w:eastAsia="tr-TR"/>
              </w:rPr>
            </w:pPr>
            <w:r w:rsidRPr="00925097">
              <w:rPr>
                <w:rFonts w:ascii="Calibri" w:eastAsia="Times New Roman" w:hAnsi="Calibri"/>
                <w:color w:val="000000"/>
                <w:lang w:eastAsia="tr-TR"/>
              </w:rPr>
              <w:t>İşleme</w:t>
            </w:r>
          </w:p>
        </w:tc>
        <w:tc>
          <w:tcPr>
            <w:tcW w:w="603" w:type="pct"/>
            <w:tcBorders>
              <w:top w:val="nil"/>
              <w:left w:val="nil"/>
              <w:bottom w:val="single" w:sz="8" w:space="0" w:color="BFBFBF"/>
              <w:right w:val="single" w:sz="8" w:space="0" w:color="BFBFBF"/>
            </w:tcBorders>
            <w:shd w:val="clear" w:color="auto" w:fill="auto"/>
            <w:noWrap/>
            <w:vAlign w:val="center"/>
          </w:tcPr>
          <w:p w:rsidR="00034DE5" w:rsidRPr="00925097" w:rsidRDefault="00034DE5" w:rsidP="00034DE5">
            <w:pPr>
              <w:spacing w:after="0" w:line="240" w:lineRule="auto"/>
              <w:jc w:val="center"/>
              <w:rPr>
                <w:rFonts w:ascii="Calibri" w:eastAsia="Times New Roman" w:hAnsi="Calibri"/>
                <w:color w:val="000000"/>
                <w:lang w:eastAsia="tr-TR"/>
              </w:rPr>
            </w:pPr>
            <w:r w:rsidRPr="00925097">
              <w:rPr>
                <w:rFonts w:ascii="Calibri" w:eastAsia="Times New Roman" w:hAnsi="Calibri"/>
                <w:color w:val="000000"/>
                <w:lang w:eastAsia="tr-TR"/>
              </w:rPr>
              <w:t xml:space="preserve">1 </w:t>
            </w:r>
          </w:p>
        </w:tc>
        <w:tc>
          <w:tcPr>
            <w:tcW w:w="346" w:type="pct"/>
            <w:tcBorders>
              <w:top w:val="nil"/>
              <w:left w:val="nil"/>
              <w:bottom w:val="single" w:sz="8" w:space="0" w:color="BFBFBF"/>
              <w:right w:val="single" w:sz="8" w:space="0" w:color="BFBFBF"/>
            </w:tcBorders>
            <w:shd w:val="clear" w:color="auto" w:fill="auto"/>
            <w:noWrap/>
            <w:vAlign w:val="center"/>
          </w:tcPr>
          <w:p w:rsidR="00034DE5" w:rsidRPr="00925097" w:rsidRDefault="00034DE5" w:rsidP="00034DE5">
            <w:pPr>
              <w:spacing w:after="0" w:line="240" w:lineRule="auto"/>
              <w:jc w:val="center"/>
              <w:rPr>
                <w:rFonts w:ascii="Calibri" w:eastAsia="Times New Roman" w:hAnsi="Calibri"/>
                <w:color w:val="000000"/>
                <w:lang w:eastAsia="tr-TR"/>
              </w:rPr>
            </w:pPr>
            <w:r w:rsidRPr="00925097">
              <w:rPr>
                <w:rFonts w:ascii="Calibri" w:eastAsia="Times New Roman" w:hAnsi="Calibri"/>
                <w:color w:val="000000"/>
                <w:lang w:eastAsia="tr-TR"/>
              </w:rPr>
              <w:t xml:space="preserve">0,2 </w:t>
            </w:r>
          </w:p>
        </w:tc>
        <w:tc>
          <w:tcPr>
            <w:tcW w:w="773" w:type="pct"/>
            <w:tcBorders>
              <w:top w:val="nil"/>
              <w:left w:val="nil"/>
              <w:bottom w:val="single" w:sz="8" w:space="0" w:color="BFBFBF"/>
              <w:right w:val="single" w:sz="8" w:space="0" w:color="BFBFBF"/>
            </w:tcBorders>
            <w:shd w:val="clear" w:color="auto" w:fill="auto"/>
            <w:noWrap/>
            <w:vAlign w:val="center"/>
          </w:tcPr>
          <w:p w:rsidR="00034DE5" w:rsidRPr="00925097" w:rsidRDefault="00034DE5" w:rsidP="00034DE5">
            <w:pPr>
              <w:spacing w:after="0" w:line="240" w:lineRule="auto"/>
              <w:jc w:val="right"/>
              <w:rPr>
                <w:rFonts w:ascii="Calibri" w:eastAsia="Times New Roman" w:hAnsi="Calibri"/>
                <w:color w:val="000000"/>
                <w:lang w:eastAsia="tr-TR"/>
              </w:rPr>
            </w:pPr>
            <w:r w:rsidRPr="00925097">
              <w:rPr>
                <w:rFonts w:ascii="Calibri" w:eastAsia="Times New Roman" w:hAnsi="Calibri"/>
                <w:color w:val="000000"/>
                <w:lang w:eastAsia="tr-TR"/>
              </w:rPr>
              <w:t xml:space="preserve">61.638 </w:t>
            </w:r>
          </w:p>
        </w:tc>
        <w:tc>
          <w:tcPr>
            <w:tcW w:w="346" w:type="pct"/>
            <w:tcBorders>
              <w:top w:val="nil"/>
              <w:left w:val="nil"/>
              <w:bottom w:val="single" w:sz="8" w:space="0" w:color="BFBFBF"/>
              <w:right w:val="single" w:sz="8" w:space="0" w:color="BFBFBF"/>
            </w:tcBorders>
            <w:shd w:val="clear" w:color="auto" w:fill="auto"/>
            <w:noWrap/>
            <w:vAlign w:val="center"/>
          </w:tcPr>
          <w:p w:rsidR="00034DE5" w:rsidRPr="00925097" w:rsidRDefault="00034DE5" w:rsidP="00034DE5">
            <w:pPr>
              <w:spacing w:after="0" w:line="240" w:lineRule="auto"/>
              <w:jc w:val="center"/>
              <w:rPr>
                <w:rFonts w:ascii="Calibri" w:eastAsia="Times New Roman" w:hAnsi="Calibri"/>
                <w:color w:val="000000"/>
                <w:lang w:eastAsia="tr-TR"/>
              </w:rPr>
            </w:pPr>
            <w:r w:rsidRPr="00925097">
              <w:rPr>
                <w:rFonts w:ascii="Calibri" w:eastAsia="Times New Roman" w:hAnsi="Calibri"/>
                <w:color w:val="000000"/>
                <w:lang w:eastAsia="tr-TR"/>
              </w:rPr>
              <w:t xml:space="preserve">0,01 </w:t>
            </w:r>
          </w:p>
        </w:tc>
      </w:tr>
      <w:tr w:rsidR="00034DE5" w:rsidRPr="00925097" w:rsidTr="00034DE5">
        <w:trPr>
          <w:trHeight w:val="397"/>
          <w:jc w:val="center"/>
        </w:trPr>
        <w:tc>
          <w:tcPr>
            <w:tcW w:w="2932" w:type="pct"/>
            <w:tcBorders>
              <w:top w:val="nil"/>
              <w:left w:val="single" w:sz="8" w:space="0" w:color="BFBFBF"/>
              <w:bottom w:val="single" w:sz="8" w:space="0" w:color="BFBFBF"/>
              <w:right w:val="single" w:sz="8" w:space="0" w:color="BFBFBF"/>
            </w:tcBorders>
            <w:shd w:val="clear" w:color="auto" w:fill="auto"/>
            <w:noWrap/>
            <w:vAlign w:val="center"/>
            <w:hideMark/>
          </w:tcPr>
          <w:p w:rsidR="00034DE5" w:rsidRPr="00925097" w:rsidRDefault="00034DE5" w:rsidP="00034DE5">
            <w:pPr>
              <w:spacing w:after="0" w:line="240" w:lineRule="auto"/>
              <w:rPr>
                <w:rFonts w:ascii="Calibri" w:eastAsia="Times New Roman" w:hAnsi="Calibri"/>
                <w:color w:val="000000"/>
                <w:lang w:eastAsia="tr-TR"/>
              </w:rPr>
            </w:pPr>
            <w:r w:rsidRPr="00925097">
              <w:rPr>
                <w:rFonts w:ascii="Calibri" w:eastAsia="Times New Roman" w:hAnsi="Calibri"/>
                <w:color w:val="000000"/>
                <w:lang w:eastAsia="tr-TR"/>
              </w:rPr>
              <w:t>Madeni Yağ</w:t>
            </w:r>
          </w:p>
        </w:tc>
        <w:tc>
          <w:tcPr>
            <w:tcW w:w="603" w:type="pct"/>
            <w:tcBorders>
              <w:top w:val="nil"/>
              <w:left w:val="nil"/>
              <w:bottom w:val="single" w:sz="8" w:space="0" w:color="BFBFBF"/>
              <w:right w:val="single" w:sz="8" w:space="0" w:color="BFBFBF"/>
            </w:tcBorders>
            <w:shd w:val="clear" w:color="auto" w:fill="auto"/>
            <w:noWrap/>
            <w:vAlign w:val="center"/>
            <w:hideMark/>
          </w:tcPr>
          <w:p w:rsidR="00034DE5" w:rsidRPr="00925097" w:rsidRDefault="00034DE5" w:rsidP="00034DE5">
            <w:pPr>
              <w:spacing w:after="0" w:line="240" w:lineRule="auto"/>
              <w:jc w:val="center"/>
              <w:rPr>
                <w:rFonts w:ascii="Calibri" w:eastAsia="Times New Roman" w:hAnsi="Calibri"/>
                <w:color w:val="000000"/>
                <w:lang w:eastAsia="tr-TR"/>
              </w:rPr>
            </w:pPr>
            <w:r w:rsidRPr="00925097">
              <w:rPr>
                <w:rFonts w:ascii="Calibri" w:eastAsia="Times New Roman" w:hAnsi="Calibri"/>
                <w:color w:val="000000"/>
                <w:lang w:eastAsia="tr-TR"/>
              </w:rPr>
              <w:t xml:space="preserve">9 </w:t>
            </w:r>
          </w:p>
        </w:tc>
        <w:tc>
          <w:tcPr>
            <w:tcW w:w="346" w:type="pct"/>
            <w:tcBorders>
              <w:top w:val="nil"/>
              <w:left w:val="nil"/>
              <w:bottom w:val="single" w:sz="8" w:space="0" w:color="BFBFBF"/>
              <w:right w:val="single" w:sz="8" w:space="0" w:color="BFBFBF"/>
            </w:tcBorders>
            <w:shd w:val="clear" w:color="auto" w:fill="auto"/>
            <w:noWrap/>
            <w:vAlign w:val="center"/>
            <w:hideMark/>
          </w:tcPr>
          <w:p w:rsidR="00034DE5" w:rsidRPr="00925097" w:rsidRDefault="00034DE5" w:rsidP="00034DE5">
            <w:pPr>
              <w:spacing w:after="0" w:line="240" w:lineRule="auto"/>
              <w:jc w:val="center"/>
              <w:rPr>
                <w:rFonts w:ascii="Calibri" w:eastAsia="Times New Roman" w:hAnsi="Calibri"/>
                <w:color w:val="000000"/>
                <w:lang w:eastAsia="tr-TR"/>
              </w:rPr>
            </w:pPr>
            <w:r w:rsidRPr="00925097">
              <w:rPr>
                <w:rFonts w:ascii="Calibri" w:eastAsia="Times New Roman" w:hAnsi="Calibri"/>
                <w:color w:val="000000"/>
                <w:lang w:eastAsia="tr-TR"/>
              </w:rPr>
              <w:t xml:space="preserve">1,8 </w:t>
            </w:r>
          </w:p>
        </w:tc>
        <w:tc>
          <w:tcPr>
            <w:tcW w:w="773" w:type="pct"/>
            <w:tcBorders>
              <w:top w:val="nil"/>
              <w:left w:val="nil"/>
              <w:bottom w:val="single" w:sz="8" w:space="0" w:color="BFBFBF"/>
              <w:right w:val="single" w:sz="8" w:space="0" w:color="BFBFBF"/>
            </w:tcBorders>
            <w:shd w:val="clear" w:color="auto" w:fill="auto"/>
            <w:noWrap/>
            <w:vAlign w:val="center"/>
            <w:hideMark/>
          </w:tcPr>
          <w:p w:rsidR="00034DE5" w:rsidRPr="00925097" w:rsidRDefault="00034DE5" w:rsidP="00034DE5">
            <w:pPr>
              <w:spacing w:after="0" w:line="240" w:lineRule="auto"/>
              <w:jc w:val="right"/>
              <w:rPr>
                <w:rFonts w:ascii="Calibri" w:eastAsia="Times New Roman" w:hAnsi="Calibri"/>
                <w:color w:val="000000"/>
                <w:lang w:eastAsia="tr-TR"/>
              </w:rPr>
            </w:pPr>
            <w:r w:rsidRPr="00925097">
              <w:rPr>
                <w:rFonts w:ascii="Calibri" w:hAnsi="Calibri" w:cs="Calibri"/>
                <w:iCs/>
                <w:color w:val="000000"/>
              </w:rPr>
              <w:t xml:space="preserve">5.876.452 </w:t>
            </w:r>
          </w:p>
        </w:tc>
        <w:tc>
          <w:tcPr>
            <w:tcW w:w="346" w:type="pct"/>
            <w:tcBorders>
              <w:top w:val="nil"/>
              <w:left w:val="nil"/>
              <w:bottom w:val="single" w:sz="8" w:space="0" w:color="BFBFBF"/>
              <w:right w:val="single" w:sz="8" w:space="0" w:color="BFBFBF"/>
            </w:tcBorders>
            <w:shd w:val="clear" w:color="auto" w:fill="auto"/>
            <w:noWrap/>
            <w:vAlign w:val="center"/>
            <w:hideMark/>
          </w:tcPr>
          <w:p w:rsidR="00034DE5" w:rsidRPr="00925097" w:rsidRDefault="00034DE5" w:rsidP="00034DE5">
            <w:pPr>
              <w:spacing w:after="0" w:line="240" w:lineRule="auto"/>
              <w:jc w:val="center"/>
              <w:rPr>
                <w:rFonts w:ascii="Calibri" w:eastAsia="Times New Roman" w:hAnsi="Calibri"/>
                <w:color w:val="000000"/>
                <w:lang w:eastAsia="tr-TR"/>
              </w:rPr>
            </w:pPr>
            <w:r w:rsidRPr="00925097">
              <w:rPr>
                <w:rFonts w:ascii="Calibri" w:eastAsia="Times New Roman" w:hAnsi="Calibri"/>
                <w:color w:val="000000"/>
                <w:lang w:eastAsia="tr-TR"/>
              </w:rPr>
              <w:t xml:space="preserve">1,26  </w:t>
            </w:r>
          </w:p>
        </w:tc>
      </w:tr>
      <w:tr w:rsidR="00034DE5" w:rsidRPr="00925097" w:rsidTr="00034DE5">
        <w:trPr>
          <w:trHeight w:val="397"/>
          <w:jc w:val="center"/>
        </w:trPr>
        <w:tc>
          <w:tcPr>
            <w:tcW w:w="2932" w:type="pct"/>
            <w:tcBorders>
              <w:top w:val="nil"/>
              <w:left w:val="single" w:sz="8" w:space="0" w:color="BFBFBF"/>
              <w:bottom w:val="single" w:sz="8" w:space="0" w:color="BFBFBF"/>
              <w:right w:val="single" w:sz="8" w:space="0" w:color="BFBFBF"/>
            </w:tcBorders>
            <w:shd w:val="clear" w:color="auto" w:fill="auto"/>
            <w:noWrap/>
            <w:vAlign w:val="center"/>
          </w:tcPr>
          <w:p w:rsidR="00034DE5" w:rsidRPr="00925097" w:rsidRDefault="00034DE5" w:rsidP="00034DE5">
            <w:pPr>
              <w:spacing w:after="0" w:line="240" w:lineRule="auto"/>
              <w:rPr>
                <w:rFonts w:ascii="Calibri" w:eastAsia="Times New Roman" w:hAnsi="Calibri"/>
                <w:color w:val="000000"/>
                <w:lang w:eastAsia="tr-TR"/>
              </w:rPr>
            </w:pPr>
            <w:r w:rsidRPr="00925097">
              <w:rPr>
                <w:rFonts w:ascii="Calibri" w:eastAsia="Times New Roman" w:hAnsi="Calibri"/>
                <w:color w:val="000000"/>
                <w:lang w:eastAsia="tr-TR"/>
              </w:rPr>
              <w:t>Kurumca Yetki Verilen Otomasyon Firmaları</w:t>
            </w:r>
          </w:p>
        </w:tc>
        <w:tc>
          <w:tcPr>
            <w:tcW w:w="603" w:type="pct"/>
            <w:tcBorders>
              <w:top w:val="nil"/>
              <w:left w:val="nil"/>
              <w:bottom w:val="single" w:sz="8" w:space="0" w:color="BFBFBF"/>
              <w:right w:val="single" w:sz="8" w:space="0" w:color="BFBFBF"/>
            </w:tcBorders>
            <w:shd w:val="clear" w:color="auto" w:fill="auto"/>
            <w:noWrap/>
            <w:vAlign w:val="center"/>
          </w:tcPr>
          <w:p w:rsidR="00034DE5" w:rsidRPr="00925097" w:rsidRDefault="00034DE5" w:rsidP="00034DE5">
            <w:pPr>
              <w:spacing w:after="0" w:line="240" w:lineRule="auto"/>
              <w:jc w:val="center"/>
              <w:rPr>
                <w:rFonts w:ascii="Calibri" w:eastAsia="Times New Roman" w:hAnsi="Calibri"/>
                <w:color w:val="000000"/>
                <w:lang w:eastAsia="tr-TR"/>
              </w:rPr>
            </w:pPr>
            <w:r w:rsidRPr="00925097">
              <w:rPr>
                <w:rFonts w:ascii="Calibri" w:eastAsia="Times New Roman" w:hAnsi="Calibri"/>
                <w:color w:val="000000"/>
                <w:lang w:eastAsia="tr-TR"/>
              </w:rPr>
              <w:t xml:space="preserve">1 </w:t>
            </w:r>
          </w:p>
        </w:tc>
        <w:tc>
          <w:tcPr>
            <w:tcW w:w="346" w:type="pct"/>
            <w:tcBorders>
              <w:top w:val="nil"/>
              <w:left w:val="nil"/>
              <w:bottom w:val="single" w:sz="8" w:space="0" w:color="BFBFBF"/>
              <w:right w:val="single" w:sz="8" w:space="0" w:color="BFBFBF"/>
            </w:tcBorders>
            <w:shd w:val="clear" w:color="auto" w:fill="auto"/>
            <w:noWrap/>
            <w:vAlign w:val="center"/>
          </w:tcPr>
          <w:p w:rsidR="00034DE5" w:rsidRPr="00925097" w:rsidRDefault="00034DE5" w:rsidP="00034DE5">
            <w:pPr>
              <w:spacing w:after="0" w:line="240" w:lineRule="auto"/>
              <w:jc w:val="center"/>
              <w:rPr>
                <w:rFonts w:ascii="Calibri" w:eastAsia="Times New Roman" w:hAnsi="Calibri"/>
                <w:color w:val="000000"/>
                <w:lang w:eastAsia="tr-TR"/>
              </w:rPr>
            </w:pPr>
            <w:r w:rsidRPr="00925097">
              <w:rPr>
                <w:rFonts w:ascii="Calibri" w:eastAsia="Times New Roman" w:hAnsi="Calibri"/>
                <w:color w:val="000000"/>
                <w:lang w:eastAsia="tr-TR"/>
              </w:rPr>
              <w:t xml:space="preserve">0,2 </w:t>
            </w:r>
          </w:p>
        </w:tc>
        <w:tc>
          <w:tcPr>
            <w:tcW w:w="773" w:type="pct"/>
            <w:tcBorders>
              <w:top w:val="nil"/>
              <w:left w:val="nil"/>
              <w:bottom w:val="single" w:sz="8" w:space="0" w:color="BFBFBF"/>
              <w:right w:val="single" w:sz="8" w:space="0" w:color="BFBFBF"/>
            </w:tcBorders>
            <w:shd w:val="clear" w:color="auto" w:fill="auto"/>
            <w:noWrap/>
            <w:vAlign w:val="center"/>
          </w:tcPr>
          <w:p w:rsidR="00034DE5" w:rsidRPr="00925097" w:rsidRDefault="00034DE5" w:rsidP="00034DE5">
            <w:pPr>
              <w:spacing w:after="0" w:line="240" w:lineRule="auto"/>
              <w:jc w:val="right"/>
              <w:rPr>
                <w:rFonts w:ascii="Calibri" w:eastAsia="Times New Roman" w:hAnsi="Calibri"/>
                <w:color w:val="000000"/>
                <w:lang w:eastAsia="tr-TR"/>
              </w:rPr>
            </w:pPr>
            <w:r w:rsidRPr="00925097">
              <w:rPr>
                <w:rFonts w:ascii="Calibri" w:hAnsi="Calibri" w:cs="Calibri"/>
                <w:color w:val="000000"/>
              </w:rPr>
              <w:t xml:space="preserve">1.138.522  </w:t>
            </w:r>
          </w:p>
        </w:tc>
        <w:tc>
          <w:tcPr>
            <w:tcW w:w="346" w:type="pct"/>
            <w:tcBorders>
              <w:top w:val="nil"/>
              <w:left w:val="nil"/>
              <w:bottom w:val="single" w:sz="8" w:space="0" w:color="BFBFBF"/>
              <w:right w:val="single" w:sz="8" w:space="0" w:color="BFBFBF"/>
            </w:tcBorders>
            <w:shd w:val="clear" w:color="auto" w:fill="auto"/>
            <w:noWrap/>
            <w:vAlign w:val="center"/>
          </w:tcPr>
          <w:p w:rsidR="00034DE5" w:rsidRPr="00925097" w:rsidRDefault="00034DE5" w:rsidP="00034DE5">
            <w:pPr>
              <w:spacing w:after="0" w:line="240" w:lineRule="auto"/>
              <w:jc w:val="center"/>
              <w:rPr>
                <w:rFonts w:ascii="Calibri" w:eastAsia="Times New Roman" w:hAnsi="Calibri"/>
                <w:color w:val="000000"/>
                <w:lang w:eastAsia="tr-TR"/>
              </w:rPr>
            </w:pPr>
            <w:r w:rsidRPr="00925097">
              <w:rPr>
                <w:rFonts w:ascii="Calibri" w:eastAsia="Times New Roman" w:hAnsi="Calibri"/>
                <w:color w:val="000000"/>
                <w:lang w:eastAsia="tr-TR"/>
              </w:rPr>
              <w:t xml:space="preserve">0,24 </w:t>
            </w:r>
          </w:p>
        </w:tc>
      </w:tr>
      <w:tr w:rsidR="00034DE5" w:rsidRPr="00925097" w:rsidTr="00034DE5">
        <w:trPr>
          <w:trHeight w:val="397"/>
          <w:jc w:val="center"/>
        </w:trPr>
        <w:tc>
          <w:tcPr>
            <w:tcW w:w="2932" w:type="pct"/>
            <w:tcBorders>
              <w:top w:val="nil"/>
              <w:left w:val="single" w:sz="8" w:space="0" w:color="BFBFBF"/>
              <w:bottom w:val="single" w:sz="8" w:space="0" w:color="BFBFBF"/>
              <w:right w:val="single" w:sz="8" w:space="0" w:color="BFBFBF"/>
            </w:tcBorders>
            <w:shd w:val="clear" w:color="auto" w:fill="auto"/>
            <w:noWrap/>
            <w:vAlign w:val="center"/>
            <w:hideMark/>
          </w:tcPr>
          <w:p w:rsidR="00034DE5" w:rsidRPr="00925097" w:rsidRDefault="00034DE5" w:rsidP="00034DE5">
            <w:pPr>
              <w:spacing w:after="0" w:line="240" w:lineRule="auto"/>
              <w:rPr>
                <w:rFonts w:ascii="Calibri" w:eastAsia="Times New Roman" w:hAnsi="Calibri"/>
                <w:b/>
                <w:bCs/>
                <w:color w:val="000000"/>
                <w:lang w:eastAsia="tr-TR"/>
              </w:rPr>
            </w:pPr>
            <w:r w:rsidRPr="00925097">
              <w:rPr>
                <w:rFonts w:ascii="Calibri" w:eastAsia="Times New Roman" w:hAnsi="Calibri"/>
                <w:b/>
                <w:bCs/>
                <w:color w:val="000000"/>
                <w:lang w:eastAsia="tr-TR"/>
              </w:rPr>
              <w:t>Toplam</w:t>
            </w:r>
          </w:p>
        </w:tc>
        <w:tc>
          <w:tcPr>
            <w:tcW w:w="603" w:type="pct"/>
            <w:tcBorders>
              <w:top w:val="nil"/>
              <w:left w:val="nil"/>
              <w:bottom w:val="single" w:sz="8" w:space="0" w:color="BFBFBF"/>
              <w:right w:val="single" w:sz="8" w:space="0" w:color="BFBFBF"/>
            </w:tcBorders>
            <w:shd w:val="clear" w:color="auto" w:fill="auto"/>
            <w:noWrap/>
            <w:vAlign w:val="center"/>
            <w:hideMark/>
          </w:tcPr>
          <w:p w:rsidR="00034DE5" w:rsidRPr="00925097" w:rsidRDefault="00034DE5" w:rsidP="00034DE5">
            <w:pPr>
              <w:spacing w:after="0" w:line="240" w:lineRule="auto"/>
              <w:jc w:val="center"/>
              <w:rPr>
                <w:rFonts w:ascii="Calibri" w:eastAsia="Times New Roman" w:hAnsi="Calibri"/>
                <w:b/>
                <w:bCs/>
                <w:color w:val="000000"/>
                <w:lang w:eastAsia="tr-TR"/>
              </w:rPr>
            </w:pPr>
            <w:r w:rsidRPr="00925097">
              <w:rPr>
                <w:rFonts w:ascii="Calibri" w:eastAsia="Times New Roman" w:hAnsi="Calibri"/>
                <w:b/>
                <w:bCs/>
                <w:color w:val="000000"/>
                <w:lang w:eastAsia="tr-TR"/>
              </w:rPr>
              <w:t xml:space="preserve">499 </w:t>
            </w:r>
          </w:p>
        </w:tc>
        <w:tc>
          <w:tcPr>
            <w:tcW w:w="346" w:type="pct"/>
            <w:tcBorders>
              <w:top w:val="nil"/>
              <w:left w:val="nil"/>
              <w:bottom w:val="single" w:sz="8" w:space="0" w:color="BFBFBF"/>
              <w:right w:val="single" w:sz="8" w:space="0" w:color="BFBFBF"/>
            </w:tcBorders>
            <w:shd w:val="clear" w:color="auto" w:fill="auto"/>
            <w:noWrap/>
            <w:vAlign w:val="center"/>
            <w:hideMark/>
          </w:tcPr>
          <w:p w:rsidR="00034DE5" w:rsidRPr="00925097" w:rsidRDefault="00034DE5" w:rsidP="00034DE5">
            <w:pPr>
              <w:spacing w:after="0" w:line="240" w:lineRule="auto"/>
              <w:jc w:val="center"/>
              <w:rPr>
                <w:rFonts w:ascii="Calibri" w:eastAsia="Times New Roman" w:hAnsi="Calibri"/>
                <w:b/>
                <w:bCs/>
                <w:color w:val="000000"/>
                <w:lang w:eastAsia="tr-TR"/>
              </w:rPr>
            </w:pPr>
            <w:r w:rsidRPr="00925097">
              <w:rPr>
                <w:rFonts w:ascii="Calibri" w:eastAsia="Times New Roman" w:hAnsi="Calibri"/>
                <w:b/>
                <w:bCs/>
                <w:color w:val="000000"/>
                <w:lang w:eastAsia="tr-TR"/>
              </w:rPr>
              <w:t>100</w:t>
            </w:r>
          </w:p>
        </w:tc>
        <w:tc>
          <w:tcPr>
            <w:tcW w:w="773" w:type="pct"/>
            <w:tcBorders>
              <w:top w:val="nil"/>
              <w:left w:val="nil"/>
              <w:bottom w:val="single" w:sz="8" w:space="0" w:color="BFBFBF"/>
              <w:right w:val="single" w:sz="8" w:space="0" w:color="BFBFBF"/>
            </w:tcBorders>
            <w:shd w:val="clear" w:color="auto" w:fill="auto"/>
            <w:noWrap/>
            <w:vAlign w:val="center"/>
            <w:hideMark/>
          </w:tcPr>
          <w:p w:rsidR="00034DE5" w:rsidRPr="00925097" w:rsidRDefault="00034DE5" w:rsidP="00034DE5">
            <w:pPr>
              <w:spacing w:after="0" w:line="240" w:lineRule="auto"/>
              <w:jc w:val="right"/>
              <w:rPr>
                <w:rFonts w:ascii="Calibri" w:eastAsia="Times New Roman" w:hAnsi="Calibri"/>
                <w:b/>
                <w:bCs/>
                <w:color w:val="000000"/>
                <w:lang w:eastAsia="tr-TR"/>
              </w:rPr>
            </w:pPr>
            <w:r w:rsidRPr="00925097">
              <w:rPr>
                <w:rFonts w:ascii="Calibri" w:eastAsia="Times New Roman" w:hAnsi="Calibri"/>
                <w:b/>
                <w:bCs/>
                <w:color w:val="000000"/>
                <w:lang w:eastAsia="tr-TR"/>
              </w:rPr>
              <w:t xml:space="preserve">466.699.019 </w:t>
            </w:r>
          </w:p>
        </w:tc>
        <w:tc>
          <w:tcPr>
            <w:tcW w:w="346" w:type="pct"/>
            <w:tcBorders>
              <w:top w:val="nil"/>
              <w:left w:val="nil"/>
              <w:bottom w:val="single" w:sz="8" w:space="0" w:color="BFBFBF"/>
              <w:right w:val="single" w:sz="8" w:space="0" w:color="BFBFBF"/>
            </w:tcBorders>
            <w:shd w:val="clear" w:color="auto" w:fill="auto"/>
            <w:noWrap/>
            <w:vAlign w:val="center"/>
            <w:hideMark/>
          </w:tcPr>
          <w:p w:rsidR="00034DE5" w:rsidRPr="00925097" w:rsidRDefault="00034DE5" w:rsidP="00034DE5">
            <w:pPr>
              <w:spacing w:after="0" w:line="240" w:lineRule="auto"/>
              <w:jc w:val="center"/>
              <w:rPr>
                <w:rFonts w:ascii="Calibri" w:eastAsia="Times New Roman" w:hAnsi="Calibri"/>
                <w:b/>
                <w:bCs/>
                <w:color w:val="000000"/>
                <w:lang w:eastAsia="tr-TR"/>
              </w:rPr>
            </w:pPr>
            <w:r w:rsidRPr="00925097">
              <w:rPr>
                <w:rFonts w:ascii="Calibri" w:eastAsia="Times New Roman" w:hAnsi="Calibri"/>
                <w:b/>
                <w:bCs/>
                <w:color w:val="000000"/>
                <w:lang w:eastAsia="tr-TR"/>
              </w:rPr>
              <w:t>100</w:t>
            </w:r>
          </w:p>
        </w:tc>
      </w:tr>
    </w:tbl>
    <w:p w:rsidR="003D0DD5" w:rsidRPr="00925097" w:rsidRDefault="003D0DD5" w:rsidP="003D0DD5">
      <w:pPr>
        <w:spacing w:after="0"/>
      </w:pPr>
    </w:p>
    <w:p w:rsidR="0078671F" w:rsidRPr="00925097" w:rsidRDefault="0078671F" w:rsidP="003D0DD5">
      <w:pPr>
        <w:spacing w:after="0"/>
      </w:pPr>
    </w:p>
    <w:p w:rsidR="0078671F" w:rsidRPr="00122C27" w:rsidRDefault="0078671F" w:rsidP="003D0DD5">
      <w:pPr>
        <w:spacing w:after="0"/>
      </w:pPr>
    </w:p>
    <w:p w:rsidR="003D0DD5" w:rsidRPr="007A7736" w:rsidRDefault="003D0DD5" w:rsidP="009D79C2">
      <w:pPr>
        <w:pStyle w:val="Balk5"/>
        <w:spacing w:after="240"/>
        <w:jc w:val="center"/>
        <w:rPr>
          <w:rStyle w:val="Gl"/>
          <w:color w:val="000000" w:themeColor="text1"/>
        </w:rPr>
      </w:pPr>
      <w:bookmarkStart w:id="362" w:name="_Toc132713934"/>
      <w:r w:rsidRPr="00122C27">
        <w:rPr>
          <w:rStyle w:val="Gl"/>
          <w:color w:val="000000" w:themeColor="text1"/>
        </w:rPr>
        <w:lastRenderedPageBreak/>
        <w:t>Tablo 6.</w:t>
      </w:r>
      <w:r w:rsidR="00034DE5">
        <w:rPr>
          <w:rStyle w:val="Gl"/>
          <w:color w:val="000000" w:themeColor="text1"/>
        </w:rPr>
        <w:t>6</w:t>
      </w:r>
      <w:r w:rsidRPr="00122C27">
        <w:rPr>
          <w:rStyle w:val="Gl"/>
          <w:color w:val="000000" w:themeColor="text1"/>
        </w:rPr>
        <w:t xml:space="preserve">: </w:t>
      </w:r>
      <w:r w:rsidRPr="00FA1354">
        <w:rPr>
          <w:rStyle w:val="Gl"/>
          <w:color w:val="000000" w:themeColor="text1"/>
        </w:rPr>
        <w:t>Petrol Piyasasında 20</w:t>
      </w:r>
      <w:r w:rsidR="000C2D59" w:rsidRPr="00FA1354">
        <w:rPr>
          <w:rStyle w:val="Gl"/>
          <w:color w:val="000000" w:themeColor="text1"/>
        </w:rPr>
        <w:t>2</w:t>
      </w:r>
      <w:r w:rsidR="00034DE5">
        <w:rPr>
          <w:rStyle w:val="Gl"/>
          <w:color w:val="000000" w:themeColor="text1"/>
        </w:rPr>
        <w:t>1</w:t>
      </w:r>
      <w:r w:rsidR="003030D3" w:rsidRPr="00FA1354">
        <w:rPr>
          <w:rStyle w:val="Gl"/>
          <w:color w:val="000000" w:themeColor="text1"/>
        </w:rPr>
        <w:t>-202</w:t>
      </w:r>
      <w:r w:rsidR="00034DE5">
        <w:rPr>
          <w:rStyle w:val="Gl"/>
          <w:color w:val="000000" w:themeColor="text1"/>
        </w:rPr>
        <w:t>2</w:t>
      </w:r>
      <w:r w:rsidRPr="00FA1354">
        <w:rPr>
          <w:rStyle w:val="Gl"/>
          <w:color w:val="000000" w:themeColor="text1"/>
        </w:rPr>
        <w:t xml:space="preserve"> Yıllarında Uygulanan İdari Para Cezalarının Lisans Tipine Göre Dağılımı</w:t>
      </w:r>
      <w:bookmarkEnd w:id="362"/>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4040"/>
        <w:gridCol w:w="2300"/>
        <w:gridCol w:w="684"/>
        <w:gridCol w:w="2205"/>
        <w:gridCol w:w="682"/>
      </w:tblGrid>
      <w:tr w:rsidR="003D0DD5" w:rsidRPr="00B720FE" w:rsidTr="00DA6562">
        <w:trPr>
          <w:trHeight w:val="397"/>
          <w:jc w:val="center"/>
        </w:trPr>
        <w:tc>
          <w:tcPr>
            <w:tcW w:w="1895" w:type="pct"/>
            <w:vMerge w:val="restart"/>
            <w:shd w:val="clear" w:color="000000" w:fill="6E9ECA"/>
            <w:vAlign w:val="center"/>
            <w:hideMark/>
          </w:tcPr>
          <w:p w:rsidR="003D0DD5" w:rsidRPr="00B720FE" w:rsidRDefault="003D0DD5" w:rsidP="00C079ED">
            <w:pPr>
              <w:spacing w:after="0" w:line="240" w:lineRule="auto"/>
              <w:jc w:val="center"/>
              <w:rPr>
                <w:rFonts w:ascii="Calibri" w:eastAsia="Times New Roman" w:hAnsi="Calibri"/>
                <w:b/>
                <w:bCs/>
                <w:color w:val="FFFFFF"/>
                <w:lang w:eastAsia="tr-TR"/>
              </w:rPr>
            </w:pPr>
            <w:r w:rsidRPr="00B720FE">
              <w:rPr>
                <w:rFonts w:ascii="Calibri" w:eastAsia="Times New Roman" w:hAnsi="Calibri"/>
                <w:b/>
                <w:bCs/>
                <w:color w:val="FFFFFF"/>
                <w:lang w:eastAsia="tr-TR"/>
              </w:rPr>
              <w:t> Lisans Tipi</w:t>
            </w:r>
          </w:p>
        </w:tc>
        <w:tc>
          <w:tcPr>
            <w:tcW w:w="1577" w:type="pct"/>
            <w:gridSpan w:val="2"/>
            <w:shd w:val="clear" w:color="000000" w:fill="6E9ECA"/>
            <w:vAlign w:val="center"/>
            <w:hideMark/>
          </w:tcPr>
          <w:p w:rsidR="003D0DD5" w:rsidRPr="00B720FE" w:rsidRDefault="003030D3" w:rsidP="00C079ED">
            <w:pPr>
              <w:spacing w:after="0" w:line="240" w:lineRule="auto"/>
              <w:jc w:val="center"/>
              <w:rPr>
                <w:rFonts w:ascii="Calibri" w:eastAsia="Times New Roman" w:hAnsi="Calibri"/>
                <w:b/>
                <w:bCs/>
                <w:color w:val="FFFFFF"/>
                <w:lang w:eastAsia="tr-TR"/>
              </w:rPr>
            </w:pPr>
            <w:r>
              <w:rPr>
                <w:rFonts w:ascii="Calibri" w:eastAsia="Times New Roman" w:hAnsi="Calibri"/>
                <w:b/>
                <w:bCs/>
                <w:color w:val="FFFFFF"/>
                <w:lang w:eastAsia="tr-TR"/>
              </w:rPr>
              <w:t>20</w:t>
            </w:r>
            <w:r w:rsidR="000C2D59">
              <w:rPr>
                <w:rFonts w:ascii="Calibri" w:eastAsia="Times New Roman" w:hAnsi="Calibri"/>
                <w:b/>
                <w:bCs/>
                <w:color w:val="FFFFFF"/>
                <w:lang w:eastAsia="tr-TR"/>
              </w:rPr>
              <w:t>2</w:t>
            </w:r>
            <w:r w:rsidR="00034DE5">
              <w:rPr>
                <w:rFonts w:ascii="Calibri" w:eastAsia="Times New Roman" w:hAnsi="Calibri"/>
                <w:b/>
                <w:bCs/>
                <w:color w:val="FFFFFF"/>
                <w:lang w:eastAsia="tr-TR"/>
              </w:rPr>
              <w:t>1</w:t>
            </w:r>
            <w:r w:rsidR="003D0DD5" w:rsidRPr="00B720FE">
              <w:rPr>
                <w:rFonts w:ascii="Calibri" w:eastAsia="Times New Roman" w:hAnsi="Calibri"/>
                <w:b/>
                <w:bCs/>
                <w:color w:val="FFFFFF"/>
                <w:lang w:eastAsia="tr-TR"/>
              </w:rPr>
              <w:t xml:space="preserve"> Yılı</w:t>
            </w:r>
          </w:p>
        </w:tc>
        <w:tc>
          <w:tcPr>
            <w:tcW w:w="1528" w:type="pct"/>
            <w:gridSpan w:val="2"/>
            <w:shd w:val="clear" w:color="000000" w:fill="6E9ECA"/>
            <w:vAlign w:val="center"/>
            <w:hideMark/>
          </w:tcPr>
          <w:p w:rsidR="003D0DD5" w:rsidRPr="00B720FE" w:rsidRDefault="003030D3" w:rsidP="00C079ED">
            <w:pPr>
              <w:spacing w:after="0" w:line="240" w:lineRule="auto"/>
              <w:jc w:val="center"/>
              <w:rPr>
                <w:rFonts w:ascii="Calibri" w:eastAsia="Times New Roman" w:hAnsi="Calibri"/>
                <w:b/>
                <w:bCs/>
                <w:color w:val="FFFFFF"/>
                <w:lang w:eastAsia="tr-TR"/>
              </w:rPr>
            </w:pPr>
            <w:r>
              <w:rPr>
                <w:rFonts w:ascii="Calibri" w:eastAsia="Times New Roman" w:hAnsi="Calibri"/>
                <w:b/>
                <w:bCs/>
                <w:color w:val="FFFFFF"/>
                <w:lang w:eastAsia="tr-TR"/>
              </w:rPr>
              <w:t>202</w:t>
            </w:r>
            <w:r w:rsidR="00034DE5">
              <w:rPr>
                <w:rFonts w:ascii="Calibri" w:eastAsia="Times New Roman" w:hAnsi="Calibri"/>
                <w:b/>
                <w:bCs/>
                <w:color w:val="FFFFFF"/>
                <w:lang w:eastAsia="tr-TR"/>
              </w:rPr>
              <w:t>2</w:t>
            </w:r>
            <w:r w:rsidR="003D0DD5" w:rsidRPr="00B720FE">
              <w:rPr>
                <w:rFonts w:ascii="Calibri" w:eastAsia="Times New Roman" w:hAnsi="Calibri"/>
                <w:b/>
                <w:bCs/>
                <w:color w:val="FFFFFF"/>
                <w:lang w:eastAsia="tr-TR"/>
              </w:rPr>
              <w:t xml:space="preserve"> Yılı</w:t>
            </w:r>
          </w:p>
        </w:tc>
      </w:tr>
      <w:tr w:rsidR="003D0DD5" w:rsidRPr="00B720FE" w:rsidTr="00DA6562">
        <w:trPr>
          <w:trHeight w:val="397"/>
          <w:jc w:val="center"/>
        </w:trPr>
        <w:tc>
          <w:tcPr>
            <w:tcW w:w="1895" w:type="pct"/>
            <w:vMerge/>
            <w:vAlign w:val="center"/>
            <w:hideMark/>
          </w:tcPr>
          <w:p w:rsidR="003D0DD5" w:rsidRPr="00B720FE" w:rsidRDefault="003D0DD5" w:rsidP="00C079ED">
            <w:pPr>
              <w:spacing w:after="0" w:line="240" w:lineRule="auto"/>
              <w:rPr>
                <w:rFonts w:ascii="Calibri" w:eastAsia="Times New Roman" w:hAnsi="Calibri"/>
                <w:b/>
                <w:bCs/>
                <w:color w:val="FFFFFF"/>
                <w:lang w:eastAsia="tr-TR"/>
              </w:rPr>
            </w:pPr>
          </w:p>
        </w:tc>
        <w:tc>
          <w:tcPr>
            <w:tcW w:w="1196" w:type="pct"/>
            <w:shd w:val="clear" w:color="000000" w:fill="6E9ECA"/>
            <w:vAlign w:val="center"/>
            <w:hideMark/>
          </w:tcPr>
          <w:p w:rsidR="003D0DD5" w:rsidRPr="00B720FE" w:rsidRDefault="003D0DD5" w:rsidP="00C079ED">
            <w:pPr>
              <w:spacing w:after="0" w:line="240" w:lineRule="auto"/>
              <w:jc w:val="center"/>
              <w:rPr>
                <w:rFonts w:ascii="Calibri" w:eastAsia="Times New Roman" w:hAnsi="Calibri"/>
                <w:b/>
                <w:bCs/>
                <w:color w:val="FFFFFF"/>
                <w:lang w:eastAsia="tr-TR"/>
              </w:rPr>
            </w:pPr>
            <w:r w:rsidRPr="00B720FE">
              <w:rPr>
                <w:rFonts w:ascii="Calibri" w:eastAsia="Times New Roman" w:hAnsi="Calibri"/>
                <w:b/>
                <w:bCs/>
                <w:color w:val="FFFFFF"/>
                <w:lang w:eastAsia="tr-TR"/>
              </w:rPr>
              <w:t>İdari Para Cezası Tutarı (TL)</w:t>
            </w:r>
          </w:p>
        </w:tc>
        <w:tc>
          <w:tcPr>
            <w:tcW w:w="381" w:type="pct"/>
            <w:shd w:val="clear" w:color="000000" w:fill="6E9ECA"/>
            <w:vAlign w:val="center"/>
            <w:hideMark/>
          </w:tcPr>
          <w:p w:rsidR="003D0DD5" w:rsidRPr="00B720FE" w:rsidRDefault="003D0DD5" w:rsidP="00C079ED">
            <w:pPr>
              <w:spacing w:after="0" w:line="240" w:lineRule="auto"/>
              <w:jc w:val="center"/>
              <w:rPr>
                <w:rFonts w:ascii="Calibri" w:eastAsia="Times New Roman" w:hAnsi="Calibri"/>
                <w:b/>
                <w:bCs/>
                <w:color w:val="FFFFFF"/>
                <w:lang w:eastAsia="tr-TR"/>
              </w:rPr>
            </w:pPr>
            <w:r w:rsidRPr="00B720FE">
              <w:rPr>
                <w:rFonts w:ascii="Calibri" w:eastAsia="Times New Roman" w:hAnsi="Calibri"/>
                <w:b/>
                <w:bCs/>
                <w:color w:val="FFFFFF"/>
                <w:lang w:eastAsia="tr-TR"/>
              </w:rPr>
              <w:t>Oran (%)</w:t>
            </w:r>
          </w:p>
        </w:tc>
        <w:tc>
          <w:tcPr>
            <w:tcW w:w="1148" w:type="pct"/>
            <w:shd w:val="clear" w:color="000000" w:fill="6E9ECA"/>
            <w:vAlign w:val="center"/>
            <w:hideMark/>
          </w:tcPr>
          <w:p w:rsidR="003D0DD5" w:rsidRPr="00B720FE" w:rsidRDefault="003D0DD5" w:rsidP="00C079ED">
            <w:pPr>
              <w:spacing w:after="0" w:line="240" w:lineRule="auto"/>
              <w:jc w:val="center"/>
              <w:rPr>
                <w:rFonts w:ascii="Calibri" w:eastAsia="Times New Roman" w:hAnsi="Calibri"/>
                <w:b/>
                <w:bCs/>
                <w:color w:val="FFFFFF"/>
                <w:lang w:eastAsia="tr-TR"/>
              </w:rPr>
            </w:pPr>
            <w:r w:rsidRPr="00B720FE">
              <w:rPr>
                <w:rFonts w:ascii="Calibri" w:eastAsia="Times New Roman" w:hAnsi="Calibri"/>
                <w:b/>
                <w:bCs/>
                <w:color w:val="FFFFFF"/>
                <w:lang w:eastAsia="tr-TR"/>
              </w:rPr>
              <w:t>İdari Para Cezası Tutarı (TL)</w:t>
            </w:r>
          </w:p>
        </w:tc>
        <w:tc>
          <w:tcPr>
            <w:tcW w:w="380" w:type="pct"/>
            <w:shd w:val="clear" w:color="000000" w:fill="6E9ECA"/>
            <w:vAlign w:val="center"/>
            <w:hideMark/>
          </w:tcPr>
          <w:p w:rsidR="003D0DD5" w:rsidRPr="00B720FE" w:rsidRDefault="003D0DD5" w:rsidP="00C079ED">
            <w:pPr>
              <w:spacing w:after="0" w:line="240" w:lineRule="auto"/>
              <w:jc w:val="center"/>
              <w:rPr>
                <w:rFonts w:ascii="Calibri" w:eastAsia="Times New Roman" w:hAnsi="Calibri"/>
                <w:b/>
                <w:bCs/>
                <w:color w:val="FFFFFF"/>
                <w:lang w:eastAsia="tr-TR"/>
              </w:rPr>
            </w:pPr>
            <w:r w:rsidRPr="00B720FE">
              <w:rPr>
                <w:rFonts w:ascii="Calibri" w:eastAsia="Times New Roman" w:hAnsi="Calibri"/>
                <w:b/>
                <w:bCs/>
                <w:color w:val="FFFFFF"/>
                <w:lang w:eastAsia="tr-TR"/>
              </w:rPr>
              <w:t>Oran (%)</w:t>
            </w:r>
          </w:p>
        </w:tc>
      </w:tr>
      <w:tr w:rsidR="00034DE5" w:rsidRPr="00B720FE" w:rsidTr="00DA6562">
        <w:trPr>
          <w:trHeight w:val="397"/>
          <w:jc w:val="center"/>
        </w:trPr>
        <w:tc>
          <w:tcPr>
            <w:tcW w:w="1895" w:type="pct"/>
            <w:shd w:val="clear" w:color="auto" w:fill="auto"/>
            <w:noWrap/>
            <w:vAlign w:val="center"/>
            <w:hideMark/>
          </w:tcPr>
          <w:p w:rsidR="00034DE5" w:rsidRPr="009D79C2" w:rsidRDefault="00034DE5" w:rsidP="00034DE5">
            <w:pPr>
              <w:spacing w:after="0" w:line="240" w:lineRule="auto"/>
              <w:rPr>
                <w:rFonts w:ascii="Calibri" w:eastAsia="Times New Roman" w:hAnsi="Calibri"/>
                <w:color w:val="000000"/>
                <w:lang w:eastAsia="tr-TR"/>
              </w:rPr>
            </w:pPr>
            <w:r w:rsidRPr="009D79C2">
              <w:rPr>
                <w:rFonts w:ascii="Calibri" w:eastAsia="Times New Roman" w:hAnsi="Calibri"/>
                <w:color w:val="000000"/>
                <w:lang w:eastAsia="tr-TR"/>
              </w:rPr>
              <w:t>Dağıtıcı</w:t>
            </w:r>
          </w:p>
        </w:tc>
        <w:tc>
          <w:tcPr>
            <w:tcW w:w="1196" w:type="pct"/>
            <w:shd w:val="clear" w:color="auto" w:fill="auto"/>
            <w:noWrap/>
            <w:vAlign w:val="center"/>
            <w:hideMark/>
          </w:tcPr>
          <w:p w:rsidR="00034DE5" w:rsidRPr="009D79C2" w:rsidRDefault="00034DE5" w:rsidP="00034DE5">
            <w:pPr>
              <w:spacing w:after="0" w:line="240" w:lineRule="auto"/>
              <w:jc w:val="right"/>
              <w:rPr>
                <w:rFonts w:ascii="Calibri" w:eastAsia="Times New Roman" w:hAnsi="Calibri"/>
                <w:color w:val="000000"/>
                <w:lang w:eastAsia="tr-TR"/>
              </w:rPr>
            </w:pPr>
            <w:r w:rsidRPr="009D79C2">
              <w:rPr>
                <w:rFonts w:ascii="Calibri" w:eastAsia="Times New Roman" w:hAnsi="Calibri"/>
                <w:color w:val="000000"/>
                <w:lang w:eastAsia="tr-TR"/>
              </w:rPr>
              <w:t xml:space="preserve">1.222.494.522   </w:t>
            </w:r>
          </w:p>
        </w:tc>
        <w:tc>
          <w:tcPr>
            <w:tcW w:w="381" w:type="pct"/>
            <w:shd w:val="clear" w:color="auto" w:fill="auto"/>
            <w:noWrap/>
            <w:vAlign w:val="center"/>
            <w:hideMark/>
          </w:tcPr>
          <w:p w:rsidR="00034DE5" w:rsidRPr="009D79C2" w:rsidRDefault="00034DE5" w:rsidP="00034DE5">
            <w:pPr>
              <w:spacing w:after="0" w:line="240" w:lineRule="auto"/>
              <w:jc w:val="center"/>
              <w:rPr>
                <w:rFonts w:ascii="Calibri" w:eastAsia="Times New Roman" w:hAnsi="Calibri"/>
                <w:color w:val="000000"/>
                <w:lang w:eastAsia="tr-TR"/>
              </w:rPr>
            </w:pPr>
            <w:r w:rsidRPr="009D79C2">
              <w:rPr>
                <w:rFonts w:ascii="Calibri" w:eastAsia="Times New Roman" w:hAnsi="Calibri"/>
                <w:color w:val="000000"/>
                <w:lang w:eastAsia="tr-TR"/>
              </w:rPr>
              <w:t xml:space="preserve">91,16  </w:t>
            </w:r>
          </w:p>
        </w:tc>
        <w:tc>
          <w:tcPr>
            <w:tcW w:w="1148" w:type="pct"/>
            <w:shd w:val="clear" w:color="auto" w:fill="auto"/>
            <w:vAlign w:val="center"/>
          </w:tcPr>
          <w:p w:rsidR="00034DE5" w:rsidRPr="009D79C2" w:rsidRDefault="00034DE5" w:rsidP="00034DE5">
            <w:pPr>
              <w:spacing w:after="0" w:line="240" w:lineRule="auto"/>
              <w:jc w:val="right"/>
              <w:rPr>
                <w:rFonts w:ascii="Calibri" w:eastAsia="Times New Roman" w:hAnsi="Calibri"/>
                <w:color w:val="000000"/>
                <w:lang w:eastAsia="tr-TR"/>
              </w:rPr>
            </w:pPr>
            <w:r w:rsidRPr="009D79C2">
              <w:rPr>
                <w:rFonts w:ascii="Calibri" w:hAnsi="Calibri" w:cs="Calibri"/>
                <w:iCs/>
                <w:color w:val="000000"/>
              </w:rPr>
              <w:t xml:space="preserve">378.517.095 </w:t>
            </w:r>
          </w:p>
        </w:tc>
        <w:tc>
          <w:tcPr>
            <w:tcW w:w="380" w:type="pct"/>
            <w:shd w:val="clear" w:color="auto" w:fill="auto"/>
            <w:vAlign w:val="center"/>
          </w:tcPr>
          <w:p w:rsidR="00034DE5" w:rsidRPr="009D79C2" w:rsidRDefault="00034DE5" w:rsidP="00034DE5">
            <w:pPr>
              <w:spacing w:after="0" w:line="240" w:lineRule="auto"/>
              <w:jc w:val="center"/>
              <w:rPr>
                <w:rFonts w:ascii="Calibri" w:eastAsia="Times New Roman" w:hAnsi="Calibri"/>
                <w:color w:val="000000"/>
                <w:lang w:eastAsia="tr-TR"/>
              </w:rPr>
            </w:pPr>
            <w:r w:rsidRPr="009D79C2">
              <w:rPr>
                <w:rFonts w:ascii="Calibri" w:eastAsia="Times New Roman" w:hAnsi="Calibri"/>
                <w:color w:val="000000"/>
                <w:lang w:eastAsia="tr-TR"/>
              </w:rPr>
              <w:t xml:space="preserve">81,11 </w:t>
            </w:r>
          </w:p>
        </w:tc>
      </w:tr>
      <w:tr w:rsidR="00034DE5" w:rsidRPr="00B720FE" w:rsidTr="00DA6562">
        <w:trPr>
          <w:trHeight w:val="397"/>
          <w:jc w:val="center"/>
        </w:trPr>
        <w:tc>
          <w:tcPr>
            <w:tcW w:w="1895" w:type="pct"/>
            <w:shd w:val="clear" w:color="auto" w:fill="auto"/>
            <w:noWrap/>
            <w:vAlign w:val="center"/>
          </w:tcPr>
          <w:p w:rsidR="00034DE5" w:rsidRPr="009D79C2" w:rsidRDefault="00034DE5" w:rsidP="00034DE5">
            <w:pPr>
              <w:spacing w:after="0" w:line="240" w:lineRule="auto"/>
              <w:rPr>
                <w:rFonts w:ascii="Calibri" w:eastAsia="Times New Roman" w:hAnsi="Calibri"/>
                <w:color w:val="000000"/>
                <w:lang w:eastAsia="tr-TR"/>
              </w:rPr>
            </w:pPr>
            <w:r w:rsidRPr="009D79C2">
              <w:rPr>
                <w:rFonts w:ascii="Calibri" w:eastAsia="Times New Roman" w:hAnsi="Calibri"/>
                <w:color w:val="000000"/>
                <w:lang w:eastAsia="tr-TR"/>
              </w:rPr>
              <w:t>Bayilik</w:t>
            </w:r>
          </w:p>
        </w:tc>
        <w:tc>
          <w:tcPr>
            <w:tcW w:w="1196" w:type="pct"/>
            <w:shd w:val="clear" w:color="auto" w:fill="auto"/>
            <w:noWrap/>
            <w:vAlign w:val="center"/>
          </w:tcPr>
          <w:p w:rsidR="00034DE5" w:rsidRPr="009D79C2" w:rsidRDefault="00034DE5" w:rsidP="00034DE5">
            <w:pPr>
              <w:spacing w:after="0" w:line="240" w:lineRule="auto"/>
              <w:jc w:val="right"/>
              <w:rPr>
                <w:rFonts w:ascii="Calibri" w:eastAsia="Times New Roman" w:hAnsi="Calibri"/>
                <w:color w:val="000000"/>
                <w:lang w:eastAsia="tr-TR"/>
              </w:rPr>
            </w:pPr>
            <w:r w:rsidRPr="009D79C2">
              <w:rPr>
                <w:rFonts w:ascii="Calibri" w:eastAsia="Times New Roman" w:hAnsi="Calibri"/>
                <w:color w:val="000000"/>
                <w:lang w:eastAsia="tr-TR"/>
              </w:rPr>
              <w:t xml:space="preserve">91.176.754   </w:t>
            </w:r>
          </w:p>
        </w:tc>
        <w:tc>
          <w:tcPr>
            <w:tcW w:w="381" w:type="pct"/>
            <w:shd w:val="clear" w:color="auto" w:fill="auto"/>
            <w:noWrap/>
            <w:vAlign w:val="center"/>
          </w:tcPr>
          <w:p w:rsidR="00034DE5" w:rsidRPr="009D79C2" w:rsidRDefault="00034DE5" w:rsidP="00034DE5">
            <w:pPr>
              <w:spacing w:after="0" w:line="240" w:lineRule="auto"/>
              <w:jc w:val="center"/>
              <w:rPr>
                <w:rFonts w:ascii="Calibri" w:eastAsia="Times New Roman" w:hAnsi="Calibri"/>
                <w:color w:val="000000"/>
                <w:lang w:eastAsia="tr-TR"/>
              </w:rPr>
            </w:pPr>
            <w:r w:rsidRPr="009D79C2">
              <w:rPr>
                <w:rFonts w:ascii="Calibri" w:eastAsia="Times New Roman" w:hAnsi="Calibri"/>
                <w:color w:val="000000"/>
                <w:lang w:eastAsia="tr-TR"/>
              </w:rPr>
              <w:t xml:space="preserve">6,80 </w:t>
            </w:r>
          </w:p>
        </w:tc>
        <w:tc>
          <w:tcPr>
            <w:tcW w:w="1148" w:type="pct"/>
            <w:shd w:val="clear" w:color="auto" w:fill="auto"/>
            <w:vAlign w:val="center"/>
          </w:tcPr>
          <w:p w:rsidR="00034DE5" w:rsidRPr="009D79C2" w:rsidRDefault="00034DE5" w:rsidP="00034DE5">
            <w:pPr>
              <w:spacing w:after="0" w:line="240" w:lineRule="auto"/>
              <w:jc w:val="right"/>
              <w:rPr>
                <w:rFonts w:ascii="Calibri" w:eastAsia="Times New Roman" w:hAnsi="Calibri"/>
                <w:color w:val="000000"/>
                <w:lang w:eastAsia="tr-TR"/>
              </w:rPr>
            </w:pPr>
            <w:r w:rsidRPr="009D79C2">
              <w:rPr>
                <w:rFonts w:ascii="Calibri" w:hAnsi="Calibri" w:cs="Calibri"/>
                <w:iCs/>
                <w:color w:val="000000"/>
              </w:rPr>
              <w:t xml:space="preserve">81.105.312 </w:t>
            </w:r>
          </w:p>
        </w:tc>
        <w:tc>
          <w:tcPr>
            <w:tcW w:w="380" w:type="pct"/>
            <w:shd w:val="clear" w:color="auto" w:fill="auto"/>
            <w:vAlign w:val="center"/>
          </w:tcPr>
          <w:p w:rsidR="00034DE5" w:rsidRPr="009D79C2" w:rsidRDefault="00034DE5" w:rsidP="00034DE5">
            <w:pPr>
              <w:spacing w:after="0" w:line="240" w:lineRule="auto"/>
              <w:jc w:val="center"/>
              <w:rPr>
                <w:rFonts w:ascii="Calibri" w:eastAsia="Times New Roman" w:hAnsi="Calibri"/>
                <w:color w:val="000000"/>
                <w:lang w:eastAsia="tr-TR"/>
              </w:rPr>
            </w:pPr>
            <w:r w:rsidRPr="009D79C2">
              <w:rPr>
                <w:rFonts w:ascii="Calibri" w:eastAsia="Times New Roman" w:hAnsi="Calibri"/>
                <w:color w:val="000000"/>
                <w:lang w:eastAsia="tr-TR"/>
              </w:rPr>
              <w:t xml:space="preserve">17,38 </w:t>
            </w:r>
          </w:p>
        </w:tc>
      </w:tr>
      <w:tr w:rsidR="00034DE5" w:rsidRPr="00B720FE" w:rsidTr="00DA6562">
        <w:trPr>
          <w:trHeight w:val="397"/>
          <w:jc w:val="center"/>
        </w:trPr>
        <w:tc>
          <w:tcPr>
            <w:tcW w:w="1895" w:type="pct"/>
            <w:shd w:val="clear" w:color="auto" w:fill="auto"/>
            <w:noWrap/>
            <w:vAlign w:val="center"/>
          </w:tcPr>
          <w:p w:rsidR="00034DE5" w:rsidRPr="009D79C2" w:rsidRDefault="00034DE5" w:rsidP="00034DE5">
            <w:pPr>
              <w:spacing w:after="0" w:line="240" w:lineRule="auto"/>
              <w:rPr>
                <w:rFonts w:ascii="Calibri" w:eastAsia="Times New Roman" w:hAnsi="Calibri"/>
                <w:color w:val="000000"/>
                <w:lang w:eastAsia="tr-TR"/>
              </w:rPr>
            </w:pPr>
            <w:r w:rsidRPr="009D79C2">
              <w:rPr>
                <w:rFonts w:ascii="Calibri" w:eastAsia="Times New Roman" w:hAnsi="Calibri"/>
                <w:color w:val="000000"/>
                <w:lang w:eastAsia="tr-TR"/>
              </w:rPr>
              <w:t>İşleme</w:t>
            </w:r>
          </w:p>
        </w:tc>
        <w:tc>
          <w:tcPr>
            <w:tcW w:w="1196" w:type="pct"/>
            <w:shd w:val="clear" w:color="auto" w:fill="auto"/>
            <w:noWrap/>
            <w:vAlign w:val="center"/>
          </w:tcPr>
          <w:p w:rsidR="00034DE5" w:rsidRPr="009D79C2" w:rsidRDefault="00034DE5" w:rsidP="00034DE5">
            <w:pPr>
              <w:spacing w:after="0" w:line="240" w:lineRule="auto"/>
              <w:jc w:val="right"/>
              <w:rPr>
                <w:rFonts w:ascii="Calibri" w:eastAsia="Times New Roman" w:hAnsi="Calibri"/>
                <w:color w:val="000000"/>
                <w:lang w:eastAsia="tr-TR"/>
              </w:rPr>
            </w:pPr>
            <w:r w:rsidRPr="009D79C2">
              <w:rPr>
                <w:rFonts w:ascii="Calibri" w:eastAsia="Times New Roman" w:hAnsi="Calibri"/>
                <w:color w:val="000000"/>
                <w:lang w:eastAsia="tr-TR"/>
              </w:rPr>
              <w:t>-</w:t>
            </w:r>
          </w:p>
        </w:tc>
        <w:tc>
          <w:tcPr>
            <w:tcW w:w="381" w:type="pct"/>
            <w:shd w:val="clear" w:color="auto" w:fill="auto"/>
            <w:noWrap/>
            <w:vAlign w:val="center"/>
          </w:tcPr>
          <w:p w:rsidR="00034DE5" w:rsidRPr="009D79C2" w:rsidRDefault="00034DE5" w:rsidP="00034DE5">
            <w:pPr>
              <w:spacing w:after="0" w:line="240" w:lineRule="auto"/>
              <w:jc w:val="center"/>
              <w:rPr>
                <w:rFonts w:ascii="Calibri" w:eastAsia="Times New Roman" w:hAnsi="Calibri"/>
                <w:color w:val="000000"/>
                <w:lang w:eastAsia="tr-TR"/>
              </w:rPr>
            </w:pPr>
            <w:r w:rsidRPr="009D79C2">
              <w:rPr>
                <w:rFonts w:ascii="Calibri" w:eastAsia="Times New Roman" w:hAnsi="Calibri"/>
                <w:color w:val="000000"/>
                <w:lang w:eastAsia="tr-TR"/>
              </w:rPr>
              <w:t>-</w:t>
            </w:r>
          </w:p>
        </w:tc>
        <w:tc>
          <w:tcPr>
            <w:tcW w:w="1148" w:type="pct"/>
            <w:shd w:val="clear" w:color="auto" w:fill="auto"/>
            <w:vAlign w:val="center"/>
          </w:tcPr>
          <w:p w:rsidR="00034DE5" w:rsidRPr="009D79C2" w:rsidRDefault="00034DE5" w:rsidP="00034DE5">
            <w:pPr>
              <w:spacing w:after="0" w:line="240" w:lineRule="auto"/>
              <w:jc w:val="right"/>
              <w:rPr>
                <w:rFonts w:ascii="Calibri" w:eastAsia="Times New Roman" w:hAnsi="Calibri"/>
                <w:color w:val="000000"/>
                <w:lang w:eastAsia="tr-TR"/>
              </w:rPr>
            </w:pPr>
            <w:r w:rsidRPr="009D79C2">
              <w:rPr>
                <w:rFonts w:ascii="Calibri" w:eastAsia="Times New Roman" w:hAnsi="Calibri"/>
                <w:color w:val="000000"/>
                <w:lang w:eastAsia="tr-TR"/>
              </w:rPr>
              <w:t>61.638</w:t>
            </w:r>
          </w:p>
        </w:tc>
        <w:tc>
          <w:tcPr>
            <w:tcW w:w="380" w:type="pct"/>
            <w:shd w:val="clear" w:color="auto" w:fill="auto"/>
            <w:vAlign w:val="center"/>
          </w:tcPr>
          <w:p w:rsidR="00034DE5" w:rsidRPr="009D79C2" w:rsidRDefault="00034DE5" w:rsidP="00034DE5">
            <w:pPr>
              <w:spacing w:after="0" w:line="240" w:lineRule="auto"/>
              <w:jc w:val="center"/>
              <w:rPr>
                <w:rFonts w:ascii="Calibri" w:eastAsia="Times New Roman" w:hAnsi="Calibri"/>
                <w:color w:val="000000"/>
                <w:lang w:eastAsia="tr-TR"/>
              </w:rPr>
            </w:pPr>
            <w:r w:rsidRPr="009D79C2">
              <w:rPr>
                <w:rFonts w:ascii="Calibri" w:eastAsia="Times New Roman" w:hAnsi="Calibri"/>
                <w:color w:val="000000"/>
                <w:lang w:eastAsia="tr-TR"/>
              </w:rPr>
              <w:t>0,01</w:t>
            </w:r>
          </w:p>
        </w:tc>
      </w:tr>
      <w:tr w:rsidR="00034DE5" w:rsidRPr="00B720FE" w:rsidTr="00DA6562">
        <w:trPr>
          <w:trHeight w:val="397"/>
          <w:jc w:val="center"/>
        </w:trPr>
        <w:tc>
          <w:tcPr>
            <w:tcW w:w="1895" w:type="pct"/>
            <w:shd w:val="clear" w:color="auto" w:fill="auto"/>
            <w:noWrap/>
            <w:vAlign w:val="center"/>
          </w:tcPr>
          <w:p w:rsidR="00034DE5" w:rsidRPr="009D79C2" w:rsidRDefault="00034DE5" w:rsidP="00034DE5">
            <w:pPr>
              <w:spacing w:after="0" w:line="240" w:lineRule="auto"/>
              <w:rPr>
                <w:rFonts w:ascii="Calibri" w:eastAsia="Times New Roman" w:hAnsi="Calibri"/>
                <w:color w:val="000000"/>
                <w:lang w:eastAsia="tr-TR"/>
              </w:rPr>
            </w:pPr>
            <w:r w:rsidRPr="009D79C2">
              <w:rPr>
                <w:rFonts w:ascii="Calibri" w:eastAsia="Times New Roman" w:hAnsi="Calibri"/>
                <w:color w:val="000000"/>
                <w:lang w:eastAsia="tr-TR"/>
              </w:rPr>
              <w:t>Depolama</w:t>
            </w:r>
          </w:p>
        </w:tc>
        <w:tc>
          <w:tcPr>
            <w:tcW w:w="1196" w:type="pct"/>
            <w:shd w:val="clear" w:color="auto" w:fill="auto"/>
            <w:noWrap/>
            <w:vAlign w:val="center"/>
          </w:tcPr>
          <w:p w:rsidR="00034DE5" w:rsidRPr="009D79C2" w:rsidRDefault="00034DE5" w:rsidP="00034DE5">
            <w:pPr>
              <w:spacing w:after="0" w:line="240" w:lineRule="auto"/>
              <w:jc w:val="right"/>
              <w:rPr>
                <w:rFonts w:ascii="Calibri" w:eastAsia="Times New Roman" w:hAnsi="Calibri"/>
                <w:color w:val="000000"/>
                <w:lang w:eastAsia="tr-TR"/>
              </w:rPr>
            </w:pPr>
            <w:r w:rsidRPr="009D79C2">
              <w:rPr>
                <w:rFonts w:ascii="Calibri" w:eastAsia="Times New Roman" w:hAnsi="Calibri"/>
                <w:color w:val="000000"/>
                <w:lang w:eastAsia="tr-TR"/>
              </w:rPr>
              <w:t xml:space="preserve">17.788.520   </w:t>
            </w:r>
          </w:p>
        </w:tc>
        <w:tc>
          <w:tcPr>
            <w:tcW w:w="381" w:type="pct"/>
            <w:shd w:val="clear" w:color="auto" w:fill="auto"/>
            <w:noWrap/>
            <w:vAlign w:val="center"/>
          </w:tcPr>
          <w:p w:rsidR="00034DE5" w:rsidRPr="009D79C2" w:rsidRDefault="00034DE5" w:rsidP="00034DE5">
            <w:pPr>
              <w:spacing w:after="0" w:line="240" w:lineRule="auto"/>
              <w:jc w:val="center"/>
              <w:rPr>
                <w:rFonts w:ascii="Calibri" w:eastAsia="Times New Roman" w:hAnsi="Calibri"/>
                <w:color w:val="000000"/>
                <w:lang w:eastAsia="tr-TR"/>
              </w:rPr>
            </w:pPr>
            <w:r w:rsidRPr="009D79C2">
              <w:rPr>
                <w:rFonts w:ascii="Calibri" w:eastAsia="Times New Roman" w:hAnsi="Calibri"/>
                <w:color w:val="000000"/>
                <w:lang w:eastAsia="tr-TR"/>
              </w:rPr>
              <w:t xml:space="preserve">1,33 </w:t>
            </w:r>
          </w:p>
        </w:tc>
        <w:tc>
          <w:tcPr>
            <w:tcW w:w="1148" w:type="pct"/>
            <w:shd w:val="clear" w:color="auto" w:fill="auto"/>
            <w:vAlign w:val="center"/>
          </w:tcPr>
          <w:p w:rsidR="00034DE5" w:rsidRPr="009D79C2" w:rsidRDefault="00034DE5" w:rsidP="00034DE5">
            <w:pPr>
              <w:spacing w:after="0" w:line="240" w:lineRule="auto"/>
              <w:jc w:val="right"/>
              <w:rPr>
                <w:rFonts w:ascii="Calibri" w:eastAsia="Times New Roman" w:hAnsi="Calibri"/>
                <w:color w:val="000000"/>
                <w:lang w:eastAsia="tr-TR"/>
              </w:rPr>
            </w:pPr>
            <w:r w:rsidRPr="009D79C2">
              <w:rPr>
                <w:rFonts w:ascii="Calibri" w:eastAsia="Times New Roman" w:hAnsi="Calibri"/>
                <w:color w:val="000000"/>
                <w:lang w:eastAsia="tr-TR"/>
              </w:rPr>
              <w:t>-</w:t>
            </w:r>
          </w:p>
        </w:tc>
        <w:tc>
          <w:tcPr>
            <w:tcW w:w="380" w:type="pct"/>
            <w:shd w:val="clear" w:color="auto" w:fill="auto"/>
            <w:vAlign w:val="center"/>
          </w:tcPr>
          <w:p w:rsidR="00034DE5" w:rsidRPr="009D79C2" w:rsidRDefault="00034DE5" w:rsidP="00034DE5">
            <w:pPr>
              <w:spacing w:after="0" w:line="240" w:lineRule="auto"/>
              <w:jc w:val="center"/>
              <w:rPr>
                <w:rFonts w:ascii="Calibri" w:eastAsia="Times New Roman" w:hAnsi="Calibri"/>
                <w:color w:val="000000"/>
                <w:lang w:eastAsia="tr-TR"/>
              </w:rPr>
            </w:pPr>
            <w:r w:rsidRPr="009D79C2">
              <w:rPr>
                <w:rFonts w:ascii="Calibri" w:eastAsia="Times New Roman" w:hAnsi="Calibri"/>
                <w:color w:val="000000"/>
                <w:lang w:eastAsia="tr-TR"/>
              </w:rPr>
              <w:t>-</w:t>
            </w:r>
          </w:p>
        </w:tc>
      </w:tr>
      <w:tr w:rsidR="00034DE5" w:rsidRPr="00B720FE" w:rsidTr="00DA6562">
        <w:trPr>
          <w:trHeight w:val="397"/>
          <w:jc w:val="center"/>
        </w:trPr>
        <w:tc>
          <w:tcPr>
            <w:tcW w:w="1895" w:type="pct"/>
            <w:shd w:val="clear" w:color="auto" w:fill="auto"/>
            <w:noWrap/>
            <w:vAlign w:val="center"/>
          </w:tcPr>
          <w:p w:rsidR="00034DE5" w:rsidRPr="009D79C2" w:rsidRDefault="00034DE5" w:rsidP="00034DE5">
            <w:pPr>
              <w:spacing w:after="0" w:line="240" w:lineRule="auto"/>
              <w:rPr>
                <w:rFonts w:ascii="Calibri" w:eastAsia="Times New Roman" w:hAnsi="Calibri"/>
                <w:color w:val="000000"/>
                <w:lang w:eastAsia="tr-TR"/>
              </w:rPr>
            </w:pPr>
            <w:r w:rsidRPr="009D79C2">
              <w:rPr>
                <w:rFonts w:ascii="Calibri" w:eastAsia="Times New Roman" w:hAnsi="Calibri"/>
                <w:color w:val="000000"/>
                <w:lang w:eastAsia="tr-TR"/>
              </w:rPr>
              <w:t>Madeni Yağ</w:t>
            </w:r>
          </w:p>
        </w:tc>
        <w:tc>
          <w:tcPr>
            <w:tcW w:w="1196" w:type="pct"/>
            <w:shd w:val="clear" w:color="auto" w:fill="auto"/>
            <w:noWrap/>
            <w:vAlign w:val="center"/>
          </w:tcPr>
          <w:p w:rsidR="00034DE5" w:rsidRPr="009D79C2" w:rsidRDefault="00034DE5" w:rsidP="00034DE5">
            <w:pPr>
              <w:spacing w:after="0" w:line="240" w:lineRule="auto"/>
              <w:jc w:val="right"/>
              <w:rPr>
                <w:rFonts w:ascii="Calibri" w:eastAsia="Times New Roman" w:hAnsi="Calibri"/>
                <w:color w:val="000000"/>
                <w:lang w:eastAsia="tr-TR"/>
              </w:rPr>
            </w:pPr>
            <w:r w:rsidRPr="009D79C2">
              <w:rPr>
                <w:rFonts w:ascii="Calibri" w:eastAsia="Times New Roman" w:hAnsi="Calibri"/>
                <w:color w:val="000000"/>
                <w:lang w:eastAsia="tr-TR"/>
              </w:rPr>
              <w:t xml:space="preserve">8.676.361   </w:t>
            </w:r>
          </w:p>
        </w:tc>
        <w:tc>
          <w:tcPr>
            <w:tcW w:w="381" w:type="pct"/>
            <w:shd w:val="clear" w:color="auto" w:fill="auto"/>
            <w:noWrap/>
            <w:vAlign w:val="center"/>
          </w:tcPr>
          <w:p w:rsidR="00034DE5" w:rsidRPr="009D79C2" w:rsidRDefault="00034DE5" w:rsidP="00034DE5">
            <w:pPr>
              <w:spacing w:after="0" w:line="240" w:lineRule="auto"/>
              <w:jc w:val="center"/>
              <w:rPr>
                <w:rFonts w:ascii="Calibri" w:eastAsia="Times New Roman" w:hAnsi="Calibri"/>
                <w:color w:val="000000"/>
                <w:lang w:eastAsia="tr-TR"/>
              </w:rPr>
            </w:pPr>
            <w:r w:rsidRPr="009D79C2">
              <w:rPr>
                <w:rFonts w:ascii="Calibri" w:eastAsia="Times New Roman" w:hAnsi="Calibri"/>
                <w:color w:val="000000"/>
                <w:lang w:eastAsia="tr-TR"/>
              </w:rPr>
              <w:t xml:space="preserve">0,65 </w:t>
            </w:r>
          </w:p>
        </w:tc>
        <w:tc>
          <w:tcPr>
            <w:tcW w:w="1148" w:type="pct"/>
            <w:shd w:val="clear" w:color="auto" w:fill="auto"/>
            <w:vAlign w:val="center"/>
          </w:tcPr>
          <w:p w:rsidR="00034DE5" w:rsidRPr="009D79C2" w:rsidRDefault="00034DE5" w:rsidP="00034DE5">
            <w:pPr>
              <w:spacing w:after="0" w:line="240" w:lineRule="auto"/>
              <w:jc w:val="right"/>
              <w:rPr>
                <w:rFonts w:ascii="Calibri" w:eastAsia="Times New Roman" w:hAnsi="Calibri"/>
                <w:color w:val="000000"/>
                <w:lang w:eastAsia="tr-TR"/>
              </w:rPr>
            </w:pPr>
            <w:r w:rsidRPr="009D79C2">
              <w:rPr>
                <w:rFonts w:ascii="Calibri" w:hAnsi="Calibri" w:cs="Calibri"/>
                <w:iCs/>
                <w:color w:val="000000"/>
              </w:rPr>
              <w:t xml:space="preserve">5.876.452 </w:t>
            </w:r>
          </w:p>
        </w:tc>
        <w:tc>
          <w:tcPr>
            <w:tcW w:w="380" w:type="pct"/>
            <w:shd w:val="clear" w:color="auto" w:fill="auto"/>
            <w:vAlign w:val="center"/>
          </w:tcPr>
          <w:p w:rsidR="00034DE5" w:rsidRPr="009D79C2" w:rsidRDefault="00034DE5" w:rsidP="00034DE5">
            <w:pPr>
              <w:spacing w:after="0" w:line="240" w:lineRule="auto"/>
              <w:jc w:val="center"/>
              <w:rPr>
                <w:rFonts w:ascii="Calibri" w:eastAsia="Times New Roman" w:hAnsi="Calibri"/>
                <w:color w:val="000000"/>
                <w:lang w:eastAsia="tr-TR"/>
              </w:rPr>
            </w:pPr>
            <w:r w:rsidRPr="009D79C2">
              <w:rPr>
                <w:rFonts w:ascii="Calibri" w:eastAsia="Times New Roman" w:hAnsi="Calibri"/>
                <w:color w:val="000000"/>
                <w:lang w:eastAsia="tr-TR"/>
              </w:rPr>
              <w:t xml:space="preserve">1,26  </w:t>
            </w:r>
          </w:p>
        </w:tc>
      </w:tr>
      <w:tr w:rsidR="00034DE5" w:rsidRPr="00B720FE" w:rsidTr="00DA6562">
        <w:trPr>
          <w:trHeight w:val="397"/>
          <w:jc w:val="center"/>
        </w:trPr>
        <w:tc>
          <w:tcPr>
            <w:tcW w:w="1895" w:type="pct"/>
            <w:shd w:val="clear" w:color="auto" w:fill="auto"/>
            <w:noWrap/>
            <w:vAlign w:val="center"/>
            <w:hideMark/>
          </w:tcPr>
          <w:p w:rsidR="00034DE5" w:rsidRPr="009D79C2" w:rsidRDefault="00034DE5" w:rsidP="00034DE5">
            <w:pPr>
              <w:spacing w:after="0" w:line="240" w:lineRule="auto"/>
              <w:rPr>
                <w:rFonts w:ascii="Calibri" w:eastAsia="Times New Roman" w:hAnsi="Calibri"/>
                <w:color w:val="000000"/>
                <w:lang w:eastAsia="tr-TR"/>
              </w:rPr>
            </w:pPr>
            <w:r w:rsidRPr="009D79C2">
              <w:rPr>
                <w:rFonts w:ascii="Calibri" w:eastAsia="Times New Roman" w:hAnsi="Calibri"/>
                <w:color w:val="000000"/>
                <w:lang w:eastAsia="tr-TR"/>
              </w:rPr>
              <w:t>İhrakiye Teslimi</w:t>
            </w:r>
          </w:p>
        </w:tc>
        <w:tc>
          <w:tcPr>
            <w:tcW w:w="1196" w:type="pct"/>
            <w:shd w:val="clear" w:color="auto" w:fill="auto"/>
            <w:noWrap/>
            <w:vAlign w:val="center"/>
            <w:hideMark/>
          </w:tcPr>
          <w:p w:rsidR="00034DE5" w:rsidRPr="009D79C2" w:rsidRDefault="00034DE5" w:rsidP="00034DE5">
            <w:pPr>
              <w:spacing w:after="0" w:line="240" w:lineRule="auto"/>
              <w:jc w:val="right"/>
              <w:rPr>
                <w:rFonts w:ascii="Calibri" w:eastAsia="Times New Roman" w:hAnsi="Calibri"/>
                <w:color w:val="000000"/>
                <w:lang w:eastAsia="tr-TR"/>
              </w:rPr>
            </w:pPr>
            <w:r w:rsidRPr="009D79C2">
              <w:rPr>
                <w:rFonts w:ascii="Calibri" w:eastAsia="Times New Roman" w:hAnsi="Calibri"/>
                <w:color w:val="000000"/>
                <w:lang w:eastAsia="tr-TR"/>
              </w:rPr>
              <w:t>842.423</w:t>
            </w:r>
          </w:p>
        </w:tc>
        <w:tc>
          <w:tcPr>
            <w:tcW w:w="381" w:type="pct"/>
            <w:shd w:val="clear" w:color="auto" w:fill="auto"/>
            <w:noWrap/>
            <w:vAlign w:val="center"/>
            <w:hideMark/>
          </w:tcPr>
          <w:p w:rsidR="00034DE5" w:rsidRPr="009D79C2" w:rsidRDefault="00034DE5" w:rsidP="00034DE5">
            <w:pPr>
              <w:spacing w:after="0" w:line="240" w:lineRule="auto"/>
              <w:jc w:val="center"/>
              <w:rPr>
                <w:rFonts w:ascii="Calibri" w:eastAsia="Times New Roman" w:hAnsi="Calibri"/>
                <w:color w:val="000000"/>
                <w:lang w:eastAsia="tr-TR"/>
              </w:rPr>
            </w:pPr>
            <w:r w:rsidRPr="009D79C2">
              <w:rPr>
                <w:rFonts w:ascii="Calibri" w:eastAsia="Times New Roman" w:hAnsi="Calibri"/>
                <w:color w:val="000000"/>
                <w:lang w:eastAsia="tr-TR"/>
              </w:rPr>
              <w:t>0,06</w:t>
            </w:r>
          </w:p>
        </w:tc>
        <w:tc>
          <w:tcPr>
            <w:tcW w:w="1148" w:type="pct"/>
            <w:shd w:val="clear" w:color="auto" w:fill="auto"/>
            <w:vAlign w:val="center"/>
          </w:tcPr>
          <w:p w:rsidR="00034DE5" w:rsidRPr="009D79C2" w:rsidRDefault="00034DE5" w:rsidP="00034DE5">
            <w:pPr>
              <w:spacing w:after="0" w:line="240" w:lineRule="auto"/>
              <w:jc w:val="right"/>
              <w:rPr>
                <w:rFonts w:ascii="Calibri" w:eastAsia="Times New Roman" w:hAnsi="Calibri"/>
                <w:color w:val="000000"/>
                <w:lang w:eastAsia="tr-TR"/>
              </w:rPr>
            </w:pPr>
            <w:r w:rsidRPr="009D79C2">
              <w:rPr>
                <w:rFonts w:ascii="Calibri" w:eastAsia="Times New Roman" w:hAnsi="Calibri"/>
                <w:color w:val="000000"/>
                <w:lang w:eastAsia="tr-TR"/>
              </w:rPr>
              <w:t>-</w:t>
            </w:r>
          </w:p>
        </w:tc>
        <w:tc>
          <w:tcPr>
            <w:tcW w:w="380" w:type="pct"/>
            <w:shd w:val="clear" w:color="auto" w:fill="auto"/>
            <w:vAlign w:val="center"/>
          </w:tcPr>
          <w:p w:rsidR="00034DE5" w:rsidRPr="009D79C2" w:rsidRDefault="00034DE5" w:rsidP="00034DE5">
            <w:pPr>
              <w:spacing w:after="0" w:line="240" w:lineRule="auto"/>
              <w:jc w:val="center"/>
              <w:rPr>
                <w:rFonts w:ascii="Calibri" w:eastAsia="Times New Roman" w:hAnsi="Calibri"/>
                <w:color w:val="000000"/>
                <w:lang w:eastAsia="tr-TR"/>
              </w:rPr>
            </w:pPr>
            <w:r w:rsidRPr="009D79C2">
              <w:rPr>
                <w:rFonts w:ascii="Calibri" w:eastAsia="Times New Roman" w:hAnsi="Calibri"/>
                <w:color w:val="000000"/>
                <w:lang w:eastAsia="tr-TR"/>
              </w:rPr>
              <w:t>--</w:t>
            </w:r>
          </w:p>
        </w:tc>
      </w:tr>
      <w:tr w:rsidR="00034DE5" w:rsidRPr="00B720FE" w:rsidTr="00DA6562">
        <w:trPr>
          <w:trHeight w:val="397"/>
          <w:jc w:val="center"/>
        </w:trPr>
        <w:tc>
          <w:tcPr>
            <w:tcW w:w="1895" w:type="pct"/>
            <w:shd w:val="clear" w:color="auto" w:fill="auto"/>
            <w:noWrap/>
            <w:vAlign w:val="center"/>
            <w:hideMark/>
          </w:tcPr>
          <w:p w:rsidR="00034DE5" w:rsidRPr="009D79C2" w:rsidRDefault="00034DE5" w:rsidP="00034DE5">
            <w:pPr>
              <w:spacing w:after="0" w:line="240" w:lineRule="auto"/>
              <w:rPr>
                <w:rFonts w:ascii="Calibri" w:eastAsia="Times New Roman" w:hAnsi="Calibri"/>
                <w:color w:val="000000"/>
                <w:lang w:eastAsia="tr-TR"/>
              </w:rPr>
            </w:pPr>
            <w:r w:rsidRPr="009D79C2">
              <w:rPr>
                <w:rFonts w:ascii="Calibri" w:eastAsia="Times New Roman" w:hAnsi="Calibri"/>
                <w:color w:val="000000"/>
                <w:lang w:eastAsia="tr-TR"/>
              </w:rPr>
              <w:t>Kurumca Yetki Verilen Otomasyon Firmaları</w:t>
            </w:r>
          </w:p>
        </w:tc>
        <w:tc>
          <w:tcPr>
            <w:tcW w:w="1196" w:type="pct"/>
            <w:shd w:val="clear" w:color="auto" w:fill="auto"/>
            <w:noWrap/>
            <w:vAlign w:val="center"/>
            <w:hideMark/>
          </w:tcPr>
          <w:p w:rsidR="00034DE5" w:rsidRPr="009D79C2" w:rsidRDefault="00034DE5" w:rsidP="00034DE5">
            <w:pPr>
              <w:spacing w:after="0" w:line="240" w:lineRule="auto"/>
              <w:jc w:val="right"/>
              <w:rPr>
                <w:rFonts w:ascii="Calibri" w:eastAsia="Times New Roman" w:hAnsi="Calibri"/>
                <w:color w:val="000000"/>
                <w:lang w:eastAsia="tr-TR"/>
              </w:rPr>
            </w:pPr>
            <w:r w:rsidRPr="009D79C2">
              <w:rPr>
                <w:rFonts w:ascii="Calibri" w:eastAsia="Times New Roman" w:hAnsi="Calibri"/>
                <w:color w:val="000000"/>
                <w:lang w:eastAsia="tr-TR"/>
              </w:rPr>
              <w:t>-</w:t>
            </w:r>
          </w:p>
        </w:tc>
        <w:tc>
          <w:tcPr>
            <w:tcW w:w="381" w:type="pct"/>
            <w:shd w:val="clear" w:color="auto" w:fill="auto"/>
            <w:noWrap/>
            <w:vAlign w:val="center"/>
            <w:hideMark/>
          </w:tcPr>
          <w:p w:rsidR="00034DE5" w:rsidRPr="009D79C2" w:rsidRDefault="00034DE5" w:rsidP="00034DE5">
            <w:pPr>
              <w:spacing w:after="0" w:line="240" w:lineRule="auto"/>
              <w:jc w:val="center"/>
              <w:rPr>
                <w:rFonts w:ascii="Calibri" w:eastAsia="Times New Roman" w:hAnsi="Calibri"/>
                <w:color w:val="000000"/>
                <w:lang w:eastAsia="tr-TR"/>
              </w:rPr>
            </w:pPr>
            <w:r w:rsidRPr="009D79C2">
              <w:rPr>
                <w:rFonts w:ascii="Calibri" w:eastAsia="Times New Roman" w:hAnsi="Calibri"/>
                <w:color w:val="000000"/>
                <w:lang w:eastAsia="tr-TR"/>
              </w:rPr>
              <w:t>-</w:t>
            </w:r>
          </w:p>
        </w:tc>
        <w:tc>
          <w:tcPr>
            <w:tcW w:w="1148" w:type="pct"/>
            <w:shd w:val="clear" w:color="auto" w:fill="auto"/>
            <w:vAlign w:val="center"/>
          </w:tcPr>
          <w:p w:rsidR="00034DE5" w:rsidRPr="009D79C2" w:rsidRDefault="00034DE5" w:rsidP="00034DE5">
            <w:pPr>
              <w:spacing w:after="0" w:line="240" w:lineRule="auto"/>
              <w:jc w:val="right"/>
              <w:rPr>
                <w:rFonts w:ascii="Calibri" w:eastAsia="Times New Roman" w:hAnsi="Calibri"/>
                <w:color w:val="000000"/>
                <w:lang w:eastAsia="tr-TR"/>
              </w:rPr>
            </w:pPr>
            <w:r w:rsidRPr="009D79C2">
              <w:rPr>
                <w:rFonts w:ascii="Calibri" w:hAnsi="Calibri" w:cs="Calibri"/>
                <w:color w:val="000000"/>
              </w:rPr>
              <w:t xml:space="preserve">1.138.522  </w:t>
            </w:r>
          </w:p>
        </w:tc>
        <w:tc>
          <w:tcPr>
            <w:tcW w:w="380" w:type="pct"/>
            <w:shd w:val="clear" w:color="auto" w:fill="auto"/>
            <w:vAlign w:val="center"/>
          </w:tcPr>
          <w:p w:rsidR="00034DE5" w:rsidRPr="009D79C2" w:rsidRDefault="00034DE5" w:rsidP="00034DE5">
            <w:pPr>
              <w:spacing w:after="0" w:line="240" w:lineRule="auto"/>
              <w:jc w:val="center"/>
              <w:rPr>
                <w:rFonts w:ascii="Calibri" w:eastAsia="Times New Roman" w:hAnsi="Calibri"/>
                <w:color w:val="000000"/>
                <w:lang w:eastAsia="tr-TR"/>
              </w:rPr>
            </w:pPr>
            <w:r w:rsidRPr="009D79C2">
              <w:rPr>
                <w:rFonts w:ascii="Calibri" w:eastAsia="Times New Roman" w:hAnsi="Calibri"/>
                <w:color w:val="000000"/>
                <w:lang w:eastAsia="tr-TR"/>
              </w:rPr>
              <w:t>0,24</w:t>
            </w:r>
          </w:p>
        </w:tc>
      </w:tr>
      <w:tr w:rsidR="00034DE5" w:rsidRPr="00B720FE" w:rsidTr="00DA6562">
        <w:trPr>
          <w:trHeight w:val="397"/>
          <w:jc w:val="center"/>
        </w:trPr>
        <w:tc>
          <w:tcPr>
            <w:tcW w:w="1895" w:type="pct"/>
            <w:shd w:val="clear" w:color="auto" w:fill="auto"/>
            <w:noWrap/>
            <w:vAlign w:val="center"/>
            <w:hideMark/>
          </w:tcPr>
          <w:p w:rsidR="00034DE5" w:rsidRPr="009D79C2" w:rsidRDefault="00034DE5" w:rsidP="00034DE5">
            <w:pPr>
              <w:spacing w:after="0" w:line="240" w:lineRule="auto"/>
              <w:rPr>
                <w:rFonts w:ascii="Calibri" w:eastAsia="Times New Roman" w:hAnsi="Calibri"/>
                <w:color w:val="000000"/>
                <w:lang w:eastAsia="tr-TR"/>
              </w:rPr>
            </w:pPr>
            <w:r w:rsidRPr="009D79C2">
              <w:rPr>
                <w:rFonts w:ascii="Calibri" w:eastAsia="Times New Roman" w:hAnsi="Calibri"/>
                <w:b/>
                <w:bCs/>
                <w:color w:val="000000"/>
                <w:lang w:eastAsia="tr-TR"/>
              </w:rPr>
              <w:t>Toplam</w:t>
            </w:r>
          </w:p>
        </w:tc>
        <w:tc>
          <w:tcPr>
            <w:tcW w:w="1196" w:type="pct"/>
            <w:shd w:val="clear" w:color="auto" w:fill="auto"/>
            <w:noWrap/>
            <w:vAlign w:val="center"/>
            <w:hideMark/>
          </w:tcPr>
          <w:p w:rsidR="00034DE5" w:rsidRPr="009D79C2" w:rsidRDefault="00034DE5" w:rsidP="00034DE5">
            <w:pPr>
              <w:spacing w:after="0" w:line="240" w:lineRule="auto"/>
              <w:jc w:val="right"/>
              <w:rPr>
                <w:rFonts w:ascii="Calibri" w:eastAsia="Times New Roman" w:hAnsi="Calibri"/>
                <w:color w:val="000000"/>
                <w:lang w:eastAsia="tr-TR"/>
              </w:rPr>
            </w:pPr>
            <w:r w:rsidRPr="009D79C2">
              <w:rPr>
                <w:rFonts w:ascii="Calibri" w:eastAsia="Times New Roman" w:hAnsi="Calibri"/>
                <w:b/>
                <w:color w:val="000000"/>
                <w:lang w:eastAsia="tr-TR"/>
              </w:rPr>
              <w:t>1.340.978.580</w:t>
            </w:r>
          </w:p>
        </w:tc>
        <w:tc>
          <w:tcPr>
            <w:tcW w:w="381" w:type="pct"/>
            <w:shd w:val="clear" w:color="auto" w:fill="auto"/>
            <w:noWrap/>
            <w:vAlign w:val="center"/>
            <w:hideMark/>
          </w:tcPr>
          <w:p w:rsidR="00034DE5" w:rsidRPr="009D79C2" w:rsidRDefault="00034DE5" w:rsidP="00034DE5">
            <w:pPr>
              <w:spacing w:after="0" w:line="240" w:lineRule="auto"/>
              <w:jc w:val="center"/>
              <w:rPr>
                <w:rFonts w:ascii="Calibri" w:eastAsia="Times New Roman" w:hAnsi="Calibri"/>
                <w:color w:val="000000"/>
                <w:lang w:eastAsia="tr-TR"/>
              </w:rPr>
            </w:pPr>
            <w:r w:rsidRPr="009D79C2">
              <w:rPr>
                <w:rFonts w:ascii="Calibri" w:eastAsia="Times New Roman" w:hAnsi="Calibri"/>
                <w:b/>
                <w:bCs/>
                <w:color w:val="000000"/>
                <w:lang w:eastAsia="tr-TR"/>
              </w:rPr>
              <w:t>100</w:t>
            </w:r>
          </w:p>
        </w:tc>
        <w:tc>
          <w:tcPr>
            <w:tcW w:w="1148" w:type="pct"/>
            <w:shd w:val="clear" w:color="auto" w:fill="auto"/>
            <w:vAlign w:val="center"/>
          </w:tcPr>
          <w:p w:rsidR="00034DE5" w:rsidRPr="009D79C2" w:rsidRDefault="00034DE5" w:rsidP="00034DE5">
            <w:pPr>
              <w:spacing w:after="0" w:line="240" w:lineRule="auto"/>
              <w:jc w:val="right"/>
              <w:rPr>
                <w:rFonts w:ascii="Calibri" w:eastAsia="Times New Roman" w:hAnsi="Calibri"/>
                <w:color w:val="000000"/>
                <w:lang w:eastAsia="tr-TR"/>
              </w:rPr>
            </w:pPr>
            <w:r w:rsidRPr="009D79C2">
              <w:rPr>
                <w:rFonts w:ascii="Calibri" w:eastAsia="Times New Roman" w:hAnsi="Calibri"/>
                <w:b/>
                <w:bCs/>
                <w:color w:val="000000"/>
                <w:lang w:eastAsia="tr-TR"/>
              </w:rPr>
              <w:t xml:space="preserve">466.699.019 </w:t>
            </w:r>
          </w:p>
        </w:tc>
        <w:tc>
          <w:tcPr>
            <w:tcW w:w="380" w:type="pct"/>
            <w:shd w:val="clear" w:color="auto" w:fill="auto"/>
            <w:vAlign w:val="center"/>
          </w:tcPr>
          <w:p w:rsidR="00034DE5" w:rsidRPr="009D79C2" w:rsidRDefault="00034DE5" w:rsidP="00034DE5">
            <w:pPr>
              <w:spacing w:after="0" w:line="240" w:lineRule="auto"/>
              <w:jc w:val="center"/>
              <w:rPr>
                <w:rFonts w:ascii="Calibri" w:eastAsia="Times New Roman" w:hAnsi="Calibri"/>
                <w:color w:val="000000"/>
                <w:lang w:eastAsia="tr-TR"/>
              </w:rPr>
            </w:pPr>
            <w:r w:rsidRPr="009D79C2">
              <w:rPr>
                <w:rFonts w:ascii="Calibri" w:eastAsia="Times New Roman" w:hAnsi="Calibri"/>
                <w:b/>
                <w:color w:val="000000"/>
                <w:lang w:eastAsia="tr-TR"/>
              </w:rPr>
              <w:t>100</w:t>
            </w:r>
          </w:p>
        </w:tc>
      </w:tr>
    </w:tbl>
    <w:p w:rsidR="003D0DD5" w:rsidRDefault="003D0DD5" w:rsidP="003D0DD5">
      <w:pPr>
        <w:spacing w:after="0"/>
      </w:pPr>
    </w:p>
    <w:p w:rsidR="004F4A9F" w:rsidRPr="00122C27" w:rsidRDefault="003D0DD5" w:rsidP="003D0DD5">
      <w:r w:rsidRPr="00122C27">
        <w:t xml:space="preserve">Petrol piyasasında </w:t>
      </w:r>
      <w:r w:rsidR="00396E8C">
        <w:t>202</w:t>
      </w:r>
      <w:r w:rsidR="00034DE5">
        <w:t>2</w:t>
      </w:r>
      <w:r w:rsidRPr="00122C27">
        <w:t xml:space="preserve"> yılında uygulanan idari para cezalarının fiille</w:t>
      </w:r>
      <w:r>
        <w:t xml:space="preserve">rine göre dağılımı Tablo 6.5’te </w:t>
      </w:r>
      <w:r w:rsidRPr="00122C27">
        <w:t>gösterilmektedir.</w:t>
      </w:r>
    </w:p>
    <w:p w:rsidR="003D0DD5" w:rsidRPr="007A7736" w:rsidRDefault="003D0DD5" w:rsidP="009D79C2">
      <w:pPr>
        <w:pStyle w:val="Balk5"/>
        <w:spacing w:after="240"/>
        <w:jc w:val="center"/>
        <w:rPr>
          <w:rStyle w:val="Gl"/>
          <w:color w:val="000000" w:themeColor="text1"/>
        </w:rPr>
      </w:pPr>
      <w:bookmarkStart w:id="363" w:name="_Toc132713935"/>
      <w:bookmarkStart w:id="364" w:name="_Toc442431307"/>
      <w:bookmarkStart w:id="365" w:name="_Toc505346113"/>
      <w:r w:rsidRPr="00122C27">
        <w:rPr>
          <w:rStyle w:val="Gl"/>
          <w:color w:val="000000" w:themeColor="text1"/>
        </w:rPr>
        <w:t>T</w:t>
      </w:r>
      <w:r w:rsidR="00396E8C">
        <w:rPr>
          <w:rStyle w:val="Gl"/>
          <w:color w:val="000000" w:themeColor="text1"/>
        </w:rPr>
        <w:t>ablo 6.</w:t>
      </w:r>
      <w:r w:rsidR="00206F52">
        <w:rPr>
          <w:rStyle w:val="Gl"/>
          <w:color w:val="000000" w:themeColor="text1"/>
        </w:rPr>
        <w:t>7</w:t>
      </w:r>
      <w:r w:rsidR="00396E8C">
        <w:rPr>
          <w:rStyle w:val="Gl"/>
          <w:color w:val="000000" w:themeColor="text1"/>
        </w:rPr>
        <w:t xml:space="preserve">: </w:t>
      </w:r>
      <w:r w:rsidR="00396E8C" w:rsidRPr="00FA1354">
        <w:rPr>
          <w:rStyle w:val="Gl"/>
          <w:color w:val="000000" w:themeColor="text1"/>
        </w:rPr>
        <w:t xml:space="preserve">Petrol Piyasasında </w:t>
      </w:r>
      <w:r w:rsidR="00034DE5" w:rsidRPr="00FA1354">
        <w:rPr>
          <w:rStyle w:val="Gl"/>
          <w:color w:val="000000" w:themeColor="text1"/>
        </w:rPr>
        <w:t>202</w:t>
      </w:r>
      <w:r w:rsidR="00034DE5">
        <w:rPr>
          <w:rStyle w:val="Gl"/>
          <w:color w:val="000000" w:themeColor="text1"/>
        </w:rPr>
        <w:t>2</w:t>
      </w:r>
      <w:r w:rsidR="00034DE5" w:rsidRPr="00FA1354">
        <w:rPr>
          <w:rStyle w:val="Gl"/>
          <w:color w:val="000000" w:themeColor="text1"/>
        </w:rPr>
        <w:t xml:space="preserve"> </w:t>
      </w:r>
      <w:r w:rsidRPr="00FA1354">
        <w:rPr>
          <w:rStyle w:val="Gl"/>
          <w:color w:val="000000" w:themeColor="text1"/>
        </w:rPr>
        <w:t>Yılında Uygulanan İdari Para Cezalarının İdari Para Cezasına Konu Fiillere Göre Dağılımı</w:t>
      </w:r>
      <w:bookmarkEnd w:id="363"/>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3115"/>
        <w:gridCol w:w="1983"/>
        <w:gridCol w:w="1251"/>
        <w:gridCol w:w="2295"/>
        <w:gridCol w:w="1267"/>
      </w:tblGrid>
      <w:tr w:rsidR="003D0DD5" w:rsidRPr="00A27064" w:rsidTr="00DA6562">
        <w:trPr>
          <w:trHeight w:val="397"/>
          <w:tblHeader/>
          <w:jc w:val="center"/>
        </w:trPr>
        <w:tc>
          <w:tcPr>
            <w:tcW w:w="1571" w:type="pct"/>
            <w:shd w:val="clear" w:color="auto" w:fill="6E9ECA"/>
            <w:vAlign w:val="center"/>
            <w:hideMark/>
          </w:tcPr>
          <w:p w:rsidR="003D0DD5" w:rsidRPr="00A27064" w:rsidRDefault="003D0DD5" w:rsidP="00C079ED">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İdari Para Cezasına Konu Fiil</w:t>
            </w:r>
          </w:p>
        </w:tc>
        <w:tc>
          <w:tcPr>
            <w:tcW w:w="1000" w:type="pct"/>
            <w:shd w:val="clear" w:color="auto" w:fill="6E9ECA"/>
            <w:vAlign w:val="center"/>
            <w:hideMark/>
          </w:tcPr>
          <w:p w:rsidR="003D0DD5" w:rsidRPr="00A27064" w:rsidRDefault="003D0DD5" w:rsidP="00C079ED">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Uygulanan İdari Para Cezası Adedi</w:t>
            </w:r>
          </w:p>
        </w:tc>
        <w:tc>
          <w:tcPr>
            <w:tcW w:w="631" w:type="pct"/>
            <w:shd w:val="clear" w:color="auto" w:fill="6E9ECA"/>
            <w:vAlign w:val="center"/>
            <w:hideMark/>
          </w:tcPr>
          <w:p w:rsidR="003D0DD5" w:rsidRPr="00A27064" w:rsidRDefault="003D0DD5" w:rsidP="00C079ED">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Oran (%)</w:t>
            </w:r>
          </w:p>
        </w:tc>
        <w:tc>
          <w:tcPr>
            <w:tcW w:w="1158" w:type="pct"/>
            <w:shd w:val="clear" w:color="auto" w:fill="6E9ECA"/>
            <w:vAlign w:val="center"/>
            <w:hideMark/>
          </w:tcPr>
          <w:p w:rsidR="003D0DD5" w:rsidRPr="00A27064" w:rsidRDefault="003D0DD5" w:rsidP="00C079ED">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İdari Para Cezası Tutarı (TL)</w:t>
            </w:r>
          </w:p>
        </w:tc>
        <w:tc>
          <w:tcPr>
            <w:tcW w:w="639" w:type="pct"/>
            <w:shd w:val="clear" w:color="auto" w:fill="6E9ECA"/>
            <w:vAlign w:val="center"/>
            <w:hideMark/>
          </w:tcPr>
          <w:p w:rsidR="003D0DD5" w:rsidRPr="00A27064" w:rsidRDefault="003D0DD5" w:rsidP="00C079ED">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Oran (%)</w:t>
            </w:r>
          </w:p>
        </w:tc>
      </w:tr>
      <w:tr w:rsidR="00034DE5" w:rsidRPr="00ED1099" w:rsidTr="00DA6562">
        <w:trPr>
          <w:trHeight w:val="397"/>
          <w:jc w:val="center"/>
        </w:trPr>
        <w:tc>
          <w:tcPr>
            <w:tcW w:w="1571" w:type="pct"/>
            <w:shd w:val="clear" w:color="auto" w:fill="auto"/>
            <w:vAlign w:val="center"/>
            <w:hideMark/>
          </w:tcPr>
          <w:p w:rsidR="00034DE5" w:rsidRPr="00ED1099" w:rsidRDefault="00034DE5" w:rsidP="00034DE5">
            <w:pPr>
              <w:spacing w:after="0" w:line="240" w:lineRule="auto"/>
              <w:jc w:val="left"/>
              <w:rPr>
                <w:rFonts w:eastAsia="Times New Roman"/>
                <w:color w:val="000000"/>
                <w:lang w:eastAsia="tr-TR"/>
              </w:rPr>
            </w:pPr>
            <w:r w:rsidRPr="00ED1099">
              <w:rPr>
                <w:rFonts w:eastAsia="Times New Roman"/>
                <w:color w:val="000000"/>
                <w:lang w:eastAsia="tr-TR"/>
              </w:rPr>
              <w:t>Otomasyon Yükümlülüğü ve Lisans Kapsamı Dışında Faaliyet</w:t>
            </w:r>
          </w:p>
        </w:tc>
        <w:tc>
          <w:tcPr>
            <w:tcW w:w="1000" w:type="pct"/>
            <w:shd w:val="clear" w:color="auto" w:fill="auto"/>
            <w:noWrap/>
            <w:vAlign w:val="center"/>
          </w:tcPr>
          <w:p w:rsidR="00034DE5" w:rsidRPr="00ED1099" w:rsidRDefault="00034DE5" w:rsidP="00034DE5">
            <w:pPr>
              <w:spacing w:after="0" w:line="240" w:lineRule="auto"/>
              <w:jc w:val="center"/>
              <w:rPr>
                <w:rFonts w:eastAsia="Times New Roman"/>
                <w:color w:val="000000"/>
                <w:lang w:eastAsia="tr-TR"/>
              </w:rPr>
            </w:pPr>
            <w:r>
              <w:rPr>
                <w:rFonts w:eastAsia="Times New Roman"/>
                <w:color w:val="000000"/>
                <w:lang w:eastAsia="tr-TR"/>
              </w:rPr>
              <w:t xml:space="preserve">266 </w:t>
            </w:r>
          </w:p>
        </w:tc>
        <w:tc>
          <w:tcPr>
            <w:tcW w:w="631" w:type="pct"/>
            <w:shd w:val="clear" w:color="auto" w:fill="auto"/>
            <w:noWrap/>
            <w:vAlign w:val="center"/>
          </w:tcPr>
          <w:p w:rsidR="00034DE5" w:rsidRPr="00ED1099" w:rsidRDefault="00034DE5" w:rsidP="00034DE5">
            <w:pPr>
              <w:spacing w:after="0" w:line="240" w:lineRule="auto"/>
              <w:jc w:val="center"/>
              <w:rPr>
                <w:rFonts w:eastAsia="Times New Roman"/>
                <w:color w:val="000000"/>
                <w:lang w:eastAsia="tr-TR"/>
              </w:rPr>
            </w:pPr>
            <w:r>
              <w:rPr>
                <w:rFonts w:eastAsia="Times New Roman"/>
                <w:color w:val="000000"/>
                <w:lang w:eastAsia="tr-TR"/>
              </w:rPr>
              <w:t xml:space="preserve">53,31 </w:t>
            </w:r>
          </w:p>
        </w:tc>
        <w:tc>
          <w:tcPr>
            <w:tcW w:w="1158" w:type="pct"/>
            <w:shd w:val="clear" w:color="auto" w:fill="auto"/>
            <w:noWrap/>
            <w:vAlign w:val="center"/>
          </w:tcPr>
          <w:p w:rsidR="00034DE5" w:rsidRPr="00ED1099" w:rsidRDefault="00034DE5" w:rsidP="00034DE5">
            <w:pPr>
              <w:spacing w:after="0" w:line="240" w:lineRule="auto"/>
              <w:jc w:val="right"/>
              <w:rPr>
                <w:rFonts w:eastAsia="Times New Roman"/>
                <w:color w:val="000000"/>
                <w:lang w:eastAsia="tr-TR"/>
              </w:rPr>
            </w:pPr>
            <w:r>
              <w:rPr>
                <w:rFonts w:eastAsia="Times New Roman"/>
                <w:color w:val="000000"/>
                <w:lang w:eastAsia="tr-TR"/>
              </w:rPr>
              <w:t xml:space="preserve">344.142.702  </w:t>
            </w:r>
          </w:p>
        </w:tc>
        <w:tc>
          <w:tcPr>
            <w:tcW w:w="639" w:type="pct"/>
            <w:shd w:val="clear" w:color="auto" w:fill="auto"/>
            <w:noWrap/>
            <w:vAlign w:val="center"/>
          </w:tcPr>
          <w:p w:rsidR="00034DE5" w:rsidRPr="00ED1099" w:rsidRDefault="00034DE5" w:rsidP="00034DE5">
            <w:pPr>
              <w:spacing w:after="0" w:line="240" w:lineRule="auto"/>
              <w:jc w:val="center"/>
              <w:rPr>
                <w:rFonts w:eastAsia="Times New Roman"/>
                <w:color w:val="000000"/>
                <w:lang w:eastAsia="tr-TR"/>
              </w:rPr>
            </w:pPr>
            <w:r>
              <w:rPr>
                <w:rFonts w:eastAsia="Times New Roman"/>
                <w:color w:val="000000"/>
                <w:lang w:eastAsia="tr-TR"/>
              </w:rPr>
              <w:t xml:space="preserve"> 74,99 </w:t>
            </w:r>
          </w:p>
        </w:tc>
      </w:tr>
      <w:tr w:rsidR="00206F52" w:rsidRPr="00ED1099" w:rsidTr="00DA6562">
        <w:trPr>
          <w:trHeight w:val="397"/>
          <w:jc w:val="center"/>
        </w:trPr>
        <w:tc>
          <w:tcPr>
            <w:tcW w:w="1571" w:type="pct"/>
            <w:shd w:val="clear" w:color="auto" w:fill="auto"/>
            <w:vAlign w:val="center"/>
          </w:tcPr>
          <w:p w:rsidR="00206F52" w:rsidRPr="00ED1099" w:rsidRDefault="00206F52" w:rsidP="00206F52">
            <w:pPr>
              <w:spacing w:after="0" w:line="240" w:lineRule="auto"/>
              <w:jc w:val="left"/>
              <w:rPr>
                <w:rFonts w:eastAsia="Times New Roman"/>
                <w:color w:val="000000"/>
                <w:lang w:eastAsia="tr-TR"/>
              </w:rPr>
            </w:pPr>
            <w:r w:rsidRPr="00ED1099">
              <w:rPr>
                <w:rFonts w:eastAsia="Times New Roman"/>
                <w:color w:val="000000"/>
                <w:lang w:eastAsia="tr-TR"/>
              </w:rPr>
              <w:t>Ulusal Markerin Yeterli Şart ve Seviyede Olmaması</w:t>
            </w:r>
          </w:p>
        </w:tc>
        <w:tc>
          <w:tcPr>
            <w:tcW w:w="1000" w:type="pct"/>
            <w:shd w:val="clear" w:color="auto" w:fill="auto"/>
            <w:noWrap/>
            <w:vAlign w:val="center"/>
          </w:tcPr>
          <w:p w:rsidR="00206F52" w:rsidRDefault="00206F52" w:rsidP="00206F52">
            <w:pPr>
              <w:spacing w:after="0" w:line="240" w:lineRule="auto"/>
              <w:jc w:val="center"/>
              <w:rPr>
                <w:rFonts w:eastAsia="Times New Roman"/>
                <w:color w:val="000000"/>
                <w:lang w:eastAsia="tr-TR"/>
              </w:rPr>
            </w:pPr>
            <w:r>
              <w:rPr>
                <w:rFonts w:eastAsia="Times New Roman"/>
                <w:color w:val="000000"/>
                <w:lang w:eastAsia="tr-TR"/>
              </w:rPr>
              <w:t xml:space="preserve">3 </w:t>
            </w:r>
          </w:p>
        </w:tc>
        <w:tc>
          <w:tcPr>
            <w:tcW w:w="631" w:type="pct"/>
            <w:shd w:val="clear" w:color="auto" w:fill="auto"/>
            <w:noWrap/>
            <w:vAlign w:val="center"/>
          </w:tcPr>
          <w:p w:rsidR="00206F52" w:rsidRDefault="00206F52" w:rsidP="00206F52">
            <w:pPr>
              <w:spacing w:after="0" w:line="240" w:lineRule="auto"/>
              <w:jc w:val="center"/>
              <w:rPr>
                <w:rFonts w:eastAsia="Times New Roman"/>
                <w:color w:val="000000"/>
                <w:lang w:eastAsia="tr-TR"/>
              </w:rPr>
            </w:pPr>
            <w:r>
              <w:rPr>
                <w:rFonts w:eastAsia="Times New Roman"/>
                <w:color w:val="000000"/>
                <w:lang w:eastAsia="tr-TR"/>
              </w:rPr>
              <w:t xml:space="preserve">0,6 </w:t>
            </w:r>
          </w:p>
        </w:tc>
        <w:tc>
          <w:tcPr>
            <w:tcW w:w="1158" w:type="pct"/>
            <w:shd w:val="clear" w:color="auto" w:fill="auto"/>
            <w:noWrap/>
            <w:vAlign w:val="center"/>
          </w:tcPr>
          <w:p w:rsidR="00206F52" w:rsidRDefault="00206F52" w:rsidP="00206F52">
            <w:pPr>
              <w:spacing w:after="0" w:line="240" w:lineRule="auto"/>
              <w:jc w:val="right"/>
              <w:rPr>
                <w:rFonts w:eastAsia="Times New Roman"/>
                <w:color w:val="000000"/>
                <w:lang w:eastAsia="tr-TR"/>
              </w:rPr>
            </w:pPr>
            <w:r>
              <w:rPr>
                <w:rFonts w:eastAsia="Times New Roman"/>
                <w:color w:val="000000"/>
                <w:lang w:eastAsia="tr-TR"/>
              </w:rPr>
              <w:t xml:space="preserve">448.400 </w:t>
            </w:r>
          </w:p>
        </w:tc>
        <w:tc>
          <w:tcPr>
            <w:tcW w:w="639" w:type="pct"/>
            <w:shd w:val="clear" w:color="auto" w:fill="auto"/>
            <w:noWrap/>
            <w:vAlign w:val="center"/>
          </w:tcPr>
          <w:p w:rsidR="00206F52" w:rsidRDefault="00206F52" w:rsidP="00206F52">
            <w:pPr>
              <w:spacing w:after="0" w:line="240" w:lineRule="auto"/>
              <w:jc w:val="center"/>
              <w:rPr>
                <w:rFonts w:eastAsia="Times New Roman"/>
                <w:color w:val="000000"/>
                <w:lang w:eastAsia="tr-TR"/>
              </w:rPr>
            </w:pPr>
            <w:r>
              <w:rPr>
                <w:rFonts w:eastAsia="Times New Roman"/>
                <w:color w:val="000000"/>
                <w:lang w:eastAsia="tr-TR"/>
              </w:rPr>
              <w:t xml:space="preserve">0,1  </w:t>
            </w:r>
          </w:p>
        </w:tc>
      </w:tr>
      <w:tr w:rsidR="00206F52" w:rsidRPr="00ED1099" w:rsidTr="00206F52">
        <w:trPr>
          <w:trHeight w:val="397"/>
          <w:jc w:val="center"/>
        </w:trPr>
        <w:tc>
          <w:tcPr>
            <w:tcW w:w="1571" w:type="pct"/>
            <w:shd w:val="clear" w:color="auto" w:fill="auto"/>
            <w:vAlign w:val="center"/>
          </w:tcPr>
          <w:p w:rsidR="00206F52" w:rsidRPr="00ED1099" w:rsidRDefault="00206F52" w:rsidP="00206F52">
            <w:pPr>
              <w:spacing w:after="0" w:line="240" w:lineRule="auto"/>
              <w:jc w:val="left"/>
              <w:rPr>
                <w:rFonts w:eastAsia="Times New Roman"/>
                <w:color w:val="000000"/>
                <w:lang w:eastAsia="tr-TR"/>
              </w:rPr>
            </w:pPr>
            <w:r>
              <w:rPr>
                <w:rFonts w:eastAsia="Times New Roman"/>
                <w:color w:val="000000"/>
                <w:lang w:eastAsia="tr-TR"/>
              </w:rPr>
              <w:t xml:space="preserve">Dağıtıcı Dışında </w:t>
            </w:r>
            <w:r w:rsidRPr="00ED1099">
              <w:rPr>
                <w:rFonts w:eastAsia="Times New Roman"/>
                <w:color w:val="000000"/>
                <w:lang w:eastAsia="tr-TR"/>
              </w:rPr>
              <w:t>Akaryakıt İkmali</w:t>
            </w:r>
          </w:p>
        </w:tc>
        <w:tc>
          <w:tcPr>
            <w:tcW w:w="1000" w:type="pct"/>
            <w:shd w:val="clear" w:color="auto" w:fill="auto"/>
            <w:noWrap/>
            <w:vAlign w:val="center"/>
          </w:tcPr>
          <w:p w:rsidR="00206F52" w:rsidRPr="00ED1099" w:rsidRDefault="00206F52" w:rsidP="00206F52">
            <w:pPr>
              <w:spacing w:after="0" w:line="240" w:lineRule="auto"/>
              <w:jc w:val="center"/>
              <w:rPr>
                <w:rFonts w:eastAsia="Times New Roman"/>
                <w:color w:val="000000"/>
                <w:lang w:eastAsia="tr-TR"/>
              </w:rPr>
            </w:pPr>
            <w:r>
              <w:rPr>
                <w:rFonts w:eastAsia="Times New Roman"/>
                <w:color w:val="000000"/>
                <w:lang w:eastAsia="tr-TR"/>
              </w:rPr>
              <w:t xml:space="preserve">58 </w:t>
            </w:r>
          </w:p>
        </w:tc>
        <w:tc>
          <w:tcPr>
            <w:tcW w:w="631" w:type="pct"/>
            <w:shd w:val="clear" w:color="auto" w:fill="auto"/>
            <w:noWrap/>
            <w:vAlign w:val="center"/>
          </w:tcPr>
          <w:p w:rsidR="00206F52" w:rsidRPr="00ED1099" w:rsidRDefault="00206F52" w:rsidP="00206F52">
            <w:pPr>
              <w:spacing w:after="0" w:line="240" w:lineRule="auto"/>
              <w:jc w:val="center"/>
              <w:rPr>
                <w:rFonts w:eastAsia="Times New Roman"/>
                <w:color w:val="000000"/>
                <w:lang w:eastAsia="tr-TR"/>
              </w:rPr>
            </w:pPr>
            <w:r>
              <w:rPr>
                <w:rFonts w:eastAsia="Times New Roman"/>
                <w:color w:val="000000"/>
                <w:lang w:eastAsia="tr-TR"/>
              </w:rPr>
              <w:t xml:space="preserve">11,62 </w:t>
            </w:r>
          </w:p>
        </w:tc>
        <w:tc>
          <w:tcPr>
            <w:tcW w:w="1158" w:type="pct"/>
            <w:shd w:val="clear" w:color="auto" w:fill="auto"/>
            <w:noWrap/>
            <w:vAlign w:val="center"/>
          </w:tcPr>
          <w:p w:rsidR="00206F52" w:rsidRPr="00ED1099" w:rsidRDefault="00206F52" w:rsidP="00206F52">
            <w:pPr>
              <w:spacing w:after="0" w:line="240" w:lineRule="auto"/>
              <w:jc w:val="right"/>
              <w:rPr>
                <w:rFonts w:eastAsia="Times New Roman"/>
                <w:color w:val="000000"/>
                <w:lang w:eastAsia="tr-TR"/>
              </w:rPr>
            </w:pPr>
            <w:r>
              <w:rPr>
                <w:rFonts w:ascii="Calibri" w:hAnsi="Calibri" w:cs="Calibri"/>
                <w:color w:val="000000"/>
              </w:rPr>
              <w:t xml:space="preserve">1.159.928 </w:t>
            </w:r>
          </w:p>
        </w:tc>
        <w:tc>
          <w:tcPr>
            <w:tcW w:w="639" w:type="pct"/>
            <w:shd w:val="clear" w:color="auto" w:fill="auto"/>
            <w:noWrap/>
            <w:vAlign w:val="center"/>
          </w:tcPr>
          <w:p w:rsidR="00206F52" w:rsidRPr="00ED1099" w:rsidRDefault="00206F52" w:rsidP="00206F52">
            <w:pPr>
              <w:spacing w:after="0" w:line="240" w:lineRule="auto"/>
              <w:jc w:val="center"/>
              <w:rPr>
                <w:rFonts w:eastAsia="Times New Roman"/>
                <w:color w:val="000000"/>
                <w:lang w:eastAsia="tr-TR"/>
              </w:rPr>
            </w:pPr>
            <w:r>
              <w:rPr>
                <w:rFonts w:eastAsia="Times New Roman"/>
                <w:color w:val="000000"/>
                <w:lang w:eastAsia="tr-TR"/>
              </w:rPr>
              <w:t xml:space="preserve">0,25  </w:t>
            </w:r>
          </w:p>
        </w:tc>
      </w:tr>
      <w:tr w:rsidR="00206F52" w:rsidRPr="00ED1099" w:rsidTr="00206F52">
        <w:trPr>
          <w:trHeight w:val="397"/>
          <w:jc w:val="center"/>
        </w:trPr>
        <w:tc>
          <w:tcPr>
            <w:tcW w:w="1571" w:type="pct"/>
            <w:shd w:val="clear" w:color="auto" w:fill="auto"/>
            <w:vAlign w:val="center"/>
          </w:tcPr>
          <w:p w:rsidR="00206F52" w:rsidRPr="00ED1099" w:rsidRDefault="00206F52" w:rsidP="00206F52">
            <w:pPr>
              <w:spacing w:after="0" w:line="240" w:lineRule="auto"/>
              <w:jc w:val="left"/>
              <w:rPr>
                <w:rFonts w:eastAsia="Times New Roman"/>
                <w:color w:val="000000"/>
                <w:lang w:eastAsia="tr-TR"/>
              </w:rPr>
            </w:pPr>
            <w:r w:rsidRPr="00ED1099">
              <w:rPr>
                <w:rFonts w:eastAsia="Times New Roman"/>
                <w:color w:val="000000"/>
                <w:lang w:eastAsia="tr-TR"/>
              </w:rPr>
              <w:t>Diğer</w:t>
            </w:r>
            <w:r>
              <w:rPr>
                <w:rFonts w:eastAsia="Times New Roman"/>
                <w:color w:val="000000"/>
                <w:lang w:eastAsia="tr-TR"/>
              </w:rPr>
              <w:t>*</w:t>
            </w:r>
          </w:p>
        </w:tc>
        <w:tc>
          <w:tcPr>
            <w:tcW w:w="1000" w:type="pct"/>
            <w:shd w:val="clear" w:color="auto" w:fill="auto"/>
            <w:noWrap/>
            <w:vAlign w:val="center"/>
          </w:tcPr>
          <w:p w:rsidR="00206F52" w:rsidRPr="00ED1099" w:rsidRDefault="00206F52" w:rsidP="00206F52">
            <w:pPr>
              <w:spacing w:after="0" w:line="240" w:lineRule="auto"/>
              <w:jc w:val="center"/>
              <w:rPr>
                <w:rFonts w:eastAsia="Times New Roman"/>
                <w:color w:val="000000"/>
                <w:lang w:eastAsia="tr-TR"/>
              </w:rPr>
            </w:pPr>
            <w:r>
              <w:rPr>
                <w:rFonts w:eastAsia="Times New Roman"/>
                <w:color w:val="000000"/>
                <w:lang w:eastAsia="tr-TR"/>
              </w:rPr>
              <w:t xml:space="preserve">172 </w:t>
            </w:r>
          </w:p>
        </w:tc>
        <w:tc>
          <w:tcPr>
            <w:tcW w:w="631" w:type="pct"/>
            <w:shd w:val="clear" w:color="auto" w:fill="auto"/>
            <w:noWrap/>
            <w:vAlign w:val="center"/>
          </w:tcPr>
          <w:p w:rsidR="00206F52" w:rsidRPr="00ED1099" w:rsidRDefault="00206F52" w:rsidP="00206F52">
            <w:pPr>
              <w:spacing w:after="0" w:line="240" w:lineRule="auto"/>
              <w:jc w:val="center"/>
              <w:rPr>
                <w:rFonts w:eastAsia="Times New Roman"/>
                <w:color w:val="000000"/>
                <w:lang w:eastAsia="tr-TR"/>
              </w:rPr>
            </w:pPr>
            <w:r>
              <w:rPr>
                <w:rFonts w:eastAsia="Times New Roman"/>
                <w:color w:val="000000"/>
                <w:lang w:eastAsia="tr-TR"/>
              </w:rPr>
              <w:t xml:space="preserve">34,47 </w:t>
            </w:r>
          </w:p>
        </w:tc>
        <w:tc>
          <w:tcPr>
            <w:tcW w:w="1158" w:type="pct"/>
            <w:shd w:val="clear" w:color="auto" w:fill="auto"/>
            <w:noWrap/>
            <w:vAlign w:val="center"/>
          </w:tcPr>
          <w:p w:rsidR="00206F52" w:rsidRPr="00ED1099" w:rsidRDefault="00206F52" w:rsidP="00206F52">
            <w:pPr>
              <w:spacing w:after="0" w:line="240" w:lineRule="auto"/>
              <w:jc w:val="right"/>
              <w:rPr>
                <w:rFonts w:eastAsia="Times New Roman"/>
                <w:color w:val="000000"/>
                <w:lang w:eastAsia="tr-TR"/>
              </w:rPr>
            </w:pPr>
            <w:r>
              <w:rPr>
                <w:rFonts w:eastAsia="Times New Roman"/>
                <w:color w:val="000000"/>
                <w:lang w:eastAsia="tr-TR"/>
              </w:rPr>
              <w:t xml:space="preserve">115.103.928 </w:t>
            </w:r>
          </w:p>
        </w:tc>
        <w:tc>
          <w:tcPr>
            <w:tcW w:w="639" w:type="pct"/>
            <w:shd w:val="clear" w:color="auto" w:fill="auto"/>
            <w:noWrap/>
            <w:vAlign w:val="center"/>
          </w:tcPr>
          <w:p w:rsidR="00206F52" w:rsidRPr="00ED1099" w:rsidRDefault="00206F52" w:rsidP="00206F52">
            <w:pPr>
              <w:spacing w:after="0" w:line="240" w:lineRule="auto"/>
              <w:jc w:val="center"/>
              <w:rPr>
                <w:rFonts w:eastAsia="Times New Roman"/>
                <w:color w:val="000000"/>
                <w:lang w:eastAsia="tr-TR"/>
              </w:rPr>
            </w:pPr>
            <w:r>
              <w:rPr>
                <w:rFonts w:eastAsia="Times New Roman"/>
                <w:color w:val="000000"/>
                <w:lang w:eastAsia="tr-TR"/>
              </w:rPr>
              <w:t xml:space="preserve">24,66  </w:t>
            </w:r>
          </w:p>
        </w:tc>
      </w:tr>
      <w:tr w:rsidR="00206F52" w:rsidRPr="00ED1099" w:rsidTr="00206F52">
        <w:trPr>
          <w:trHeight w:val="397"/>
          <w:jc w:val="center"/>
        </w:trPr>
        <w:tc>
          <w:tcPr>
            <w:tcW w:w="1571" w:type="pct"/>
            <w:shd w:val="clear" w:color="auto" w:fill="auto"/>
            <w:vAlign w:val="center"/>
          </w:tcPr>
          <w:p w:rsidR="00206F52" w:rsidRPr="00ED1099" w:rsidRDefault="00206F52" w:rsidP="00206F52">
            <w:pPr>
              <w:spacing w:after="0" w:line="240" w:lineRule="auto"/>
              <w:jc w:val="left"/>
              <w:rPr>
                <w:rFonts w:eastAsia="Times New Roman"/>
                <w:color w:val="000000"/>
                <w:lang w:eastAsia="tr-TR"/>
              </w:rPr>
            </w:pPr>
            <w:r w:rsidRPr="00ED1099">
              <w:rPr>
                <w:rFonts w:eastAsia="Times New Roman"/>
                <w:b/>
                <w:bCs/>
                <w:color w:val="000000"/>
                <w:lang w:eastAsia="tr-TR"/>
              </w:rPr>
              <w:t>Toplam</w:t>
            </w:r>
          </w:p>
        </w:tc>
        <w:tc>
          <w:tcPr>
            <w:tcW w:w="1000" w:type="pct"/>
            <w:shd w:val="clear" w:color="auto" w:fill="auto"/>
            <w:noWrap/>
            <w:vAlign w:val="center"/>
          </w:tcPr>
          <w:p w:rsidR="00206F52" w:rsidRPr="00ED1099" w:rsidRDefault="00206F52" w:rsidP="00206F52">
            <w:pPr>
              <w:spacing w:after="0" w:line="240" w:lineRule="auto"/>
              <w:jc w:val="center"/>
              <w:rPr>
                <w:rFonts w:eastAsia="Times New Roman"/>
                <w:color w:val="000000"/>
                <w:lang w:eastAsia="tr-TR"/>
              </w:rPr>
            </w:pPr>
            <w:r>
              <w:rPr>
                <w:rFonts w:eastAsia="Times New Roman"/>
                <w:b/>
                <w:bCs/>
                <w:color w:val="000000"/>
                <w:lang w:eastAsia="tr-TR"/>
              </w:rPr>
              <w:t xml:space="preserve">499 </w:t>
            </w:r>
          </w:p>
        </w:tc>
        <w:tc>
          <w:tcPr>
            <w:tcW w:w="631" w:type="pct"/>
            <w:shd w:val="clear" w:color="auto" w:fill="auto"/>
            <w:noWrap/>
            <w:vAlign w:val="center"/>
          </w:tcPr>
          <w:p w:rsidR="00206F52" w:rsidRPr="00ED1099" w:rsidRDefault="00206F52" w:rsidP="00206F52">
            <w:pPr>
              <w:spacing w:after="0" w:line="240" w:lineRule="auto"/>
              <w:jc w:val="center"/>
              <w:rPr>
                <w:rFonts w:eastAsia="Times New Roman"/>
                <w:color w:val="000000"/>
                <w:lang w:eastAsia="tr-TR"/>
              </w:rPr>
            </w:pPr>
            <w:r w:rsidRPr="00ED1099">
              <w:rPr>
                <w:rFonts w:eastAsia="Times New Roman"/>
                <w:b/>
                <w:bCs/>
                <w:color w:val="000000"/>
                <w:lang w:eastAsia="tr-TR"/>
              </w:rPr>
              <w:t>100</w:t>
            </w:r>
          </w:p>
        </w:tc>
        <w:tc>
          <w:tcPr>
            <w:tcW w:w="1158" w:type="pct"/>
            <w:shd w:val="clear" w:color="auto" w:fill="auto"/>
            <w:noWrap/>
            <w:vAlign w:val="center"/>
          </w:tcPr>
          <w:p w:rsidR="00206F52" w:rsidRPr="00ED1099" w:rsidRDefault="00206F52" w:rsidP="00206F52">
            <w:pPr>
              <w:spacing w:after="0" w:line="240" w:lineRule="auto"/>
              <w:jc w:val="right"/>
              <w:rPr>
                <w:rFonts w:eastAsia="Times New Roman"/>
                <w:color w:val="000000"/>
                <w:lang w:eastAsia="tr-TR"/>
              </w:rPr>
            </w:pPr>
            <w:r>
              <w:rPr>
                <w:rFonts w:ascii="Calibri" w:eastAsia="Times New Roman" w:hAnsi="Calibri"/>
                <w:b/>
                <w:color w:val="000000"/>
                <w:lang w:eastAsia="tr-TR"/>
              </w:rPr>
              <w:t xml:space="preserve">466.699.019  </w:t>
            </w:r>
          </w:p>
        </w:tc>
        <w:tc>
          <w:tcPr>
            <w:tcW w:w="639" w:type="pct"/>
            <w:shd w:val="clear" w:color="auto" w:fill="auto"/>
            <w:noWrap/>
            <w:vAlign w:val="center"/>
          </w:tcPr>
          <w:p w:rsidR="00206F52" w:rsidRPr="00ED1099" w:rsidRDefault="00206F52" w:rsidP="00206F52">
            <w:pPr>
              <w:spacing w:after="0" w:line="240" w:lineRule="auto"/>
              <w:jc w:val="center"/>
              <w:rPr>
                <w:rFonts w:eastAsia="Times New Roman"/>
                <w:color w:val="000000"/>
                <w:lang w:eastAsia="tr-TR"/>
              </w:rPr>
            </w:pPr>
            <w:r w:rsidRPr="00ED1099">
              <w:rPr>
                <w:rFonts w:eastAsia="Times New Roman"/>
                <w:b/>
                <w:bCs/>
                <w:color w:val="000000"/>
                <w:lang w:eastAsia="tr-TR"/>
              </w:rPr>
              <w:t>100</w:t>
            </w:r>
          </w:p>
        </w:tc>
      </w:tr>
    </w:tbl>
    <w:p w:rsidR="003D0DD5" w:rsidRDefault="003D0DD5" w:rsidP="003D0DD5">
      <w:pPr>
        <w:pStyle w:val="AralkYok"/>
        <w:jc w:val="both"/>
        <w:rPr>
          <w:rFonts w:eastAsia="Times New Roman"/>
          <w:bCs/>
          <w:color w:val="000000"/>
          <w:sz w:val="20"/>
          <w:szCs w:val="20"/>
        </w:rPr>
      </w:pPr>
      <w:r w:rsidRPr="00ED1099">
        <w:rPr>
          <w:rFonts w:eastAsia="Times New Roman"/>
          <w:bCs/>
          <w:color w:val="000000"/>
        </w:rPr>
        <w:t>*</w:t>
      </w:r>
      <w:r w:rsidRPr="00F307FA">
        <w:rPr>
          <w:rFonts w:eastAsia="Times New Roman"/>
          <w:bCs/>
          <w:color w:val="000000"/>
          <w:sz w:val="20"/>
          <w:szCs w:val="20"/>
        </w:rPr>
        <w:t xml:space="preserve"> </w:t>
      </w:r>
      <w:r w:rsidRPr="00E40D03">
        <w:rPr>
          <w:rFonts w:eastAsia="Times New Roman"/>
          <w:bCs/>
          <w:i/>
          <w:color w:val="000000"/>
          <w:sz w:val="20"/>
          <w:szCs w:val="20"/>
        </w:rPr>
        <w:t>Petrol piyasası mevzuatının kötü niyet ve tehlikeli eylem sonucunu doğuracak işlemlerden özenle kaçınma yükümlülüğünü ihlal, ulusal marker ekleme işleminde meydana gelen usulsüzlük gibi muhtelif maddelerine muhalefetten kesilen cezaları kapsamaktadır</w:t>
      </w:r>
      <w:r w:rsidRPr="00F307FA">
        <w:rPr>
          <w:rFonts w:eastAsia="Times New Roman"/>
          <w:bCs/>
          <w:color w:val="000000"/>
          <w:sz w:val="20"/>
          <w:szCs w:val="20"/>
        </w:rPr>
        <w:t>.</w:t>
      </w:r>
    </w:p>
    <w:p w:rsidR="006A2E5D" w:rsidRDefault="006A2E5D" w:rsidP="003D0DD5">
      <w:pPr>
        <w:pStyle w:val="AralkYok"/>
        <w:jc w:val="both"/>
      </w:pPr>
    </w:p>
    <w:p w:rsidR="00206F52" w:rsidRPr="00604359" w:rsidRDefault="009D79C2" w:rsidP="00604359">
      <w:pPr>
        <w:pStyle w:val="Balk3"/>
        <w:numPr>
          <w:ilvl w:val="2"/>
          <w:numId w:val="11"/>
        </w:numPr>
        <w:spacing w:before="0" w:after="240"/>
        <w:rPr>
          <w:rFonts w:asciiTheme="minorHAnsi" w:hAnsiTheme="minorHAnsi"/>
          <w:color w:val="000000" w:themeColor="text1"/>
        </w:rPr>
      </w:pPr>
      <w:bookmarkStart w:id="366" w:name="_Toc132713844"/>
      <w:r w:rsidRPr="00604359">
        <w:rPr>
          <w:rFonts w:asciiTheme="minorHAnsi" w:hAnsiTheme="minorHAnsi"/>
          <w:color w:val="000000" w:themeColor="text1"/>
        </w:rPr>
        <w:t xml:space="preserve">5015 Sayılı </w:t>
      </w:r>
      <w:r w:rsidR="00206F52" w:rsidRPr="00604359">
        <w:rPr>
          <w:rFonts w:asciiTheme="minorHAnsi" w:hAnsiTheme="minorHAnsi"/>
          <w:color w:val="000000" w:themeColor="text1"/>
        </w:rPr>
        <w:t xml:space="preserve">Petrol Piyasası Kanununun </w:t>
      </w:r>
      <w:r w:rsidRPr="00604359">
        <w:rPr>
          <w:rFonts w:asciiTheme="minorHAnsi" w:hAnsiTheme="minorHAnsi"/>
          <w:color w:val="000000" w:themeColor="text1"/>
        </w:rPr>
        <w:t xml:space="preserve">20 Nci Maddesinin İkinci Fıkrasının (G) </w:t>
      </w:r>
      <w:r>
        <w:rPr>
          <w:rFonts w:asciiTheme="minorHAnsi" w:hAnsiTheme="minorHAnsi"/>
          <w:color w:val="000000" w:themeColor="text1"/>
        </w:rPr>
        <w:t>v</w:t>
      </w:r>
      <w:r w:rsidRPr="00604359">
        <w:rPr>
          <w:rFonts w:asciiTheme="minorHAnsi" w:hAnsiTheme="minorHAnsi"/>
          <w:color w:val="000000" w:themeColor="text1"/>
        </w:rPr>
        <w:t>e (H) Bentleri Çerçevesinde Gerçekleştirilen İşlemler</w:t>
      </w:r>
      <w:bookmarkEnd w:id="366"/>
    </w:p>
    <w:p w:rsidR="00206F52" w:rsidRPr="00206F52" w:rsidRDefault="00206F52" w:rsidP="00206F52">
      <w:pPr>
        <w:rPr>
          <w:rFonts w:cstheme="minorHAnsi"/>
          <w:bCs/>
        </w:rPr>
      </w:pPr>
      <w:r w:rsidRPr="00206F52">
        <w:rPr>
          <w:rFonts w:eastAsia="Times New Roman" w:cstheme="minorHAnsi"/>
          <w:color w:val="000000"/>
        </w:rPr>
        <w:t>29/4/2021 tarih ve 7318 sayılı Kanunun 10 uncu maddesi ile 5015 sayılı Petrol Piyasası Kanununun 20 nci maddesinin ikinci fıkrasının (g) bendine “</w:t>
      </w:r>
      <w:r w:rsidRPr="00206F52">
        <w:rPr>
          <w:rFonts w:eastAsia="Times New Roman" w:cstheme="minorHAnsi"/>
          <w:i/>
          <w:color w:val="000000"/>
        </w:rPr>
        <w:t xml:space="preserve">Bu Kanuna göre lisansa tabi faaliyetler ile ilgili olarak, 4/1/1961 tarihli ve 213 sayılı Vergi Usul Kanununun 359 uncu maddesinin (a) ve (b) fıkraları kapsamında; muhteviyatı itibarıyla yanıltıcı belge düzenleme veya bu belgeleri kullanma, belgelerin asıl veya suretlerini tamamen veya kısmen sahte olarak düzenleme veya bu belgeleri kullanma suçları ile aynı maddenin (ç) fıkrasında yazılı suçların işlendiğinin anılan Kanunun 367 nci maddesi uyarınca Cumhuriyet başsavcılığına bildirilmesi ile birlikte durum, Kuruma da iletilir ve Kurum tarafından her türlü tesiste (rafineri hariç) lisansa tabi tüm faaliyetler kovuşturmaya yer </w:t>
      </w:r>
      <w:r w:rsidRPr="00206F52">
        <w:rPr>
          <w:rFonts w:eastAsia="Times New Roman" w:cstheme="minorHAnsi"/>
          <w:i/>
          <w:color w:val="000000"/>
        </w:rPr>
        <w:lastRenderedPageBreak/>
        <w:t>olmadığına dair karar veya mahkeme kararı kesinleşinceye kadar geçici olarak durdurulur ve bu süre içinde söz konusu tesis için başka bir gerçek veya tüzel kişiye de lisans verilmez. Kesinleşmiş mahkeme kararına göre lisans sahiplerinin lisansı iptal edilir. Bu bent kapsamında kalan fiillere ilişkin olarak verilen idari para cezaları ödenmediği müddetçe lisansa konu tesis için lisans</w:t>
      </w:r>
      <w:r w:rsidRPr="00206F52">
        <w:rPr>
          <w:rFonts w:cstheme="minorHAnsi"/>
          <w:bCs/>
        </w:rPr>
        <w:t xml:space="preserve"> </w:t>
      </w:r>
      <w:r w:rsidRPr="00206F52">
        <w:rPr>
          <w:rFonts w:eastAsia="Times New Roman" w:cstheme="minorHAnsi"/>
          <w:i/>
          <w:color w:val="000000"/>
        </w:rPr>
        <w:t>verilmez. Bu bent kapsamındaki suçlara ilişkin vergi incelemesi sonuçlanıncaya kadar söz konusu tesis için başka bir gerçek veya tüzel kişiye de lisans verilmez</w:t>
      </w:r>
      <w:r w:rsidRPr="00206F52">
        <w:rPr>
          <w:rFonts w:eastAsia="Times New Roman" w:cstheme="minorHAnsi"/>
          <w:color w:val="000000"/>
        </w:rPr>
        <w:t>.” hükmü eklenmiştir.</w:t>
      </w:r>
    </w:p>
    <w:p w:rsidR="00206F52" w:rsidRPr="00206F52" w:rsidRDefault="00206F52" w:rsidP="00206F52">
      <w:pPr>
        <w:rPr>
          <w:rFonts w:cstheme="minorHAnsi"/>
          <w:bCs/>
        </w:rPr>
      </w:pPr>
      <w:r w:rsidRPr="00206F52">
        <w:rPr>
          <w:rFonts w:cstheme="minorHAnsi"/>
          <w:bCs/>
        </w:rPr>
        <w:t>Kurumumuza Hazine ve Maliye Bakanlığı Vergi Denetim Kurulu Başkanlığı tarafından söz konusu hükümler çerçevesinde işlem yapılması amacıyla gönderilen tespitler kapsamında aşağıdaki işlemler gerçekleştirilmiştir.</w:t>
      </w:r>
    </w:p>
    <w:p w:rsidR="00206F52" w:rsidRPr="007A7736" w:rsidRDefault="00206F52" w:rsidP="009D79C2">
      <w:pPr>
        <w:pStyle w:val="Balk5"/>
        <w:spacing w:after="240" w:line="360" w:lineRule="auto"/>
        <w:jc w:val="center"/>
        <w:rPr>
          <w:rStyle w:val="Gl"/>
          <w:rFonts w:eastAsia="Calibri" w:cs="Times New Roman"/>
          <w:color w:val="000000" w:themeColor="text1"/>
        </w:rPr>
      </w:pPr>
      <w:bookmarkStart w:id="367" w:name="_Toc132713936"/>
      <w:bookmarkStart w:id="368" w:name="_Hlk130305203"/>
      <w:r w:rsidRPr="00122C27">
        <w:rPr>
          <w:rStyle w:val="Gl"/>
          <w:color w:val="000000" w:themeColor="text1"/>
        </w:rPr>
        <w:t>Tablo 6.</w:t>
      </w:r>
      <w:r>
        <w:rPr>
          <w:rStyle w:val="Gl"/>
          <w:color w:val="000000" w:themeColor="text1"/>
        </w:rPr>
        <w:t>8</w:t>
      </w:r>
      <w:r w:rsidRPr="00122C27">
        <w:rPr>
          <w:rStyle w:val="Gl"/>
          <w:color w:val="000000" w:themeColor="text1"/>
        </w:rPr>
        <w:t>:</w:t>
      </w:r>
      <w:r>
        <w:rPr>
          <w:rStyle w:val="Gl"/>
          <w:color w:val="000000" w:themeColor="text1"/>
        </w:rPr>
        <w:t xml:space="preserve"> 5015 sayılı Kanunun 20 nci maddesinin ikinci fıkrasının (g) bendi çerçevesinde yapılan işlemler</w:t>
      </w:r>
      <w:bookmarkEnd w:id="367"/>
    </w:p>
    <w:tbl>
      <w:tblPr>
        <w:tblW w:w="3287"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5671"/>
        <w:gridCol w:w="844"/>
      </w:tblGrid>
      <w:tr w:rsidR="00206F52" w:rsidRPr="00A27064" w:rsidTr="00206F52">
        <w:trPr>
          <w:trHeight w:val="397"/>
          <w:tblHeader/>
          <w:jc w:val="center"/>
        </w:trPr>
        <w:tc>
          <w:tcPr>
            <w:tcW w:w="4352" w:type="pct"/>
            <w:shd w:val="clear" w:color="auto" w:fill="6E9ECA"/>
            <w:vAlign w:val="center"/>
            <w:hideMark/>
          </w:tcPr>
          <w:bookmarkEnd w:id="368"/>
          <w:p w:rsidR="00206F52" w:rsidRPr="00CA4DC3" w:rsidRDefault="00206F52" w:rsidP="00206F52">
            <w:pPr>
              <w:spacing w:after="0" w:line="240" w:lineRule="auto"/>
              <w:jc w:val="center"/>
              <w:rPr>
                <w:rFonts w:eastAsia="Times New Roman"/>
                <w:b/>
                <w:bCs/>
                <w:color w:val="FFFFFF" w:themeColor="background1"/>
                <w:lang w:eastAsia="tr-TR"/>
              </w:rPr>
            </w:pPr>
            <w:r w:rsidRPr="00CA4DC3">
              <w:rPr>
                <w:rFonts w:eastAsia="Times New Roman"/>
                <w:b/>
                <w:bCs/>
                <w:color w:val="FFFFFF" w:themeColor="background1"/>
                <w:lang w:eastAsia="tr-TR"/>
              </w:rPr>
              <w:t>T</w:t>
            </w:r>
            <w:r w:rsidRPr="00E6446B">
              <w:rPr>
                <w:rFonts w:eastAsia="Times New Roman"/>
                <w:b/>
                <w:color w:val="FFFFFF" w:themeColor="background1"/>
                <w:lang w:eastAsia="tr-TR"/>
              </w:rPr>
              <w:t>espit Türü</w:t>
            </w:r>
          </w:p>
        </w:tc>
        <w:tc>
          <w:tcPr>
            <w:tcW w:w="648" w:type="pct"/>
            <w:shd w:val="clear" w:color="auto" w:fill="6E9ECA"/>
            <w:vAlign w:val="center"/>
            <w:hideMark/>
          </w:tcPr>
          <w:p w:rsidR="00206F52" w:rsidRPr="00A27064" w:rsidRDefault="00206F52" w:rsidP="00206F52">
            <w:pPr>
              <w:spacing w:after="0" w:line="240" w:lineRule="auto"/>
              <w:jc w:val="center"/>
              <w:rPr>
                <w:rFonts w:eastAsia="Times New Roman"/>
                <w:b/>
                <w:bCs/>
                <w:color w:val="FFFFFF" w:themeColor="background1"/>
                <w:lang w:eastAsia="tr-TR"/>
              </w:rPr>
            </w:pPr>
            <w:r>
              <w:rPr>
                <w:rFonts w:eastAsia="Times New Roman"/>
                <w:b/>
                <w:bCs/>
                <w:color w:val="FFFFFF" w:themeColor="background1"/>
                <w:lang w:eastAsia="tr-TR"/>
              </w:rPr>
              <w:t>A</w:t>
            </w:r>
            <w:r w:rsidRPr="00E6446B">
              <w:rPr>
                <w:rFonts w:eastAsia="Times New Roman"/>
                <w:b/>
                <w:bCs/>
                <w:color w:val="FFFFFF" w:themeColor="background1"/>
                <w:lang w:eastAsia="tr-TR"/>
              </w:rPr>
              <w:t>det</w:t>
            </w:r>
          </w:p>
        </w:tc>
      </w:tr>
      <w:tr w:rsidR="00206F52" w:rsidRPr="00ED1099" w:rsidTr="00206F52">
        <w:trPr>
          <w:trHeight w:val="397"/>
          <w:jc w:val="center"/>
        </w:trPr>
        <w:tc>
          <w:tcPr>
            <w:tcW w:w="4352" w:type="pct"/>
            <w:shd w:val="clear" w:color="auto" w:fill="auto"/>
            <w:vAlign w:val="center"/>
            <w:hideMark/>
          </w:tcPr>
          <w:p w:rsidR="00206F52" w:rsidRPr="00ED1099" w:rsidRDefault="00206F52" w:rsidP="00206F52">
            <w:pPr>
              <w:spacing w:after="0" w:line="240" w:lineRule="auto"/>
              <w:jc w:val="left"/>
              <w:rPr>
                <w:rFonts w:eastAsia="Times New Roman"/>
                <w:color w:val="000000"/>
                <w:lang w:eastAsia="tr-TR"/>
              </w:rPr>
            </w:pPr>
            <w:r>
              <w:rPr>
                <w:rFonts w:eastAsia="Times New Roman"/>
                <w:color w:val="000000"/>
                <w:lang w:eastAsia="tr-TR"/>
              </w:rPr>
              <w:t>Faaliyetinin durdurulması için kolluğa yazı yazılan lisans sahipleri</w:t>
            </w:r>
          </w:p>
        </w:tc>
        <w:tc>
          <w:tcPr>
            <w:tcW w:w="648" w:type="pct"/>
            <w:shd w:val="clear" w:color="auto" w:fill="auto"/>
            <w:noWrap/>
            <w:vAlign w:val="center"/>
          </w:tcPr>
          <w:p w:rsidR="00206F52" w:rsidRPr="00ED1099" w:rsidRDefault="00206F52" w:rsidP="00206F52">
            <w:pPr>
              <w:spacing w:after="0" w:line="240" w:lineRule="auto"/>
              <w:jc w:val="center"/>
              <w:rPr>
                <w:rFonts w:eastAsia="Times New Roman"/>
                <w:color w:val="000000"/>
                <w:lang w:eastAsia="tr-TR"/>
              </w:rPr>
            </w:pPr>
            <w:r>
              <w:rPr>
                <w:rFonts w:eastAsia="Times New Roman"/>
                <w:color w:val="000000"/>
                <w:lang w:eastAsia="tr-TR"/>
              </w:rPr>
              <w:t>634</w:t>
            </w:r>
          </w:p>
        </w:tc>
      </w:tr>
      <w:tr w:rsidR="00206F52" w:rsidRPr="00ED1099" w:rsidTr="00206F52">
        <w:trPr>
          <w:trHeight w:val="397"/>
          <w:jc w:val="center"/>
        </w:trPr>
        <w:tc>
          <w:tcPr>
            <w:tcW w:w="4352" w:type="pct"/>
            <w:shd w:val="clear" w:color="auto" w:fill="auto"/>
            <w:vAlign w:val="center"/>
            <w:hideMark/>
          </w:tcPr>
          <w:p w:rsidR="00206F52" w:rsidRPr="00ED1099" w:rsidRDefault="00206F52" w:rsidP="00206F52">
            <w:pPr>
              <w:spacing w:after="0" w:line="240" w:lineRule="auto"/>
              <w:jc w:val="left"/>
              <w:rPr>
                <w:rFonts w:eastAsia="Times New Roman"/>
                <w:color w:val="000000"/>
                <w:lang w:eastAsia="tr-TR"/>
              </w:rPr>
            </w:pPr>
            <w:r>
              <w:rPr>
                <w:rFonts w:eastAsia="Times New Roman"/>
                <w:color w:val="000000"/>
                <w:lang w:eastAsia="tr-TR"/>
              </w:rPr>
              <w:t>Lisansı yürürlükte bulunmadığı için faaliyet gösterme imkanı olmayan kişiler</w:t>
            </w:r>
          </w:p>
        </w:tc>
        <w:tc>
          <w:tcPr>
            <w:tcW w:w="648" w:type="pct"/>
            <w:shd w:val="clear" w:color="auto" w:fill="auto"/>
            <w:noWrap/>
            <w:vAlign w:val="center"/>
          </w:tcPr>
          <w:p w:rsidR="00206F52" w:rsidRPr="00ED1099" w:rsidRDefault="00206F52" w:rsidP="00206F52">
            <w:pPr>
              <w:spacing w:after="0" w:line="240" w:lineRule="auto"/>
              <w:jc w:val="center"/>
              <w:rPr>
                <w:rFonts w:eastAsia="Times New Roman"/>
                <w:color w:val="000000"/>
                <w:lang w:eastAsia="tr-TR"/>
              </w:rPr>
            </w:pPr>
            <w:r>
              <w:rPr>
                <w:rFonts w:eastAsia="Times New Roman"/>
                <w:color w:val="000000"/>
                <w:lang w:eastAsia="tr-TR"/>
              </w:rPr>
              <w:t>529</w:t>
            </w:r>
          </w:p>
        </w:tc>
      </w:tr>
      <w:tr w:rsidR="00206F52" w:rsidRPr="00ED1099" w:rsidTr="00206F52">
        <w:trPr>
          <w:trHeight w:val="397"/>
          <w:jc w:val="center"/>
        </w:trPr>
        <w:tc>
          <w:tcPr>
            <w:tcW w:w="4352" w:type="pct"/>
            <w:shd w:val="clear" w:color="auto" w:fill="auto"/>
            <w:vAlign w:val="center"/>
            <w:hideMark/>
          </w:tcPr>
          <w:p w:rsidR="00206F52" w:rsidRPr="00ED1099" w:rsidRDefault="00206F52" w:rsidP="00206F52">
            <w:pPr>
              <w:spacing w:after="0" w:line="240" w:lineRule="auto"/>
              <w:jc w:val="left"/>
              <w:rPr>
                <w:rFonts w:eastAsia="Times New Roman"/>
                <w:color w:val="000000"/>
                <w:lang w:eastAsia="tr-TR"/>
              </w:rPr>
            </w:pPr>
            <w:r w:rsidRPr="00E6446B">
              <w:rPr>
                <w:rFonts w:eastAsia="Times New Roman"/>
                <w:color w:val="000000"/>
                <w:lang w:eastAsia="tr-TR"/>
              </w:rPr>
              <w:t>7318 s.K. (RG: 30.04.2021) Öncesi Döneme İlişkin Tespitler</w:t>
            </w:r>
          </w:p>
        </w:tc>
        <w:tc>
          <w:tcPr>
            <w:tcW w:w="648" w:type="pct"/>
            <w:shd w:val="clear" w:color="auto" w:fill="auto"/>
            <w:noWrap/>
            <w:vAlign w:val="center"/>
          </w:tcPr>
          <w:p w:rsidR="00206F52" w:rsidRPr="00ED1099" w:rsidRDefault="00206F52" w:rsidP="00206F52">
            <w:pPr>
              <w:spacing w:after="0" w:line="240" w:lineRule="auto"/>
              <w:jc w:val="center"/>
              <w:rPr>
                <w:rFonts w:eastAsia="Times New Roman"/>
                <w:color w:val="000000"/>
                <w:lang w:eastAsia="tr-TR"/>
              </w:rPr>
            </w:pPr>
            <w:r>
              <w:rPr>
                <w:rFonts w:eastAsia="Times New Roman"/>
                <w:color w:val="000000"/>
                <w:lang w:eastAsia="tr-TR"/>
              </w:rPr>
              <w:t>281</w:t>
            </w:r>
          </w:p>
        </w:tc>
      </w:tr>
      <w:tr w:rsidR="00206F52" w:rsidRPr="00ED1099" w:rsidTr="00206F52">
        <w:trPr>
          <w:trHeight w:val="397"/>
          <w:jc w:val="center"/>
        </w:trPr>
        <w:tc>
          <w:tcPr>
            <w:tcW w:w="4352" w:type="pct"/>
            <w:shd w:val="clear" w:color="auto" w:fill="auto"/>
            <w:vAlign w:val="center"/>
          </w:tcPr>
          <w:p w:rsidR="00206F52" w:rsidRPr="00ED1099" w:rsidRDefault="00206F52" w:rsidP="00206F52">
            <w:pPr>
              <w:spacing w:after="0" w:line="240" w:lineRule="auto"/>
              <w:rPr>
                <w:rFonts w:eastAsia="Times New Roman"/>
                <w:color w:val="000000"/>
                <w:lang w:eastAsia="tr-TR"/>
              </w:rPr>
            </w:pPr>
            <w:r w:rsidRPr="00ED1099">
              <w:rPr>
                <w:rFonts w:eastAsia="Times New Roman"/>
                <w:b/>
                <w:bCs/>
                <w:color w:val="000000"/>
                <w:lang w:eastAsia="tr-TR"/>
              </w:rPr>
              <w:t>Toplam</w:t>
            </w:r>
          </w:p>
        </w:tc>
        <w:tc>
          <w:tcPr>
            <w:tcW w:w="648" w:type="pct"/>
            <w:shd w:val="clear" w:color="auto" w:fill="auto"/>
            <w:noWrap/>
            <w:vAlign w:val="center"/>
          </w:tcPr>
          <w:p w:rsidR="00206F52" w:rsidRPr="00E6446B" w:rsidRDefault="00206F52" w:rsidP="00206F52">
            <w:pPr>
              <w:spacing w:after="0" w:line="240" w:lineRule="auto"/>
              <w:jc w:val="center"/>
              <w:rPr>
                <w:rFonts w:eastAsia="Times New Roman"/>
                <w:b/>
                <w:color w:val="000000"/>
                <w:lang w:eastAsia="tr-TR"/>
              </w:rPr>
            </w:pPr>
            <w:r w:rsidRPr="00C53501">
              <w:rPr>
                <w:rFonts w:eastAsia="Times New Roman"/>
                <w:b/>
                <w:color w:val="000000"/>
                <w:lang w:eastAsia="tr-TR"/>
              </w:rPr>
              <w:t>1444</w:t>
            </w:r>
          </w:p>
        </w:tc>
      </w:tr>
    </w:tbl>
    <w:p w:rsidR="009D79C2" w:rsidRDefault="009D79C2" w:rsidP="00206F52"/>
    <w:p w:rsidR="00206F52" w:rsidRPr="00206F52" w:rsidRDefault="00206F52" w:rsidP="00206F52">
      <w:pPr>
        <w:rPr>
          <w:rFonts w:eastAsia="Times New Roman" w:cstheme="minorHAnsi"/>
          <w:color w:val="000000"/>
        </w:rPr>
      </w:pPr>
      <w:r w:rsidRPr="00206F52">
        <w:t xml:space="preserve">Aynı tarih ve sayılı Kanun değişikliği ile </w:t>
      </w:r>
      <w:r w:rsidRPr="00206F52">
        <w:rPr>
          <w:rFonts w:eastAsia="Times New Roman" w:cstheme="minorHAnsi"/>
          <w:color w:val="000000"/>
        </w:rPr>
        <w:t xml:space="preserve">5015 sayılı Petrol Piyasası Kanununun 20 nci maddesinin ikinci fıkrasının (h) bendine </w:t>
      </w:r>
      <w:r w:rsidRPr="00206F52">
        <w:rPr>
          <w:rFonts w:eastAsia="Times New Roman" w:cstheme="minorHAnsi"/>
          <w:i/>
          <w:color w:val="000000"/>
        </w:rPr>
        <w:t xml:space="preserve">“Bu Kanun kapsamında lisansa tabi faaliyetlerde bulunanlardan, 213 sayılı Kanunun mükerrer 257 nci maddesinin birinci fıkrasının (8) numaralı bendine göre istenilen teminatı vermeyenlerin ilgili piyasa faaliyeti teminat verilinceye kadar durdurulur ve bu süre içinde söz konusu tesis veya faaliyet için başka bir gerçek veya tüzel kişiye de lisans verilmez.” </w:t>
      </w:r>
      <w:r w:rsidRPr="00206F52">
        <w:rPr>
          <w:rFonts w:eastAsia="Times New Roman" w:cstheme="minorHAnsi"/>
          <w:color w:val="000000"/>
        </w:rPr>
        <w:t>hükmü eklenmiştir. Söz konusu hükümler çerçevesinde Kurumumuz nezdinde gerçekleştirilen işlemlere dair detaylı bilgiler aşağıdaki tablolarda yer almaktadır.</w:t>
      </w:r>
    </w:p>
    <w:p w:rsidR="00206F52" w:rsidRPr="00E6446B" w:rsidRDefault="00206F52" w:rsidP="009D79C2">
      <w:pPr>
        <w:pStyle w:val="Balk5"/>
        <w:spacing w:after="240" w:line="360" w:lineRule="auto"/>
        <w:jc w:val="center"/>
        <w:rPr>
          <w:b/>
          <w:bCs/>
          <w:color w:val="000000" w:themeColor="text1"/>
        </w:rPr>
      </w:pPr>
      <w:bookmarkStart w:id="369" w:name="_Toc132713937"/>
      <w:r w:rsidRPr="00122C27">
        <w:rPr>
          <w:rStyle w:val="Gl"/>
          <w:color w:val="000000" w:themeColor="text1"/>
        </w:rPr>
        <w:t>T</w:t>
      </w:r>
      <w:r>
        <w:rPr>
          <w:rStyle w:val="Gl"/>
          <w:color w:val="000000" w:themeColor="text1"/>
        </w:rPr>
        <w:t>ablo 6.9: 5015 sayılı Kanunun 20 nci maddesinin ikinci fıkrası (h) bendi kapsamında yapılan işlemler</w:t>
      </w:r>
      <w:bookmarkEnd w:id="369"/>
      <w:r w:rsidRPr="00FA1354">
        <w:rPr>
          <w:rStyle w:val="Gl"/>
          <w:color w:val="000000" w:themeColor="text1"/>
        </w:rPr>
        <w:t xml:space="preserve"> </w:t>
      </w:r>
    </w:p>
    <w:tbl>
      <w:tblPr>
        <w:tblW w:w="3862"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4956"/>
        <w:gridCol w:w="2699"/>
      </w:tblGrid>
      <w:tr w:rsidR="00206F52" w:rsidRPr="00A27064" w:rsidTr="00206F52">
        <w:trPr>
          <w:trHeight w:val="397"/>
          <w:tblHeader/>
          <w:jc w:val="center"/>
        </w:trPr>
        <w:tc>
          <w:tcPr>
            <w:tcW w:w="3237" w:type="pct"/>
            <w:shd w:val="clear" w:color="auto" w:fill="6E9ECA"/>
            <w:vAlign w:val="center"/>
            <w:hideMark/>
          </w:tcPr>
          <w:p w:rsidR="00206F52" w:rsidRPr="00241397" w:rsidRDefault="00206F52" w:rsidP="00206F52">
            <w:pPr>
              <w:spacing w:after="0" w:line="240" w:lineRule="auto"/>
              <w:jc w:val="center"/>
              <w:rPr>
                <w:rFonts w:eastAsia="Times New Roman"/>
                <w:b/>
                <w:bCs/>
                <w:color w:val="FFFFFF" w:themeColor="background1"/>
                <w:lang w:eastAsia="tr-TR"/>
              </w:rPr>
            </w:pPr>
            <w:r w:rsidRPr="00241397">
              <w:rPr>
                <w:rFonts w:eastAsia="Times New Roman"/>
                <w:b/>
                <w:bCs/>
                <w:color w:val="FFFFFF" w:themeColor="background1"/>
                <w:lang w:eastAsia="tr-TR"/>
              </w:rPr>
              <w:t>T</w:t>
            </w:r>
            <w:r w:rsidRPr="00C53501">
              <w:rPr>
                <w:rFonts w:eastAsia="Times New Roman"/>
                <w:b/>
                <w:bCs/>
                <w:color w:val="FFFFFF" w:themeColor="background1"/>
                <w:lang w:eastAsia="tr-TR"/>
              </w:rPr>
              <w:t>espit Türü</w:t>
            </w:r>
          </w:p>
        </w:tc>
        <w:tc>
          <w:tcPr>
            <w:tcW w:w="1763" w:type="pct"/>
            <w:shd w:val="clear" w:color="auto" w:fill="6E9ECA"/>
            <w:vAlign w:val="center"/>
            <w:hideMark/>
          </w:tcPr>
          <w:p w:rsidR="00206F52" w:rsidRPr="00A27064" w:rsidRDefault="00206F52" w:rsidP="00206F52">
            <w:pPr>
              <w:spacing w:after="0" w:line="240" w:lineRule="auto"/>
              <w:jc w:val="center"/>
              <w:rPr>
                <w:rFonts w:eastAsia="Times New Roman"/>
                <w:b/>
                <w:bCs/>
                <w:color w:val="FFFFFF" w:themeColor="background1"/>
                <w:lang w:eastAsia="tr-TR"/>
              </w:rPr>
            </w:pPr>
            <w:r>
              <w:rPr>
                <w:rFonts w:eastAsia="Times New Roman"/>
                <w:b/>
                <w:bCs/>
                <w:color w:val="FFFFFF" w:themeColor="background1"/>
                <w:lang w:eastAsia="tr-TR"/>
              </w:rPr>
              <w:t>A</w:t>
            </w:r>
            <w:r w:rsidRPr="00E6446B">
              <w:rPr>
                <w:rFonts w:eastAsia="Times New Roman"/>
                <w:b/>
                <w:bCs/>
                <w:color w:val="FFFFFF" w:themeColor="background1"/>
                <w:lang w:eastAsia="tr-TR"/>
              </w:rPr>
              <w:t>det</w:t>
            </w:r>
          </w:p>
        </w:tc>
      </w:tr>
      <w:tr w:rsidR="00206F52" w:rsidRPr="00ED1099" w:rsidTr="00206F52">
        <w:trPr>
          <w:trHeight w:val="397"/>
          <w:jc w:val="center"/>
        </w:trPr>
        <w:tc>
          <w:tcPr>
            <w:tcW w:w="3237" w:type="pct"/>
            <w:shd w:val="clear" w:color="auto" w:fill="auto"/>
          </w:tcPr>
          <w:p w:rsidR="00206F52" w:rsidRPr="00ED1099" w:rsidRDefault="00206F52" w:rsidP="00206F52">
            <w:pPr>
              <w:spacing w:after="0" w:line="240" w:lineRule="auto"/>
              <w:jc w:val="left"/>
              <w:rPr>
                <w:rFonts w:eastAsia="Times New Roman"/>
                <w:color w:val="000000"/>
                <w:lang w:eastAsia="tr-TR"/>
              </w:rPr>
            </w:pPr>
            <w:r w:rsidRPr="00E6446B">
              <w:rPr>
                <w:rFonts w:eastAsia="Times New Roman"/>
                <w:color w:val="000000"/>
                <w:lang w:eastAsia="tr-TR"/>
              </w:rPr>
              <w:t>Gelir İdaresi Başkanlığından teminat yatırılmadığına ilişkin gönderilen lisans sahibi sayısı</w:t>
            </w:r>
          </w:p>
        </w:tc>
        <w:tc>
          <w:tcPr>
            <w:tcW w:w="1763" w:type="pct"/>
            <w:shd w:val="clear" w:color="auto" w:fill="auto"/>
            <w:noWrap/>
          </w:tcPr>
          <w:p w:rsidR="00206F52" w:rsidRPr="00ED1099" w:rsidRDefault="00206F52" w:rsidP="00206F52">
            <w:pPr>
              <w:spacing w:after="0" w:line="240" w:lineRule="auto"/>
              <w:jc w:val="center"/>
              <w:rPr>
                <w:rFonts w:eastAsia="Times New Roman"/>
                <w:color w:val="000000"/>
                <w:lang w:eastAsia="tr-TR"/>
              </w:rPr>
            </w:pPr>
            <w:r w:rsidRPr="00E6446B">
              <w:rPr>
                <w:rFonts w:eastAsia="Times New Roman"/>
                <w:color w:val="000000"/>
                <w:lang w:eastAsia="tr-TR"/>
              </w:rPr>
              <w:t>953</w:t>
            </w:r>
          </w:p>
        </w:tc>
      </w:tr>
      <w:tr w:rsidR="00206F52" w:rsidRPr="00ED1099" w:rsidTr="00206F52">
        <w:trPr>
          <w:trHeight w:val="397"/>
          <w:jc w:val="center"/>
        </w:trPr>
        <w:tc>
          <w:tcPr>
            <w:tcW w:w="3237" w:type="pct"/>
            <w:shd w:val="clear" w:color="auto" w:fill="auto"/>
          </w:tcPr>
          <w:p w:rsidR="00206F52" w:rsidRPr="00ED1099" w:rsidRDefault="00206F52" w:rsidP="00206F52">
            <w:pPr>
              <w:spacing w:after="0" w:line="240" w:lineRule="auto"/>
              <w:jc w:val="left"/>
              <w:rPr>
                <w:rFonts w:eastAsia="Times New Roman"/>
                <w:color w:val="000000"/>
                <w:lang w:eastAsia="tr-TR"/>
              </w:rPr>
            </w:pPr>
            <w:r w:rsidRPr="00E6446B">
              <w:rPr>
                <w:rFonts w:eastAsia="Times New Roman"/>
                <w:color w:val="000000"/>
                <w:lang w:eastAsia="tr-TR"/>
              </w:rPr>
              <w:t>Geçici faaliyet durdurma işlemi yapılmadan teminat yatırıldığı bildirilen lisans sahibi sayısı</w:t>
            </w:r>
          </w:p>
        </w:tc>
        <w:tc>
          <w:tcPr>
            <w:tcW w:w="1763" w:type="pct"/>
            <w:shd w:val="clear" w:color="auto" w:fill="auto"/>
            <w:noWrap/>
          </w:tcPr>
          <w:p w:rsidR="00206F52" w:rsidRPr="00E6446B" w:rsidRDefault="00206F52" w:rsidP="00206F52">
            <w:pPr>
              <w:spacing w:after="0" w:line="240" w:lineRule="auto"/>
              <w:jc w:val="center"/>
              <w:rPr>
                <w:rFonts w:eastAsia="Times New Roman"/>
                <w:color w:val="000000"/>
                <w:lang w:eastAsia="tr-TR"/>
              </w:rPr>
            </w:pPr>
            <w:r w:rsidRPr="00E6446B">
              <w:rPr>
                <w:rFonts w:eastAsia="Times New Roman"/>
                <w:color w:val="000000"/>
                <w:lang w:eastAsia="tr-TR"/>
              </w:rPr>
              <w:t>220</w:t>
            </w:r>
          </w:p>
          <w:p w:rsidR="00206F52" w:rsidRPr="00ED1099" w:rsidRDefault="00206F52" w:rsidP="00206F52">
            <w:pPr>
              <w:spacing w:after="0" w:line="240" w:lineRule="auto"/>
              <w:jc w:val="center"/>
              <w:rPr>
                <w:rFonts w:eastAsia="Times New Roman"/>
                <w:color w:val="000000"/>
                <w:lang w:eastAsia="tr-TR"/>
              </w:rPr>
            </w:pPr>
          </w:p>
        </w:tc>
      </w:tr>
      <w:tr w:rsidR="00206F52" w:rsidRPr="00ED1099" w:rsidTr="00206F52">
        <w:trPr>
          <w:trHeight w:val="397"/>
          <w:jc w:val="center"/>
        </w:trPr>
        <w:tc>
          <w:tcPr>
            <w:tcW w:w="3237" w:type="pct"/>
            <w:shd w:val="clear" w:color="auto" w:fill="auto"/>
          </w:tcPr>
          <w:p w:rsidR="00206F52" w:rsidRPr="00ED1099" w:rsidRDefault="00206F52" w:rsidP="00206F52">
            <w:pPr>
              <w:spacing w:after="0" w:line="240" w:lineRule="auto"/>
              <w:jc w:val="left"/>
              <w:rPr>
                <w:rFonts w:eastAsia="Times New Roman"/>
                <w:color w:val="000000"/>
                <w:lang w:eastAsia="tr-TR"/>
              </w:rPr>
            </w:pPr>
            <w:r w:rsidRPr="00E6446B">
              <w:rPr>
                <w:rFonts w:eastAsia="Times New Roman"/>
                <w:color w:val="000000"/>
                <w:lang w:eastAsia="tr-TR"/>
              </w:rPr>
              <w:t xml:space="preserve">Geçici faaliyet durdurma işlemi amacıyla protokolcü kuruluşlara bildirilen lisans sahibi sayısı </w:t>
            </w:r>
          </w:p>
        </w:tc>
        <w:tc>
          <w:tcPr>
            <w:tcW w:w="1763" w:type="pct"/>
            <w:shd w:val="clear" w:color="auto" w:fill="auto"/>
            <w:noWrap/>
          </w:tcPr>
          <w:p w:rsidR="00206F52" w:rsidRPr="00ED1099" w:rsidRDefault="00206F52" w:rsidP="00206F52">
            <w:pPr>
              <w:spacing w:after="0" w:line="240" w:lineRule="auto"/>
              <w:jc w:val="center"/>
              <w:rPr>
                <w:rFonts w:eastAsia="Times New Roman"/>
                <w:color w:val="000000"/>
                <w:lang w:eastAsia="tr-TR"/>
              </w:rPr>
            </w:pPr>
            <w:r w:rsidRPr="00E6446B">
              <w:rPr>
                <w:rFonts w:eastAsia="Times New Roman"/>
                <w:color w:val="000000"/>
                <w:lang w:eastAsia="tr-TR"/>
              </w:rPr>
              <w:t>733</w:t>
            </w:r>
          </w:p>
        </w:tc>
      </w:tr>
      <w:tr w:rsidR="00206F52" w:rsidRPr="00ED1099" w:rsidTr="00206F52">
        <w:trPr>
          <w:trHeight w:val="397"/>
          <w:jc w:val="center"/>
        </w:trPr>
        <w:tc>
          <w:tcPr>
            <w:tcW w:w="3237" w:type="pct"/>
            <w:shd w:val="clear" w:color="auto" w:fill="auto"/>
          </w:tcPr>
          <w:p w:rsidR="00206F52" w:rsidRPr="00ED1099" w:rsidRDefault="00206F52" w:rsidP="00206F52">
            <w:pPr>
              <w:spacing w:after="0" w:line="240" w:lineRule="auto"/>
              <w:jc w:val="left"/>
              <w:rPr>
                <w:rFonts w:eastAsia="Times New Roman"/>
                <w:color w:val="000000"/>
                <w:lang w:eastAsia="tr-TR"/>
              </w:rPr>
            </w:pPr>
            <w:r w:rsidRPr="00E6446B">
              <w:rPr>
                <w:rFonts w:eastAsia="Times New Roman"/>
                <w:color w:val="000000"/>
                <w:lang w:eastAsia="tr-TR"/>
              </w:rPr>
              <w:t>Lisansı sonradan sonlandırılan/iptal edilen lisans sahibi sayısı</w:t>
            </w:r>
          </w:p>
        </w:tc>
        <w:tc>
          <w:tcPr>
            <w:tcW w:w="1763" w:type="pct"/>
            <w:shd w:val="clear" w:color="auto" w:fill="auto"/>
            <w:noWrap/>
          </w:tcPr>
          <w:p w:rsidR="00206F52" w:rsidRPr="00ED1099" w:rsidRDefault="00206F52" w:rsidP="00206F52">
            <w:pPr>
              <w:spacing w:after="0" w:line="240" w:lineRule="auto"/>
              <w:jc w:val="center"/>
              <w:rPr>
                <w:rFonts w:eastAsia="Times New Roman"/>
                <w:color w:val="000000"/>
                <w:lang w:eastAsia="tr-TR"/>
              </w:rPr>
            </w:pPr>
            <w:r w:rsidRPr="00E6446B">
              <w:rPr>
                <w:rFonts w:eastAsia="Times New Roman"/>
                <w:color w:val="000000"/>
                <w:lang w:eastAsia="tr-TR"/>
              </w:rPr>
              <w:t>397</w:t>
            </w:r>
          </w:p>
        </w:tc>
      </w:tr>
      <w:tr w:rsidR="00206F52" w:rsidRPr="00ED1099" w:rsidTr="00206F52">
        <w:trPr>
          <w:trHeight w:val="397"/>
          <w:jc w:val="center"/>
        </w:trPr>
        <w:tc>
          <w:tcPr>
            <w:tcW w:w="3237" w:type="pct"/>
            <w:shd w:val="clear" w:color="auto" w:fill="auto"/>
          </w:tcPr>
          <w:p w:rsidR="00206F52" w:rsidRPr="00E6446B" w:rsidRDefault="00206F52" w:rsidP="00206F52">
            <w:pPr>
              <w:spacing w:after="0" w:line="240" w:lineRule="auto"/>
              <w:jc w:val="left"/>
              <w:rPr>
                <w:rFonts w:eastAsia="Times New Roman"/>
                <w:color w:val="000000"/>
                <w:lang w:eastAsia="tr-TR"/>
              </w:rPr>
            </w:pPr>
            <w:r w:rsidRPr="00E6446B">
              <w:rPr>
                <w:rFonts w:eastAsia="Times New Roman"/>
                <w:color w:val="000000"/>
                <w:lang w:eastAsia="tr-TR"/>
              </w:rPr>
              <w:t>Teminat yatırıldığı bildirilen lisans sahibi sayısı</w:t>
            </w:r>
          </w:p>
        </w:tc>
        <w:tc>
          <w:tcPr>
            <w:tcW w:w="1763" w:type="pct"/>
            <w:shd w:val="clear" w:color="auto" w:fill="auto"/>
            <w:noWrap/>
          </w:tcPr>
          <w:p w:rsidR="00206F52" w:rsidRPr="00E6446B" w:rsidRDefault="00206F52" w:rsidP="00206F52">
            <w:pPr>
              <w:spacing w:after="0" w:line="240" w:lineRule="auto"/>
              <w:jc w:val="center"/>
              <w:rPr>
                <w:rFonts w:eastAsia="Times New Roman"/>
                <w:color w:val="000000"/>
                <w:lang w:eastAsia="tr-TR"/>
              </w:rPr>
            </w:pPr>
            <w:r w:rsidRPr="00E6446B">
              <w:rPr>
                <w:rFonts w:eastAsia="Times New Roman"/>
                <w:color w:val="000000"/>
                <w:lang w:eastAsia="tr-TR"/>
              </w:rPr>
              <w:t>194</w:t>
            </w:r>
          </w:p>
        </w:tc>
      </w:tr>
      <w:tr w:rsidR="00206F52" w:rsidRPr="00ED1099" w:rsidTr="00206F52">
        <w:trPr>
          <w:trHeight w:val="397"/>
          <w:jc w:val="center"/>
        </w:trPr>
        <w:tc>
          <w:tcPr>
            <w:tcW w:w="3237" w:type="pct"/>
            <w:shd w:val="clear" w:color="auto" w:fill="auto"/>
          </w:tcPr>
          <w:p w:rsidR="00206F52" w:rsidRPr="00E6446B" w:rsidRDefault="00206F52" w:rsidP="00206F52">
            <w:pPr>
              <w:spacing w:after="0" w:line="240" w:lineRule="auto"/>
              <w:jc w:val="left"/>
              <w:rPr>
                <w:rFonts w:eastAsia="Times New Roman"/>
                <w:color w:val="000000"/>
                <w:lang w:eastAsia="tr-TR"/>
              </w:rPr>
            </w:pPr>
            <w:r w:rsidRPr="00E6446B">
              <w:rPr>
                <w:rFonts w:eastAsia="Times New Roman"/>
                <w:color w:val="000000"/>
                <w:lang w:eastAsia="tr-TR"/>
              </w:rPr>
              <w:t>Mevcut durumda teminat yükümlülüğüne ilişkin olarak faaliyeti geçici olarak durdurulan lisans sahibi sayısı</w:t>
            </w:r>
          </w:p>
        </w:tc>
        <w:tc>
          <w:tcPr>
            <w:tcW w:w="1763" w:type="pct"/>
            <w:shd w:val="clear" w:color="auto" w:fill="auto"/>
            <w:noWrap/>
          </w:tcPr>
          <w:p w:rsidR="00206F52" w:rsidRPr="00E6446B" w:rsidRDefault="00206F52" w:rsidP="00206F52">
            <w:pPr>
              <w:spacing w:after="0" w:line="240" w:lineRule="auto"/>
              <w:jc w:val="center"/>
              <w:rPr>
                <w:rFonts w:eastAsia="Times New Roman"/>
                <w:color w:val="000000"/>
                <w:lang w:eastAsia="tr-TR"/>
              </w:rPr>
            </w:pPr>
            <w:r w:rsidRPr="00E6446B">
              <w:rPr>
                <w:rFonts w:eastAsia="Times New Roman"/>
                <w:color w:val="000000"/>
                <w:lang w:eastAsia="tr-TR"/>
              </w:rPr>
              <w:t>142</w:t>
            </w:r>
          </w:p>
        </w:tc>
      </w:tr>
    </w:tbl>
    <w:p w:rsidR="009D79C2" w:rsidRPr="009D79C2" w:rsidRDefault="00206F52" w:rsidP="009D79C2">
      <w:pPr>
        <w:pStyle w:val="Balk5"/>
        <w:jc w:val="left"/>
      </w:pPr>
      <w:bookmarkStart w:id="370" w:name="_Toc132713938"/>
      <w:r w:rsidRPr="00122C27">
        <w:rPr>
          <w:rStyle w:val="Gl"/>
          <w:color w:val="000000" w:themeColor="text1"/>
        </w:rPr>
        <w:t>T</w:t>
      </w:r>
      <w:r>
        <w:rPr>
          <w:rStyle w:val="Gl"/>
          <w:color w:val="000000" w:themeColor="text1"/>
        </w:rPr>
        <w:t xml:space="preserve">ablo 6.10: 531 Sıra Nolu V.U.K Genel Tebliği Uygulaması Kapsamında uygulanan Teminat Yükümlülüğüne Dair </w:t>
      </w:r>
      <w:r w:rsidR="009D79C2">
        <w:rPr>
          <w:rStyle w:val="Gl"/>
          <w:color w:val="000000" w:themeColor="text1"/>
        </w:rPr>
        <w:t xml:space="preserve">İl Bazında </w:t>
      </w:r>
      <w:r>
        <w:rPr>
          <w:rStyle w:val="Gl"/>
          <w:color w:val="000000" w:themeColor="text1"/>
        </w:rPr>
        <w:t>Veriler</w:t>
      </w:r>
      <w:bookmarkEnd w:id="370"/>
    </w:p>
    <w:p w:rsidR="008102B6" w:rsidRPr="008102B6" w:rsidRDefault="008102B6" w:rsidP="008102B6"/>
    <w:tbl>
      <w:tblPr>
        <w:tblpPr w:leftFromText="141" w:rightFromText="141" w:horzAnchor="margin" w:tblpY="-1415"/>
        <w:tblW w:w="9067" w:type="dxa"/>
        <w:tblCellMar>
          <w:left w:w="70" w:type="dxa"/>
          <w:right w:w="70" w:type="dxa"/>
        </w:tblCellMar>
        <w:tblLook w:val="04A0" w:firstRow="1" w:lastRow="0" w:firstColumn="1" w:lastColumn="0" w:noHBand="0" w:noVBand="1"/>
      </w:tblPr>
      <w:tblGrid>
        <w:gridCol w:w="580"/>
        <w:gridCol w:w="1967"/>
        <w:gridCol w:w="2693"/>
        <w:gridCol w:w="2693"/>
        <w:gridCol w:w="1134"/>
      </w:tblGrid>
      <w:tr w:rsidR="00206F52" w:rsidRPr="008C7984" w:rsidTr="009D79C2">
        <w:trPr>
          <w:trHeight w:val="480"/>
          <w:tblHeader/>
        </w:trPr>
        <w:tc>
          <w:tcPr>
            <w:tcW w:w="580" w:type="dxa"/>
            <w:tcBorders>
              <w:top w:val="single" w:sz="4" w:space="0" w:color="auto"/>
              <w:left w:val="single" w:sz="4" w:space="0" w:color="auto"/>
              <w:bottom w:val="single" w:sz="4" w:space="0" w:color="auto"/>
              <w:right w:val="single" w:sz="4" w:space="0" w:color="auto"/>
            </w:tcBorders>
            <w:shd w:val="clear" w:color="4682B4" w:fill="4682B4"/>
            <w:hideMark/>
          </w:tcPr>
          <w:p w:rsidR="00206F52" w:rsidRPr="00206F52" w:rsidRDefault="00206F52" w:rsidP="008102B6">
            <w:pPr>
              <w:spacing w:after="0" w:line="240" w:lineRule="auto"/>
              <w:jc w:val="center"/>
              <w:rPr>
                <w:rFonts w:eastAsia="Times New Roman" w:cstheme="minorHAnsi"/>
                <w:b/>
                <w:bCs/>
                <w:color w:val="FFFFFF"/>
                <w:lang w:eastAsia="tr-TR"/>
              </w:rPr>
            </w:pPr>
            <w:r w:rsidRPr="00206F52">
              <w:rPr>
                <w:rFonts w:eastAsia="Times New Roman" w:cstheme="minorHAnsi"/>
                <w:b/>
                <w:bCs/>
                <w:color w:val="FFFFFF"/>
                <w:lang w:eastAsia="tr-TR"/>
              </w:rPr>
              <w:lastRenderedPageBreak/>
              <w:t>No</w:t>
            </w:r>
          </w:p>
        </w:tc>
        <w:tc>
          <w:tcPr>
            <w:tcW w:w="1967" w:type="dxa"/>
            <w:tcBorders>
              <w:top w:val="single" w:sz="4" w:space="0" w:color="auto"/>
              <w:left w:val="nil"/>
              <w:bottom w:val="single" w:sz="4" w:space="0" w:color="auto"/>
              <w:right w:val="single" w:sz="4" w:space="0" w:color="auto"/>
            </w:tcBorders>
            <w:shd w:val="clear" w:color="4682B4" w:fill="4682B4"/>
            <w:hideMark/>
          </w:tcPr>
          <w:p w:rsidR="00206F52" w:rsidRPr="00206F52" w:rsidRDefault="00206F52" w:rsidP="008102B6">
            <w:pPr>
              <w:spacing w:after="0" w:line="240" w:lineRule="auto"/>
              <w:jc w:val="center"/>
              <w:rPr>
                <w:rFonts w:eastAsia="Times New Roman" w:cstheme="minorHAnsi"/>
                <w:b/>
                <w:bCs/>
                <w:color w:val="FFFFFF"/>
                <w:lang w:eastAsia="tr-TR"/>
              </w:rPr>
            </w:pPr>
            <w:r w:rsidRPr="00206F52">
              <w:rPr>
                <w:rFonts w:eastAsia="Times New Roman" w:cstheme="minorHAnsi"/>
                <w:b/>
                <w:bCs/>
                <w:color w:val="FFFFFF"/>
                <w:lang w:eastAsia="tr-TR"/>
              </w:rPr>
              <w:t>İl</w:t>
            </w:r>
          </w:p>
        </w:tc>
        <w:tc>
          <w:tcPr>
            <w:tcW w:w="2693" w:type="dxa"/>
            <w:tcBorders>
              <w:top w:val="single" w:sz="4" w:space="0" w:color="auto"/>
              <w:left w:val="nil"/>
              <w:bottom w:val="single" w:sz="4" w:space="0" w:color="auto"/>
              <w:right w:val="single" w:sz="4" w:space="0" w:color="auto"/>
            </w:tcBorders>
            <w:shd w:val="clear" w:color="4682B4" w:fill="4682B4"/>
            <w:hideMark/>
          </w:tcPr>
          <w:p w:rsidR="00206F52" w:rsidRPr="00206F52" w:rsidRDefault="00206F52" w:rsidP="008102B6">
            <w:pPr>
              <w:spacing w:after="0" w:line="240" w:lineRule="auto"/>
              <w:jc w:val="center"/>
              <w:rPr>
                <w:rFonts w:eastAsia="Times New Roman" w:cstheme="minorHAnsi"/>
                <w:b/>
                <w:bCs/>
                <w:color w:val="FFFFFF"/>
                <w:lang w:eastAsia="tr-TR"/>
              </w:rPr>
            </w:pPr>
            <w:r w:rsidRPr="00206F52">
              <w:rPr>
                <w:rFonts w:eastAsia="Times New Roman" w:cstheme="minorHAnsi"/>
                <w:b/>
                <w:bCs/>
                <w:color w:val="FFFFFF"/>
                <w:lang w:eastAsia="tr-TR"/>
              </w:rPr>
              <w:t>Verilmesi Gereken Teminat Tutarı</w:t>
            </w:r>
          </w:p>
        </w:tc>
        <w:tc>
          <w:tcPr>
            <w:tcW w:w="2693" w:type="dxa"/>
            <w:tcBorders>
              <w:top w:val="single" w:sz="4" w:space="0" w:color="auto"/>
              <w:left w:val="nil"/>
              <w:bottom w:val="single" w:sz="4" w:space="0" w:color="auto"/>
              <w:right w:val="single" w:sz="4" w:space="0" w:color="auto"/>
            </w:tcBorders>
            <w:shd w:val="clear" w:color="4682B4" w:fill="4682B4"/>
            <w:hideMark/>
          </w:tcPr>
          <w:p w:rsidR="00206F52" w:rsidRPr="00206F52" w:rsidRDefault="00206F52" w:rsidP="008102B6">
            <w:pPr>
              <w:spacing w:after="0" w:line="240" w:lineRule="auto"/>
              <w:jc w:val="center"/>
              <w:rPr>
                <w:rFonts w:eastAsia="Times New Roman" w:cstheme="minorHAnsi"/>
                <w:b/>
                <w:bCs/>
                <w:color w:val="FFFFFF"/>
                <w:lang w:eastAsia="tr-TR"/>
              </w:rPr>
            </w:pPr>
            <w:r w:rsidRPr="00206F52">
              <w:rPr>
                <w:rFonts w:eastAsia="Times New Roman" w:cstheme="minorHAnsi"/>
                <w:b/>
                <w:bCs/>
                <w:color w:val="FFFFFF"/>
                <w:lang w:eastAsia="tr-TR"/>
              </w:rPr>
              <w:t>Verilen Teminat Tutarı</w:t>
            </w:r>
          </w:p>
        </w:tc>
        <w:tc>
          <w:tcPr>
            <w:tcW w:w="1134" w:type="dxa"/>
            <w:tcBorders>
              <w:top w:val="single" w:sz="4" w:space="0" w:color="auto"/>
              <w:left w:val="nil"/>
              <w:bottom w:val="single" w:sz="4" w:space="0" w:color="auto"/>
              <w:right w:val="single" w:sz="4" w:space="0" w:color="auto"/>
            </w:tcBorders>
            <w:shd w:val="clear" w:color="4682B4" w:fill="4682B4"/>
            <w:hideMark/>
          </w:tcPr>
          <w:p w:rsidR="00206F52" w:rsidRPr="00206F52" w:rsidRDefault="00206F52" w:rsidP="008102B6">
            <w:pPr>
              <w:spacing w:after="0" w:line="240" w:lineRule="auto"/>
              <w:jc w:val="center"/>
              <w:rPr>
                <w:rFonts w:eastAsia="Times New Roman" w:cstheme="minorHAnsi"/>
                <w:b/>
                <w:bCs/>
                <w:color w:val="FFFFFF"/>
                <w:lang w:eastAsia="tr-TR"/>
              </w:rPr>
            </w:pPr>
            <w:r w:rsidRPr="00206F52">
              <w:rPr>
                <w:rFonts w:eastAsia="Times New Roman" w:cstheme="minorHAnsi"/>
                <w:b/>
                <w:bCs/>
                <w:color w:val="FFFFFF"/>
                <w:lang w:eastAsia="tr-TR"/>
              </w:rPr>
              <w:t>Tespit Sayısı</w:t>
            </w:r>
          </w:p>
        </w:tc>
      </w:tr>
      <w:tr w:rsidR="00206F52" w:rsidRPr="008C7984" w:rsidTr="008102B6">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1</w:t>
            </w:r>
          </w:p>
        </w:tc>
        <w:tc>
          <w:tcPr>
            <w:tcW w:w="1967"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ADANA</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3.265.253,61₺</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710.000,00₺</w:t>
            </w:r>
          </w:p>
        </w:tc>
        <w:tc>
          <w:tcPr>
            <w:tcW w:w="1134"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14</w:t>
            </w:r>
          </w:p>
        </w:tc>
      </w:tr>
      <w:tr w:rsidR="00206F52" w:rsidRPr="008C7984" w:rsidTr="008102B6">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2</w:t>
            </w:r>
          </w:p>
        </w:tc>
        <w:tc>
          <w:tcPr>
            <w:tcW w:w="1967"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ADIYAMAN</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127.022,79₺</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0,00₺</w:t>
            </w:r>
          </w:p>
        </w:tc>
        <w:tc>
          <w:tcPr>
            <w:tcW w:w="1134"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2</w:t>
            </w:r>
          </w:p>
        </w:tc>
      </w:tr>
      <w:tr w:rsidR="00206F52" w:rsidRPr="008C7984" w:rsidTr="008102B6">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3</w:t>
            </w:r>
          </w:p>
        </w:tc>
        <w:tc>
          <w:tcPr>
            <w:tcW w:w="1967"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AFYONKARAHİSAR</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8.257.655,77₺</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9.385.650,00₺</w:t>
            </w:r>
          </w:p>
        </w:tc>
        <w:tc>
          <w:tcPr>
            <w:tcW w:w="1134"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39</w:t>
            </w:r>
          </w:p>
        </w:tc>
      </w:tr>
      <w:tr w:rsidR="00206F52" w:rsidRPr="008C7984" w:rsidTr="008102B6">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4</w:t>
            </w:r>
          </w:p>
        </w:tc>
        <w:tc>
          <w:tcPr>
            <w:tcW w:w="1967"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AĞRI</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6.064,54₺</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6.064,54₺</w:t>
            </w:r>
          </w:p>
        </w:tc>
        <w:tc>
          <w:tcPr>
            <w:tcW w:w="1134"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4</w:t>
            </w:r>
          </w:p>
        </w:tc>
      </w:tr>
      <w:tr w:rsidR="00206F52" w:rsidRPr="008C7984" w:rsidTr="008102B6">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5</w:t>
            </w:r>
          </w:p>
        </w:tc>
        <w:tc>
          <w:tcPr>
            <w:tcW w:w="1967"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AKSARAY</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1.485.873,01₺</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626.000,00₺</w:t>
            </w:r>
          </w:p>
        </w:tc>
        <w:tc>
          <w:tcPr>
            <w:tcW w:w="1134"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13</w:t>
            </w:r>
          </w:p>
        </w:tc>
      </w:tr>
      <w:tr w:rsidR="00206F52" w:rsidRPr="008C7984" w:rsidTr="008102B6">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6</w:t>
            </w:r>
          </w:p>
        </w:tc>
        <w:tc>
          <w:tcPr>
            <w:tcW w:w="1967"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AMASYA</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11.676.151,29₺</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1.853.743,64₺</w:t>
            </w:r>
          </w:p>
        </w:tc>
        <w:tc>
          <w:tcPr>
            <w:tcW w:w="1134"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26</w:t>
            </w:r>
          </w:p>
        </w:tc>
      </w:tr>
      <w:tr w:rsidR="00206F52" w:rsidRPr="008C7984" w:rsidTr="008102B6">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7</w:t>
            </w:r>
          </w:p>
        </w:tc>
        <w:tc>
          <w:tcPr>
            <w:tcW w:w="1967"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ANKARA</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15.477.432,23₺</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4.750.073,85₺</w:t>
            </w:r>
          </w:p>
        </w:tc>
        <w:tc>
          <w:tcPr>
            <w:tcW w:w="1134"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48</w:t>
            </w:r>
          </w:p>
        </w:tc>
      </w:tr>
      <w:tr w:rsidR="00206F52" w:rsidRPr="008C7984" w:rsidTr="008102B6">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8</w:t>
            </w:r>
          </w:p>
        </w:tc>
        <w:tc>
          <w:tcPr>
            <w:tcW w:w="1967"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ANTALYA</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3.030.465,52₺</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4.609.873,12₺</w:t>
            </w:r>
          </w:p>
        </w:tc>
        <w:tc>
          <w:tcPr>
            <w:tcW w:w="1134"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14</w:t>
            </w:r>
          </w:p>
        </w:tc>
      </w:tr>
      <w:tr w:rsidR="00206F52" w:rsidRPr="008C7984" w:rsidTr="008102B6">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9</w:t>
            </w:r>
          </w:p>
        </w:tc>
        <w:tc>
          <w:tcPr>
            <w:tcW w:w="1967"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ARDAHAN</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921.856,76₺</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0,00₺</w:t>
            </w:r>
          </w:p>
        </w:tc>
        <w:tc>
          <w:tcPr>
            <w:tcW w:w="1134"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1</w:t>
            </w:r>
          </w:p>
        </w:tc>
      </w:tr>
      <w:tr w:rsidR="00206F52" w:rsidRPr="008C7984" w:rsidTr="008102B6">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10</w:t>
            </w:r>
          </w:p>
        </w:tc>
        <w:tc>
          <w:tcPr>
            <w:tcW w:w="1967"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ARTVİN</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53.957,14₺</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0,00₺</w:t>
            </w:r>
          </w:p>
        </w:tc>
        <w:tc>
          <w:tcPr>
            <w:tcW w:w="1134"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1</w:t>
            </w:r>
          </w:p>
        </w:tc>
      </w:tr>
      <w:tr w:rsidR="00206F52" w:rsidRPr="008C7984" w:rsidTr="008102B6">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11</w:t>
            </w:r>
          </w:p>
        </w:tc>
        <w:tc>
          <w:tcPr>
            <w:tcW w:w="1967"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AYDIN</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25.068.313,91₺</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1.551.263,17₺</w:t>
            </w:r>
          </w:p>
        </w:tc>
        <w:tc>
          <w:tcPr>
            <w:tcW w:w="1134"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39</w:t>
            </w:r>
          </w:p>
        </w:tc>
      </w:tr>
      <w:tr w:rsidR="00206F52" w:rsidRPr="008C7984" w:rsidTr="008102B6">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12</w:t>
            </w:r>
          </w:p>
        </w:tc>
        <w:tc>
          <w:tcPr>
            <w:tcW w:w="1967"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BALIKESİR</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10.622.252,65₺</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5.577.920,93₺</w:t>
            </w:r>
          </w:p>
        </w:tc>
        <w:tc>
          <w:tcPr>
            <w:tcW w:w="1134"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33</w:t>
            </w:r>
          </w:p>
        </w:tc>
      </w:tr>
      <w:tr w:rsidR="00206F52" w:rsidRPr="008C7984" w:rsidTr="008102B6">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13</w:t>
            </w:r>
          </w:p>
        </w:tc>
        <w:tc>
          <w:tcPr>
            <w:tcW w:w="1967"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BARTIN</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p>
        </w:tc>
        <w:tc>
          <w:tcPr>
            <w:tcW w:w="1134"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1</w:t>
            </w:r>
          </w:p>
        </w:tc>
      </w:tr>
      <w:tr w:rsidR="00206F52" w:rsidRPr="008C7984" w:rsidTr="008102B6">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14</w:t>
            </w:r>
          </w:p>
        </w:tc>
        <w:tc>
          <w:tcPr>
            <w:tcW w:w="1967"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BATMAN</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19.760.935,49₺</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4.653.094,97₺</w:t>
            </w:r>
          </w:p>
        </w:tc>
        <w:tc>
          <w:tcPr>
            <w:tcW w:w="1134"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14</w:t>
            </w:r>
          </w:p>
        </w:tc>
      </w:tr>
      <w:tr w:rsidR="00206F52" w:rsidRPr="008C7984" w:rsidTr="008102B6">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15</w:t>
            </w:r>
          </w:p>
        </w:tc>
        <w:tc>
          <w:tcPr>
            <w:tcW w:w="1967"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BİLECİK</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265.919,86₺</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0,00₺</w:t>
            </w:r>
          </w:p>
        </w:tc>
        <w:tc>
          <w:tcPr>
            <w:tcW w:w="1134"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5</w:t>
            </w:r>
          </w:p>
        </w:tc>
      </w:tr>
      <w:tr w:rsidR="00206F52" w:rsidRPr="008C7984" w:rsidTr="008102B6">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16</w:t>
            </w:r>
          </w:p>
        </w:tc>
        <w:tc>
          <w:tcPr>
            <w:tcW w:w="1967"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BİNGÖL</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75.411,49₺</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0,00₺</w:t>
            </w:r>
          </w:p>
        </w:tc>
        <w:tc>
          <w:tcPr>
            <w:tcW w:w="1134"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2</w:t>
            </w:r>
          </w:p>
        </w:tc>
      </w:tr>
      <w:tr w:rsidR="00206F52" w:rsidRPr="008C7984" w:rsidTr="008102B6">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17</w:t>
            </w:r>
          </w:p>
        </w:tc>
        <w:tc>
          <w:tcPr>
            <w:tcW w:w="1967"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BİTLİS</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292.583,56₺</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293.000,00₺</w:t>
            </w:r>
          </w:p>
        </w:tc>
        <w:tc>
          <w:tcPr>
            <w:tcW w:w="1134"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2</w:t>
            </w:r>
          </w:p>
        </w:tc>
      </w:tr>
      <w:tr w:rsidR="00206F52" w:rsidRPr="008C7984" w:rsidTr="008102B6">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18</w:t>
            </w:r>
          </w:p>
        </w:tc>
        <w:tc>
          <w:tcPr>
            <w:tcW w:w="1967"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BOLU</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3.442.818,04₺</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2.690.016,45₺</w:t>
            </w:r>
          </w:p>
        </w:tc>
        <w:tc>
          <w:tcPr>
            <w:tcW w:w="1134"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20</w:t>
            </w:r>
          </w:p>
        </w:tc>
      </w:tr>
      <w:tr w:rsidR="00206F52" w:rsidRPr="008C7984" w:rsidTr="008102B6">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19</w:t>
            </w:r>
          </w:p>
        </w:tc>
        <w:tc>
          <w:tcPr>
            <w:tcW w:w="1967"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BURDUR</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2.371.526,91₺</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0,00₺</w:t>
            </w:r>
          </w:p>
        </w:tc>
        <w:tc>
          <w:tcPr>
            <w:tcW w:w="1134"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7</w:t>
            </w:r>
          </w:p>
        </w:tc>
      </w:tr>
      <w:tr w:rsidR="00206F52" w:rsidRPr="008C7984" w:rsidTr="008102B6">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20</w:t>
            </w:r>
          </w:p>
        </w:tc>
        <w:tc>
          <w:tcPr>
            <w:tcW w:w="1967"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BURSA</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1.772.286,21₺</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1.352.246,45₺</w:t>
            </w:r>
          </w:p>
        </w:tc>
        <w:tc>
          <w:tcPr>
            <w:tcW w:w="1134"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9</w:t>
            </w:r>
          </w:p>
        </w:tc>
      </w:tr>
      <w:tr w:rsidR="00206F52" w:rsidRPr="008C7984" w:rsidTr="008102B6">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21</w:t>
            </w:r>
          </w:p>
        </w:tc>
        <w:tc>
          <w:tcPr>
            <w:tcW w:w="1967"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ÇANAKKALE</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429.047,94₺</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0,00₺</w:t>
            </w:r>
          </w:p>
        </w:tc>
        <w:tc>
          <w:tcPr>
            <w:tcW w:w="1134"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5</w:t>
            </w:r>
          </w:p>
        </w:tc>
      </w:tr>
      <w:tr w:rsidR="00206F52" w:rsidRPr="008C7984" w:rsidTr="008102B6">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22</w:t>
            </w:r>
          </w:p>
        </w:tc>
        <w:tc>
          <w:tcPr>
            <w:tcW w:w="1967"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ÇANKIRI</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12.584.351,25₺</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876.663,06₺</w:t>
            </w:r>
          </w:p>
        </w:tc>
        <w:tc>
          <w:tcPr>
            <w:tcW w:w="1134"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6</w:t>
            </w:r>
          </w:p>
        </w:tc>
      </w:tr>
      <w:tr w:rsidR="00206F52" w:rsidRPr="008C7984" w:rsidTr="008102B6">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23</w:t>
            </w:r>
          </w:p>
        </w:tc>
        <w:tc>
          <w:tcPr>
            <w:tcW w:w="1967"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ÇORUM</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1.135.190,88₺</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0,00₺</w:t>
            </w:r>
          </w:p>
        </w:tc>
        <w:tc>
          <w:tcPr>
            <w:tcW w:w="1134"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14</w:t>
            </w:r>
          </w:p>
        </w:tc>
      </w:tr>
      <w:tr w:rsidR="00206F52" w:rsidRPr="008C7984" w:rsidTr="008102B6">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24</w:t>
            </w:r>
          </w:p>
        </w:tc>
        <w:tc>
          <w:tcPr>
            <w:tcW w:w="1967"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DENİZLİ</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512.197,58₺</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228.000,00₺</w:t>
            </w:r>
          </w:p>
        </w:tc>
        <w:tc>
          <w:tcPr>
            <w:tcW w:w="1134"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15</w:t>
            </w:r>
          </w:p>
        </w:tc>
      </w:tr>
      <w:tr w:rsidR="00206F52" w:rsidRPr="008C7984" w:rsidTr="008102B6">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25</w:t>
            </w:r>
          </w:p>
        </w:tc>
        <w:tc>
          <w:tcPr>
            <w:tcW w:w="1967"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DİYARBAKIR</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9.257.768,93₺</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11.565.972,15₺</w:t>
            </w:r>
          </w:p>
        </w:tc>
        <w:tc>
          <w:tcPr>
            <w:tcW w:w="1134"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29</w:t>
            </w:r>
          </w:p>
        </w:tc>
      </w:tr>
      <w:tr w:rsidR="00206F52" w:rsidRPr="008C7984" w:rsidTr="008102B6">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26</w:t>
            </w:r>
          </w:p>
        </w:tc>
        <w:tc>
          <w:tcPr>
            <w:tcW w:w="1967"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DÜZCE</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678.241,29₺</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420.540,82₺</w:t>
            </w:r>
          </w:p>
        </w:tc>
        <w:tc>
          <w:tcPr>
            <w:tcW w:w="1134"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10</w:t>
            </w:r>
          </w:p>
        </w:tc>
      </w:tr>
      <w:tr w:rsidR="00206F52" w:rsidRPr="008C7984" w:rsidTr="008102B6">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27</w:t>
            </w:r>
          </w:p>
        </w:tc>
        <w:tc>
          <w:tcPr>
            <w:tcW w:w="1967"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EDİRNE</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1.627.313,59₺</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100.000,00₺</w:t>
            </w:r>
          </w:p>
        </w:tc>
        <w:tc>
          <w:tcPr>
            <w:tcW w:w="1134"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8</w:t>
            </w:r>
          </w:p>
        </w:tc>
      </w:tr>
      <w:tr w:rsidR="00206F52" w:rsidRPr="008C7984" w:rsidTr="008102B6">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28</w:t>
            </w:r>
          </w:p>
        </w:tc>
        <w:tc>
          <w:tcPr>
            <w:tcW w:w="1967"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ELAZIĞ</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649.860,61₺</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364.322,95₺</w:t>
            </w:r>
          </w:p>
        </w:tc>
        <w:tc>
          <w:tcPr>
            <w:tcW w:w="1134"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9</w:t>
            </w:r>
          </w:p>
        </w:tc>
      </w:tr>
      <w:tr w:rsidR="00206F52" w:rsidRPr="008C7984" w:rsidTr="008102B6">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29</w:t>
            </w:r>
          </w:p>
        </w:tc>
        <w:tc>
          <w:tcPr>
            <w:tcW w:w="1967"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ERZİNCAN</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197.861,48₺</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197.873,50₺</w:t>
            </w:r>
          </w:p>
        </w:tc>
        <w:tc>
          <w:tcPr>
            <w:tcW w:w="1134"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5</w:t>
            </w:r>
          </w:p>
        </w:tc>
      </w:tr>
      <w:tr w:rsidR="00206F52" w:rsidRPr="008C7984" w:rsidTr="008102B6">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30</w:t>
            </w:r>
          </w:p>
        </w:tc>
        <w:tc>
          <w:tcPr>
            <w:tcW w:w="1967"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ERZURUM</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14.610.003,47₺</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0,00₺</w:t>
            </w:r>
          </w:p>
        </w:tc>
        <w:tc>
          <w:tcPr>
            <w:tcW w:w="1134"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6</w:t>
            </w:r>
          </w:p>
        </w:tc>
      </w:tr>
      <w:tr w:rsidR="00206F52" w:rsidRPr="008C7984" w:rsidTr="008102B6">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31</w:t>
            </w:r>
          </w:p>
        </w:tc>
        <w:tc>
          <w:tcPr>
            <w:tcW w:w="1967"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ESKİŞEHİR</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1.476.032,14₺</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658.000,00₺</w:t>
            </w:r>
          </w:p>
        </w:tc>
        <w:tc>
          <w:tcPr>
            <w:tcW w:w="1134"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10</w:t>
            </w:r>
          </w:p>
        </w:tc>
      </w:tr>
      <w:tr w:rsidR="00206F52" w:rsidRPr="008C7984" w:rsidTr="008102B6">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32</w:t>
            </w:r>
          </w:p>
        </w:tc>
        <w:tc>
          <w:tcPr>
            <w:tcW w:w="1967"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GAZİANTEP</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2.119.334,23₺</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4.425.219,92₺</w:t>
            </w:r>
          </w:p>
        </w:tc>
        <w:tc>
          <w:tcPr>
            <w:tcW w:w="1134"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8</w:t>
            </w:r>
          </w:p>
        </w:tc>
      </w:tr>
      <w:tr w:rsidR="00206F52" w:rsidRPr="008C7984" w:rsidTr="008102B6">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33</w:t>
            </w:r>
          </w:p>
        </w:tc>
        <w:tc>
          <w:tcPr>
            <w:tcW w:w="1967"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GİRESUN</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5.961,65₺</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0,00₺</w:t>
            </w:r>
          </w:p>
        </w:tc>
        <w:tc>
          <w:tcPr>
            <w:tcW w:w="1134"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1</w:t>
            </w:r>
          </w:p>
        </w:tc>
      </w:tr>
      <w:tr w:rsidR="00206F52" w:rsidRPr="008C7984" w:rsidTr="008102B6">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34</w:t>
            </w:r>
          </w:p>
        </w:tc>
        <w:tc>
          <w:tcPr>
            <w:tcW w:w="1967"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GÜMÜŞHANE</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178.857,54₺</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123.715,54₺</w:t>
            </w:r>
          </w:p>
        </w:tc>
        <w:tc>
          <w:tcPr>
            <w:tcW w:w="1134"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6</w:t>
            </w:r>
          </w:p>
        </w:tc>
      </w:tr>
      <w:tr w:rsidR="00206F52" w:rsidRPr="008C7984" w:rsidTr="008102B6">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35</w:t>
            </w:r>
          </w:p>
        </w:tc>
        <w:tc>
          <w:tcPr>
            <w:tcW w:w="1967"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HAKKARİ</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p>
        </w:tc>
        <w:tc>
          <w:tcPr>
            <w:tcW w:w="1134"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1</w:t>
            </w:r>
          </w:p>
        </w:tc>
      </w:tr>
      <w:tr w:rsidR="00206F52" w:rsidRPr="008C7984" w:rsidTr="008102B6">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36</w:t>
            </w:r>
          </w:p>
        </w:tc>
        <w:tc>
          <w:tcPr>
            <w:tcW w:w="1967"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HATAY</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36.577,16₺</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0,00₺</w:t>
            </w:r>
          </w:p>
        </w:tc>
        <w:tc>
          <w:tcPr>
            <w:tcW w:w="1134"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2</w:t>
            </w:r>
          </w:p>
        </w:tc>
      </w:tr>
      <w:tr w:rsidR="00206F52" w:rsidRPr="008C7984" w:rsidTr="008102B6">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37</w:t>
            </w:r>
          </w:p>
        </w:tc>
        <w:tc>
          <w:tcPr>
            <w:tcW w:w="1967"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IĞDIR</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2.088.474,36₺</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127.000,00₺</w:t>
            </w:r>
          </w:p>
        </w:tc>
        <w:tc>
          <w:tcPr>
            <w:tcW w:w="1134"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11</w:t>
            </w:r>
          </w:p>
        </w:tc>
      </w:tr>
      <w:tr w:rsidR="00206F52" w:rsidRPr="008C7984" w:rsidTr="008102B6">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38</w:t>
            </w:r>
          </w:p>
        </w:tc>
        <w:tc>
          <w:tcPr>
            <w:tcW w:w="1967"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ISPARTA</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3.250.000,00₺</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0,00₺</w:t>
            </w:r>
          </w:p>
        </w:tc>
        <w:tc>
          <w:tcPr>
            <w:tcW w:w="1134"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4</w:t>
            </w:r>
          </w:p>
        </w:tc>
      </w:tr>
      <w:tr w:rsidR="00206F52" w:rsidRPr="008C7984" w:rsidTr="008102B6">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39</w:t>
            </w:r>
          </w:p>
        </w:tc>
        <w:tc>
          <w:tcPr>
            <w:tcW w:w="1967"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İSTANBUL</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16.871.861,26₺</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2.164.460,00₺</w:t>
            </w:r>
          </w:p>
        </w:tc>
        <w:tc>
          <w:tcPr>
            <w:tcW w:w="1134"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37</w:t>
            </w:r>
          </w:p>
        </w:tc>
      </w:tr>
      <w:tr w:rsidR="00206F52" w:rsidRPr="008C7984" w:rsidTr="008102B6">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40</w:t>
            </w:r>
          </w:p>
        </w:tc>
        <w:tc>
          <w:tcPr>
            <w:tcW w:w="1967"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İZMİR</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9.175.821,70₺</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6.000.005,24₺</w:t>
            </w:r>
          </w:p>
        </w:tc>
        <w:tc>
          <w:tcPr>
            <w:tcW w:w="1134"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32</w:t>
            </w:r>
          </w:p>
        </w:tc>
      </w:tr>
      <w:tr w:rsidR="00206F52" w:rsidRPr="008C7984" w:rsidTr="008102B6">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41</w:t>
            </w:r>
          </w:p>
        </w:tc>
        <w:tc>
          <w:tcPr>
            <w:tcW w:w="1967"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KAHRAMANMARAŞ</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202.786,68₺</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24.578,26₺</w:t>
            </w:r>
          </w:p>
        </w:tc>
        <w:tc>
          <w:tcPr>
            <w:tcW w:w="1134"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11</w:t>
            </w:r>
          </w:p>
        </w:tc>
      </w:tr>
      <w:tr w:rsidR="00206F52" w:rsidRPr="008C7984" w:rsidTr="008102B6">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42</w:t>
            </w:r>
          </w:p>
        </w:tc>
        <w:tc>
          <w:tcPr>
            <w:tcW w:w="1967"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KARABÜK</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1.468.466,12₺</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900.000,00₺</w:t>
            </w:r>
          </w:p>
        </w:tc>
        <w:tc>
          <w:tcPr>
            <w:tcW w:w="1134"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7</w:t>
            </w:r>
          </w:p>
        </w:tc>
      </w:tr>
      <w:tr w:rsidR="00206F52" w:rsidRPr="008C7984" w:rsidTr="008102B6">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43</w:t>
            </w:r>
          </w:p>
        </w:tc>
        <w:tc>
          <w:tcPr>
            <w:tcW w:w="1967"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KARAMAN</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648.471,50₺</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0,00₺</w:t>
            </w:r>
          </w:p>
        </w:tc>
        <w:tc>
          <w:tcPr>
            <w:tcW w:w="1134"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4</w:t>
            </w:r>
          </w:p>
        </w:tc>
      </w:tr>
      <w:tr w:rsidR="00206F52" w:rsidRPr="008C7984" w:rsidTr="008102B6">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lastRenderedPageBreak/>
              <w:t>44</w:t>
            </w:r>
          </w:p>
        </w:tc>
        <w:tc>
          <w:tcPr>
            <w:tcW w:w="1967"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KARS</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611.524,86₺</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0,00₺</w:t>
            </w:r>
          </w:p>
        </w:tc>
        <w:tc>
          <w:tcPr>
            <w:tcW w:w="1134"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7</w:t>
            </w:r>
          </w:p>
        </w:tc>
      </w:tr>
      <w:tr w:rsidR="00206F52" w:rsidRPr="008C7984" w:rsidTr="008102B6">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45</w:t>
            </w:r>
          </w:p>
        </w:tc>
        <w:tc>
          <w:tcPr>
            <w:tcW w:w="1967"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KASTAMONU</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3.710.689,74₺</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4.497.645,00₺</w:t>
            </w:r>
          </w:p>
        </w:tc>
        <w:tc>
          <w:tcPr>
            <w:tcW w:w="1134"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11</w:t>
            </w:r>
          </w:p>
        </w:tc>
      </w:tr>
      <w:tr w:rsidR="00206F52" w:rsidRPr="008C7984" w:rsidTr="008102B6">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46</w:t>
            </w:r>
          </w:p>
        </w:tc>
        <w:tc>
          <w:tcPr>
            <w:tcW w:w="1967"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KAYSERİ</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1.379.536,55₺</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718.000,00₺</w:t>
            </w:r>
          </w:p>
        </w:tc>
        <w:tc>
          <w:tcPr>
            <w:tcW w:w="1134"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7</w:t>
            </w:r>
          </w:p>
        </w:tc>
      </w:tr>
      <w:tr w:rsidR="00206F52" w:rsidRPr="008C7984" w:rsidTr="008102B6">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47</w:t>
            </w:r>
          </w:p>
        </w:tc>
        <w:tc>
          <w:tcPr>
            <w:tcW w:w="1967"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KIRIKKALE</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3.000.961,24₺</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258.000,00₺</w:t>
            </w:r>
          </w:p>
        </w:tc>
        <w:tc>
          <w:tcPr>
            <w:tcW w:w="1134"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15</w:t>
            </w:r>
          </w:p>
        </w:tc>
      </w:tr>
      <w:tr w:rsidR="00206F52" w:rsidRPr="008C7984" w:rsidTr="008102B6">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48</w:t>
            </w:r>
          </w:p>
        </w:tc>
        <w:tc>
          <w:tcPr>
            <w:tcW w:w="1967"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KIRKLARELİ</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3.159.465,10₺</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102.801,12₺</w:t>
            </w:r>
          </w:p>
        </w:tc>
        <w:tc>
          <w:tcPr>
            <w:tcW w:w="1134"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8</w:t>
            </w:r>
          </w:p>
        </w:tc>
      </w:tr>
      <w:tr w:rsidR="00206F52" w:rsidRPr="008C7984" w:rsidTr="008102B6">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49</w:t>
            </w:r>
          </w:p>
        </w:tc>
        <w:tc>
          <w:tcPr>
            <w:tcW w:w="1967"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KIRŞEHİR</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1.769.033,12₺</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1.300.000,00₺</w:t>
            </w:r>
          </w:p>
        </w:tc>
        <w:tc>
          <w:tcPr>
            <w:tcW w:w="1134"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3</w:t>
            </w:r>
          </w:p>
        </w:tc>
      </w:tr>
      <w:tr w:rsidR="00206F52" w:rsidRPr="008C7984" w:rsidTr="008102B6">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50</w:t>
            </w:r>
          </w:p>
        </w:tc>
        <w:tc>
          <w:tcPr>
            <w:tcW w:w="1967"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KOCAELİ</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5.986.815,64₺</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3.331.574,93₺</w:t>
            </w:r>
          </w:p>
        </w:tc>
        <w:tc>
          <w:tcPr>
            <w:tcW w:w="1134"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22</w:t>
            </w:r>
          </w:p>
        </w:tc>
      </w:tr>
      <w:tr w:rsidR="00206F52" w:rsidRPr="008C7984" w:rsidTr="008102B6">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51</w:t>
            </w:r>
          </w:p>
        </w:tc>
        <w:tc>
          <w:tcPr>
            <w:tcW w:w="1967"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KONYA</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16.439.493,54₺</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6.624.137,50₺</w:t>
            </w:r>
          </w:p>
        </w:tc>
        <w:tc>
          <w:tcPr>
            <w:tcW w:w="1134"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27</w:t>
            </w:r>
          </w:p>
        </w:tc>
      </w:tr>
      <w:tr w:rsidR="00206F52" w:rsidRPr="008C7984" w:rsidTr="008102B6">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52</w:t>
            </w:r>
          </w:p>
        </w:tc>
        <w:tc>
          <w:tcPr>
            <w:tcW w:w="1967"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KÜTAHYA</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1.834.609,49₺</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122.588,66₺</w:t>
            </w:r>
          </w:p>
        </w:tc>
        <w:tc>
          <w:tcPr>
            <w:tcW w:w="1134"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11</w:t>
            </w:r>
          </w:p>
        </w:tc>
      </w:tr>
      <w:tr w:rsidR="00206F52" w:rsidRPr="008C7984" w:rsidTr="008102B6">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53</w:t>
            </w:r>
          </w:p>
        </w:tc>
        <w:tc>
          <w:tcPr>
            <w:tcW w:w="1967"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MALATYA</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93.388,96₺</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0,00₺</w:t>
            </w:r>
          </w:p>
        </w:tc>
        <w:tc>
          <w:tcPr>
            <w:tcW w:w="1134"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8</w:t>
            </w:r>
          </w:p>
        </w:tc>
      </w:tr>
      <w:tr w:rsidR="00206F52" w:rsidRPr="008C7984" w:rsidTr="008102B6">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54</w:t>
            </w:r>
          </w:p>
        </w:tc>
        <w:tc>
          <w:tcPr>
            <w:tcW w:w="1967"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MANİSA</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6.301.359,93₺</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3.130.444,06₺</w:t>
            </w:r>
          </w:p>
        </w:tc>
        <w:tc>
          <w:tcPr>
            <w:tcW w:w="1134"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32</w:t>
            </w:r>
          </w:p>
        </w:tc>
      </w:tr>
      <w:tr w:rsidR="00206F52" w:rsidRPr="008C7984" w:rsidTr="008102B6">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55</w:t>
            </w:r>
          </w:p>
        </w:tc>
        <w:tc>
          <w:tcPr>
            <w:tcW w:w="1967"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MARDİN</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7.291.308,07₺</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352.731,47₺</w:t>
            </w:r>
          </w:p>
        </w:tc>
        <w:tc>
          <w:tcPr>
            <w:tcW w:w="1134"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8</w:t>
            </w:r>
          </w:p>
        </w:tc>
      </w:tr>
      <w:tr w:rsidR="00206F52" w:rsidRPr="008C7984" w:rsidTr="008102B6">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56</w:t>
            </w:r>
          </w:p>
        </w:tc>
        <w:tc>
          <w:tcPr>
            <w:tcW w:w="1967"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MERSİN</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7.394.150,21₺</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1.518.235,39₺</w:t>
            </w:r>
          </w:p>
        </w:tc>
        <w:tc>
          <w:tcPr>
            <w:tcW w:w="1134"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22</w:t>
            </w:r>
          </w:p>
        </w:tc>
      </w:tr>
      <w:tr w:rsidR="00206F52" w:rsidRPr="008C7984" w:rsidTr="008102B6">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57</w:t>
            </w:r>
          </w:p>
        </w:tc>
        <w:tc>
          <w:tcPr>
            <w:tcW w:w="1967"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MUĞLA</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1.012.413,11₺</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497.887,94₺</w:t>
            </w:r>
          </w:p>
        </w:tc>
        <w:tc>
          <w:tcPr>
            <w:tcW w:w="1134"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18</w:t>
            </w:r>
          </w:p>
        </w:tc>
      </w:tr>
      <w:tr w:rsidR="00206F52" w:rsidRPr="008C7984" w:rsidTr="008102B6">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58</w:t>
            </w:r>
          </w:p>
        </w:tc>
        <w:tc>
          <w:tcPr>
            <w:tcW w:w="1967"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MUŞ</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60.324,36₺</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0,00₺</w:t>
            </w:r>
          </w:p>
        </w:tc>
        <w:tc>
          <w:tcPr>
            <w:tcW w:w="1134"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2</w:t>
            </w:r>
          </w:p>
        </w:tc>
      </w:tr>
      <w:tr w:rsidR="00206F52" w:rsidRPr="008C7984" w:rsidTr="008102B6">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59</w:t>
            </w:r>
          </w:p>
        </w:tc>
        <w:tc>
          <w:tcPr>
            <w:tcW w:w="1967"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NEVŞEHİR</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3.475.584,55₺</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1.450.000,00₺</w:t>
            </w:r>
          </w:p>
        </w:tc>
        <w:tc>
          <w:tcPr>
            <w:tcW w:w="1134"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10</w:t>
            </w:r>
          </w:p>
        </w:tc>
      </w:tr>
      <w:tr w:rsidR="00206F52" w:rsidRPr="008C7984" w:rsidTr="008102B6">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60</w:t>
            </w:r>
          </w:p>
        </w:tc>
        <w:tc>
          <w:tcPr>
            <w:tcW w:w="1967"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NİĞDE</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61.018.406,14₺</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5.850.000,00₺</w:t>
            </w:r>
          </w:p>
        </w:tc>
        <w:tc>
          <w:tcPr>
            <w:tcW w:w="1134"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24</w:t>
            </w:r>
          </w:p>
        </w:tc>
      </w:tr>
      <w:tr w:rsidR="00206F52" w:rsidRPr="008C7984" w:rsidTr="008102B6">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61</w:t>
            </w:r>
          </w:p>
        </w:tc>
        <w:tc>
          <w:tcPr>
            <w:tcW w:w="1967"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ORDU</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38,51₺</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0,00₺</w:t>
            </w:r>
          </w:p>
        </w:tc>
        <w:tc>
          <w:tcPr>
            <w:tcW w:w="1134"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1</w:t>
            </w:r>
          </w:p>
        </w:tc>
      </w:tr>
      <w:tr w:rsidR="00206F52" w:rsidRPr="008C7984" w:rsidTr="008102B6">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62</w:t>
            </w:r>
          </w:p>
        </w:tc>
        <w:tc>
          <w:tcPr>
            <w:tcW w:w="1967"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OSMANİYE</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569.787,00₺</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0,00₺</w:t>
            </w:r>
          </w:p>
        </w:tc>
        <w:tc>
          <w:tcPr>
            <w:tcW w:w="1134"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8</w:t>
            </w:r>
          </w:p>
        </w:tc>
      </w:tr>
      <w:tr w:rsidR="00206F52" w:rsidRPr="008C7984" w:rsidTr="008102B6">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63</w:t>
            </w:r>
          </w:p>
        </w:tc>
        <w:tc>
          <w:tcPr>
            <w:tcW w:w="1967"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SAKARYA</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1.650.198,05₺</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436.452,04₺</w:t>
            </w:r>
          </w:p>
        </w:tc>
        <w:tc>
          <w:tcPr>
            <w:tcW w:w="1134"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15</w:t>
            </w:r>
          </w:p>
        </w:tc>
      </w:tr>
      <w:tr w:rsidR="00206F52" w:rsidRPr="008C7984" w:rsidTr="008102B6">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64</w:t>
            </w:r>
          </w:p>
        </w:tc>
        <w:tc>
          <w:tcPr>
            <w:tcW w:w="1967"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SAMSUN</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3.045.572,60₺</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3.266.511,36₺</w:t>
            </w:r>
          </w:p>
        </w:tc>
        <w:tc>
          <w:tcPr>
            <w:tcW w:w="1134"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15</w:t>
            </w:r>
          </w:p>
        </w:tc>
      </w:tr>
      <w:tr w:rsidR="00206F52" w:rsidRPr="008C7984" w:rsidTr="008102B6">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65</w:t>
            </w:r>
          </w:p>
        </w:tc>
        <w:tc>
          <w:tcPr>
            <w:tcW w:w="1967"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SİİRT</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476.826,89₺</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477.000,00₺</w:t>
            </w:r>
          </w:p>
        </w:tc>
        <w:tc>
          <w:tcPr>
            <w:tcW w:w="1134"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2</w:t>
            </w:r>
          </w:p>
        </w:tc>
      </w:tr>
      <w:tr w:rsidR="00206F52" w:rsidRPr="008C7984" w:rsidTr="008102B6">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66</w:t>
            </w:r>
          </w:p>
        </w:tc>
        <w:tc>
          <w:tcPr>
            <w:tcW w:w="1967"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SİNOP</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197.089,74₺</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0,00₺</w:t>
            </w:r>
          </w:p>
        </w:tc>
        <w:tc>
          <w:tcPr>
            <w:tcW w:w="1134"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2</w:t>
            </w:r>
          </w:p>
        </w:tc>
      </w:tr>
      <w:tr w:rsidR="00206F52" w:rsidRPr="008C7984" w:rsidTr="008102B6">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67</w:t>
            </w:r>
          </w:p>
        </w:tc>
        <w:tc>
          <w:tcPr>
            <w:tcW w:w="1967"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SİVAS</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3.827.745,04₺</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1.764.767,38₺</w:t>
            </w:r>
          </w:p>
        </w:tc>
        <w:tc>
          <w:tcPr>
            <w:tcW w:w="1134"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17</w:t>
            </w:r>
          </w:p>
        </w:tc>
      </w:tr>
      <w:tr w:rsidR="00206F52" w:rsidRPr="008C7984" w:rsidTr="008102B6">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68</w:t>
            </w:r>
          </w:p>
        </w:tc>
        <w:tc>
          <w:tcPr>
            <w:tcW w:w="1967"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ŞANLIURFA</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8.902.452,13₺</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1.924.233,84₺</w:t>
            </w:r>
          </w:p>
        </w:tc>
        <w:tc>
          <w:tcPr>
            <w:tcW w:w="1134"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39</w:t>
            </w:r>
          </w:p>
        </w:tc>
      </w:tr>
      <w:tr w:rsidR="00206F52" w:rsidRPr="008C7984" w:rsidTr="008102B6">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69</w:t>
            </w:r>
          </w:p>
        </w:tc>
        <w:tc>
          <w:tcPr>
            <w:tcW w:w="1967"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ŞIRNAK</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752.985,12₺</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0,00₺</w:t>
            </w:r>
          </w:p>
        </w:tc>
        <w:tc>
          <w:tcPr>
            <w:tcW w:w="1134"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4</w:t>
            </w:r>
          </w:p>
        </w:tc>
      </w:tr>
      <w:tr w:rsidR="00206F52" w:rsidRPr="008C7984" w:rsidTr="008102B6">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70</w:t>
            </w:r>
          </w:p>
        </w:tc>
        <w:tc>
          <w:tcPr>
            <w:tcW w:w="1967"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TEKİRDAĞ</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2.215.255,58₺</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911.875,11₺</w:t>
            </w:r>
          </w:p>
        </w:tc>
        <w:tc>
          <w:tcPr>
            <w:tcW w:w="1134"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12</w:t>
            </w:r>
          </w:p>
        </w:tc>
      </w:tr>
      <w:tr w:rsidR="00206F52" w:rsidRPr="008C7984" w:rsidTr="008102B6">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71</w:t>
            </w:r>
          </w:p>
        </w:tc>
        <w:tc>
          <w:tcPr>
            <w:tcW w:w="1967"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TOKAT</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760.513,31₺</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1.119.873,00₺</w:t>
            </w:r>
          </w:p>
        </w:tc>
        <w:tc>
          <w:tcPr>
            <w:tcW w:w="1134"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12</w:t>
            </w:r>
          </w:p>
        </w:tc>
      </w:tr>
      <w:tr w:rsidR="00206F52" w:rsidRPr="008C7984" w:rsidTr="008102B6">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72</w:t>
            </w:r>
          </w:p>
        </w:tc>
        <w:tc>
          <w:tcPr>
            <w:tcW w:w="1967"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TRABZON</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830.490,82₺</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539.604,04₺</w:t>
            </w:r>
          </w:p>
        </w:tc>
        <w:tc>
          <w:tcPr>
            <w:tcW w:w="1134"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8</w:t>
            </w:r>
          </w:p>
        </w:tc>
      </w:tr>
      <w:tr w:rsidR="00206F52" w:rsidRPr="008C7984" w:rsidTr="008102B6">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73</w:t>
            </w:r>
          </w:p>
        </w:tc>
        <w:tc>
          <w:tcPr>
            <w:tcW w:w="1967"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UŞAK</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3.898.120,89₺</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193.847,66₺</w:t>
            </w:r>
          </w:p>
        </w:tc>
        <w:tc>
          <w:tcPr>
            <w:tcW w:w="1134"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15</w:t>
            </w:r>
          </w:p>
        </w:tc>
      </w:tr>
      <w:tr w:rsidR="00206F52" w:rsidRPr="008C7984" w:rsidTr="008102B6">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74</w:t>
            </w:r>
          </w:p>
        </w:tc>
        <w:tc>
          <w:tcPr>
            <w:tcW w:w="1967"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VAN</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2.998.096,72₺</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3.037.325,52₺</w:t>
            </w:r>
          </w:p>
        </w:tc>
        <w:tc>
          <w:tcPr>
            <w:tcW w:w="1134"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13</w:t>
            </w:r>
          </w:p>
        </w:tc>
      </w:tr>
      <w:tr w:rsidR="00206F52" w:rsidRPr="008C7984" w:rsidTr="008102B6">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75</w:t>
            </w:r>
          </w:p>
        </w:tc>
        <w:tc>
          <w:tcPr>
            <w:tcW w:w="1967"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YALOVA</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366.939,98₺</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270.111,90₺</w:t>
            </w:r>
          </w:p>
        </w:tc>
        <w:tc>
          <w:tcPr>
            <w:tcW w:w="1134"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6</w:t>
            </w:r>
          </w:p>
        </w:tc>
      </w:tr>
      <w:tr w:rsidR="00206F52" w:rsidRPr="008C7984" w:rsidTr="008102B6">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76</w:t>
            </w:r>
          </w:p>
        </w:tc>
        <w:tc>
          <w:tcPr>
            <w:tcW w:w="1967"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YOZGAT</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355.693,02₺</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0,00₺</w:t>
            </w:r>
          </w:p>
        </w:tc>
        <w:tc>
          <w:tcPr>
            <w:tcW w:w="1134"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7</w:t>
            </w:r>
          </w:p>
        </w:tc>
      </w:tr>
      <w:tr w:rsidR="00206F52" w:rsidRPr="008C7984" w:rsidTr="008102B6">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77</w:t>
            </w:r>
          </w:p>
        </w:tc>
        <w:tc>
          <w:tcPr>
            <w:tcW w:w="1967"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ZONGULDAK</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83.765,21₺</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0,00₺</w:t>
            </w:r>
          </w:p>
        </w:tc>
        <w:tc>
          <w:tcPr>
            <w:tcW w:w="1134"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r w:rsidRPr="00206F52">
              <w:rPr>
                <w:rFonts w:eastAsia="Times New Roman" w:cstheme="minorHAnsi"/>
                <w:color w:val="000000"/>
                <w:lang w:eastAsia="tr-TR"/>
              </w:rPr>
              <w:t>7</w:t>
            </w:r>
          </w:p>
        </w:tc>
      </w:tr>
      <w:tr w:rsidR="00206F52" w:rsidRPr="008C7984" w:rsidTr="008102B6">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color w:val="000000"/>
                <w:lang w:eastAsia="tr-TR"/>
              </w:rPr>
            </w:pPr>
          </w:p>
        </w:tc>
        <w:tc>
          <w:tcPr>
            <w:tcW w:w="1967"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b/>
                <w:bCs/>
                <w:color w:val="000000"/>
                <w:lang w:eastAsia="tr-TR"/>
              </w:rPr>
            </w:pPr>
            <w:r w:rsidRPr="00206F52">
              <w:rPr>
                <w:rFonts w:eastAsia="Times New Roman" w:cstheme="minorHAnsi"/>
                <w:b/>
                <w:bCs/>
                <w:color w:val="000000"/>
                <w:lang w:eastAsia="tr-TR"/>
              </w:rPr>
              <w:t>TOPLAM</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b/>
                <w:bCs/>
                <w:color w:val="000000"/>
                <w:lang w:eastAsia="tr-TR"/>
              </w:rPr>
            </w:pPr>
            <w:r w:rsidRPr="00206F52">
              <w:rPr>
                <w:rFonts w:eastAsia="Times New Roman" w:cstheme="minorHAnsi"/>
                <w:b/>
                <w:bCs/>
                <w:color w:val="000000"/>
                <w:lang w:eastAsia="tr-TR"/>
              </w:rPr>
              <w:t>342.648.897,36₺</w:t>
            </w:r>
          </w:p>
        </w:tc>
        <w:tc>
          <w:tcPr>
            <w:tcW w:w="2693"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b/>
                <w:bCs/>
                <w:color w:val="000000"/>
                <w:lang w:eastAsia="tr-TR"/>
              </w:rPr>
            </w:pPr>
            <w:r w:rsidRPr="00206F52">
              <w:rPr>
                <w:rFonts w:eastAsia="Times New Roman" w:cstheme="minorHAnsi"/>
                <w:b/>
                <w:bCs/>
                <w:color w:val="000000"/>
                <w:lang w:eastAsia="tr-TR"/>
              </w:rPr>
              <w:t>109.930.946,48₺</w:t>
            </w:r>
          </w:p>
        </w:tc>
        <w:tc>
          <w:tcPr>
            <w:tcW w:w="1134" w:type="dxa"/>
            <w:tcBorders>
              <w:top w:val="nil"/>
              <w:left w:val="nil"/>
              <w:bottom w:val="single" w:sz="4" w:space="0" w:color="auto"/>
              <w:right w:val="single" w:sz="4" w:space="0" w:color="auto"/>
            </w:tcBorders>
            <w:shd w:val="clear" w:color="auto" w:fill="auto"/>
            <w:hideMark/>
          </w:tcPr>
          <w:p w:rsidR="00206F52" w:rsidRPr="00206F52" w:rsidRDefault="00206F52" w:rsidP="008102B6">
            <w:pPr>
              <w:spacing w:after="0" w:line="240" w:lineRule="auto"/>
              <w:jc w:val="center"/>
              <w:rPr>
                <w:rFonts w:eastAsia="Times New Roman" w:cstheme="minorHAnsi"/>
                <w:b/>
                <w:bCs/>
                <w:color w:val="000000"/>
                <w:lang w:eastAsia="tr-TR"/>
              </w:rPr>
            </w:pPr>
            <w:r w:rsidRPr="00206F52">
              <w:rPr>
                <w:rFonts w:eastAsia="Times New Roman" w:cstheme="minorHAnsi"/>
                <w:b/>
                <w:bCs/>
                <w:color w:val="000000"/>
                <w:lang w:eastAsia="tr-TR"/>
              </w:rPr>
              <w:t>953</w:t>
            </w:r>
          </w:p>
        </w:tc>
      </w:tr>
    </w:tbl>
    <w:p w:rsidR="00206F52" w:rsidRDefault="00206F52" w:rsidP="00206F52">
      <w:pPr>
        <w:pStyle w:val="AralkYok"/>
        <w:jc w:val="both"/>
      </w:pPr>
    </w:p>
    <w:p w:rsidR="004F4A9F" w:rsidRDefault="004F4A9F" w:rsidP="003D0DD5">
      <w:pPr>
        <w:pStyle w:val="AralkYok"/>
        <w:jc w:val="both"/>
      </w:pPr>
    </w:p>
    <w:p w:rsidR="004F4A9F" w:rsidRDefault="004F4A9F" w:rsidP="003D0DD5">
      <w:pPr>
        <w:pStyle w:val="AralkYok"/>
        <w:jc w:val="both"/>
      </w:pPr>
    </w:p>
    <w:p w:rsidR="004F4A9F" w:rsidRDefault="004F4A9F" w:rsidP="003D0DD5">
      <w:pPr>
        <w:pStyle w:val="AralkYok"/>
        <w:jc w:val="both"/>
      </w:pPr>
    </w:p>
    <w:p w:rsidR="004F4A9F" w:rsidRDefault="004F4A9F" w:rsidP="003D0DD5">
      <w:pPr>
        <w:pStyle w:val="AralkYok"/>
        <w:jc w:val="both"/>
      </w:pPr>
    </w:p>
    <w:p w:rsidR="004F4A9F" w:rsidRDefault="004F4A9F" w:rsidP="003D0DD5">
      <w:pPr>
        <w:pStyle w:val="AralkYok"/>
        <w:jc w:val="both"/>
      </w:pPr>
    </w:p>
    <w:p w:rsidR="004F4A9F" w:rsidRDefault="004F4A9F" w:rsidP="003D0DD5">
      <w:pPr>
        <w:pStyle w:val="AralkYok"/>
        <w:jc w:val="both"/>
      </w:pPr>
    </w:p>
    <w:p w:rsidR="00604359" w:rsidRDefault="00604359" w:rsidP="003D0DD5">
      <w:pPr>
        <w:pStyle w:val="AralkYok"/>
        <w:jc w:val="both"/>
      </w:pPr>
    </w:p>
    <w:p w:rsidR="00604359" w:rsidRDefault="00604359" w:rsidP="003D0DD5">
      <w:pPr>
        <w:pStyle w:val="AralkYok"/>
        <w:jc w:val="both"/>
      </w:pPr>
    </w:p>
    <w:p w:rsidR="00604359" w:rsidRDefault="00604359" w:rsidP="003D0DD5">
      <w:pPr>
        <w:pStyle w:val="AralkYok"/>
        <w:jc w:val="both"/>
      </w:pPr>
    </w:p>
    <w:p w:rsidR="003D0DD5" w:rsidRPr="00122C27" w:rsidRDefault="003D0DD5" w:rsidP="000A5A56">
      <w:pPr>
        <w:pStyle w:val="Balk2"/>
        <w:numPr>
          <w:ilvl w:val="1"/>
          <w:numId w:val="11"/>
        </w:numPr>
        <w:spacing w:after="120"/>
        <w:ind w:left="357" w:hanging="357"/>
        <w:rPr>
          <w:rFonts w:asciiTheme="minorHAnsi" w:hAnsiTheme="minorHAnsi"/>
          <w:color w:val="auto"/>
          <w:sz w:val="22"/>
          <w:szCs w:val="22"/>
        </w:rPr>
      </w:pPr>
      <w:bookmarkStart w:id="371" w:name="_Toc132713845"/>
      <w:r w:rsidRPr="00122C27">
        <w:rPr>
          <w:rFonts w:asciiTheme="minorHAnsi" w:hAnsiTheme="minorHAnsi"/>
          <w:color w:val="auto"/>
          <w:sz w:val="22"/>
          <w:szCs w:val="22"/>
        </w:rPr>
        <w:t>Sıvılaştırılmış Petrol Gazları Piyasası Denetim Faaliyetleri</w:t>
      </w:r>
      <w:bookmarkEnd w:id="364"/>
      <w:bookmarkEnd w:id="365"/>
      <w:bookmarkEnd w:id="371"/>
    </w:p>
    <w:p w:rsidR="003210D5" w:rsidRDefault="003210D5" w:rsidP="003210D5">
      <w:r>
        <w:t>LPG</w:t>
      </w:r>
      <w:r w:rsidRPr="00E9291A">
        <w:t xml:space="preserve"> piyasası denetimleri, piyasada faaliyette bulunan gerçek veya tüzel kişilerin piyasaya ilişkin faaliyetlerinin ve hesaplarının ilgili mevzuata uygunluğunun incelenmesi ve değerlendirilmesi şeklinde gerçekleştirilmektedir. </w:t>
      </w:r>
      <w:r>
        <w:t>LPG</w:t>
      </w:r>
      <w:r w:rsidRPr="00E9291A">
        <w:t xml:space="preserve"> piyasasında yapılan faaliyetlere yönelik inceleme – denetim faaliyetleri ve neticesinde uygulanacak yaptırımlar ve </w:t>
      </w:r>
      <w:r>
        <w:t xml:space="preserve">cezalar, 5307 sayılı Kanunun 16 </w:t>
      </w:r>
      <w:r w:rsidRPr="00E9291A">
        <w:t xml:space="preserve">ncı maddesi çerçevesinde uygulanmaktadır. Bu Kanun hükümlerine dayanılarak çıkartılan ikincil mevzuat kapsamında da işlemler yürütülmektedir. Petrol Piyasası ve </w:t>
      </w:r>
      <w:r>
        <w:t>LPG</w:t>
      </w:r>
      <w:r w:rsidRPr="00E9291A">
        <w:t xml:space="preserve"> Piyasasında Yapılacak Denetimlere İlişkin </w:t>
      </w:r>
      <w:r w:rsidR="00DA6562" w:rsidRPr="00E9291A">
        <w:t xml:space="preserve">İş </w:t>
      </w:r>
      <w:r w:rsidR="00DA6562">
        <w:t>B</w:t>
      </w:r>
      <w:r w:rsidR="00DA6562" w:rsidRPr="00E9291A">
        <w:t>irliği</w:t>
      </w:r>
      <w:r w:rsidRPr="00E9291A">
        <w:t xml:space="preserve"> Protokol</w:t>
      </w:r>
      <w:r>
        <w:t>leri</w:t>
      </w:r>
      <w:r w:rsidRPr="00E9291A">
        <w:t xml:space="preserve"> kapsamında piyasanın tamamı denetlenm</w:t>
      </w:r>
      <w:r>
        <w:t>iş olup</w:t>
      </w:r>
      <w:r w:rsidRPr="00E9291A">
        <w:t xml:space="preserve"> lisanssız olarak faaliyet gösteren gerçek veya tüzel kişilerin faaliyetleri mühürleme suretiyle durdurulmuştur. </w:t>
      </w:r>
    </w:p>
    <w:p w:rsidR="0078671F" w:rsidRDefault="003210D5" w:rsidP="003210D5">
      <w:r w:rsidRPr="007316FB">
        <w:lastRenderedPageBreak/>
        <w:t>5307 sayılı Sıvılaştırılmış Petrol Gazları (LPG) Piyasası Kanunu ve Elektrik Piyasası Kanununda Değişiklik Yapılmasına Dair Kanunu, Sıvılaştırılmış Petrol Gazları (LPG)  Piyasasında Yapılacak Denetimler ile Ön Araştıra ve Soruşturmalarda Takip Edilecek Usul ve Esaslar Hakkında Yönetmelik, Petrol Piyasası ve LPG Piyasasında Yapılacak Denetimlere İlişin İşbirliği Protokolleri kapsamında denetimler yapılmış olup; 5307 Sayılı Sıvılaştırılmış Petrol Gazları (LPG ) Piyasası Kanunu’nun (Kanun) 17 nci maddesinin değiştirilmesine ilişkin 14/02/2019 tarihli ve 7164 sayılı Maden Kanunu İle Bazı Kanunlarda ve Kanun Hükmünde Kararnamede Değişiklik Yapılmasına Dair Kanunun 36 ncı maddesi uyarınca Kurul tarafından belirlenen n</w:t>
      </w:r>
      <w:r>
        <w:t>iteliği itibarıyla düzeltme imkânı</w:t>
      </w:r>
      <w:r w:rsidRPr="007316FB">
        <w:t xml:space="preserve"> olan fiiller kapsamında yapılan </w:t>
      </w:r>
      <w:r w:rsidRPr="00FA1354">
        <w:t xml:space="preserve">denetimlerde </w:t>
      </w:r>
      <w:r w:rsidR="00206F52">
        <w:rPr>
          <w:b/>
        </w:rPr>
        <w:t>795</w:t>
      </w:r>
      <w:r w:rsidR="00206F52" w:rsidRPr="00FA1354">
        <w:t xml:space="preserve"> </w:t>
      </w:r>
      <w:r w:rsidRPr="00FA1354">
        <w:t>otogaz istasyonuna ihtar işlemi tesis edilmiştir.</w:t>
      </w:r>
    </w:p>
    <w:p w:rsidR="003D0DD5" w:rsidRDefault="003D0DD5" w:rsidP="003D0DD5">
      <w:pPr>
        <w:pStyle w:val="Balk5"/>
        <w:jc w:val="center"/>
        <w:rPr>
          <w:rStyle w:val="Gl"/>
          <w:color w:val="000000" w:themeColor="text1"/>
        </w:rPr>
      </w:pPr>
      <w:bookmarkStart w:id="372" w:name="_Toc132713939"/>
      <w:bookmarkStart w:id="373" w:name="_Toc442441768"/>
      <w:bookmarkStart w:id="374" w:name="_Toc505346209"/>
      <w:r w:rsidRPr="00FA1354">
        <w:rPr>
          <w:rStyle w:val="Gl"/>
          <w:color w:val="000000" w:themeColor="text1"/>
        </w:rPr>
        <w:t>Tablo 6.</w:t>
      </w:r>
      <w:r w:rsidR="00E15B8B">
        <w:rPr>
          <w:rStyle w:val="Gl"/>
          <w:color w:val="000000" w:themeColor="text1"/>
        </w:rPr>
        <w:t>11</w:t>
      </w:r>
      <w:r w:rsidRPr="00FA1354">
        <w:rPr>
          <w:rStyle w:val="Gl"/>
          <w:color w:val="000000" w:themeColor="text1"/>
        </w:rPr>
        <w:t>: LPG Piyasas</w:t>
      </w:r>
      <w:r w:rsidR="003210D5" w:rsidRPr="00FA1354">
        <w:rPr>
          <w:rStyle w:val="Gl"/>
          <w:color w:val="000000" w:themeColor="text1"/>
        </w:rPr>
        <w:t xml:space="preserve">ında </w:t>
      </w:r>
      <w:r w:rsidR="00E15B8B" w:rsidRPr="00FA1354">
        <w:rPr>
          <w:rStyle w:val="Gl"/>
          <w:color w:val="000000" w:themeColor="text1"/>
        </w:rPr>
        <w:t>202</w:t>
      </w:r>
      <w:r w:rsidR="00E15B8B">
        <w:rPr>
          <w:rStyle w:val="Gl"/>
          <w:color w:val="000000" w:themeColor="text1"/>
        </w:rPr>
        <w:t>2</w:t>
      </w:r>
      <w:r w:rsidR="00E15B8B" w:rsidRPr="00FA1354">
        <w:rPr>
          <w:rStyle w:val="Gl"/>
          <w:color w:val="000000" w:themeColor="text1"/>
        </w:rPr>
        <w:t xml:space="preserve"> </w:t>
      </w:r>
      <w:r w:rsidRPr="00FA1354">
        <w:rPr>
          <w:rStyle w:val="Gl"/>
          <w:color w:val="000000" w:themeColor="text1"/>
        </w:rPr>
        <w:t>Yılında Uygulanan İdari Para Cezalarının Lisans Tipine Göre Dağılımı</w:t>
      </w:r>
      <w:bookmarkEnd w:id="372"/>
    </w:p>
    <w:tbl>
      <w:tblPr>
        <w:tblW w:w="3931"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398"/>
        <w:gridCol w:w="1879"/>
        <w:gridCol w:w="1155"/>
        <w:gridCol w:w="2115"/>
        <w:gridCol w:w="1245"/>
      </w:tblGrid>
      <w:tr w:rsidR="003D0DD5" w:rsidRPr="00A27064" w:rsidTr="0092376C">
        <w:trPr>
          <w:trHeight w:val="315"/>
          <w:jc w:val="center"/>
        </w:trPr>
        <w:tc>
          <w:tcPr>
            <w:tcW w:w="897" w:type="pct"/>
            <w:shd w:val="clear" w:color="auto" w:fill="6E9ECA"/>
            <w:vAlign w:val="center"/>
            <w:hideMark/>
          </w:tcPr>
          <w:p w:rsidR="003D0DD5" w:rsidRPr="00A27064" w:rsidRDefault="003D0DD5" w:rsidP="00C079ED">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Lisans Tipi</w:t>
            </w:r>
          </w:p>
        </w:tc>
        <w:tc>
          <w:tcPr>
            <w:tcW w:w="1206" w:type="pct"/>
            <w:shd w:val="clear" w:color="auto" w:fill="6E9ECA"/>
            <w:vAlign w:val="center"/>
            <w:hideMark/>
          </w:tcPr>
          <w:p w:rsidR="003D0DD5" w:rsidRPr="00A27064" w:rsidRDefault="003D0DD5" w:rsidP="00C079ED">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Uygulanan İdari Para Cezası Adedi</w:t>
            </w:r>
          </w:p>
        </w:tc>
        <w:tc>
          <w:tcPr>
            <w:tcW w:w="741" w:type="pct"/>
            <w:shd w:val="clear" w:color="auto" w:fill="6E9ECA"/>
            <w:vAlign w:val="center"/>
            <w:hideMark/>
          </w:tcPr>
          <w:p w:rsidR="003D0DD5" w:rsidRPr="00A27064" w:rsidRDefault="003D0DD5" w:rsidP="00C079ED">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Oran (%)</w:t>
            </w:r>
          </w:p>
        </w:tc>
        <w:tc>
          <w:tcPr>
            <w:tcW w:w="1357" w:type="pct"/>
            <w:shd w:val="clear" w:color="auto" w:fill="6E9ECA"/>
            <w:vAlign w:val="center"/>
            <w:hideMark/>
          </w:tcPr>
          <w:p w:rsidR="003D0DD5" w:rsidRPr="00A27064" w:rsidRDefault="003D0DD5" w:rsidP="00C079ED">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İdari Para Cezası Tutarı (TL)</w:t>
            </w:r>
          </w:p>
        </w:tc>
        <w:tc>
          <w:tcPr>
            <w:tcW w:w="799" w:type="pct"/>
            <w:shd w:val="clear" w:color="auto" w:fill="6E9ECA"/>
            <w:vAlign w:val="center"/>
            <w:hideMark/>
          </w:tcPr>
          <w:p w:rsidR="003D0DD5" w:rsidRPr="00A27064" w:rsidRDefault="003D0DD5" w:rsidP="00C079ED">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Oran (%)</w:t>
            </w:r>
          </w:p>
        </w:tc>
      </w:tr>
      <w:tr w:rsidR="00E15B8B" w:rsidRPr="00E9291A" w:rsidTr="00D56F9B">
        <w:trPr>
          <w:trHeight w:val="300"/>
          <w:jc w:val="center"/>
        </w:trPr>
        <w:tc>
          <w:tcPr>
            <w:tcW w:w="897" w:type="pct"/>
            <w:shd w:val="clear" w:color="auto" w:fill="auto"/>
            <w:noWrap/>
            <w:vAlign w:val="center"/>
          </w:tcPr>
          <w:p w:rsidR="00E15B8B" w:rsidRPr="00E9291A" w:rsidRDefault="00E15B8B" w:rsidP="00E15B8B">
            <w:pPr>
              <w:spacing w:after="0" w:line="240" w:lineRule="auto"/>
              <w:rPr>
                <w:rFonts w:eastAsia="Times New Roman"/>
                <w:color w:val="000000"/>
                <w:lang w:eastAsia="tr-TR"/>
              </w:rPr>
            </w:pPr>
            <w:r>
              <w:rPr>
                <w:rFonts w:eastAsia="Times New Roman"/>
                <w:color w:val="000000"/>
                <w:lang w:eastAsia="tr-TR"/>
              </w:rPr>
              <w:t xml:space="preserve">Otogaz </w:t>
            </w:r>
            <w:r w:rsidRPr="00E9291A">
              <w:rPr>
                <w:rFonts w:eastAsia="Times New Roman"/>
                <w:color w:val="000000"/>
                <w:lang w:eastAsia="tr-TR"/>
              </w:rPr>
              <w:t>Bayi</w:t>
            </w:r>
            <w:r>
              <w:rPr>
                <w:rFonts w:eastAsia="Times New Roman"/>
                <w:color w:val="000000"/>
                <w:lang w:eastAsia="tr-TR"/>
              </w:rPr>
              <w:t>lik</w:t>
            </w:r>
          </w:p>
        </w:tc>
        <w:tc>
          <w:tcPr>
            <w:tcW w:w="1206" w:type="pct"/>
            <w:shd w:val="clear" w:color="auto" w:fill="auto"/>
            <w:noWrap/>
            <w:vAlign w:val="center"/>
          </w:tcPr>
          <w:p w:rsidR="00E15B8B" w:rsidRPr="00E9291A" w:rsidRDefault="00E15B8B" w:rsidP="00E15B8B">
            <w:pPr>
              <w:spacing w:after="0" w:line="240" w:lineRule="auto"/>
              <w:jc w:val="center"/>
              <w:rPr>
                <w:rFonts w:eastAsia="Times New Roman"/>
                <w:color w:val="000000"/>
                <w:lang w:eastAsia="tr-TR"/>
              </w:rPr>
            </w:pPr>
            <w:r>
              <w:rPr>
                <w:rFonts w:ascii="Calibri" w:hAnsi="Calibri"/>
                <w:color w:val="000000"/>
              </w:rPr>
              <w:t xml:space="preserve">91 </w:t>
            </w:r>
          </w:p>
        </w:tc>
        <w:tc>
          <w:tcPr>
            <w:tcW w:w="741" w:type="pct"/>
            <w:shd w:val="clear" w:color="auto" w:fill="auto"/>
            <w:noWrap/>
            <w:vAlign w:val="center"/>
          </w:tcPr>
          <w:p w:rsidR="00E15B8B" w:rsidRPr="00E9291A" w:rsidRDefault="00E15B8B" w:rsidP="00E15B8B">
            <w:pPr>
              <w:spacing w:after="0" w:line="240" w:lineRule="auto"/>
              <w:jc w:val="center"/>
              <w:rPr>
                <w:rFonts w:eastAsia="Times New Roman"/>
                <w:color w:val="000000"/>
                <w:lang w:eastAsia="tr-TR"/>
              </w:rPr>
            </w:pPr>
            <w:r>
              <w:rPr>
                <w:rFonts w:ascii="Calibri" w:hAnsi="Calibri"/>
                <w:color w:val="000000"/>
              </w:rPr>
              <w:t xml:space="preserve">95,78  </w:t>
            </w:r>
          </w:p>
        </w:tc>
        <w:tc>
          <w:tcPr>
            <w:tcW w:w="1357" w:type="pct"/>
            <w:shd w:val="clear" w:color="auto" w:fill="auto"/>
            <w:noWrap/>
            <w:vAlign w:val="center"/>
          </w:tcPr>
          <w:p w:rsidR="00E15B8B" w:rsidRPr="00E9291A" w:rsidRDefault="00E15B8B" w:rsidP="00E15B8B">
            <w:pPr>
              <w:spacing w:after="0" w:line="240" w:lineRule="auto"/>
              <w:jc w:val="right"/>
              <w:rPr>
                <w:rFonts w:eastAsia="Times New Roman"/>
                <w:color w:val="000000"/>
                <w:lang w:eastAsia="tr-TR"/>
              </w:rPr>
            </w:pPr>
            <w:r>
              <w:rPr>
                <w:rFonts w:ascii="Calibri" w:hAnsi="Calibri"/>
                <w:color w:val="000000"/>
              </w:rPr>
              <w:t xml:space="preserve">14.493.673 </w:t>
            </w:r>
          </w:p>
        </w:tc>
        <w:tc>
          <w:tcPr>
            <w:tcW w:w="799" w:type="pct"/>
            <w:shd w:val="clear" w:color="auto" w:fill="auto"/>
            <w:noWrap/>
            <w:vAlign w:val="center"/>
          </w:tcPr>
          <w:p w:rsidR="00E15B8B" w:rsidRPr="00E9291A" w:rsidRDefault="00E15B8B" w:rsidP="00E15B8B">
            <w:pPr>
              <w:spacing w:after="0" w:line="240" w:lineRule="auto"/>
              <w:jc w:val="center"/>
              <w:rPr>
                <w:rFonts w:eastAsia="Times New Roman"/>
                <w:color w:val="000000"/>
                <w:lang w:eastAsia="tr-TR"/>
              </w:rPr>
            </w:pPr>
            <w:r>
              <w:rPr>
                <w:rFonts w:ascii="Calibri" w:hAnsi="Calibri"/>
                <w:color w:val="000000"/>
              </w:rPr>
              <w:t xml:space="preserve">93.21  </w:t>
            </w:r>
          </w:p>
        </w:tc>
      </w:tr>
      <w:tr w:rsidR="00E15B8B" w:rsidRPr="00E9291A" w:rsidTr="00D56F9B">
        <w:trPr>
          <w:trHeight w:val="300"/>
          <w:jc w:val="center"/>
        </w:trPr>
        <w:tc>
          <w:tcPr>
            <w:tcW w:w="897" w:type="pct"/>
            <w:shd w:val="clear" w:color="auto" w:fill="auto"/>
            <w:noWrap/>
            <w:vAlign w:val="center"/>
          </w:tcPr>
          <w:p w:rsidR="00E15B8B" w:rsidRPr="00E9291A" w:rsidRDefault="00E15B8B" w:rsidP="00E15B8B">
            <w:pPr>
              <w:spacing w:after="0" w:line="240" w:lineRule="auto"/>
              <w:rPr>
                <w:rFonts w:eastAsia="Times New Roman"/>
                <w:color w:val="000000"/>
                <w:lang w:eastAsia="tr-TR"/>
              </w:rPr>
            </w:pPr>
            <w:r>
              <w:rPr>
                <w:rFonts w:eastAsia="Times New Roman"/>
                <w:color w:val="000000"/>
                <w:lang w:eastAsia="tr-TR"/>
              </w:rPr>
              <w:t>Depolama</w:t>
            </w:r>
          </w:p>
        </w:tc>
        <w:tc>
          <w:tcPr>
            <w:tcW w:w="1206" w:type="pct"/>
            <w:shd w:val="clear" w:color="auto" w:fill="auto"/>
            <w:noWrap/>
            <w:vAlign w:val="center"/>
          </w:tcPr>
          <w:p w:rsidR="00E15B8B" w:rsidRDefault="00E15B8B" w:rsidP="00E15B8B">
            <w:pPr>
              <w:spacing w:after="0" w:line="240" w:lineRule="auto"/>
              <w:jc w:val="center"/>
              <w:rPr>
                <w:rFonts w:ascii="Calibri" w:hAnsi="Calibri"/>
                <w:color w:val="000000"/>
              </w:rPr>
            </w:pPr>
            <w:r>
              <w:rPr>
                <w:rFonts w:ascii="Calibri" w:hAnsi="Calibri"/>
                <w:color w:val="000000"/>
              </w:rPr>
              <w:t xml:space="preserve">0  </w:t>
            </w:r>
          </w:p>
        </w:tc>
        <w:tc>
          <w:tcPr>
            <w:tcW w:w="741" w:type="pct"/>
            <w:shd w:val="clear" w:color="auto" w:fill="auto"/>
            <w:noWrap/>
            <w:vAlign w:val="center"/>
          </w:tcPr>
          <w:p w:rsidR="00E15B8B" w:rsidRDefault="00E15B8B" w:rsidP="00E15B8B">
            <w:pPr>
              <w:spacing w:after="0" w:line="240" w:lineRule="auto"/>
              <w:jc w:val="center"/>
              <w:rPr>
                <w:rFonts w:ascii="Calibri" w:hAnsi="Calibri"/>
                <w:color w:val="000000"/>
              </w:rPr>
            </w:pPr>
            <w:r>
              <w:rPr>
                <w:rFonts w:ascii="Calibri" w:hAnsi="Calibri"/>
                <w:color w:val="000000"/>
              </w:rPr>
              <w:t xml:space="preserve">0 </w:t>
            </w:r>
          </w:p>
        </w:tc>
        <w:tc>
          <w:tcPr>
            <w:tcW w:w="1357" w:type="pct"/>
            <w:shd w:val="clear" w:color="auto" w:fill="auto"/>
            <w:noWrap/>
            <w:vAlign w:val="center"/>
          </w:tcPr>
          <w:p w:rsidR="00E15B8B" w:rsidRDefault="00E15B8B" w:rsidP="00E15B8B">
            <w:pPr>
              <w:spacing w:after="0" w:line="240" w:lineRule="auto"/>
              <w:jc w:val="right"/>
              <w:rPr>
                <w:rFonts w:ascii="Calibri" w:hAnsi="Calibri"/>
                <w:color w:val="000000"/>
              </w:rPr>
            </w:pPr>
            <w:r>
              <w:rPr>
                <w:rFonts w:ascii="Calibri" w:hAnsi="Calibri"/>
                <w:color w:val="000000"/>
              </w:rPr>
              <w:t xml:space="preserve">0 </w:t>
            </w:r>
          </w:p>
        </w:tc>
        <w:tc>
          <w:tcPr>
            <w:tcW w:w="799" w:type="pct"/>
            <w:shd w:val="clear" w:color="auto" w:fill="auto"/>
            <w:noWrap/>
            <w:vAlign w:val="center"/>
          </w:tcPr>
          <w:p w:rsidR="00E15B8B" w:rsidRDefault="00E15B8B" w:rsidP="00E15B8B">
            <w:pPr>
              <w:spacing w:after="0" w:line="240" w:lineRule="auto"/>
              <w:jc w:val="center"/>
              <w:rPr>
                <w:rFonts w:ascii="Calibri" w:hAnsi="Calibri"/>
                <w:color w:val="000000"/>
              </w:rPr>
            </w:pPr>
            <w:r>
              <w:rPr>
                <w:rFonts w:ascii="Calibri" w:hAnsi="Calibri"/>
                <w:color w:val="000000"/>
              </w:rPr>
              <w:t xml:space="preserve">0 </w:t>
            </w:r>
          </w:p>
        </w:tc>
      </w:tr>
      <w:tr w:rsidR="00E15B8B" w:rsidRPr="00E9291A" w:rsidTr="00D56F9B">
        <w:trPr>
          <w:trHeight w:val="300"/>
          <w:jc w:val="center"/>
        </w:trPr>
        <w:tc>
          <w:tcPr>
            <w:tcW w:w="897" w:type="pct"/>
            <w:shd w:val="clear" w:color="auto" w:fill="auto"/>
            <w:noWrap/>
            <w:vAlign w:val="center"/>
          </w:tcPr>
          <w:p w:rsidR="00E15B8B" w:rsidRPr="00E9291A" w:rsidRDefault="00E15B8B" w:rsidP="00E15B8B">
            <w:pPr>
              <w:spacing w:after="0" w:line="240" w:lineRule="auto"/>
              <w:rPr>
                <w:rFonts w:eastAsia="Times New Roman"/>
                <w:color w:val="000000"/>
                <w:lang w:eastAsia="tr-TR"/>
              </w:rPr>
            </w:pPr>
            <w:r w:rsidRPr="00E9291A">
              <w:rPr>
                <w:rFonts w:eastAsia="Times New Roman"/>
                <w:color w:val="000000"/>
                <w:lang w:eastAsia="tr-TR"/>
              </w:rPr>
              <w:t>Dağıtıcı</w:t>
            </w:r>
          </w:p>
        </w:tc>
        <w:tc>
          <w:tcPr>
            <w:tcW w:w="1206" w:type="pct"/>
            <w:shd w:val="clear" w:color="auto" w:fill="auto"/>
            <w:noWrap/>
            <w:vAlign w:val="center"/>
          </w:tcPr>
          <w:p w:rsidR="00E15B8B" w:rsidRPr="00E9291A" w:rsidRDefault="00E15B8B" w:rsidP="00E15B8B">
            <w:pPr>
              <w:spacing w:after="0" w:line="240" w:lineRule="auto"/>
              <w:jc w:val="center"/>
              <w:rPr>
                <w:rFonts w:eastAsia="Times New Roman"/>
                <w:color w:val="000000"/>
                <w:lang w:eastAsia="tr-TR"/>
              </w:rPr>
            </w:pPr>
            <w:r>
              <w:rPr>
                <w:rFonts w:ascii="Calibri" w:hAnsi="Calibri"/>
                <w:color w:val="000000"/>
              </w:rPr>
              <w:t xml:space="preserve">4 </w:t>
            </w:r>
          </w:p>
        </w:tc>
        <w:tc>
          <w:tcPr>
            <w:tcW w:w="741" w:type="pct"/>
            <w:shd w:val="clear" w:color="auto" w:fill="auto"/>
            <w:noWrap/>
            <w:vAlign w:val="center"/>
          </w:tcPr>
          <w:p w:rsidR="00E15B8B" w:rsidRPr="00E9291A" w:rsidRDefault="00E15B8B" w:rsidP="00E15B8B">
            <w:pPr>
              <w:spacing w:after="0" w:line="240" w:lineRule="auto"/>
              <w:jc w:val="center"/>
              <w:rPr>
                <w:rFonts w:eastAsia="Times New Roman"/>
                <w:color w:val="000000"/>
                <w:lang w:eastAsia="tr-TR"/>
              </w:rPr>
            </w:pPr>
            <w:r>
              <w:rPr>
                <w:rFonts w:ascii="Calibri" w:hAnsi="Calibri"/>
                <w:color w:val="000000"/>
              </w:rPr>
              <w:t xml:space="preserve">4,22  </w:t>
            </w:r>
          </w:p>
        </w:tc>
        <w:tc>
          <w:tcPr>
            <w:tcW w:w="1357" w:type="pct"/>
            <w:shd w:val="clear" w:color="auto" w:fill="auto"/>
            <w:noWrap/>
            <w:vAlign w:val="center"/>
          </w:tcPr>
          <w:p w:rsidR="00E15B8B" w:rsidRPr="00E9291A" w:rsidRDefault="00E15B8B" w:rsidP="00E15B8B">
            <w:pPr>
              <w:spacing w:after="0" w:line="240" w:lineRule="auto"/>
              <w:jc w:val="right"/>
              <w:rPr>
                <w:rFonts w:eastAsia="Times New Roman"/>
                <w:color w:val="000000"/>
                <w:lang w:eastAsia="tr-TR"/>
              </w:rPr>
            </w:pPr>
            <w:r>
              <w:rPr>
                <w:rFonts w:ascii="Calibri" w:hAnsi="Calibri"/>
                <w:color w:val="000000"/>
              </w:rPr>
              <w:t xml:space="preserve">1.055.438      </w:t>
            </w:r>
          </w:p>
        </w:tc>
        <w:tc>
          <w:tcPr>
            <w:tcW w:w="799" w:type="pct"/>
            <w:shd w:val="clear" w:color="auto" w:fill="auto"/>
            <w:noWrap/>
            <w:vAlign w:val="center"/>
          </w:tcPr>
          <w:p w:rsidR="00E15B8B" w:rsidRPr="00E9291A" w:rsidRDefault="00E15B8B" w:rsidP="00E15B8B">
            <w:pPr>
              <w:spacing w:after="0" w:line="240" w:lineRule="auto"/>
              <w:jc w:val="center"/>
              <w:rPr>
                <w:rFonts w:eastAsia="Times New Roman"/>
                <w:color w:val="000000"/>
                <w:lang w:eastAsia="tr-TR"/>
              </w:rPr>
            </w:pPr>
            <w:r>
              <w:rPr>
                <w:rFonts w:ascii="Calibri" w:hAnsi="Calibri"/>
                <w:color w:val="000000"/>
              </w:rPr>
              <w:t xml:space="preserve">6,79  </w:t>
            </w:r>
          </w:p>
        </w:tc>
      </w:tr>
      <w:tr w:rsidR="00E15B8B" w:rsidRPr="00E9291A" w:rsidTr="00D56F9B">
        <w:trPr>
          <w:trHeight w:val="300"/>
          <w:jc w:val="center"/>
        </w:trPr>
        <w:tc>
          <w:tcPr>
            <w:tcW w:w="897" w:type="pct"/>
            <w:shd w:val="clear" w:color="auto" w:fill="auto"/>
            <w:noWrap/>
            <w:vAlign w:val="center"/>
          </w:tcPr>
          <w:p w:rsidR="00E15B8B" w:rsidRPr="00E9291A" w:rsidRDefault="00E15B8B" w:rsidP="00E15B8B">
            <w:pPr>
              <w:spacing w:after="0" w:line="240" w:lineRule="auto"/>
              <w:rPr>
                <w:rFonts w:eastAsia="Times New Roman"/>
                <w:b/>
                <w:bCs/>
                <w:color w:val="000000"/>
                <w:lang w:eastAsia="tr-TR"/>
              </w:rPr>
            </w:pPr>
            <w:r w:rsidRPr="00E9291A">
              <w:rPr>
                <w:rFonts w:eastAsia="Times New Roman"/>
                <w:b/>
                <w:bCs/>
                <w:color w:val="000000"/>
                <w:lang w:eastAsia="tr-TR"/>
              </w:rPr>
              <w:t>Toplam</w:t>
            </w:r>
          </w:p>
        </w:tc>
        <w:tc>
          <w:tcPr>
            <w:tcW w:w="1206" w:type="pct"/>
            <w:shd w:val="clear" w:color="auto" w:fill="auto"/>
            <w:noWrap/>
            <w:vAlign w:val="center"/>
          </w:tcPr>
          <w:p w:rsidR="00E15B8B" w:rsidRPr="00E9291A" w:rsidRDefault="00E15B8B" w:rsidP="00E15B8B">
            <w:pPr>
              <w:spacing w:after="0" w:line="240" w:lineRule="auto"/>
              <w:jc w:val="center"/>
              <w:rPr>
                <w:rFonts w:eastAsia="Times New Roman"/>
                <w:b/>
                <w:color w:val="000000"/>
                <w:lang w:eastAsia="tr-TR"/>
              </w:rPr>
            </w:pPr>
            <w:r>
              <w:rPr>
                <w:rFonts w:ascii="Calibri" w:hAnsi="Calibri"/>
                <w:b/>
                <w:bCs/>
                <w:color w:val="000000"/>
              </w:rPr>
              <w:t xml:space="preserve">95 </w:t>
            </w:r>
          </w:p>
        </w:tc>
        <w:tc>
          <w:tcPr>
            <w:tcW w:w="741" w:type="pct"/>
            <w:shd w:val="clear" w:color="auto" w:fill="auto"/>
            <w:noWrap/>
            <w:vAlign w:val="center"/>
          </w:tcPr>
          <w:p w:rsidR="00E15B8B" w:rsidRPr="00E9291A" w:rsidRDefault="00E15B8B" w:rsidP="00E15B8B">
            <w:pPr>
              <w:spacing w:after="0" w:line="240" w:lineRule="auto"/>
              <w:jc w:val="center"/>
              <w:rPr>
                <w:rFonts w:eastAsia="Times New Roman"/>
                <w:b/>
                <w:color w:val="000000"/>
                <w:lang w:eastAsia="tr-TR"/>
              </w:rPr>
            </w:pPr>
            <w:r>
              <w:rPr>
                <w:rFonts w:ascii="Calibri" w:hAnsi="Calibri"/>
                <w:b/>
                <w:bCs/>
                <w:color w:val="000000"/>
              </w:rPr>
              <w:t>100</w:t>
            </w:r>
          </w:p>
        </w:tc>
        <w:tc>
          <w:tcPr>
            <w:tcW w:w="1357" w:type="pct"/>
            <w:shd w:val="clear" w:color="auto" w:fill="auto"/>
            <w:noWrap/>
            <w:vAlign w:val="center"/>
          </w:tcPr>
          <w:p w:rsidR="00E15B8B" w:rsidRPr="00E9291A" w:rsidRDefault="00E15B8B" w:rsidP="00E15B8B">
            <w:pPr>
              <w:spacing w:after="0" w:line="240" w:lineRule="auto"/>
              <w:jc w:val="right"/>
              <w:rPr>
                <w:rFonts w:eastAsia="Times New Roman"/>
                <w:b/>
                <w:color w:val="000000"/>
                <w:lang w:eastAsia="tr-TR"/>
              </w:rPr>
            </w:pPr>
            <w:r>
              <w:rPr>
                <w:rFonts w:ascii="Calibri" w:hAnsi="Calibri"/>
                <w:b/>
                <w:bCs/>
                <w:color w:val="000000"/>
              </w:rPr>
              <w:t xml:space="preserve">15.549.111      </w:t>
            </w:r>
          </w:p>
        </w:tc>
        <w:tc>
          <w:tcPr>
            <w:tcW w:w="799" w:type="pct"/>
            <w:shd w:val="clear" w:color="auto" w:fill="auto"/>
            <w:noWrap/>
            <w:vAlign w:val="center"/>
          </w:tcPr>
          <w:p w:rsidR="00E15B8B" w:rsidRPr="00E9291A" w:rsidRDefault="00E15B8B" w:rsidP="00E15B8B">
            <w:pPr>
              <w:spacing w:after="0" w:line="240" w:lineRule="auto"/>
              <w:jc w:val="center"/>
              <w:rPr>
                <w:rFonts w:eastAsia="Times New Roman"/>
                <w:b/>
                <w:color w:val="000000"/>
                <w:lang w:eastAsia="tr-TR"/>
              </w:rPr>
            </w:pPr>
            <w:r>
              <w:rPr>
                <w:rFonts w:ascii="Calibri" w:hAnsi="Calibri"/>
                <w:b/>
                <w:bCs/>
                <w:color w:val="000000"/>
              </w:rPr>
              <w:t>100</w:t>
            </w:r>
          </w:p>
        </w:tc>
      </w:tr>
    </w:tbl>
    <w:p w:rsidR="0078671F" w:rsidRPr="00A57F14" w:rsidRDefault="0078671F" w:rsidP="003D0DD5"/>
    <w:p w:rsidR="008C0C45" w:rsidRPr="008C0C45" w:rsidRDefault="008C0C45" w:rsidP="008C0C45">
      <w:pPr>
        <w:pStyle w:val="Balk5"/>
        <w:jc w:val="center"/>
        <w:rPr>
          <w:rFonts w:asciiTheme="minorHAnsi" w:hAnsiTheme="minorHAnsi"/>
          <w:b/>
          <w:bCs/>
          <w:color w:val="000000" w:themeColor="text1"/>
        </w:rPr>
      </w:pPr>
      <w:bookmarkStart w:id="375" w:name="_Toc132713940"/>
      <w:bookmarkEnd w:id="373"/>
      <w:bookmarkEnd w:id="374"/>
      <w:r w:rsidRPr="00FA1354">
        <w:rPr>
          <w:rStyle w:val="Gl"/>
          <w:color w:val="000000" w:themeColor="text1"/>
        </w:rPr>
        <w:t>Tablo 6.</w:t>
      </w:r>
      <w:r w:rsidR="00E15B8B">
        <w:rPr>
          <w:rStyle w:val="Gl"/>
          <w:color w:val="000000" w:themeColor="text1"/>
        </w:rPr>
        <w:t>12</w:t>
      </w:r>
      <w:r w:rsidRPr="00FA1354">
        <w:rPr>
          <w:rStyle w:val="Gl"/>
          <w:color w:val="000000" w:themeColor="text1"/>
        </w:rPr>
        <w:t xml:space="preserve">: </w:t>
      </w:r>
      <w:r w:rsidRPr="00FA1354">
        <w:rPr>
          <w:rFonts w:asciiTheme="minorHAnsi" w:hAnsiTheme="minorHAnsi"/>
          <w:b/>
          <w:bCs/>
          <w:color w:val="000000" w:themeColor="text1"/>
        </w:rPr>
        <w:t xml:space="preserve">LPG Piyasasında </w:t>
      </w:r>
      <w:r w:rsidR="00E15B8B" w:rsidRPr="00FA1354">
        <w:rPr>
          <w:rFonts w:asciiTheme="minorHAnsi" w:hAnsiTheme="minorHAnsi"/>
          <w:b/>
          <w:bCs/>
          <w:color w:val="000000" w:themeColor="text1"/>
        </w:rPr>
        <w:t>202</w:t>
      </w:r>
      <w:r w:rsidR="00E15B8B">
        <w:rPr>
          <w:rFonts w:asciiTheme="minorHAnsi" w:hAnsiTheme="minorHAnsi"/>
          <w:b/>
          <w:bCs/>
          <w:color w:val="000000" w:themeColor="text1"/>
        </w:rPr>
        <w:t>1</w:t>
      </w:r>
      <w:r w:rsidR="00AB2A27" w:rsidRPr="00FA1354">
        <w:rPr>
          <w:rFonts w:asciiTheme="minorHAnsi" w:hAnsiTheme="minorHAnsi"/>
          <w:b/>
          <w:bCs/>
          <w:color w:val="000000" w:themeColor="text1"/>
        </w:rPr>
        <w:t>-</w:t>
      </w:r>
      <w:r w:rsidR="00E15B8B" w:rsidRPr="00FA1354">
        <w:rPr>
          <w:rFonts w:asciiTheme="minorHAnsi" w:hAnsiTheme="minorHAnsi"/>
          <w:b/>
          <w:bCs/>
          <w:color w:val="000000" w:themeColor="text1"/>
        </w:rPr>
        <w:t>202</w:t>
      </w:r>
      <w:r w:rsidR="00E15B8B">
        <w:rPr>
          <w:rFonts w:asciiTheme="minorHAnsi" w:hAnsiTheme="minorHAnsi"/>
          <w:b/>
          <w:bCs/>
          <w:color w:val="000000" w:themeColor="text1"/>
        </w:rPr>
        <w:t>2</w:t>
      </w:r>
      <w:r w:rsidR="00E15B8B" w:rsidRPr="00FA1354">
        <w:rPr>
          <w:rFonts w:asciiTheme="minorHAnsi" w:hAnsiTheme="minorHAnsi"/>
          <w:b/>
          <w:bCs/>
          <w:color w:val="000000" w:themeColor="text1"/>
        </w:rPr>
        <w:t xml:space="preserve"> </w:t>
      </w:r>
      <w:r w:rsidRPr="00FA1354">
        <w:rPr>
          <w:rFonts w:asciiTheme="minorHAnsi" w:hAnsiTheme="minorHAnsi"/>
          <w:b/>
          <w:bCs/>
          <w:color w:val="000000" w:themeColor="text1"/>
        </w:rPr>
        <w:t>Yıllarında Uygulanan İdari Para Cezalarının Lisans Tipine Göre Dağılımı</w:t>
      </w:r>
      <w:bookmarkEnd w:id="375"/>
    </w:p>
    <w:tbl>
      <w:tblPr>
        <w:tblW w:w="8530"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1400"/>
        <w:gridCol w:w="2622"/>
        <w:gridCol w:w="943"/>
        <w:gridCol w:w="2622"/>
        <w:gridCol w:w="943"/>
      </w:tblGrid>
      <w:tr w:rsidR="003D0DD5" w:rsidRPr="0043599C" w:rsidTr="009D79C2">
        <w:trPr>
          <w:trHeight w:val="321"/>
          <w:jc w:val="center"/>
        </w:trPr>
        <w:tc>
          <w:tcPr>
            <w:tcW w:w="0" w:type="auto"/>
            <w:vMerge w:val="restart"/>
            <w:shd w:val="clear" w:color="auto" w:fill="6E9ECA"/>
            <w:vAlign w:val="center"/>
          </w:tcPr>
          <w:p w:rsidR="003D0DD5" w:rsidRPr="0043599C" w:rsidRDefault="003D0DD5" w:rsidP="00C079ED">
            <w:pPr>
              <w:spacing w:after="0" w:line="240" w:lineRule="auto"/>
              <w:rPr>
                <w:rFonts w:eastAsia="Times New Roman"/>
                <w:b/>
                <w:bCs/>
                <w:color w:val="FFFFFF" w:themeColor="background1"/>
                <w:lang w:eastAsia="tr-TR"/>
              </w:rPr>
            </w:pPr>
            <w:r w:rsidRPr="0043599C">
              <w:rPr>
                <w:rFonts w:eastAsia="Times New Roman"/>
                <w:b/>
                <w:bCs/>
                <w:color w:val="FFFFFF" w:themeColor="background1"/>
                <w:lang w:eastAsia="tr-TR"/>
              </w:rPr>
              <w:t>Lisans Tipi</w:t>
            </w:r>
          </w:p>
        </w:tc>
        <w:tc>
          <w:tcPr>
            <w:tcW w:w="0" w:type="auto"/>
            <w:gridSpan w:val="2"/>
            <w:shd w:val="clear" w:color="auto" w:fill="6E9ECA"/>
            <w:vAlign w:val="center"/>
          </w:tcPr>
          <w:p w:rsidR="003D0DD5" w:rsidRPr="0043599C" w:rsidRDefault="00E15B8B" w:rsidP="00C079ED">
            <w:pPr>
              <w:spacing w:after="0" w:line="240" w:lineRule="auto"/>
              <w:jc w:val="center"/>
              <w:rPr>
                <w:rFonts w:eastAsia="Times New Roman"/>
                <w:b/>
                <w:bCs/>
                <w:color w:val="FFFFFF" w:themeColor="background1"/>
                <w:lang w:eastAsia="tr-TR"/>
              </w:rPr>
            </w:pPr>
            <w:r w:rsidRPr="0043599C">
              <w:rPr>
                <w:rFonts w:eastAsia="Times New Roman"/>
                <w:b/>
                <w:bCs/>
                <w:color w:val="FFFFFF" w:themeColor="background1"/>
                <w:lang w:eastAsia="tr-TR"/>
              </w:rPr>
              <w:t>20</w:t>
            </w:r>
            <w:r>
              <w:rPr>
                <w:rFonts w:eastAsia="Times New Roman"/>
                <w:b/>
                <w:bCs/>
                <w:color w:val="FFFFFF" w:themeColor="background1"/>
                <w:lang w:eastAsia="tr-TR"/>
              </w:rPr>
              <w:t>21</w:t>
            </w:r>
            <w:r w:rsidRPr="0043599C">
              <w:rPr>
                <w:rFonts w:eastAsia="Times New Roman"/>
                <w:b/>
                <w:bCs/>
                <w:color w:val="FFFFFF" w:themeColor="background1"/>
                <w:lang w:eastAsia="tr-TR"/>
              </w:rPr>
              <w:t xml:space="preserve"> </w:t>
            </w:r>
            <w:r w:rsidR="003D0DD5" w:rsidRPr="0043599C">
              <w:rPr>
                <w:rFonts w:eastAsia="Times New Roman"/>
                <w:b/>
                <w:bCs/>
                <w:color w:val="FFFFFF" w:themeColor="background1"/>
                <w:lang w:eastAsia="tr-TR"/>
              </w:rPr>
              <w:t>Yılı</w:t>
            </w:r>
          </w:p>
        </w:tc>
        <w:tc>
          <w:tcPr>
            <w:tcW w:w="0" w:type="auto"/>
            <w:gridSpan w:val="2"/>
            <w:shd w:val="clear" w:color="auto" w:fill="6E9ECA"/>
            <w:vAlign w:val="center"/>
          </w:tcPr>
          <w:p w:rsidR="003D0DD5" w:rsidRPr="0043599C" w:rsidRDefault="00E15B8B" w:rsidP="00C079ED">
            <w:pPr>
              <w:spacing w:after="0" w:line="240" w:lineRule="auto"/>
              <w:jc w:val="center"/>
              <w:rPr>
                <w:rFonts w:eastAsia="Times New Roman"/>
                <w:b/>
                <w:bCs/>
                <w:color w:val="FFFFFF" w:themeColor="background1"/>
                <w:lang w:eastAsia="tr-TR"/>
              </w:rPr>
            </w:pPr>
            <w:r>
              <w:rPr>
                <w:rFonts w:eastAsia="Times New Roman"/>
                <w:b/>
                <w:bCs/>
                <w:color w:val="FFFFFF" w:themeColor="background1"/>
                <w:lang w:eastAsia="tr-TR"/>
              </w:rPr>
              <w:t>2022</w:t>
            </w:r>
            <w:r w:rsidRPr="0043599C">
              <w:rPr>
                <w:rFonts w:eastAsia="Times New Roman"/>
                <w:b/>
                <w:bCs/>
                <w:color w:val="FFFFFF" w:themeColor="background1"/>
                <w:lang w:eastAsia="tr-TR"/>
              </w:rPr>
              <w:t xml:space="preserve"> </w:t>
            </w:r>
            <w:r w:rsidR="003D0DD5" w:rsidRPr="0043599C">
              <w:rPr>
                <w:rFonts w:eastAsia="Times New Roman"/>
                <w:b/>
                <w:bCs/>
                <w:color w:val="FFFFFF" w:themeColor="background1"/>
                <w:lang w:eastAsia="tr-TR"/>
              </w:rPr>
              <w:t>Yılı</w:t>
            </w:r>
          </w:p>
        </w:tc>
      </w:tr>
      <w:tr w:rsidR="003D0DD5" w:rsidRPr="0043599C" w:rsidTr="009D79C2">
        <w:trPr>
          <w:trHeight w:val="321"/>
          <w:jc w:val="center"/>
        </w:trPr>
        <w:tc>
          <w:tcPr>
            <w:tcW w:w="0" w:type="auto"/>
            <w:vMerge/>
            <w:shd w:val="clear" w:color="auto" w:fill="6E9ECA"/>
            <w:vAlign w:val="center"/>
            <w:hideMark/>
          </w:tcPr>
          <w:p w:rsidR="003D0DD5" w:rsidRPr="0043599C" w:rsidRDefault="003D0DD5" w:rsidP="00C079ED">
            <w:pPr>
              <w:spacing w:after="0" w:line="240" w:lineRule="auto"/>
              <w:rPr>
                <w:rFonts w:eastAsia="Times New Roman"/>
                <w:b/>
                <w:bCs/>
                <w:color w:val="FFFFFF" w:themeColor="background1"/>
                <w:lang w:eastAsia="tr-TR"/>
              </w:rPr>
            </w:pPr>
          </w:p>
        </w:tc>
        <w:tc>
          <w:tcPr>
            <w:tcW w:w="0" w:type="auto"/>
            <w:shd w:val="clear" w:color="auto" w:fill="6E9ECA"/>
            <w:vAlign w:val="center"/>
            <w:hideMark/>
          </w:tcPr>
          <w:p w:rsidR="003D0DD5" w:rsidRPr="0043599C" w:rsidRDefault="003D0DD5" w:rsidP="00C079ED">
            <w:pPr>
              <w:spacing w:after="0" w:line="240" w:lineRule="auto"/>
              <w:jc w:val="center"/>
              <w:rPr>
                <w:rFonts w:eastAsia="Times New Roman"/>
                <w:b/>
                <w:bCs/>
                <w:color w:val="FFFFFF" w:themeColor="background1"/>
                <w:lang w:eastAsia="tr-TR"/>
              </w:rPr>
            </w:pPr>
            <w:r w:rsidRPr="0043599C">
              <w:rPr>
                <w:rFonts w:eastAsia="Times New Roman"/>
                <w:b/>
                <w:bCs/>
                <w:color w:val="FFFFFF" w:themeColor="background1"/>
                <w:lang w:eastAsia="tr-TR"/>
              </w:rPr>
              <w:t>İdari Para Cezası Tutarı (TL)</w:t>
            </w:r>
          </w:p>
        </w:tc>
        <w:tc>
          <w:tcPr>
            <w:tcW w:w="0" w:type="auto"/>
            <w:shd w:val="clear" w:color="auto" w:fill="6E9ECA"/>
            <w:vAlign w:val="center"/>
            <w:hideMark/>
          </w:tcPr>
          <w:p w:rsidR="003D0DD5" w:rsidRPr="0043599C" w:rsidRDefault="003D0DD5" w:rsidP="00C079ED">
            <w:pPr>
              <w:spacing w:after="0" w:line="240" w:lineRule="auto"/>
              <w:jc w:val="center"/>
              <w:rPr>
                <w:rFonts w:eastAsia="Times New Roman"/>
                <w:b/>
                <w:bCs/>
                <w:color w:val="FFFFFF" w:themeColor="background1"/>
                <w:lang w:eastAsia="tr-TR"/>
              </w:rPr>
            </w:pPr>
            <w:r w:rsidRPr="0043599C">
              <w:rPr>
                <w:rFonts w:eastAsia="Times New Roman"/>
                <w:b/>
                <w:bCs/>
                <w:color w:val="FFFFFF" w:themeColor="background1"/>
                <w:lang w:eastAsia="tr-TR"/>
              </w:rPr>
              <w:t>Oran (%)</w:t>
            </w:r>
          </w:p>
        </w:tc>
        <w:tc>
          <w:tcPr>
            <w:tcW w:w="0" w:type="auto"/>
            <w:shd w:val="clear" w:color="auto" w:fill="6E9ECA"/>
            <w:vAlign w:val="center"/>
          </w:tcPr>
          <w:p w:rsidR="003D0DD5" w:rsidRPr="0043599C" w:rsidRDefault="003D0DD5" w:rsidP="00C079ED">
            <w:pPr>
              <w:spacing w:after="0" w:line="240" w:lineRule="auto"/>
              <w:jc w:val="center"/>
              <w:rPr>
                <w:rFonts w:eastAsia="Times New Roman"/>
                <w:b/>
                <w:bCs/>
                <w:color w:val="FFFFFF" w:themeColor="background1"/>
                <w:lang w:eastAsia="tr-TR"/>
              </w:rPr>
            </w:pPr>
            <w:r w:rsidRPr="0043599C">
              <w:rPr>
                <w:rFonts w:eastAsia="Times New Roman"/>
                <w:b/>
                <w:bCs/>
                <w:color w:val="FFFFFF" w:themeColor="background1"/>
                <w:lang w:eastAsia="tr-TR"/>
              </w:rPr>
              <w:t>İdari Para Cezası Tutarı (TL)</w:t>
            </w:r>
          </w:p>
        </w:tc>
        <w:tc>
          <w:tcPr>
            <w:tcW w:w="0" w:type="auto"/>
            <w:shd w:val="clear" w:color="auto" w:fill="6E9ECA"/>
            <w:vAlign w:val="center"/>
          </w:tcPr>
          <w:p w:rsidR="003D0DD5" w:rsidRPr="0043599C" w:rsidRDefault="003D0DD5" w:rsidP="00C079ED">
            <w:pPr>
              <w:spacing w:after="0" w:line="240" w:lineRule="auto"/>
              <w:jc w:val="center"/>
              <w:rPr>
                <w:rFonts w:eastAsia="Times New Roman"/>
                <w:b/>
                <w:bCs/>
                <w:color w:val="FFFFFF" w:themeColor="background1"/>
                <w:lang w:eastAsia="tr-TR"/>
              </w:rPr>
            </w:pPr>
            <w:r w:rsidRPr="0043599C">
              <w:rPr>
                <w:rFonts w:eastAsia="Times New Roman"/>
                <w:b/>
                <w:bCs/>
                <w:color w:val="FFFFFF" w:themeColor="background1"/>
                <w:lang w:eastAsia="tr-TR"/>
              </w:rPr>
              <w:t>Oran (%)</w:t>
            </w:r>
          </w:p>
        </w:tc>
      </w:tr>
      <w:tr w:rsidR="00E15B8B" w:rsidRPr="0043599C" w:rsidTr="009D79C2">
        <w:trPr>
          <w:trHeight w:val="321"/>
          <w:jc w:val="center"/>
        </w:trPr>
        <w:tc>
          <w:tcPr>
            <w:tcW w:w="0" w:type="auto"/>
            <w:shd w:val="clear" w:color="auto" w:fill="auto"/>
            <w:noWrap/>
            <w:vAlign w:val="center"/>
          </w:tcPr>
          <w:p w:rsidR="00E15B8B" w:rsidRPr="0043599C" w:rsidRDefault="00E15B8B" w:rsidP="00E15B8B">
            <w:pPr>
              <w:spacing w:after="0" w:line="240" w:lineRule="auto"/>
              <w:rPr>
                <w:rFonts w:eastAsia="Times New Roman"/>
                <w:color w:val="000000"/>
                <w:lang w:eastAsia="tr-TR"/>
              </w:rPr>
            </w:pPr>
            <w:r>
              <w:rPr>
                <w:rFonts w:eastAsia="Times New Roman"/>
                <w:color w:val="000000"/>
                <w:lang w:eastAsia="tr-TR"/>
              </w:rPr>
              <w:t xml:space="preserve">Otogaz </w:t>
            </w:r>
            <w:r w:rsidRPr="0043599C">
              <w:rPr>
                <w:rFonts w:eastAsia="Times New Roman"/>
                <w:color w:val="000000"/>
                <w:lang w:eastAsia="tr-TR"/>
              </w:rPr>
              <w:t>Bayi</w:t>
            </w:r>
            <w:r>
              <w:rPr>
                <w:rFonts w:eastAsia="Times New Roman"/>
                <w:color w:val="000000"/>
                <w:lang w:eastAsia="tr-TR"/>
              </w:rPr>
              <w:t>lik</w:t>
            </w:r>
          </w:p>
        </w:tc>
        <w:tc>
          <w:tcPr>
            <w:tcW w:w="0" w:type="auto"/>
            <w:shd w:val="clear" w:color="auto" w:fill="auto"/>
            <w:noWrap/>
            <w:vAlign w:val="center"/>
          </w:tcPr>
          <w:p w:rsidR="00E15B8B" w:rsidRPr="0043599C" w:rsidRDefault="00E15B8B" w:rsidP="00E15B8B">
            <w:pPr>
              <w:spacing w:after="0" w:line="240" w:lineRule="auto"/>
              <w:jc w:val="right"/>
              <w:rPr>
                <w:rFonts w:eastAsia="Times New Roman"/>
                <w:color w:val="000000"/>
                <w:lang w:eastAsia="tr-TR"/>
              </w:rPr>
            </w:pPr>
            <w:r w:rsidRPr="002C44EE">
              <w:rPr>
                <w:rFonts w:ascii="Calibri" w:hAnsi="Calibri"/>
              </w:rPr>
              <w:t>8.208.700</w:t>
            </w:r>
            <w:r>
              <w:rPr>
                <w:rFonts w:ascii="Calibri" w:hAnsi="Calibri"/>
              </w:rPr>
              <w:t xml:space="preserve"> </w:t>
            </w:r>
          </w:p>
        </w:tc>
        <w:tc>
          <w:tcPr>
            <w:tcW w:w="0" w:type="auto"/>
            <w:shd w:val="clear" w:color="auto" w:fill="auto"/>
            <w:noWrap/>
            <w:vAlign w:val="center"/>
          </w:tcPr>
          <w:p w:rsidR="00E15B8B" w:rsidRPr="0043599C" w:rsidRDefault="00E15B8B" w:rsidP="00E15B8B">
            <w:pPr>
              <w:spacing w:after="0" w:line="240" w:lineRule="auto"/>
              <w:jc w:val="center"/>
              <w:rPr>
                <w:rFonts w:eastAsia="Times New Roman"/>
                <w:color w:val="000000"/>
                <w:lang w:eastAsia="tr-TR"/>
              </w:rPr>
            </w:pPr>
            <w:r w:rsidRPr="002C44EE">
              <w:t>83,02</w:t>
            </w:r>
            <w:r>
              <w:t xml:space="preserve"> </w:t>
            </w:r>
          </w:p>
        </w:tc>
        <w:tc>
          <w:tcPr>
            <w:tcW w:w="0" w:type="auto"/>
            <w:shd w:val="clear" w:color="auto" w:fill="auto"/>
            <w:vAlign w:val="center"/>
          </w:tcPr>
          <w:p w:rsidR="00E15B8B" w:rsidRPr="0043599C" w:rsidRDefault="00E15B8B" w:rsidP="00E15B8B">
            <w:pPr>
              <w:spacing w:after="0" w:line="240" w:lineRule="auto"/>
              <w:jc w:val="right"/>
              <w:rPr>
                <w:rFonts w:eastAsia="Times New Roman"/>
                <w:color w:val="000000"/>
                <w:lang w:eastAsia="tr-TR"/>
              </w:rPr>
            </w:pPr>
            <w:r>
              <w:rPr>
                <w:rFonts w:eastAsia="Times New Roman"/>
                <w:lang w:eastAsia="tr-TR"/>
              </w:rPr>
              <w:t>14.493.673</w:t>
            </w:r>
          </w:p>
        </w:tc>
        <w:tc>
          <w:tcPr>
            <w:tcW w:w="0" w:type="auto"/>
            <w:shd w:val="clear" w:color="auto" w:fill="auto"/>
            <w:vAlign w:val="center"/>
          </w:tcPr>
          <w:p w:rsidR="00E15B8B" w:rsidRPr="0043599C" w:rsidRDefault="00E15B8B" w:rsidP="00E15B8B">
            <w:pPr>
              <w:spacing w:after="0" w:line="240" w:lineRule="auto"/>
              <w:jc w:val="center"/>
              <w:rPr>
                <w:rFonts w:eastAsia="Times New Roman"/>
                <w:color w:val="000000"/>
                <w:lang w:eastAsia="tr-TR"/>
              </w:rPr>
            </w:pPr>
            <w:r w:rsidRPr="002C44EE">
              <w:rPr>
                <w:rFonts w:eastAsia="Times New Roman"/>
                <w:lang w:eastAsia="tr-TR"/>
              </w:rPr>
              <w:t>93.21</w:t>
            </w:r>
            <w:r>
              <w:rPr>
                <w:rFonts w:eastAsia="Times New Roman"/>
                <w:lang w:eastAsia="tr-TR"/>
              </w:rPr>
              <w:t xml:space="preserve"> </w:t>
            </w:r>
          </w:p>
        </w:tc>
      </w:tr>
      <w:tr w:rsidR="00E15B8B" w:rsidRPr="0043599C" w:rsidTr="009D79C2">
        <w:trPr>
          <w:trHeight w:val="321"/>
          <w:jc w:val="center"/>
        </w:trPr>
        <w:tc>
          <w:tcPr>
            <w:tcW w:w="0" w:type="auto"/>
            <w:shd w:val="clear" w:color="auto" w:fill="auto"/>
            <w:noWrap/>
            <w:vAlign w:val="center"/>
          </w:tcPr>
          <w:p w:rsidR="00E15B8B" w:rsidRPr="0043599C" w:rsidRDefault="00E15B8B" w:rsidP="00E15B8B">
            <w:pPr>
              <w:spacing w:after="0" w:line="240" w:lineRule="auto"/>
              <w:rPr>
                <w:rFonts w:eastAsia="Times New Roman"/>
                <w:color w:val="000000"/>
                <w:lang w:eastAsia="tr-TR"/>
              </w:rPr>
            </w:pPr>
            <w:r w:rsidRPr="0043599C">
              <w:rPr>
                <w:rFonts w:eastAsia="Times New Roman"/>
                <w:color w:val="000000"/>
                <w:lang w:eastAsia="tr-TR"/>
              </w:rPr>
              <w:t>Depolama</w:t>
            </w:r>
          </w:p>
        </w:tc>
        <w:tc>
          <w:tcPr>
            <w:tcW w:w="0" w:type="auto"/>
            <w:shd w:val="clear" w:color="auto" w:fill="auto"/>
            <w:noWrap/>
            <w:vAlign w:val="center"/>
          </w:tcPr>
          <w:p w:rsidR="00E15B8B" w:rsidRPr="0043599C" w:rsidRDefault="00E15B8B" w:rsidP="00E15B8B">
            <w:pPr>
              <w:spacing w:after="0" w:line="240" w:lineRule="auto"/>
              <w:jc w:val="right"/>
              <w:rPr>
                <w:rFonts w:eastAsia="Times New Roman"/>
                <w:color w:val="000000"/>
                <w:lang w:eastAsia="tr-TR"/>
              </w:rPr>
            </w:pPr>
            <w:r w:rsidRPr="002C44EE">
              <w:rPr>
                <w:rFonts w:ascii="Calibri" w:hAnsi="Calibri"/>
              </w:rPr>
              <w:t>1.000.000</w:t>
            </w:r>
            <w:r>
              <w:rPr>
                <w:rFonts w:ascii="Calibri" w:hAnsi="Calibri"/>
              </w:rPr>
              <w:t xml:space="preserve"> </w:t>
            </w:r>
          </w:p>
        </w:tc>
        <w:tc>
          <w:tcPr>
            <w:tcW w:w="0" w:type="auto"/>
            <w:shd w:val="clear" w:color="auto" w:fill="auto"/>
            <w:noWrap/>
            <w:vAlign w:val="center"/>
          </w:tcPr>
          <w:p w:rsidR="00E15B8B" w:rsidRPr="0043599C" w:rsidRDefault="00E15B8B" w:rsidP="00E15B8B">
            <w:pPr>
              <w:spacing w:after="0" w:line="240" w:lineRule="auto"/>
              <w:jc w:val="center"/>
              <w:rPr>
                <w:rFonts w:eastAsia="Times New Roman"/>
                <w:color w:val="000000"/>
                <w:lang w:eastAsia="tr-TR"/>
              </w:rPr>
            </w:pPr>
            <w:r w:rsidRPr="002C44EE">
              <w:t>10,11</w:t>
            </w:r>
            <w:r>
              <w:t xml:space="preserve"> </w:t>
            </w:r>
          </w:p>
        </w:tc>
        <w:tc>
          <w:tcPr>
            <w:tcW w:w="0" w:type="auto"/>
            <w:shd w:val="clear" w:color="auto" w:fill="auto"/>
            <w:vAlign w:val="center"/>
          </w:tcPr>
          <w:p w:rsidR="00E15B8B" w:rsidRPr="0043599C" w:rsidRDefault="00E15B8B" w:rsidP="00E15B8B">
            <w:pPr>
              <w:spacing w:after="0" w:line="240" w:lineRule="auto"/>
              <w:jc w:val="right"/>
              <w:rPr>
                <w:rFonts w:eastAsia="Times New Roman"/>
                <w:color w:val="000000"/>
                <w:lang w:eastAsia="tr-TR"/>
              </w:rPr>
            </w:pPr>
            <w:r>
              <w:rPr>
                <w:rFonts w:eastAsia="Times New Roman"/>
                <w:lang w:eastAsia="tr-TR"/>
              </w:rPr>
              <w:t xml:space="preserve">0 </w:t>
            </w:r>
          </w:p>
        </w:tc>
        <w:tc>
          <w:tcPr>
            <w:tcW w:w="0" w:type="auto"/>
            <w:shd w:val="clear" w:color="auto" w:fill="auto"/>
            <w:vAlign w:val="center"/>
          </w:tcPr>
          <w:p w:rsidR="00E15B8B" w:rsidRPr="0043599C" w:rsidRDefault="00E15B8B" w:rsidP="00E15B8B">
            <w:pPr>
              <w:spacing w:after="0" w:line="240" w:lineRule="auto"/>
              <w:jc w:val="center"/>
              <w:rPr>
                <w:rFonts w:eastAsia="Times New Roman"/>
                <w:color w:val="000000"/>
                <w:lang w:eastAsia="tr-TR"/>
              </w:rPr>
            </w:pPr>
            <w:r w:rsidRPr="002C44EE">
              <w:rPr>
                <w:rFonts w:eastAsia="Times New Roman"/>
                <w:lang w:eastAsia="tr-TR"/>
              </w:rPr>
              <w:t>0</w:t>
            </w:r>
            <w:r>
              <w:rPr>
                <w:rFonts w:eastAsia="Times New Roman"/>
                <w:lang w:eastAsia="tr-TR"/>
              </w:rPr>
              <w:t xml:space="preserve"> </w:t>
            </w:r>
          </w:p>
        </w:tc>
      </w:tr>
      <w:tr w:rsidR="00E15B8B" w:rsidRPr="0043599C" w:rsidTr="009D79C2">
        <w:trPr>
          <w:trHeight w:val="321"/>
          <w:jc w:val="center"/>
        </w:trPr>
        <w:tc>
          <w:tcPr>
            <w:tcW w:w="0" w:type="auto"/>
            <w:shd w:val="clear" w:color="auto" w:fill="auto"/>
            <w:noWrap/>
            <w:vAlign w:val="center"/>
          </w:tcPr>
          <w:p w:rsidR="00E15B8B" w:rsidRPr="0043599C" w:rsidRDefault="00E15B8B" w:rsidP="00E15B8B">
            <w:pPr>
              <w:spacing w:after="0" w:line="240" w:lineRule="auto"/>
              <w:rPr>
                <w:rFonts w:eastAsia="Times New Roman"/>
                <w:color w:val="000000"/>
                <w:lang w:eastAsia="tr-TR"/>
              </w:rPr>
            </w:pPr>
            <w:r w:rsidRPr="0043599C">
              <w:rPr>
                <w:rFonts w:eastAsia="Times New Roman"/>
                <w:color w:val="000000"/>
                <w:lang w:eastAsia="tr-TR"/>
              </w:rPr>
              <w:t>Dağıtıcı</w:t>
            </w:r>
          </w:p>
        </w:tc>
        <w:tc>
          <w:tcPr>
            <w:tcW w:w="0" w:type="auto"/>
            <w:shd w:val="clear" w:color="auto" w:fill="auto"/>
            <w:noWrap/>
            <w:vAlign w:val="center"/>
          </w:tcPr>
          <w:p w:rsidR="00E15B8B" w:rsidRPr="0043599C" w:rsidRDefault="00E15B8B" w:rsidP="00E15B8B">
            <w:pPr>
              <w:spacing w:after="0" w:line="240" w:lineRule="auto"/>
              <w:jc w:val="right"/>
              <w:rPr>
                <w:rFonts w:eastAsia="Times New Roman"/>
                <w:color w:val="000000"/>
                <w:lang w:eastAsia="tr-TR"/>
              </w:rPr>
            </w:pPr>
            <w:r w:rsidRPr="002C44EE">
              <w:rPr>
                <w:rFonts w:ascii="Calibri" w:hAnsi="Calibri"/>
              </w:rPr>
              <w:t>679.628</w:t>
            </w:r>
            <w:r>
              <w:rPr>
                <w:rFonts w:ascii="Calibri" w:hAnsi="Calibri"/>
              </w:rPr>
              <w:t xml:space="preserve"> </w:t>
            </w:r>
          </w:p>
        </w:tc>
        <w:tc>
          <w:tcPr>
            <w:tcW w:w="0" w:type="auto"/>
            <w:shd w:val="clear" w:color="auto" w:fill="auto"/>
            <w:noWrap/>
            <w:vAlign w:val="center"/>
          </w:tcPr>
          <w:p w:rsidR="00E15B8B" w:rsidRPr="0043599C" w:rsidRDefault="00E15B8B" w:rsidP="00E15B8B">
            <w:pPr>
              <w:spacing w:after="0" w:line="240" w:lineRule="auto"/>
              <w:jc w:val="center"/>
              <w:rPr>
                <w:rFonts w:eastAsia="Times New Roman"/>
                <w:color w:val="000000"/>
                <w:lang w:eastAsia="tr-TR"/>
              </w:rPr>
            </w:pPr>
            <w:r w:rsidRPr="002C44EE">
              <w:t>6,87</w:t>
            </w:r>
            <w:r>
              <w:t xml:space="preserve">  </w:t>
            </w:r>
          </w:p>
        </w:tc>
        <w:tc>
          <w:tcPr>
            <w:tcW w:w="0" w:type="auto"/>
            <w:shd w:val="clear" w:color="auto" w:fill="auto"/>
            <w:vAlign w:val="center"/>
          </w:tcPr>
          <w:p w:rsidR="00E15B8B" w:rsidRPr="0043599C" w:rsidRDefault="00E15B8B" w:rsidP="00E15B8B">
            <w:pPr>
              <w:spacing w:after="0" w:line="240" w:lineRule="auto"/>
              <w:jc w:val="right"/>
              <w:rPr>
                <w:rFonts w:eastAsia="Times New Roman"/>
                <w:color w:val="000000"/>
                <w:lang w:eastAsia="tr-TR"/>
              </w:rPr>
            </w:pPr>
            <w:r>
              <w:rPr>
                <w:rFonts w:eastAsia="Times New Roman"/>
                <w:lang w:eastAsia="tr-TR"/>
              </w:rPr>
              <w:t xml:space="preserve">1.055.438 </w:t>
            </w:r>
          </w:p>
        </w:tc>
        <w:tc>
          <w:tcPr>
            <w:tcW w:w="0" w:type="auto"/>
            <w:shd w:val="clear" w:color="auto" w:fill="auto"/>
            <w:vAlign w:val="center"/>
          </w:tcPr>
          <w:p w:rsidR="00E15B8B" w:rsidRPr="0043599C" w:rsidRDefault="00E15B8B" w:rsidP="00E15B8B">
            <w:pPr>
              <w:spacing w:after="0" w:line="240" w:lineRule="auto"/>
              <w:jc w:val="center"/>
              <w:rPr>
                <w:rFonts w:eastAsia="Times New Roman"/>
                <w:color w:val="000000"/>
                <w:lang w:eastAsia="tr-TR"/>
              </w:rPr>
            </w:pPr>
            <w:r>
              <w:rPr>
                <w:rFonts w:eastAsia="Times New Roman"/>
                <w:lang w:eastAsia="tr-TR"/>
              </w:rPr>
              <w:t xml:space="preserve">6.79 </w:t>
            </w:r>
          </w:p>
        </w:tc>
      </w:tr>
      <w:tr w:rsidR="00E15B8B" w:rsidRPr="0043599C" w:rsidTr="009D79C2">
        <w:trPr>
          <w:trHeight w:val="321"/>
          <w:jc w:val="center"/>
        </w:trPr>
        <w:tc>
          <w:tcPr>
            <w:tcW w:w="0" w:type="auto"/>
            <w:shd w:val="clear" w:color="auto" w:fill="auto"/>
            <w:noWrap/>
            <w:vAlign w:val="center"/>
          </w:tcPr>
          <w:p w:rsidR="00E15B8B" w:rsidRPr="0043599C" w:rsidRDefault="00E15B8B" w:rsidP="00E15B8B">
            <w:pPr>
              <w:spacing w:after="0" w:line="240" w:lineRule="auto"/>
              <w:rPr>
                <w:rFonts w:eastAsia="Times New Roman"/>
                <w:b/>
                <w:bCs/>
                <w:color w:val="000000"/>
                <w:lang w:eastAsia="tr-TR"/>
              </w:rPr>
            </w:pPr>
            <w:r w:rsidRPr="0043599C">
              <w:rPr>
                <w:rFonts w:eastAsia="Times New Roman"/>
                <w:b/>
                <w:bCs/>
                <w:color w:val="000000"/>
                <w:lang w:eastAsia="tr-TR"/>
              </w:rPr>
              <w:t>Toplam</w:t>
            </w:r>
          </w:p>
        </w:tc>
        <w:tc>
          <w:tcPr>
            <w:tcW w:w="0" w:type="auto"/>
            <w:shd w:val="clear" w:color="auto" w:fill="auto"/>
            <w:noWrap/>
            <w:vAlign w:val="center"/>
          </w:tcPr>
          <w:p w:rsidR="00E15B8B" w:rsidRPr="0043599C" w:rsidRDefault="00E15B8B" w:rsidP="00E15B8B">
            <w:pPr>
              <w:spacing w:after="0" w:line="240" w:lineRule="auto"/>
              <w:jc w:val="right"/>
              <w:rPr>
                <w:rFonts w:eastAsia="Times New Roman"/>
                <w:b/>
                <w:color w:val="000000"/>
                <w:lang w:eastAsia="tr-TR"/>
              </w:rPr>
            </w:pPr>
            <w:r w:rsidRPr="002C44EE">
              <w:rPr>
                <w:rFonts w:ascii="Calibri" w:hAnsi="Calibri"/>
                <w:b/>
                <w:bCs/>
              </w:rPr>
              <w:t>9.888.328</w:t>
            </w:r>
            <w:r>
              <w:rPr>
                <w:rFonts w:ascii="Calibri" w:hAnsi="Calibri"/>
                <w:b/>
                <w:bCs/>
              </w:rPr>
              <w:t xml:space="preserve"> </w:t>
            </w:r>
          </w:p>
        </w:tc>
        <w:tc>
          <w:tcPr>
            <w:tcW w:w="0" w:type="auto"/>
            <w:shd w:val="clear" w:color="auto" w:fill="auto"/>
            <w:noWrap/>
            <w:vAlign w:val="center"/>
          </w:tcPr>
          <w:p w:rsidR="00E15B8B" w:rsidRPr="0043599C" w:rsidRDefault="00E15B8B" w:rsidP="00E15B8B">
            <w:pPr>
              <w:spacing w:after="0" w:line="240" w:lineRule="auto"/>
              <w:jc w:val="center"/>
              <w:rPr>
                <w:rFonts w:eastAsia="Times New Roman"/>
                <w:b/>
                <w:color w:val="000000"/>
                <w:lang w:eastAsia="tr-TR"/>
              </w:rPr>
            </w:pPr>
            <w:r w:rsidRPr="00AB2A27">
              <w:rPr>
                <w:b/>
              </w:rPr>
              <w:t>100</w:t>
            </w:r>
          </w:p>
        </w:tc>
        <w:tc>
          <w:tcPr>
            <w:tcW w:w="0" w:type="auto"/>
            <w:shd w:val="clear" w:color="auto" w:fill="auto"/>
            <w:vAlign w:val="center"/>
          </w:tcPr>
          <w:p w:rsidR="00E15B8B" w:rsidRPr="0043599C" w:rsidRDefault="00E15B8B" w:rsidP="00E15B8B">
            <w:pPr>
              <w:spacing w:after="0" w:line="240" w:lineRule="auto"/>
              <w:jc w:val="right"/>
              <w:rPr>
                <w:rFonts w:eastAsia="Times New Roman"/>
                <w:b/>
                <w:color w:val="000000"/>
                <w:lang w:eastAsia="tr-TR"/>
              </w:rPr>
            </w:pPr>
            <w:r>
              <w:rPr>
                <w:rFonts w:eastAsia="Times New Roman"/>
                <w:b/>
                <w:lang w:eastAsia="tr-TR"/>
              </w:rPr>
              <w:t xml:space="preserve">15.549.111 </w:t>
            </w:r>
          </w:p>
        </w:tc>
        <w:tc>
          <w:tcPr>
            <w:tcW w:w="0" w:type="auto"/>
            <w:shd w:val="clear" w:color="auto" w:fill="auto"/>
            <w:vAlign w:val="center"/>
          </w:tcPr>
          <w:p w:rsidR="00E15B8B" w:rsidRPr="00AB2A27" w:rsidRDefault="00E15B8B" w:rsidP="00E15B8B">
            <w:pPr>
              <w:spacing w:after="0" w:line="240" w:lineRule="auto"/>
              <w:jc w:val="center"/>
              <w:rPr>
                <w:rFonts w:eastAsia="Times New Roman"/>
                <w:b/>
                <w:color w:val="000000"/>
                <w:lang w:eastAsia="tr-TR"/>
              </w:rPr>
            </w:pPr>
            <w:r>
              <w:rPr>
                <w:rFonts w:eastAsia="Times New Roman"/>
                <w:b/>
                <w:color w:val="000000"/>
                <w:lang w:eastAsia="tr-TR"/>
              </w:rPr>
              <w:t>100</w:t>
            </w:r>
          </w:p>
        </w:tc>
      </w:tr>
    </w:tbl>
    <w:p w:rsidR="003D0DD5" w:rsidRPr="0043599C" w:rsidRDefault="003D0DD5" w:rsidP="003D0DD5">
      <w:pPr>
        <w:spacing w:after="0"/>
      </w:pPr>
    </w:p>
    <w:p w:rsidR="007B647D" w:rsidRDefault="003D0DD5" w:rsidP="007B647D">
      <w:pPr>
        <w:spacing w:after="240"/>
      </w:pPr>
      <w:r w:rsidRPr="00E9291A">
        <w:t>LPG piyasasında idari yaptırımlar ve idari para cezaları, lisanssız faaliyette bulunmak, teknik düzenlemelere aykırı ürün ikmal etmek,</w:t>
      </w:r>
      <w:r w:rsidRPr="00A23BAF">
        <w:t xml:space="preserve"> lisansın verdiği hak ve yükümlülüklere</w:t>
      </w:r>
      <w:bookmarkStart w:id="376" w:name="_GoBack"/>
      <w:bookmarkEnd w:id="376"/>
      <w:r w:rsidRPr="00A23BAF">
        <w:t xml:space="preserve"> aykırı davranmak,</w:t>
      </w:r>
      <w:r w:rsidRPr="00E9291A">
        <w:t xml:space="preserve"> tesiste sorumlu müdür ve yetkili personel istihdam etmemek, başka dağıtıcıya ait tüp bulundurmak, </w:t>
      </w:r>
      <w:r w:rsidRPr="00A23BAF">
        <w:t>dağıtıcının bayisi olmayan istasyona LPG ikmal etmesi</w:t>
      </w:r>
      <w:r>
        <w:t xml:space="preserve">, </w:t>
      </w:r>
      <w:r w:rsidRPr="00E9291A">
        <w:t>oto gaz istasyonunda tüp dolumuna yarayan aparat bulundurmak ve/veya tüp dolumu yapmak fiillerinden dolayı uygulanmaktadır.</w:t>
      </w:r>
    </w:p>
    <w:p w:rsidR="003D0DD5" w:rsidRPr="007B647D" w:rsidRDefault="003D0DD5" w:rsidP="007B647D">
      <w:pPr>
        <w:pStyle w:val="Balk5"/>
        <w:jc w:val="center"/>
        <w:rPr>
          <w:rStyle w:val="Gl"/>
          <w:color w:val="000000" w:themeColor="text1"/>
        </w:rPr>
      </w:pPr>
      <w:bookmarkStart w:id="377" w:name="_Toc132713941"/>
      <w:r w:rsidRPr="00FA1354">
        <w:rPr>
          <w:rStyle w:val="Gl"/>
          <w:color w:val="000000" w:themeColor="text1"/>
        </w:rPr>
        <w:t>Tablo 6.</w:t>
      </w:r>
      <w:r w:rsidR="00E15B8B">
        <w:rPr>
          <w:rStyle w:val="Gl"/>
          <w:color w:val="000000" w:themeColor="text1"/>
        </w:rPr>
        <w:t>13</w:t>
      </w:r>
      <w:r w:rsidRPr="00FA1354">
        <w:rPr>
          <w:rStyle w:val="Gl"/>
          <w:color w:val="000000" w:themeColor="text1"/>
        </w:rPr>
        <w:t xml:space="preserve">: LPG Piyasasında </w:t>
      </w:r>
      <w:r w:rsidR="00E15B8B" w:rsidRPr="00FA1354">
        <w:rPr>
          <w:rStyle w:val="Gl"/>
          <w:color w:val="000000" w:themeColor="text1"/>
        </w:rPr>
        <w:t>202</w:t>
      </w:r>
      <w:r w:rsidR="00E15B8B">
        <w:rPr>
          <w:rStyle w:val="Gl"/>
          <w:color w:val="000000" w:themeColor="text1"/>
        </w:rPr>
        <w:t>2</w:t>
      </w:r>
      <w:r w:rsidR="00E15B8B" w:rsidRPr="00FA1354">
        <w:rPr>
          <w:rStyle w:val="Gl"/>
          <w:color w:val="000000" w:themeColor="text1"/>
        </w:rPr>
        <w:t xml:space="preserve"> </w:t>
      </w:r>
      <w:r w:rsidRPr="00FA1354">
        <w:rPr>
          <w:rStyle w:val="Gl"/>
          <w:color w:val="000000" w:themeColor="text1"/>
        </w:rPr>
        <w:t>Yılında Uygulanan İdari Para Cezalarının İdari Para Cezasına Konu Fiillere Göre Dağılımı</w:t>
      </w:r>
      <w:bookmarkEnd w:id="377"/>
    </w:p>
    <w:tbl>
      <w:tblPr>
        <w:tblW w:w="9842" w:type="dxa"/>
        <w:tblInd w:w="7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4563"/>
        <w:gridCol w:w="1827"/>
        <w:gridCol w:w="908"/>
        <w:gridCol w:w="1641"/>
        <w:gridCol w:w="903"/>
      </w:tblGrid>
      <w:tr w:rsidR="003D0DD5" w:rsidRPr="00B720FE" w:rsidTr="00F2265B">
        <w:trPr>
          <w:trHeight w:val="20"/>
        </w:trPr>
        <w:tc>
          <w:tcPr>
            <w:tcW w:w="4563" w:type="dxa"/>
            <w:shd w:val="clear" w:color="000000" w:fill="6E9ECA"/>
            <w:vAlign w:val="center"/>
            <w:hideMark/>
          </w:tcPr>
          <w:p w:rsidR="003D0DD5" w:rsidRPr="00B720FE" w:rsidRDefault="003D0DD5" w:rsidP="00C079ED">
            <w:pPr>
              <w:spacing w:after="0" w:line="240" w:lineRule="auto"/>
              <w:jc w:val="center"/>
              <w:rPr>
                <w:rFonts w:ascii="Calibri" w:eastAsia="Times New Roman" w:hAnsi="Calibri"/>
                <w:b/>
                <w:bCs/>
                <w:color w:val="FFFFFF"/>
                <w:lang w:eastAsia="tr-TR"/>
              </w:rPr>
            </w:pPr>
            <w:r w:rsidRPr="00B720FE">
              <w:rPr>
                <w:rFonts w:ascii="Calibri" w:eastAsia="Times New Roman" w:hAnsi="Calibri"/>
                <w:b/>
                <w:bCs/>
                <w:color w:val="FFFFFF"/>
                <w:lang w:eastAsia="tr-TR"/>
              </w:rPr>
              <w:t>İdari Para Cezasına Konu Fiil</w:t>
            </w:r>
          </w:p>
        </w:tc>
        <w:tc>
          <w:tcPr>
            <w:tcW w:w="1827" w:type="dxa"/>
            <w:shd w:val="clear" w:color="000000" w:fill="6E9ECA"/>
            <w:vAlign w:val="center"/>
            <w:hideMark/>
          </w:tcPr>
          <w:p w:rsidR="003D0DD5" w:rsidRPr="00B720FE" w:rsidRDefault="003D0DD5" w:rsidP="00C079ED">
            <w:pPr>
              <w:spacing w:after="0" w:line="240" w:lineRule="auto"/>
              <w:jc w:val="center"/>
              <w:rPr>
                <w:rFonts w:ascii="Calibri" w:eastAsia="Times New Roman" w:hAnsi="Calibri"/>
                <w:b/>
                <w:bCs/>
                <w:color w:val="FFFFFF"/>
                <w:lang w:eastAsia="tr-TR"/>
              </w:rPr>
            </w:pPr>
            <w:r w:rsidRPr="00B720FE">
              <w:rPr>
                <w:rFonts w:ascii="Calibri" w:eastAsia="Times New Roman" w:hAnsi="Calibri"/>
                <w:b/>
                <w:bCs/>
                <w:color w:val="FFFFFF"/>
                <w:lang w:eastAsia="tr-TR"/>
              </w:rPr>
              <w:t>Uygulanan İdari Para Cezası Adedi</w:t>
            </w:r>
          </w:p>
        </w:tc>
        <w:tc>
          <w:tcPr>
            <w:tcW w:w="908" w:type="dxa"/>
            <w:shd w:val="clear" w:color="000000" w:fill="6E9ECA"/>
            <w:vAlign w:val="center"/>
            <w:hideMark/>
          </w:tcPr>
          <w:p w:rsidR="003D0DD5" w:rsidRPr="00B720FE" w:rsidRDefault="003D0DD5" w:rsidP="00C079ED">
            <w:pPr>
              <w:spacing w:after="0" w:line="240" w:lineRule="auto"/>
              <w:jc w:val="center"/>
              <w:rPr>
                <w:rFonts w:ascii="Calibri" w:eastAsia="Times New Roman" w:hAnsi="Calibri"/>
                <w:b/>
                <w:bCs/>
                <w:color w:val="FFFFFF"/>
                <w:lang w:eastAsia="tr-TR"/>
              </w:rPr>
            </w:pPr>
            <w:r w:rsidRPr="00B720FE">
              <w:rPr>
                <w:rFonts w:ascii="Calibri" w:eastAsia="Times New Roman" w:hAnsi="Calibri"/>
                <w:b/>
                <w:bCs/>
                <w:color w:val="FFFFFF"/>
                <w:lang w:eastAsia="tr-TR"/>
              </w:rPr>
              <w:t>Oran (%)</w:t>
            </w:r>
          </w:p>
        </w:tc>
        <w:tc>
          <w:tcPr>
            <w:tcW w:w="1641" w:type="dxa"/>
            <w:shd w:val="clear" w:color="000000" w:fill="6E9ECA"/>
            <w:vAlign w:val="center"/>
            <w:hideMark/>
          </w:tcPr>
          <w:p w:rsidR="003D0DD5" w:rsidRPr="00B720FE" w:rsidRDefault="003D0DD5" w:rsidP="00C079ED">
            <w:pPr>
              <w:spacing w:after="0" w:line="240" w:lineRule="auto"/>
              <w:jc w:val="center"/>
              <w:rPr>
                <w:rFonts w:ascii="Calibri" w:eastAsia="Times New Roman" w:hAnsi="Calibri"/>
                <w:b/>
                <w:bCs/>
                <w:color w:val="FFFFFF"/>
                <w:lang w:eastAsia="tr-TR"/>
              </w:rPr>
            </w:pPr>
            <w:r w:rsidRPr="00B720FE">
              <w:rPr>
                <w:rFonts w:ascii="Calibri" w:eastAsia="Times New Roman" w:hAnsi="Calibri"/>
                <w:b/>
                <w:bCs/>
                <w:color w:val="FFFFFF"/>
                <w:lang w:eastAsia="tr-TR"/>
              </w:rPr>
              <w:t>İdari Para Cezası Tutarı (TL)</w:t>
            </w:r>
          </w:p>
        </w:tc>
        <w:tc>
          <w:tcPr>
            <w:tcW w:w="903" w:type="dxa"/>
            <w:shd w:val="clear" w:color="000000" w:fill="6E9ECA"/>
            <w:vAlign w:val="center"/>
            <w:hideMark/>
          </w:tcPr>
          <w:p w:rsidR="003D0DD5" w:rsidRPr="00B720FE" w:rsidRDefault="003D0DD5" w:rsidP="00C079ED">
            <w:pPr>
              <w:spacing w:after="0" w:line="240" w:lineRule="auto"/>
              <w:jc w:val="center"/>
              <w:rPr>
                <w:rFonts w:ascii="Calibri" w:eastAsia="Times New Roman" w:hAnsi="Calibri"/>
                <w:b/>
                <w:bCs/>
                <w:color w:val="FFFFFF"/>
                <w:lang w:eastAsia="tr-TR"/>
              </w:rPr>
            </w:pPr>
            <w:r w:rsidRPr="00B720FE">
              <w:rPr>
                <w:rFonts w:ascii="Calibri" w:eastAsia="Times New Roman" w:hAnsi="Calibri"/>
                <w:b/>
                <w:bCs/>
                <w:color w:val="FFFFFF"/>
                <w:lang w:eastAsia="tr-TR"/>
              </w:rPr>
              <w:t>Oran (%)</w:t>
            </w:r>
          </w:p>
        </w:tc>
      </w:tr>
      <w:tr w:rsidR="00E15B8B" w:rsidRPr="00B720FE" w:rsidTr="00F2265B">
        <w:trPr>
          <w:trHeight w:val="397"/>
        </w:trPr>
        <w:tc>
          <w:tcPr>
            <w:tcW w:w="4563" w:type="dxa"/>
            <w:shd w:val="clear" w:color="auto" w:fill="auto"/>
            <w:noWrap/>
            <w:vAlign w:val="center"/>
            <w:hideMark/>
          </w:tcPr>
          <w:p w:rsidR="00E15B8B" w:rsidRPr="00B720FE" w:rsidRDefault="00E15B8B" w:rsidP="00E15B8B">
            <w:pPr>
              <w:spacing w:after="0" w:line="240" w:lineRule="auto"/>
              <w:rPr>
                <w:rFonts w:ascii="Calibri" w:eastAsia="Times New Roman" w:hAnsi="Calibri"/>
                <w:color w:val="000000"/>
                <w:lang w:eastAsia="tr-TR"/>
              </w:rPr>
            </w:pPr>
            <w:r w:rsidRPr="0027162C">
              <w:rPr>
                <w:rFonts w:ascii="Calibri" w:eastAsia="Times New Roman" w:hAnsi="Calibri" w:cs="Calibri"/>
                <w:color w:val="000000"/>
                <w:lang w:eastAsia="tr-TR"/>
              </w:rPr>
              <w:t xml:space="preserve">Otogaz İstasyonlarında LPG Tüpü Dolumu </w:t>
            </w:r>
            <w:r>
              <w:rPr>
                <w:rFonts w:ascii="Calibri" w:eastAsia="Times New Roman" w:hAnsi="Calibri" w:cs="Calibri"/>
                <w:color w:val="000000"/>
                <w:lang w:eastAsia="tr-TR"/>
              </w:rPr>
              <w:t>v</w:t>
            </w:r>
            <w:r w:rsidRPr="0027162C">
              <w:rPr>
                <w:rFonts w:ascii="Calibri" w:eastAsia="Times New Roman" w:hAnsi="Calibri" w:cs="Calibri"/>
                <w:color w:val="000000"/>
                <w:lang w:eastAsia="tr-TR"/>
              </w:rPr>
              <w:t>e Satışı Yapmak</w:t>
            </w:r>
          </w:p>
        </w:tc>
        <w:tc>
          <w:tcPr>
            <w:tcW w:w="1827" w:type="dxa"/>
            <w:shd w:val="clear" w:color="auto" w:fill="auto"/>
            <w:noWrap/>
            <w:vAlign w:val="center"/>
            <w:hideMark/>
          </w:tcPr>
          <w:p w:rsidR="00E15B8B" w:rsidRPr="00B720FE" w:rsidRDefault="00E15B8B" w:rsidP="00E15B8B">
            <w:pPr>
              <w:spacing w:after="0" w:line="240" w:lineRule="auto"/>
              <w:jc w:val="center"/>
              <w:rPr>
                <w:rFonts w:ascii="Calibri" w:eastAsia="Times New Roman" w:hAnsi="Calibri"/>
                <w:color w:val="000000"/>
                <w:lang w:eastAsia="tr-TR"/>
              </w:rPr>
            </w:pPr>
            <w:r>
              <w:rPr>
                <w:rFonts w:ascii="Calibri" w:eastAsia="Times New Roman" w:hAnsi="Calibri" w:cs="Calibri"/>
                <w:color w:val="000000"/>
                <w:lang w:eastAsia="tr-TR"/>
              </w:rPr>
              <w:t xml:space="preserve">46 </w:t>
            </w:r>
          </w:p>
        </w:tc>
        <w:tc>
          <w:tcPr>
            <w:tcW w:w="908" w:type="dxa"/>
            <w:shd w:val="clear" w:color="auto" w:fill="auto"/>
            <w:noWrap/>
            <w:vAlign w:val="center"/>
            <w:hideMark/>
          </w:tcPr>
          <w:p w:rsidR="00E15B8B" w:rsidRPr="00B720FE" w:rsidRDefault="00E15B8B" w:rsidP="00E15B8B">
            <w:pPr>
              <w:spacing w:after="0" w:line="240" w:lineRule="auto"/>
              <w:jc w:val="center"/>
              <w:rPr>
                <w:rFonts w:ascii="Calibri" w:eastAsia="Times New Roman" w:hAnsi="Calibri"/>
                <w:color w:val="000000"/>
                <w:lang w:eastAsia="tr-TR"/>
              </w:rPr>
            </w:pPr>
            <w:r>
              <w:rPr>
                <w:rFonts w:ascii="Calibri" w:eastAsia="Times New Roman" w:hAnsi="Calibri" w:cs="Calibri"/>
                <w:color w:val="000000"/>
                <w:lang w:eastAsia="tr-TR"/>
              </w:rPr>
              <w:t xml:space="preserve">48.42  </w:t>
            </w:r>
          </w:p>
        </w:tc>
        <w:tc>
          <w:tcPr>
            <w:tcW w:w="1641" w:type="dxa"/>
            <w:shd w:val="clear" w:color="auto" w:fill="auto"/>
            <w:noWrap/>
            <w:vAlign w:val="center"/>
            <w:hideMark/>
          </w:tcPr>
          <w:p w:rsidR="00E15B8B" w:rsidRPr="00B720FE" w:rsidRDefault="00E15B8B" w:rsidP="00E15B8B">
            <w:pPr>
              <w:spacing w:after="0" w:line="240" w:lineRule="auto"/>
              <w:jc w:val="right"/>
              <w:rPr>
                <w:rFonts w:ascii="Calibri" w:eastAsia="Times New Roman" w:hAnsi="Calibri"/>
                <w:color w:val="000000"/>
                <w:lang w:eastAsia="tr-TR"/>
              </w:rPr>
            </w:pPr>
            <w:r>
              <w:rPr>
                <w:rFonts w:ascii="Calibri" w:eastAsia="Times New Roman" w:hAnsi="Calibri" w:cs="Calibri"/>
                <w:color w:val="000000"/>
                <w:lang w:eastAsia="tr-TR"/>
              </w:rPr>
              <w:t xml:space="preserve">8.301.674  </w:t>
            </w:r>
          </w:p>
        </w:tc>
        <w:tc>
          <w:tcPr>
            <w:tcW w:w="903" w:type="dxa"/>
            <w:shd w:val="clear" w:color="auto" w:fill="auto"/>
            <w:noWrap/>
            <w:vAlign w:val="center"/>
            <w:hideMark/>
          </w:tcPr>
          <w:p w:rsidR="00E15B8B" w:rsidRPr="00B720FE" w:rsidRDefault="00E15B8B" w:rsidP="00E15B8B">
            <w:pPr>
              <w:spacing w:after="0" w:line="240" w:lineRule="auto"/>
              <w:jc w:val="center"/>
              <w:rPr>
                <w:rFonts w:ascii="Calibri" w:eastAsia="Times New Roman" w:hAnsi="Calibri"/>
                <w:color w:val="000000"/>
                <w:lang w:eastAsia="tr-TR"/>
              </w:rPr>
            </w:pPr>
            <w:r>
              <w:rPr>
                <w:rFonts w:ascii="Calibri" w:eastAsia="Times New Roman" w:hAnsi="Calibri" w:cs="Calibri"/>
                <w:color w:val="000000"/>
                <w:lang w:eastAsia="tr-TR"/>
              </w:rPr>
              <w:t xml:space="preserve">53,40 </w:t>
            </w:r>
          </w:p>
        </w:tc>
      </w:tr>
      <w:tr w:rsidR="00E15B8B" w:rsidRPr="00B720FE" w:rsidTr="00F2265B">
        <w:trPr>
          <w:trHeight w:val="397"/>
        </w:trPr>
        <w:tc>
          <w:tcPr>
            <w:tcW w:w="4563" w:type="dxa"/>
            <w:shd w:val="clear" w:color="auto" w:fill="auto"/>
            <w:noWrap/>
            <w:vAlign w:val="center"/>
          </w:tcPr>
          <w:p w:rsidR="00E15B8B" w:rsidRPr="00B720FE" w:rsidRDefault="00E15B8B" w:rsidP="00E15B8B">
            <w:pPr>
              <w:spacing w:after="0" w:line="240" w:lineRule="auto"/>
              <w:rPr>
                <w:rFonts w:ascii="Calibri" w:eastAsia="Times New Roman" w:hAnsi="Calibri"/>
                <w:color w:val="000000"/>
                <w:lang w:eastAsia="tr-TR"/>
              </w:rPr>
            </w:pPr>
            <w:r w:rsidRPr="0027162C">
              <w:rPr>
                <w:rFonts w:ascii="Calibri" w:eastAsia="Times New Roman" w:hAnsi="Calibri" w:cs="Calibri"/>
                <w:color w:val="000000"/>
                <w:lang w:eastAsia="tr-TR"/>
              </w:rPr>
              <w:t>Sertifikasız Personel Çalıştırılması</w:t>
            </w:r>
          </w:p>
        </w:tc>
        <w:tc>
          <w:tcPr>
            <w:tcW w:w="1827" w:type="dxa"/>
            <w:shd w:val="clear" w:color="auto" w:fill="auto"/>
            <w:noWrap/>
            <w:vAlign w:val="center"/>
          </w:tcPr>
          <w:p w:rsidR="00E15B8B" w:rsidRPr="00B720FE" w:rsidRDefault="00E15B8B" w:rsidP="00E15B8B">
            <w:pPr>
              <w:spacing w:after="0" w:line="240" w:lineRule="auto"/>
              <w:jc w:val="center"/>
              <w:rPr>
                <w:rFonts w:ascii="Calibri" w:eastAsia="Times New Roman" w:hAnsi="Calibri"/>
                <w:color w:val="000000"/>
                <w:lang w:eastAsia="tr-TR"/>
              </w:rPr>
            </w:pPr>
            <w:r>
              <w:rPr>
                <w:rFonts w:ascii="Calibri" w:eastAsia="Times New Roman" w:hAnsi="Calibri" w:cs="Calibri"/>
                <w:color w:val="000000"/>
                <w:lang w:eastAsia="tr-TR"/>
              </w:rPr>
              <w:t xml:space="preserve">29 </w:t>
            </w:r>
          </w:p>
        </w:tc>
        <w:tc>
          <w:tcPr>
            <w:tcW w:w="908" w:type="dxa"/>
            <w:shd w:val="clear" w:color="auto" w:fill="auto"/>
            <w:noWrap/>
            <w:vAlign w:val="center"/>
          </w:tcPr>
          <w:p w:rsidR="00E15B8B" w:rsidRPr="00B720FE" w:rsidRDefault="00E15B8B" w:rsidP="00E15B8B">
            <w:pPr>
              <w:spacing w:after="0" w:line="240" w:lineRule="auto"/>
              <w:jc w:val="center"/>
              <w:rPr>
                <w:rFonts w:ascii="Calibri" w:eastAsia="Times New Roman" w:hAnsi="Calibri"/>
                <w:color w:val="000000"/>
                <w:lang w:eastAsia="tr-TR"/>
              </w:rPr>
            </w:pPr>
            <w:r>
              <w:rPr>
                <w:rFonts w:ascii="Calibri" w:eastAsia="Times New Roman" w:hAnsi="Calibri" w:cs="Calibri"/>
                <w:color w:val="000000"/>
                <w:lang w:eastAsia="tr-TR"/>
              </w:rPr>
              <w:t xml:space="preserve">30,52  </w:t>
            </w:r>
          </w:p>
        </w:tc>
        <w:tc>
          <w:tcPr>
            <w:tcW w:w="1641" w:type="dxa"/>
            <w:shd w:val="clear" w:color="auto" w:fill="auto"/>
            <w:noWrap/>
            <w:vAlign w:val="center"/>
          </w:tcPr>
          <w:p w:rsidR="00E15B8B" w:rsidRPr="00B720FE" w:rsidRDefault="00E15B8B" w:rsidP="00E15B8B">
            <w:pPr>
              <w:spacing w:after="0" w:line="240" w:lineRule="auto"/>
              <w:jc w:val="right"/>
              <w:rPr>
                <w:rFonts w:ascii="Calibri" w:eastAsia="Times New Roman" w:hAnsi="Calibri"/>
                <w:color w:val="000000"/>
                <w:lang w:eastAsia="tr-TR"/>
              </w:rPr>
            </w:pPr>
            <w:r>
              <w:rPr>
                <w:rFonts w:ascii="Calibri" w:eastAsia="Times New Roman" w:hAnsi="Calibri" w:cs="Calibri"/>
                <w:color w:val="000000"/>
                <w:lang w:eastAsia="tr-TR"/>
              </w:rPr>
              <w:t xml:space="preserve">4.992.231  </w:t>
            </w:r>
          </w:p>
        </w:tc>
        <w:tc>
          <w:tcPr>
            <w:tcW w:w="903" w:type="dxa"/>
            <w:shd w:val="clear" w:color="auto" w:fill="auto"/>
            <w:noWrap/>
            <w:vAlign w:val="center"/>
          </w:tcPr>
          <w:p w:rsidR="00E15B8B" w:rsidRPr="00B720FE" w:rsidRDefault="00E15B8B" w:rsidP="00E15B8B">
            <w:pPr>
              <w:spacing w:after="0" w:line="240" w:lineRule="auto"/>
              <w:jc w:val="center"/>
              <w:rPr>
                <w:rFonts w:ascii="Calibri" w:eastAsia="Times New Roman" w:hAnsi="Calibri"/>
                <w:color w:val="000000"/>
                <w:lang w:eastAsia="tr-TR"/>
              </w:rPr>
            </w:pPr>
            <w:r>
              <w:rPr>
                <w:rFonts w:ascii="Calibri" w:eastAsia="Times New Roman" w:hAnsi="Calibri" w:cs="Calibri"/>
                <w:color w:val="000000"/>
                <w:lang w:eastAsia="tr-TR"/>
              </w:rPr>
              <w:t xml:space="preserve">32,11  </w:t>
            </w:r>
          </w:p>
        </w:tc>
      </w:tr>
      <w:tr w:rsidR="00E15B8B" w:rsidRPr="00B720FE" w:rsidTr="00F2265B">
        <w:trPr>
          <w:trHeight w:val="397"/>
        </w:trPr>
        <w:tc>
          <w:tcPr>
            <w:tcW w:w="4563" w:type="dxa"/>
            <w:shd w:val="clear" w:color="auto" w:fill="auto"/>
            <w:noWrap/>
            <w:vAlign w:val="center"/>
          </w:tcPr>
          <w:p w:rsidR="00E15B8B" w:rsidRPr="00B720FE" w:rsidRDefault="00E15B8B" w:rsidP="00E15B8B">
            <w:pPr>
              <w:spacing w:after="0" w:line="240" w:lineRule="auto"/>
              <w:rPr>
                <w:rFonts w:ascii="Calibri" w:eastAsia="Times New Roman" w:hAnsi="Calibri"/>
                <w:color w:val="000000"/>
                <w:lang w:eastAsia="tr-TR"/>
              </w:rPr>
            </w:pPr>
            <w:r w:rsidRPr="0027162C">
              <w:rPr>
                <w:rFonts w:ascii="Calibri" w:eastAsia="Times New Roman" w:hAnsi="Calibri" w:cs="Calibri"/>
                <w:color w:val="000000"/>
                <w:lang w:eastAsia="tr-TR"/>
              </w:rPr>
              <w:t>Piyasa Faaliyetlerinde, Teknik Düzenlemelere Uygun Olmayan LPG Sunmak</w:t>
            </w:r>
          </w:p>
        </w:tc>
        <w:tc>
          <w:tcPr>
            <w:tcW w:w="1827" w:type="dxa"/>
            <w:shd w:val="clear" w:color="auto" w:fill="auto"/>
            <w:noWrap/>
            <w:vAlign w:val="center"/>
          </w:tcPr>
          <w:p w:rsidR="00E15B8B" w:rsidRPr="00B720FE" w:rsidRDefault="00E15B8B" w:rsidP="00E15B8B">
            <w:pPr>
              <w:spacing w:after="0" w:line="240" w:lineRule="auto"/>
              <w:jc w:val="center"/>
              <w:rPr>
                <w:rFonts w:ascii="Calibri" w:eastAsia="Times New Roman" w:hAnsi="Calibri"/>
                <w:color w:val="000000"/>
                <w:lang w:eastAsia="tr-TR"/>
              </w:rPr>
            </w:pPr>
            <w:r>
              <w:rPr>
                <w:rFonts w:ascii="Calibri" w:eastAsia="Times New Roman" w:hAnsi="Calibri" w:cs="Calibri"/>
                <w:color w:val="000000"/>
                <w:lang w:eastAsia="tr-TR"/>
              </w:rPr>
              <w:t xml:space="preserve"> 1</w:t>
            </w:r>
          </w:p>
        </w:tc>
        <w:tc>
          <w:tcPr>
            <w:tcW w:w="908" w:type="dxa"/>
            <w:shd w:val="clear" w:color="auto" w:fill="auto"/>
            <w:noWrap/>
            <w:vAlign w:val="center"/>
          </w:tcPr>
          <w:p w:rsidR="00E15B8B" w:rsidRPr="00B720FE" w:rsidRDefault="00E15B8B" w:rsidP="00E15B8B">
            <w:pPr>
              <w:spacing w:after="0" w:line="240" w:lineRule="auto"/>
              <w:jc w:val="center"/>
              <w:rPr>
                <w:rFonts w:ascii="Calibri" w:eastAsia="Times New Roman" w:hAnsi="Calibri"/>
                <w:color w:val="000000"/>
                <w:lang w:eastAsia="tr-TR"/>
              </w:rPr>
            </w:pPr>
            <w:r>
              <w:rPr>
                <w:rFonts w:ascii="Calibri" w:eastAsia="Times New Roman" w:hAnsi="Calibri" w:cs="Calibri"/>
                <w:color w:val="000000"/>
                <w:lang w:eastAsia="tr-TR"/>
              </w:rPr>
              <w:t xml:space="preserve">1,06  </w:t>
            </w:r>
          </w:p>
        </w:tc>
        <w:tc>
          <w:tcPr>
            <w:tcW w:w="1641" w:type="dxa"/>
            <w:shd w:val="clear" w:color="auto" w:fill="auto"/>
            <w:noWrap/>
            <w:vAlign w:val="center"/>
          </w:tcPr>
          <w:p w:rsidR="00E15B8B" w:rsidRPr="00B720FE" w:rsidRDefault="00E15B8B" w:rsidP="00E15B8B">
            <w:pPr>
              <w:spacing w:after="0" w:line="240" w:lineRule="auto"/>
              <w:jc w:val="right"/>
              <w:rPr>
                <w:rFonts w:ascii="Calibri" w:eastAsia="Times New Roman" w:hAnsi="Calibri"/>
                <w:color w:val="000000"/>
                <w:lang w:eastAsia="tr-TR"/>
              </w:rPr>
            </w:pPr>
            <w:r>
              <w:rPr>
                <w:rFonts w:ascii="Calibri" w:eastAsia="Times New Roman" w:hAnsi="Calibri" w:cs="Calibri"/>
                <w:color w:val="000000"/>
                <w:lang w:eastAsia="tr-TR"/>
              </w:rPr>
              <w:t xml:space="preserve">250.000  </w:t>
            </w:r>
          </w:p>
        </w:tc>
        <w:tc>
          <w:tcPr>
            <w:tcW w:w="903" w:type="dxa"/>
            <w:shd w:val="clear" w:color="auto" w:fill="auto"/>
            <w:noWrap/>
            <w:vAlign w:val="center"/>
          </w:tcPr>
          <w:p w:rsidR="00E15B8B" w:rsidRPr="00B720FE" w:rsidRDefault="00E15B8B" w:rsidP="00E15B8B">
            <w:pPr>
              <w:spacing w:after="0" w:line="240" w:lineRule="auto"/>
              <w:jc w:val="center"/>
              <w:rPr>
                <w:rFonts w:ascii="Calibri" w:eastAsia="Times New Roman" w:hAnsi="Calibri"/>
                <w:color w:val="000000"/>
                <w:lang w:eastAsia="tr-TR"/>
              </w:rPr>
            </w:pPr>
            <w:r>
              <w:rPr>
                <w:rFonts w:ascii="Calibri" w:eastAsia="Times New Roman" w:hAnsi="Calibri" w:cs="Calibri"/>
                <w:color w:val="000000"/>
                <w:lang w:eastAsia="tr-TR"/>
              </w:rPr>
              <w:t xml:space="preserve">1,60  </w:t>
            </w:r>
          </w:p>
        </w:tc>
      </w:tr>
      <w:tr w:rsidR="00E15B8B" w:rsidRPr="00B720FE" w:rsidTr="00F2265B">
        <w:trPr>
          <w:trHeight w:val="397"/>
        </w:trPr>
        <w:tc>
          <w:tcPr>
            <w:tcW w:w="4563" w:type="dxa"/>
            <w:shd w:val="clear" w:color="auto" w:fill="auto"/>
            <w:noWrap/>
            <w:vAlign w:val="center"/>
          </w:tcPr>
          <w:p w:rsidR="00E15B8B" w:rsidRPr="0027162C" w:rsidRDefault="00E15B8B" w:rsidP="00E15B8B">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Lisans Almaksızın Bayilik Faaliyeti Yapılması</w:t>
            </w:r>
          </w:p>
        </w:tc>
        <w:tc>
          <w:tcPr>
            <w:tcW w:w="1827" w:type="dxa"/>
            <w:shd w:val="clear" w:color="auto" w:fill="auto"/>
            <w:noWrap/>
            <w:vAlign w:val="center"/>
          </w:tcPr>
          <w:p w:rsidR="00E15B8B" w:rsidRPr="0027162C" w:rsidRDefault="00E15B8B" w:rsidP="00E15B8B">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 xml:space="preserve">3 </w:t>
            </w:r>
          </w:p>
        </w:tc>
        <w:tc>
          <w:tcPr>
            <w:tcW w:w="908" w:type="dxa"/>
            <w:shd w:val="clear" w:color="auto" w:fill="auto"/>
            <w:noWrap/>
            <w:vAlign w:val="center"/>
          </w:tcPr>
          <w:p w:rsidR="00E15B8B" w:rsidRDefault="00E15B8B" w:rsidP="00E15B8B">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 xml:space="preserve">3,16  </w:t>
            </w:r>
          </w:p>
        </w:tc>
        <w:tc>
          <w:tcPr>
            <w:tcW w:w="1641" w:type="dxa"/>
            <w:shd w:val="clear" w:color="auto" w:fill="auto"/>
            <w:noWrap/>
            <w:vAlign w:val="center"/>
          </w:tcPr>
          <w:p w:rsidR="00E15B8B" w:rsidRPr="0027162C" w:rsidRDefault="00E15B8B" w:rsidP="00E15B8B">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 xml:space="preserve">902.482  </w:t>
            </w:r>
          </w:p>
        </w:tc>
        <w:tc>
          <w:tcPr>
            <w:tcW w:w="903" w:type="dxa"/>
            <w:shd w:val="clear" w:color="auto" w:fill="auto"/>
            <w:noWrap/>
            <w:vAlign w:val="center"/>
          </w:tcPr>
          <w:p w:rsidR="00E15B8B" w:rsidRDefault="00E15B8B" w:rsidP="00E15B8B">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 xml:space="preserve">5,80  </w:t>
            </w:r>
          </w:p>
        </w:tc>
      </w:tr>
      <w:tr w:rsidR="00E15B8B" w:rsidRPr="00B720FE" w:rsidTr="00F2265B">
        <w:trPr>
          <w:trHeight w:val="397"/>
        </w:trPr>
        <w:tc>
          <w:tcPr>
            <w:tcW w:w="4563" w:type="dxa"/>
            <w:shd w:val="clear" w:color="auto" w:fill="auto"/>
            <w:noWrap/>
            <w:vAlign w:val="center"/>
          </w:tcPr>
          <w:p w:rsidR="00E15B8B" w:rsidRPr="00B720FE" w:rsidRDefault="00E15B8B" w:rsidP="00E15B8B">
            <w:pPr>
              <w:spacing w:after="0" w:line="240" w:lineRule="auto"/>
              <w:rPr>
                <w:rFonts w:ascii="Calibri" w:eastAsia="Times New Roman" w:hAnsi="Calibri"/>
                <w:color w:val="000000"/>
                <w:lang w:eastAsia="tr-TR"/>
              </w:rPr>
            </w:pPr>
            <w:r w:rsidRPr="0027162C">
              <w:rPr>
                <w:rFonts w:ascii="Calibri" w:eastAsia="Times New Roman" w:hAnsi="Calibri" w:cs="Calibri"/>
                <w:color w:val="000000"/>
                <w:lang w:eastAsia="tr-TR"/>
              </w:rPr>
              <w:t>Diğer</w:t>
            </w:r>
          </w:p>
        </w:tc>
        <w:tc>
          <w:tcPr>
            <w:tcW w:w="1827" w:type="dxa"/>
            <w:shd w:val="clear" w:color="auto" w:fill="auto"/>
            <w:noWrap/>
            <w:vAlign w:val="center"/>
          </w:tcPr>
          <w:p w:rsidR="00E15B8B" w:rsidRPr="00B720FE" w:rsidRDefault="00E15B8B" w:rsidP="00E15B8B">
            <w:pPr>
              <w:spacing w:after="0" w:line="240" w:lineRule="auto"/>
              <w:jc w:val="center"/>
              <w:rPr>
                <w:rFonts w:ascii="Calibri" w:eastAsia="Times New Roman" w:hAnsi="Calibri"/>
                <w:color w:val="000000"/>
                <w:lang w:eastAsia="tr-TR"/>
              </w:rPr>
            </w:pPr>
            <w:r>
              <w:rPr>
                <w:rFonts w:ascii="Calibri" w:eastAsia="Times New Roman" w:hAnsi="Calibri" w:cs="Calibri"/>
                <w:color w:val="000000"/>
                <w:lang w:eastAsia="tr-TR"/>
              </w:rPr>
              <w:t xml:space="preserve">16 </w:t>
            </w:r>
          </w:p>
        </w:tc>
        <w:tc>
          <w:tcPr>
            <w:tcW w:w="908" w:type="dxa"/>
            <w:shd w:val="clear" w:color="auto" w:fill="auto"/>
            <w:noWrap/>
            <w:vAlign w:val="center"/>
          </w:tcPr>
          <w:p w:rsidR="00E15B8B" w:rsidRPr="00B720FE" w:rsidRDefault="00E15B8B" w:rsidP="00E15B8B">
            <w:pPr>
              <w:spacing w:after="0" w:line="240" w:lineRule="auto"/>
              <w:jc w:val="center"/>
              <w:rPr>
                <w:rFonts w:ascii="Calibri" w:eastAsia="Times New Roman" w:hAnsi="Calibri"/>
                <w:color w:val="000000"/>
                <w:lang w:eastAsia="tr-TR"/>
              </w:rPr>
            </w:pPr>
            <w:r>
              <w:rPr>
                <w:rFonts w:ascii="Calibri" w:eastAsia="Times New Roman" w:hAnsi="Calibri" w:cs="Calibri"/>
                <w:color w:val="000000"/>
                <w:lang w:eastAsia="tr-TR"/>
              </w:rPr>
              <w:t xml:space="preserve">16,84  </w:t>
            </w:r>
          </w:p>
        </w:tc>
        <w:tc>
          <w:tcPr>
            <w:tcW w:w="1641" w:type="dxa"/>
            <w:shd w:val="clear" w:color="auto" w:fill="auto"/>
            <w:noWrap/>
            <w:vAlign w:val="center"/>
          </w:tcPr>
          <w:p w:rsidR="00E15B8B" w:rsidRPr="00B720FE" w:rsidRDefault="00E15B8B" w:rsidP="00E15B8B">
            <w:pPr>
              <w:spacing w:after="0" w:line="240" w:lineRule="auto"/>
              <w:jc w:val="right"/>
              <w:rPr>
                <w:rFonts w:ascii="Calibri" w:eastAsia="Times New Roman" w:hAnsi="Calibri"/>
                <w:color w:val="000000"/>
                <w:lang w:eastAsia="tr-TR"/>
              </w:rPr>
            </w:pPr>
            <w:r>
              <w:rPr>
                <w:rFonts w:ascii="Calibri" w:eastAsia="Times New Roman" w:hAnsi="Calibri" w:cs="Calibri"/>
                <w:color w:val="000000"/>
                <w:lang w:eastAsia="tr-TR"/>
              </w:rPr>
              <w:t xml:space="preserve">1.102.424  </w:t>
            </w:r>
          </w:p>
        </w:tc>
        <w:tc>
          <w:tcPr>
            <w:tcW w:w="903" w:type="dxa"/>
            <w:shd w:val="clear" w:color="auto" w:fill="auto"/>
            <w:noWrap/>
            <w:vAlign w:val="center"/>
          </w:tcPr>
          <w:p w:rsidR="00E15B8B" w:rsidRPr="00B720FE" w:rsidRDefault="00E15B8B" w:rsidP="00E15B8B">
            <w:pPr>
              <w:spacing w:after="0" w:line="240" w:lineRule="auto"/>
              <w:jc w:val="center"/>
              <w:rPr>
                <w:rFonts w:ascii="Calibri" w:eastAsia="Times New Roman" w:hAnsi="Calibri"/>
                <w:color w:val="000000"/>
                <w:lang w:eastAsia="tr-TR"/>
              </w:rPr>
            </w:pPr>
            <w:r>
              <w:rPr>
                <w:rFonts w:ascii="Calibri" w:eastAsia="Times New Roman" w:hAnsi="Calibri" w:cs="Calibri"/>
                <w:color w:val="000000"/>
                <w:lang w:eastAsia="tr-TR"/>
              </w:rPr>
              <w:t xml:space="preserve">7,09  </w:t>
            </w:r>
          </w:p>
        </w:tc>
      </w:tr>
      <w:tr w:rsidR="00E15B8B" w:rsidRPr="00B720FE" w:rsidTr="00F2265B">
        <w:trPr>
          <w:trHeight w:val="397"/>
        </w:trPr>
        <w:tc>
          <w:tcPr>
            <w:tcW w:w="4563" w:type="dxa"/>
            <w:shd w:val="clear" w:color="auto" w:fill="auto"/>
            <w:noWrap/>
            <w:vAlign w:val="center"/>
            <w:hideMark/>
          </w:tcPr>
          <w:p w:rsidR="00E15B8B" w:rsidRPr="00B720FE" w:rsidRDefault="00E15B8B" w:rsidP="00E15B8B">
            <w:pPr>
              <w:spacing w:after="0" w:line="240" w:lineRule="auto"/>
              <w:rPr>
                <w:rFonts w:ascii="Calibri" w:eastAsia="Times New Roman" w:hAnsi="Calibri"/>
                <w:color w:val="000000"/>
                <w:lang w:eastAsia="tr-TR"/>
              </w:rPr>
            </w:pPr>
            <w:r w:rsidRPr="0027162C">
              <w:rPr>
                <w:rFonts w:ascii="Calibri" w:eastAsia="Times New Roman" w:hAnsi="Calibri" w:cs="Calibri"/>
                <w:b/>
                <w:bCs/>
                <w:color w:val="000000"/>
                <w:lang w:eastAsia="tr-TR"/>
              </w:rPr>
              <w:t>Toplam</w:t>
            </w:r>
          </w:p>
        </w:tc>
        <w:tc>
          <w:tcPr>
            <w:tcW w:w="1827" w:type="dxa"/>
            <w:shd w:val="clear" w:color="auto" w:fill="auto"/>
            <w:noWrap/>
            <w:vAlign w:val="center"/>
            <w:hideMark/>
          </w:tcPr>
          <w:p w:rsidR="00E15B8B" w:rsidRPr="00B720FE" w:rsidRDefault="00E15B8B" w:rsidP="00E15B8B">
            <w:pPr>
              <w:spacing w:after="0" w:line="240" w:lineRule="auto"/>
              <w:jc w:val="center"/>
              <w:rPr>
                <w:rFonts w:ascii="Calibri" w:eastAsia="Times New Roman" w:hAnsi="Calibri"/>
                <w:color w:val="000000"/>
                <w:lang w:eastAsia="tr-TR"/>
              </w:rPr>
            </w:pPr>
            <w:r>
              <w:rPr>
                <w:rFonts w:ascii="Calibri" w:eastAsia="Times New Roman" w:hAnsi="Calibri" w:cs="Calibri"/>
                <w:b/>
                <w:bCs/>
                <w:color w:val="000000"/>
                <w:lang w:eastAsia="tr-TR"/>
              </w:rPr>
              <w:t xml:space="preserve">95 </w:t>
            </w:r>
          </w:p>
        </w:tc>
        <w:tc>
          <w:tcPr>
            <w:tcW w:w="908" w:type="dxa"/>
            <w:shd w:val="clear" w:color="auto" w:fill="auto"/>
            <w:noWrap/>
            <w:vAlign w:val="center"/>
            <w:hideMark/>
          </w:tcPr>
          <w:p w:rsidR="00E15B8B" w:rsidRPr="00B720FE" w:rsidRDefault="00E15B8B" w:rsidP="00E15B8B">
            <w:pPr>
              <w:spacing w:after="0" w:line="240" w:lineRule="auto"/>
              <w:jc w:val="center"/>
              <w:rPr>
                <w:rFonts w:ascii="Calibri" w:eastAsia="Times New Roman" w:hAnsi="Calibri"/>
                <w:color w:val="000000"/>
                <w:lang w:eastAsia="tr-TR"/>
              </w:rPr>
            </w:pPr>
            <w:r>
              <w:rPr>
                <w:rFonts w:ascii="Calibri" w:eastAsia="Times New Roman" w:hAnsi="Calibri" w:cs="Calibri"/>
                <w:b/>
                <w:bCs/>
                <w:color w:val="000000"/>
                <w:lang w:eastAsia="tr-TR"/>
              </w:rPr>
              <w:t>100</w:t>
            </w:r>
          </w:p>
        </w:tc>
        <w:tc>
          <w:tcPr>
            <w:tcW w:w="1641" w:type="dxa"/>
            <w:shd w:val="clear" w:color="auto" w:fill="auto"/>
            <w:noWrap/>
            <w:vAlign w:val="center"/>
            <w:hideMark/>
          </w:tcPr>
          <w:p w:rsidR="00E15B8B" w:rsidRPr="00B720FE" w:rsidRDefault="00E15B8B" w:rsidP="00E15B8B">
            <w:pPr>
              <w:spacing w:after="0" w:line="240" w:lineRule="auto"/>
              <w:jc w:val="right"/>
              <w:rPr>
                <w:rFonts w:ascii="Calibri" w:eastAsia="Times New Roman" w:hAnsi="Calibri"/>
                <w:color w:val="000000"/>
                <w:lang w:eastAsia="tr-TR"/>
              </w:rPr>
            </w:pPr>
            <w:r>
              <w:rPr>
                <w:rFonts w:ascii="Calibri" w:eastAsia="Times New Roman" w:hAnsi="Calibri" w:cs="Calibri"/>
                <w:b/>
                <w:bCs/>
                <w:color w:val="000000"/>
                <w:lang w:eastAsia="tr-TR"/>
              </w:rPr>
              <w:t xml:space="preserve">15.549.111  </w:t>
            </w:r>
          </w:p>
        </w:tc>
        <w:tc>
          <w:tcPr>
            <w:tcW w:w="903" w:type="dxa"/>
            <w:shd w:val="clear" w:color="auto" w:fill="auto"/>
            <w:noWrap/>
            <w:vAlign w:val="center"/>
            <w:hideMark/>
          </w:tcPr>
          <w:p w:rsidR="00E15B8B" w:rsidRPr="000469C3" w:rsidRDefault="00E15B8B" w:rsidP="00E15B8B">
            <w:pPr>
              <w:spacing w:after="0" w:line="240" w:lineRule="auto"/>
              <w:jc w:val="center"/>
              <w:rPr>
                <w:rFonts w:ascii="Calibri" w:eastAsia="Times New Roman" w:hAnsi="Calibri"/>
                <w:b/>
                <w:color w:val="000000"/>
                <w:lang w:eastAsia="tr-TR"/>
              </w:rPr>
            </w:pPr>
            <w:r w:rsidRPr="000469C3">
              <w:rPr>
                <w:rFonts w:ascii="Calibri" w:eastAsia="Times New Roman" w:hAnsi="Calibri" w:cs="Calibri"/>
                <w:b/>
                <w:color w:val="000000"/>
                <w:lang w:eastAsia="tr-TR"/>
              </w:rPr>
              <w:t>100</w:t>
            </w:r>
          </w:p>
        </w:tc>
      </w:tr>
    </w:tbl>
    <w:p w:rsidR="005747D2" w:rsidRDefault="00734202" w:rsidP="009D79C2">
      <w:pPr>
        <w:pStyle w:val="Balk1"/>
        <w:numPr>
          <w:ilvl w:val="0"/>
          <w:numId w:val="11"/>
        </w:numPr>
        <w:spacing w:before="0" w:after="240"/>
        <w:rPr>
          <w:rFonts w:asciiTheme="minorHAnsi" w:hAnsiTheme="minorHAnsi"/>
          <w:color w:val="auto"/>
          <w:sz w:val="22"/>
          <w:szCs w:val="22"/>
        </w:rPr>
      </w:pPr>
      <w:bookmarkStart w:id="378" w:name="_Toc132713846"/>
      <w:bookmarkEnd w:id="338"/>
      <w:r>
        <w:rPr>
          <w:rFonts w:asciiTheme="minorHAnsi" w:hAnsiTheme="minorHAnsi"/>
          <w:color w:val="auto"/>
          <w:sz w:val="22"/>
          <w:szCs w:val="22"/>
        </w:rPr>
        <w:lastRenderedPageBreak/>
        <w:t>TAŞINMAZ TEMİNİ İŞLERİ</w:t>
      </w:r>
      <w:bookmarkEnd w:id="378"/>
    </w:p>
    <w:p w:rsidR="00FC2252" w:rsidRPr="00FC2252" w:rsidRDefault="00FC2252" w:rsidP="00FC2252">
      <w:r w:rsidRPr="00FC2252">
        <w:t xml:space="preserve">6446 sayılı Elektrik Piyasası Kanununun 19 uncu maddesine göre elektrik üretim tesisleri için, 4646 sayılı Doğal Gaz Piyasası Kanununun 12 nci maddesine göre doğal gaz iletim, dağıtım ve depolama tesisleri için ve 5015 sayılı Petrol Piyasası Kanununun 11 inci maddesi kapsamındaki petrol rafinerileri, lisanslı depolama tesisleri, iletim hatları ve işleme tesislerinin kurulabilmesi için gerekli olan taşınmazların temin edilmesi işlemleri Kurum (Kamulaştırma Dairesi Başkanlığı) tarafından yürütülmektedir. </w:t>
      </w:r>
    </w:p>
    <w:p w:rsidR="00F364B5" w:rsidRDefault="00F364B5" w:rsidP="00F364B5">
      <w:r w:rsidRPr="00FC2252">
        <w:t xml:space="preserve">Bu çerçevede temel olarak yürütülen işlemler; özel mülkiyetteki taşınmazlar için </w:t>
      </w:r>
      <w:r w:rsidRPr="00FC2252">
        <w:rPr>
          <w:i/>
          <w:iCs/>
        </w:rPr>
        <w:t xml:space="preserve">“kamulaştırma”, </w:t>
      </w:r>
      <w:r w:rsidRPr="00FC2252">
        <w:t xml:space="preserve">Maliye Hazinesi (MH) mülkiyetindeki ya da Devletin hüküm ve tasarrufu altındaki (DHTA) taşınmazlar için </w:t>
      </w:r>
      <w:r w:rsidRPr="00FC2252">
        <w:rPr>
          <w:i/>
          <w:iCs/>
        </w:rPr>
        <w:t>“irtifak hakkı tesisi veya kiralama”</w:t>
      </w:r>
      <w:r w:rsidRPr="00FC2252">
        <w:t xml:space="preserve">, diğer kamu kurum ve kuruluşlarının mülkiyetindeki taşınmazlarda 2942 sayılı Kamulaştırma Kanununun 30 uncu maddesinin uygulanması yoluyla </w:t>
      </w:r>
      <w:r w:rsidRPr="00FC2252">
        <w:rPr>
          <w:i/>
          <w:iCs/>
        </w:rPr>
        <w:t xml:space="preserve">“devir” </w:t>
      </w:r>
      <w:r w:rsidRPr="00FC2252">
        <w:rPr>
          <w:iCs/>
        </w:rPr>
        <w:t>şeklinde sıralanmakta</w:t>
      </w:r>
      <w:r w:rsidRPr="00FC2252">
        <w:rPr>
          <w:i/>
          <w:iCs/>
        </w:rPr>
        <w:t xml:space="preserve"> </w:t>
      </w:r>
      <w:r w:rsidRPr="00FC2252">
        <w:rPr>
          <w:iCs/>
        </w:rPr>
        <w:t>olup</w:t>
      </w:r>
      <w:r w:rsidRPr="00FC2252">
        <w:t xml:space="preserve"> 202</w:t>
      </w:r>
      <w:r>
        <w:t>2</w:t>
      </w:r>
      <w:r w:rsidRPr="00FC2252">
        <w:t xml:space="preserve"> yılında yürütülen faaliyetlerin sektörel ve işlem bazında dağılımları aşağıda belirtilmektedir.</w:t>
      </w:r>
    </w:p>
    <w:p w:rsidR="00F364B5" w:rsidRDefault="00F364B5" w:rsidP="00F364B5">
      <w:pPr>
        <w:autoSpaceDE w:val="0"/>
        <w:autoSpaceDN w:val="0"/>
        <w:adjustRightInd w:val="0"/>
        <w:spacing w:after="0" w:line="240" w:lineRule="auto"/>
      </w:pPr>
      <w:r w:rsidRPr="00FC2252">
        <w:t>202</w:t>
      </w:r>
      <w:r>
        <w:t>2</w:t>
      </w:r>
      <w:r w:rsidRPr="00FC2252">
        <w:t xml:space="preserve"> yılı içerisinde, enerji tesislerinin kurulabilmesi için gerekli olan </w:t>
      </w:r>
      <w:r>
        <w:t>3844</w:t>
      </w:r>
      <w:r w:rsidRPr="00FC2252">
        <w:t xml:space="preserve"> adet taşınmazın teminine ilişkin olarak toplam </w:t>
      </w:r>
      <w:r>
        <w:t>442</w:t>
      </w:r>
      <w:r w:rsidRPr="00FC2252">
        <w:t xml:space="preserve"> adet Kurul Kararı alınmıştır. Alınan Kurul Kararlarının yapılan işlemler bazında dağılımı aşağıdaki gibidir:</w:t>
      </w:r>
    </w:p>
    <w:p w:rsidR="00F364B5" w:rsidRPr="003F67DB" w:rsidRDefault="00F364B5" w:rsidP="00F364B5">
      <w:pPr>
        <w:autoSpaceDE w:val="0"/>
        <w:autoSpaceDN w:val="0"/>
        <w:adjustRightInd w:val="0"/>
        <w:spacing w:after="0" w:line="240" w:lineRule="auto"/>
      </w:pPr>
    </w:p>
    <w:p w:rsidR="00F364B5" w:rsidRPr="003F67DB" w:rsidRDefault="00F364B5" w:rsidP="00F364B5">
      <w:pPr>
        <w:numPr>
          <w:ilvl w:val="0"/>
          <w:numId w:val="20"/>
        </w:numPr>
        <w:spacing w:after="160"/>
        <w:contextualSpacing/>
        <w:rPr>
          <w:rFonts w:cstheme="minorHAnsi"/>
          <w:color w:val="000000" w:themeColor="text1"/>
        </w:rPr>
      </w:pPr>
      <w:r w:rsidRPr="003F67DB">
        <w:rPr>
          <w:rFonts w:cstheme="minorHAnsi"/>
          <w:color w:val="000000" w:themeColor="text1"/>
        </w:rPr>
        <w:t xml:space="preserve">Özel mülkiyete ait taşınmazların kamulaştırılması amacıyla, toplam </w:t>
      </w:r>
      <w:r>
        <w:rPr>
          <w:rFonts w:cstheme="minorHAnsi"/>
          <w:color w:val="000000" w:themeColor="text1"/>
        </w:rPr>
        <w:t>1870</w:t>
      </w:r>
      <w:r w:rsidRPr="003F67DB">
        <w:rPr>
          <w:rFonts w:cstheme="minorHAnsi"/>
          <w:color w:val="000000" w:themeColor="text1"/>
        </w:rPr>
        <w:t xml:space="preserve"> adet taşınmaz için </w:t>
      </w:r>
      <w:r>
        <w:rPr>
          <w:rFonts w:cstheme="minorHAnsi"/>
          <w:color w:val="000000" w:themeColor="text1"/>
        </w:rPr>
        <w:t>102</w:t>
      </w:r>
      <w:r w:rsidRPr="003F67DB">
        <w:rPr>
          <w:rFonts w:cstheme="minorHAnsi"/>
          <w:color w:val="000000" w:themeColor="text1"/>
        </w:rPr>
        <w:t xml:space="preserve"> adet kamulaştırma kararı alınmıştır. Acele kamulaştırma uygulamasına ilişkin ise toplam </w:t>
      </w:r>
      <w:r>
        <w:rPr>
          <w:rFonts w:cstheme="minorHAnsi"/>
          <w:color w:val="000000" w:themeColor="text1"/>
        </w:rPr>
        <w:t>328</w:t>
      </w:r>
      <w:r w:rsidRPr="003F67DB">
        <w:rPr>
          <w:rFonts w:cstheme="minorHAnsi"/>
          <w:color w:val="000000" w:themeColor="text1"/>
        </w:rPr>
        <w:t xml:space="preserve"> adet taşınmaz için </w:t>
      </w:r>
      <w:r>
        <w:rPr>
          <w:rFonts w:cstheme="minorHAnsi"/>
          <w:color w:val="000000" w:themeColor="text1"/>
        </w:rPr>
        <w:t xml:space="preserve">34 </w:t>
      </w:r>
      <w:r w:rsidRPr="003F67DB">
        <w:rPr>
          <w:rFonts w:cstheme="minorHAnsi"/>
          <w:color w:val="000000" w:themeColor="text1"/>
        </w:rPr>
        <w:t>adet Kurul Kararı alınmıştır.</w:t>
      </w:r>
    </w:p>
    <w:p w:rsidR="00F364B5" w:rsidRPr="003F67DB" w:rsidRDefault="00F364B5" w:rsidP="00F364B5">
      <w:pPr>
        <w:spacing w:after="160"/>
        <w:ind w:left="720"/>
        <w:contextualSpacing/>
        <w:rPr>
          <w:rFonts w:cstheme="minorHAnsi"/>
          <w:color w:val="000000" w:themeColor="text1"/>
        </w:rPr>
      </w:pPr>
    </w:p>
    <w:p w:rsidR="00F364B5" w:rsidRPr="003F67DB" w:rsidRDefault="00F364B5" w:rsidP="00F364B5">
      <w:pPr>
        <w:numPr>
          <w:ilvl w:val="0"/>
          <w:numId w:val="20"/>
        </w:numPr>
        <w:spacing w:after="160"/>
        <w:contextualSpacing/>
        <w:rPr>
          <w:rFonts w:cstheme="minorHAnsi"/>
          <w:color w:val="000000" w:themeColor="text1"/>
        </w:rPr>
      </w:pPr>
      <w:r w:rsidRPr="003F67DB">
        <w:rPr>
          <w:rFonts w:cstheme="minorHAnsi"/>
          <w:color w:val="000000" w:themeColor="text1"/>
        </w:rPr>
        <w:t xml:space="preserve">Maliye Hazinesinin mülkiyetindeki veya Devletin hüküm ve tasarrufu altındaki </w:t>
      </w:r>
      <w:r>
        <w:rPr>
          <w:rFonts w:cstheme="minorHAnsi"/>
          <w:color w:val="000000" w:themeColor="text1"/>
        </w:rPr>
        <w:t>491</w:t>
      </w:r>
      <w:r w:rsidRPr="003F67DB">
        <w:rPr>
          <w:rFonts w:cstheme="minorHAnsi"/>
          <w:color w:val="000000" w:themeColor="text1"/>
        </w:rPr>
        <w:t xml:space="preserve"> adet taşınmazda irtifak hakkı tesis edilmesine ilişkin olarak </w:t>
      </w:r>
      <w:r>
        <w:rPr>
          <w:rFonts w:cstheme="minorHAnsi"/>
          <w:color w:val="000000" w:themeColor="text1"/>
        </w:rPr>
        <w:t>99</w:t>
      </w:r>
      <w:r w:rsidRPr="003F67DB">
        <w:rPr>
          <w:rFonts w:cstheme="minorHAnsi"/>
          <w:color w:val="000000" w:themeColor="text1"/>
        </w:rPr>
        <w:t xml:space="preserve"> adet Kurul Kararı alınmıştır.</w:t>
      </w:r>
    </w:p>
    <w:p w:rsidR="00F364B5" w:rsidRPr="003F67DB" w:rsidRDefault="00F364B5" w:rsidP="00F364B5">
      <w:pPr>
        <w:spacing w:after="160"/>
        <w:ind w:left="720"/>
        <w:contextualSpacing/>
        <w:rPr>
          <w:rFonts w:cstheme="minorHAnsi"/>
          <w:color w:val="000000" w:themeColor="text1"/>
        </w:rPr>
      </w:pPr>
    </w:p>
    <w:p w:rsidR="00F364B5" w:rsidRPr="003F67DB" w:rsidRDefault="00F364B5" w:rsidP="00F364B5">
      <w:pPr>
        <w:numPr>
          <w:ilvl w:val="0"/>
          <w:numId w:val="20"/>
        </w:numPr>
        <w:spacing w:after="160"/>
        <w:contextualSpacing/>
        <w:rPr>
          <w:rFonts w:cstheme="minorHAnsi"/>
          <w:color w:val="000000" w:themeColor="text1"/>
        </w:rPr>
      </w:pPr>
      <w:r w:rsidRPr="003F67DB">
        <w:rPr>
          <w:rFonts w:cstheme="minorHAnsi"/>
          <w:color w:val="000000" w:themeColor="text1"/>
        </w:rPr>
        <w:t xml:space="preserve">Maliye Hazinesinin mülkiyetindeki veya Devletin hüküm ve tasarrufu altındaki </w:t>
      </w:r>
      <w:r>
        <w:rPr>
          <w:rFonts w:cstheme="minorHAnsi"/>
          <w:color w:val="000000" w:themeColor="text1"/>
        </w:rPr>
        <w:t>121</w:t>
      </w:r>
      <w:r w:rsidRPr="003F67DB">
        <w:rPr>
          <w:rFonts w:cstheme="minorHAnsi"/>
          <w:color w:val="000000" w:themeColor="text1"/>
        </w:rPr>
        <w:t xml:space="preserve"> adet taşınmazda kiralama işlemi tesis edilmesine ilişkin olarak </w:t>
      </w:r>
      <w:r>
        <w:rPr>
          <w:rFonts w:cstheme="minorHAnsi"/>
          <w:color w:val="000000" w:themeColor="text1"/>
        </w:rPr>
        <w:t>32</w:t>
      </w:r>
      <w:r w:rsidRPr="003F67DB">
        <w:rPr>
          <w:rFonts w:cstheme="minorHAnsi"/>
          <w:color w:val="000000" w:themeColor="text1"/>
        </w:rPr>
        <w:t xml:space="preserve"> adet Kurul Kararı alınmıştır.</w:t>
      </w:r>
    </w:p>
    <w:p w:rsidR="00F364B5" w:rsidRPr="003F67DB" w:rsidRDefault="00F364B5" w:rsidP="00F364B5">
      <w:pPr>
        <w:spacing w:after="160"/>
        <w:ind w:left="720"/>
        <w:contextualSpacing/>
        <w:rPr>
          <w:rFonts w:cstheme="minorHAnsi"/>
          <w:color w:val="000000" w:themeColor="text1"/>
        </w:rPr>
      </w:pPr>
    </w:p>
    <w:p w:rsidR="00F364B5" w:rsidRPr="003F67DB" w:rsidRDefault="00F364B5" w:rsidP="00F364B5">
      <w:pPr>
        <w:numPr>
          <w:ilvl w:val="0"/>
          <w:numId w:val="20"/>
        </w:numPr>
        <w:spacing w:after="160"/>
        <w:contextualSpacing/>
        <w:rPr>
          <w:rFonts w:cstheme="minorHAnsi"/>
          <w:color w:val="000000" w:themeColor="text1"/>
        </w:rPr>
      </w:pPr>
      <w:r w:rsidRPr="003F67DB">
        <w:rPr>
          <w:rFonts w:cstheme="minorHAnsi"/>
          <w:color w:val="000000" w:themeColor="text1"/>
        </w:rPr>
        <w:t xml:space="preserve">Diğer kamu kurum ve kuruluşlarının mülkiyetindeki </w:t>
      </w:r>
      <w:r>
        <w:rPr>
          <w:rFonts w:cstheme="minorHAnsi"/>
          <w:color w:val="000000" w:themeColor="text1"/>
        </w:rPr>
        <w:t xml:space="preserve">409 </w:t>
      </w:r>
      <w:r w:rsidRPr="003F67DB">
        <w:rPr>
          <w:rFonts w:cstheme="minorHAnsi"/>
          <w:color w:val="000000" w:themeColor="text1"/>
        </w:rPr>
        <w:t xml:space="preserve">adet taşınmazda 2942 sayılı Kamulaştırma Kanununun 30 uncu maddesinin uygulanmasına yönelik </w:t>
      </w:r>
      <w:r>
        <w:rPr>
          <w:rFonts w:cstheme="minorHAnsi"/>
          <w:color w:val="000000" w:themeColor="text1"/>
        </w:rPr>
        <w:t>40</w:t>
      </w:r>
      <w:r w:rsidRPr="003F67DB">
        <w:rPr>
          <w:rFonts w:cstheme="minorHAnsi"/>
          <w:color w:val="000000" w:themeColor="text1"/>
        </w:rPr>
        <w:t xml:space="preserve"> adet Kurul Kararı alınmıştır.</w:t>
      </w:r>
    </w:p>
    <w:p w:rsidR="00F364B5" w:rsidRPr="003F67DB" w:rsidRDefault="00F364B5" w:rsidP="00F364B5">
      <w:pPr>
        <w:ind w:left="720"/>
        <w:contextualSpacing/>
        <w:rPr>
          <w:rFonts w:cstheme="minorHAnsi"/>
          <w:color w:val="000000" w:themeColor="text1"/>
        </w:rPr>
      </w:pPr>
    </w:p>
    <w:p w:rsidR="00F364B5" w:rsidRPr="003F67DB" w:rsidRDefault="00F364B5" w:rsidP="00F364B5">
      <w:pPr>
        <w:numPr>
          <w:ilvl w:val="0"/>
          <w:numId w:val="20"/>
        </w:numPr>
        <w:spacing w:after="160"/>
        <w:contextualSpacing/>
        <w:rPr>
          <w:rFonts w:cstheme="minorHAnsi"/>
          <w:color w:val="000000" w:themeColor="text1"/>
        </w:rPr>
      </w:pPr>
      <w:r w:rsidRPr="003F67DB">
        <w:rPr>
          <w:rFonts w:cstheme="minorHAnsi"/>
          <w:color w:val="000000" w:themeColor="text1"/>
        </w:rPr>
        <w:t xml:space="preserve">4646 sayılı Doğal Gaz Piyasası Kanununun 12 nci maddesi kapsamında, kamu yararı kararı yerine geçmek üzere toplam </w:t>
      </w:r>
      <w:r>
        <w:rPr>
          <w:rFonts w:cstheme="minorHAnsi"/>
          <w:color w:val="000000" w:themeColor="text1"/>
        </w:rPr>
        <w:t xml:space="preserve">61 </w:t>
      </w:r>
      <w:r w:rsidRPr="003F67DB">
        <w:rPr>
          <w:rFonts w:cstheme="minorHAnsi"/>
          <w:color w:val="000000" w:themeColor="text1"/>
        </w:rPr>
        <w:t xml:space="preserve">adet </w:t>
      </w:r>
      <w:r w:rsidRPr="00183D40">
        <w:rPr>
          <w:rFonts w:cstheme="minorHAnsi"/>
          <w:color w:val="000000" w:themeColor="text1"/>
        </w:rPr>
        <w:t xml:space="preserve">Kurul Kararı </w:t>
      </w:r>
      <w:r w:rsidRPr="003F67DB">
        <w:rPr>
          <w:rFonts w:cstheme="minorHAnsi"/>
          <w:color w:val="000000" w:themeColor="text1"/>
        </w:rPr>
        <w:t>alınmıştır.</w:t>
      </w:r>
    </w:p>
    <w:p w:rsidR="00F364B5" w:rsidRPr="003F67DB" w:rsidRDefault="00F364B5" w:rsidP="00F364B5">
      <w:pPr>
        <w:ind w:left="720"/>
        <w:contextualSpacing/>
        <w:rPr>
          <w:rFonts w:cstheme="minorHAnsi"/>
          <w:color w:val="000000" w:themeColor="text1"/>
        </w:rPr>
      </w:pPr>
    </w:p>
    <w:p w:rsidR="00F364B5" w:rsidRPr="003F67DB" w:rsidRDefault="00F364B5" w:rsidP="00F364B5">
      <w:pPr>
        <w:numPr>
          <w:ilvl w:val="0"/>
          <w:numId w:val="20"/>
        </w:numPr>
        <w:contextualSpacing/>
        <w:rPr>
          <w:rFonts w:cstheme="minorHAnsi"/>
          <w:color w:val="000000" w:themeColor="text1"/>
        </w:rPr>
      </w:pPr>
      <w:r w:rsidRPr="003F67DB">
        <w:rPr>
          <w:rFonts w:cstheme="minorHAnsi"/>
          <w:color w:val="000000" w:themeColor="text1"/>
        </w:rPr>
        <w:t xml:space="preserve">5346 sayılı Yenilenebilir Enerji Kaynaklarının Elektrik Enerjisi Üretimi Amaçlı Kullanılmasına İlişkin Kanun kapsamında yer alan hidroelektrik üretim tesislerinin rezervuar alanında bulunan Hazinenin özel mülkiyetinde ve/veya Devletin hüküm ve tasarrufu altında bulunan toplam </w:t>
      </w:r>
      <w:r>
        <w:rPr>
          <w:rFonts w:cstheme="minorHAnsi"/>
          <w:color w:val="000000" w:themeColor="text1"/>
        </w:rPr>
        <w:t>14</w:t>
      </w:r>
      <w:r w:rsidRPr="003F67DB">
        <w:rPr>
          <w:rFonts w:cstheme="minorHAnsi"/>
          <w:color w:val="000000" w:themeColor="text1"/>
        </w:rPr>
        <w:t xml:space="preserve"> adet taşınmazın bedelsiz kullanımına ilişkin olarak </w:t>
      </w:r>
      <w:r>
        <w:rPr>
          <w:rFonts w:cstheme="minorHAnsi"/>
          <w:color w:val="000000" w:themeColor="text1"/>
        </w:rPr>
        <w:t>9</w:t>
      </w:r>
      <w:r w:rsidRPr="003F67DB">
        <w:rPr>
          <w:rFonts w:cstheme="minorHAnsi"/>
          <w:color w:val="000000" w:themeColor="text1"/>
        </w:rPr>
        <w:t xml:space="preserve"> adet Kurul Kararı alınmıştır.</w:t>
      </w:r>
    </w:p>
    <w:p w:rsidR="00F364B5" w:rsidRPr="003F67DB" w:rsidRDefault="00F364B5" w:rsidP="00F364B5">
      <w:pPr>
        <w:ind w:left="720"/>
        <w:contextualSpacing/>
        <w:rPr>
          <w:rFonts w:cstheme="minorHAnsi"/>
          <w:color w:val="000000" w:themeColor="text1"/>
        </w:rPr>
      </w:pPr>
    </w:p>
    <w:p w:rsidR="00F364B5" w:rsidRDefault="00F364B5" w:rsidP="00F364B5">
      <w:pPr>
        <w:numPr>
          <w:ilvl w:val="0"/>
          <w:numId w:val="20"/>
        </w:numPr>
        <w:contextualSpacing/>
        <w:rPr>
          <w:rFonts w:cstheme="minorHAnsi"/>
          <w:color w:val="000000" w:themeColor="text1"/>
        </w:rPr>
      </w:pPr>
      <w:r w:rsidRPr="003F67DB">
        <w:rPr>
          <w:rFonts w:cstheme="minorHAnsi"/>
          <w:color w:val="000000" w:themeColor="text1"/>
        </w:rPr>
        <w:t xml:space="preserve">5403 sayılı Toprak Koruma ve Arazi Kullanımı Kanununun 14 üncü maddesi kapsamında büyük ovalarda bulunan tarım arazilerinin amacı dışında kullanım izni için toplam </w:t>
      </w:r>
      <w:r>
        <w:rPr>
          <w:rFonts w:cstheme="minorHAnsi"/>
          <w:color w:val="000000" w:themeColor="text1"/>
        </w:rPr>
        <w:t>70</w:t>
      </w:r>
      <w:r w:rsidRPr="003F67DB">
        <w:rPr>
          <w:rFonts w:cstheme="minorHAnsi"/>
          <w:color w:val="000000" w:themeColor="text1"/>
        </w:rPr>
        <w:t xml:space="preserve"> adet taşınmaza ilişkin </w:t>
      </w:r>
      <w:r>
        <w:rPr>
          <w:rFonts w:cstheme="minorHAnsi"/>
          <w:color w:val="000000" w:themeColor="text1"/>
        </w:rPr>
        <w:t>14</w:t>
      </w:r>
      <w:r w:rsidRPr="003F67DB">
        <w:rPr>
          <w:rFonts w:cstheme="minorHAnsi"/>
          <w:color w:val="000000" w:themeColor="text1"/>
        </w:rPr>
        <w:t xml:space="preserve"> adet Kurul Kararı alınmıştır.</w:t>
      </w:r>
    </w:p>
    <w:p w:rsidR="00F364B5" w:rsidRPr="003F67DB" w:rsidRDefault="00F364B5" w:rsidP="00F364B5">
      <w:pPr>
        <w:ind w:left="720"/>
        <w:contextualSpacing/>
        <w:rPr>
          <w:rFonts w:cstheme="minorHAnsi"/>
          <w:color w:val="000000" w:themeColor="text1"/>
        </w:rPr>
      </w:pPr>
    </w:p>
    <w:p w:rsidR="003F67DB" w:rsidRPr="003F67DB" w:rsidRDefault="00F364B5" w:rsidP="000A5A56">
      <w:pPr>
        <w:numPr>
          <w:ilvl w:val="0"/>
          <w:numId w:val="20"/>
        </w:numPr>
        <w:contextualSpacing/>
        <w:rPr>
          <w:rFonts w:cstheme="minorHAnsi"/>
          <w:color w:val="000000" w:themeColor="text1"/>
        </w:rPr>
      </w:pPr>
      <w:r>
        <w:rPr>
          <w:rFonts w:cstheme="minorHAnsi"/>
          <w:color w:val="000000" w:themeColor="text1"/>
        </w:rPr>
        <w:t>Ayrıca; mahkeme kararının uygulanması, vazgeçme, iptal veya tadil vb. konulara ilişkin olarak toplam 869 adet taşınmaz için 51 adet Kurul Kararı alınmıştır.</w:t>
      </w:r>
    </w:p>
    <w:p w:rsidR="00135CE5" w:rsidRDefault="00A3508B" w:rsidP="00135CE5">
      <w:pPr>
        <w:pStyle w:val="Balk5"/>
        <w:jc w:val="center"/>
        <w:rPr>
          <w:rStyle w:val="Gl"/>
          <w:bCs w:val="0"/>
          <w:color w:val="auto"/>
        </w:rPr>
      </w:pPr>
      <w:bookmarkStart w:id="379" w:name="_Toc132713942"/>
      <w:bookmarkStart w:id="380" w:name="_Toc442431312"/>
      <w:r>
        <w:rPr>
          <w:rStyle w:val="Gl"/>
          <w:bCs w:val="0"/>
          <w:color w:val="auto"/>
        </w:rPr>
        <w:lastRenderedPageBreak/>
        <w:t>Ş</w:t>
      </w:r>
      <w:r w:rsidRPr="000940FF">
        <w:rPr>
          <w:rStyle w:val="Gl"/>
          <w:bCs w:val="0"/>
          <w:color w:val="auto"/>
        </w:rPr>
        <w:t>ekil 7.1: 202</w:t>
      </w:r>
      <w:r w:rsidR="00A74317">
        <w:rPr>
          <w:rStyle w:val="Gl"/>
          <w:bCs w:val="0"/>
          <w:color w:val="auto"/>
        </w:rPr>
        <w:t>2</w:t>
      </w:r>
      <w:r w:rsidR="00135CE5" w:rsidRPr="000940FF">
        <w:rPr>
          <w:rStyle w:val="Gl"/>
          <w:bCs w:val="0"/>
          <w:color w:val="auto"/>
        </w:rPr>
        <w:t xml:space="preserve"> Yılında Taşınmaz Teminine İlişkin Alınan Kurul Kararlarının </w:t>
      </w:r>
      <w:r w:rsidR="003F67DB" w:rsidRPr="000940FF">
        <w:rPr>
          <w:rStyle w:val="Gl"/>
          <w:bCs w:val="0"/>
          <w:color w:val="auto"/>
        </w:rPr>
        <w:t xml:space="preserve">İşlem Bazında </w:t>
      </w:r>
      <w:r w:rsidR="00135CE5" w:rsidRPr="000940FF">
        <w:rPr>
          <w:rStyle w:val="Gl"/>
          <w:bCs w:val="0"/>
          <w:color w:val="auto"/>
        </w:rPr>
        <w:t>Dağılımı</w:t>
      </w:r>
      <w:bookmarkEnd w:id="379"/>
    </w:p>
    <w:p w:rsidR="003F67DB" w:rsidRPr="003F67DB" w:rsidRDefault="003F67DB" w:rsidP="003F67DB">
      <w:pPr>
        <w:autoSpaceDE w:val="0"/>
        <w:autoSpaceDN w:val="0"/>
        <w:adjustRightInd w:val="0"/>
        <w:spacing w:after="0" w:line="240" w:lineRule="auto"/>
        <w:ind w:left="567"/>
        <w:contextualSpacing/>
        <w:rPr>
          <w:rFonts w:ascii="Times New Roman" w:hAnsi="Times New Roman"/>
          <w:sz w:val="24"/>
          <w:szCs w:val="24"/>
        </w:rPr>
      </w:pPr>
    </w:p>
    <w:p w:rsidR="003F67DB" w:rsidRPr="003F67DB" w:rsidRDefault="00A74317" w:rsidP="00604359">
      <w:pPr>
        <w:autoSpaceDE w:val="0"/>
        <w:autoSpaceDN w:val="0"/>
        <w:adjustRightInd w:val="0"/>
        <w:spacing w:after="0" w:line="240" w:lineRule="auto"/>
        <w:ind w:left="567" w:hanging="709"/>
        <w:contextualSpacing/>
        <w:jc w:val="center"/>
        <w:rPr>
          <w:rFonts w:ascii="Times New Roman" w:hAnsi="Times New Roman"/>
          <w:sz w:val="24"/>
          <w:szCs w:val="24"/>
        </w:rPr>
      </w:pPr>
      <w:r>
        <w:rPr>
          <w:noProof/>
          <w:lang w:eastAsia="tr-TR"/>
        </w:rPr>
        <w:drawing>
          <wp:inline distT="0" distB="0" distL="0" distR="0" wp14:anchorId="5E3BB36C" wp14:editId="02247D99">
            <wp:extent cx="5448300" cy="2800350"/>
            <wp:effectExtent l="0" t="0" r="0" b="0"/>
            <wp:docPr id="16" name="Grafik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A3508B" w:rsidRDefault="00A3508B" w:rsidP="009F0619">
      <w:pPr>
        <w:jc w:val="center"/>
      </w:pPr>
    </w:p>
    <w:p w:rsidR="003F67DB" w:rsidRPr="003F67DB" w:rsidRDefault="003F67DB" w:rsidP="003F67DB">
      <w:pPr>
        <w:autoSpaceDE w:val="0"/>
        <w:autoSpaceDN w:val="0"/>
        <w:adjustRightInd w:val="0"/>
        <w:spacing w:after="0" w:line="240" w:lineRule="auto"/>
        <w:ind w:left="567"/>
        <w:contextualSpacing/>
        <w:rPr>
          <w:rFonts w:cstheme="minorHAnsi"/>
          <w:szCs w:val="24"/>
        </w:rPr>
      </w:pPr>
      <w:r w:rsidRPr="003F67DB">
        <w:rPr>
          <w:rFonts w:cstheme="minorHAnsi"/>
          <w:szCs w:val="24"/>
        </w:rPr>
        <w:t>Alınan Kurul Kararlarının sektörel bazda dağılımı ise aşağıdaki şekildedir:</w:t>
      </w:r>
    </w:p>
    <w:p w:rsidR="003F67DB" w:rsidRPr="003F67DB" w:rsidRDefault="003F67DB" w:rsidP="003F67DB">
      <w:pPr>
        <w:autoSpaceDE w:val="0"/>
        <w:autoSpaceDN w:val="0"/>
        <w:adjustRightInd w:val="0"/>
        <w:spacing w:after="0" w:line="240" w:lineRule="auto"/>
        <w:ind w:left="567"/>
        <w:contextualSpacing/>
        <w:rPr>
          <w:rFonts w:ascii="Times New Roman" w:hAnsi="Times New Roman"/>
          <w:sz w:val="24"/>
          <w:szCs w:val="24"/>
        </w:rPr>
      </w:pPr>
    </w:p>
    <w:p w:rsidR="003F67DB" w:rsidRPr="003F67DB" w:rsidRDefault="003F67DB" w:rsidP="000A5A56">
      <w:pPr>
        <w:numPr>
          <w:ilvl w:val="0"/>
          <w:numId w:val="20"/>
        </w:numPr>
        <w:spacing w:after="160"/>
        <w:contextualSpacing/>
        <w:rPr>
          <w:rFonts w:cstheme="minorHAnsi"/>
          <w:color w:val="000000" w:themeColor="text1"/>
        </w:rPr>
      </w:pPr>
      <w:r w:rsidRPr="003F67DB">
        <w:rPr>
          <w:rFonts w:cstheme="minorHAnsi"/>
          <w:color w:val="000000" w:themeColor="text1"/>
        </w:rPr>
        <w:t>6446 sayılı Elektrik Piyasası Kanununun 19 uncu maddesi gereğince, elektrik üretim tesislerine ilişki</w:t>
      </w:r>
      <w:r w:rsidR="006473AD">
        <w:rPr>
          <w:rFonts w:cstheme="minorHAnsi"/>
          <w:color w:val="000000" w:themeColor="text1"/>
        </w:rPr>
        <w:t xml:space="preserve">n toplam </w:t>
      </w:r>
      <w:r w:rsidR="00A74317">
        <w:rPr>
          <w:rFonts w:cstheme="minorHAnsi"/>
          <w:color w:val="000000" w:themeColor="text1"/>
        </w:rPr>
        <w:t xml:space="preserve">284 </w:t>
      </w:r>
      <w:r w:rsidR="006473AD">
        <w:rPr>
          <w:rFonts w:cstheme="minorHAnsi"/>
          <w:color w:val="000000" w:themeColor="text1"/>
        </w:rPr>
        <w:t>adet Kurul Kararı alınmıştır.</w:t>
      </w:r>
    </w:p>
    <w:p w:rsidR="003F67DB" w:rsidRPr="003F67DB" w:rsidRDefault="003F67DB" w:rsidP="003F67DB">
      <w:pPr>
        <w:spacing w:after="160"/>
        <w:ind w:left="720"/>
        <w:contextualSpacing/>
        <w:rPr>
          <w:rFonts w:cstheme="minorHAnsi"/>
          <w:color w:val="000000" w:themeColor="text1"/>
        </w:rPr>
      </w:pPr>
    </w:p>
    <w:p w:rsidR="003F67DB" w:rsidRPr="003F67DB" w:rsidRDefault="003F67DB" w:rsidP="000A5A56">
      <w:pPr>
        <w:numPr>
          <w:ilvl w:val="0"/>
          <w:numId w:val="20"/>
        </w:numPr>
        <w:contextualSpacing/>
        <w:rPr>
          <w:rFonts w:cstheme="minorHAnsi"/>
          <w:color w:val="000000" w:themeColor="text1"/>
        </w:rPr>
      </w:pPr>
      <w:r w:rsidRPr="003F67DB">
        <w:rPr>
          <w:rFonts w:cstheme="minorHAnsi"/>
          <w:color w:val="000000" w:themeColor="text1"/>
        </w:rPr>
        <w:t xml:space="preserve">4646 sayılı Doğal Gaz Piyasası Kanununun 12 nci maddesi gereğince, doğal gaz dağıtım, iletim ve depolama tesislerine ilişkin toplam </w:t>
      </w:r>
      <w:r w:rsidR="00A74317">
        <w:rPr>
          <w:rFonts w:cstheme="minorHAnsi"/>
          <w:color w:val="000000" w:themeColor="text1"/>
        </w:rPr>
        <w:t>140</w:t>
      </w:r>
      <w:r w:rsidR="00A74317" w:rsidRPr="003F67DB">
        <w:rPr>
          <w:rFonts w:cstheme="minorHAnsi"/>
          <w:color w:val="000000" w:themeColor="text1"/>
        </w:rPr>
        <w:t xml:space="preserve"> </w:t>
      </w:r>
      <w:r w:rsidRPr="003F67DB">
        <w:rPr>
          <w:rFonts w:cstheme="minorHAnsi"/>
          <w:color w:val="000000" w:themeColor="text1"/>
        </w:rPr>
        <w:t>adet Kurul Kararı alınmıştır.</w:t>
      </w:r>
    </w:p>
    <w:p w:rsidR="003F67DB" w:rsidRPr="003F67DB" w:rsidRDefault="003F67DB" w:rsidP="003F67DB">
      <w:pPr>
        <w:spacing w:after="160"/>
        <w:ind w:left="720"/>
        <w:contextualSpacing/>
        <w:rPr>
          <w:rFonts w:cstheme="minorHAnsi"/>
          <w:color w:val="000000" w:themeColor="text1"/>
        </w:rPr>
      </w:pPr>
      <w:r w:rsidRPr="003F67DB">
        <w:rPr>
          <w:rFonts w:cstheme="minorHAnsi"/>
          <w:color w:val="000000" w:themeColor="text1"/>
        </w:rPr>
        <w:t xml:space="preserve"> </w:t>
      </w:r>
    </w:p>
    <w:p w:rsidR="003F67DB" w:rsidRDefault="003F67DB" w:rsidP="000A5A56">
      <w:pPr>
        <w:numPr>
          <w:ilvl w:val="0"/>
          <w:numId w:val="20"/>
        </w:numPr>
        <w:spacing w:after="160"/>
        <w:contextualSpacing/>
        <w:rPr>
          <w:rFonts w:cstheme="minorHAnsi"/>
          <w:color w:val="000000" w:themeColor="text1"/>
        </w:rPr>
      </w:pPr>
      <w:r w:rsidRPr="003F67DB">
        <w:rPr>
          <w:rFonts w:cstheme="minorHAnsi"/>
          <w:color w:val="000000" w:themeColor="text1"/>
        </w:rPr>
        <w:t xml:space="preserve">5015 sayılı Petrol Piyasası Kanununun 11 inci maddesi gereğince, petrol tesislerine ilişkin toplam </w:t>
      </w:r>
      <w:r w:rsidR="00A74317">
        <w:rPr>
          <w:rFonts w:cstheme="minorHAnsi"/>
          <w:color w:val="000000" w:themeColor="text1"/>
        </w:rPr>
        <w:t>2</w:t>
      </w:r>
      <w:r w:rsidR="00A74317" w:rsidRPr="003F67DB">
        <w:rPr>
          <w:rFonts w:cstheme="minorHAnsi"/>
          <w:color w:val="000000" w:themeColor="text1"/>
        </w:rPr>
        <w:t xml:space="preserve"> </w:t>
      </w:r>
      <w:r w:rsidRPr="003F67DB">
        <w:rPr>
          <w:rFonts w:cstheme="minorHAnsi"/>
          <w:color w:val="000000" w:themeColor="text1"/>
        </w:rPr>
        <w:t>adet Kurul Kararı alınmıştır.</w:t>
      </w:r>
    </w:p>
    <w:p w:rsidR="000940FF" w:rsidRPr="00551243" w:rsidRDefault="000940FF" w:rsidP="00551243">
      <w:pPr>
        <w:autoSpaceDE w:val="0"/>
        <w:autoSpaceDN w:val="0"/>
        <w:adjustRightInd w:val="0"/>
        <w:spacing w:after="0" w:line="240" w:lineRule="auto"/>
        <w:rPr>
          <w:rFonts w:ascii="Times New Roman" w:hAnsi="Times New Roman"/>
          <w:sz w:val="24"/>
          <w:szCs w:val="24"/>
        </w:rPr>
      </w:pPr>
    </w:p>
    <w:p w:rsidR="000940FF" w:rsidRDefault="000940FF" w:rsidP="00135CE5">
      <w:pPr>
        <w:pStyle w:val="ListeParagraf"/>
        <w:autoSpaceDE w:val="0"/>
        <w:autoSpaceDN w:val="0"/>
        <w:adjustRightInd w:val="0"/>
        <w:spacing w:after="0" w:line="240" w:lineRule="auto"/>
        <w:ind w:left="567"/>
        <w:rPr>
          <w:rFonts w:ascii="Times New Roman" w:hAnsi="Times New Roman"/>
          <w:sz w:val="24"/>
          <w:szCs w:val="24"/>
        </w:rPr>
      </w:pPr>
    </w:p>
    <w:p w:rsidR="000940FF" w:rsidRDefault="000940FF" w:rsidP="00135CE5">
      <w:pPr>
        <w:pStyle w:val="ListeParagraf"/>
        <w:autoSpaceDE w:val="0"/>
        <w:autoSpaceDN w:val="0"/>
        <w:adjustRightInd w:val="0"/>
        <w:spacing w:after="0" w:line="240" w:lineRule="auto"/>
        <w:ind w:left="567"/>
        <w:rPr>
          <w:rFonts w:ascii="Times New Roman" w:hAnsi="Times New Roman"/>
          <w:sz w:val="24"/>
          <w:szCs w:val="24"/>
        </w:rPr>
      </w:pPr>
    </w:p>
    <w:p w:rsidR="000940FF" w:rsidRDefault="000940FF" w:rsidP="00135CE5">
      <w:pPr>
        <w:pStyle w:val="ListeParagraf"/>
        <w:autoSpaceDE w:val="0"/>
        <w:autoSpaceDN w:val="0"/>
        <w:adjustRightInd w:val="0"/>
        <w:spacing w:after="0" w:line="240" w:lineRule="auto"/>
        <w:ind w:left="567"/>
        <w:rPr>
          <w:rFonts w:ascii="Times New Roman" w:hAnsi="Times New Roman"/>
          <w:sz w:val="24"/>
          <w:szCs w:val="24"/>
        </w:rPr>
      </w:pPr>
    </w:p>
    <w:p w:rsidR="000940FF" w:rsidRDefault="000940FF" w:rsidP="00135CE5">
      <w:pPr>
        <w:pStyle w:val="ListeParagraf"/>
        <w:autoSpaceDE w:val="0"/>
        <w:autoSpaceDN w:val="0"/>
        <w:adjustRightInd w:val="0"/>
        <w:spacing w:after="0" w:line="240" w:lineRule="auto"/>
        <w:ind w:left="567"/>
        <w:rPr>
          <w:rFonts w:ascii="Times New Roman" w:hAnsi="Times New Roman"/>
          <w:sz w:val="24"/>
          <w:szCs w:val="24"/>
        </w:rPr>
      </w:pPr>
    </w:p>
    <w:p w:rsidR="000940FF" w:rsidRDefault="000940FF" w:rsidP="00135CE5">
      <w:pPr>
        <w:pStyle w:val="ListeParagraf"/>
        <w:autoSpaceDE w:val="0"/>
        <w:autoSpaceDN w:val="0"/>
        <w:adjustRightInd w:val="0"/>
        <w:spacing w:after="0" w:line="240" w:lineRule="auto"/>
        <w:ind w:left="567"/>
        <w:rPr>
          <w:rFonts w:ascii="Times New Roman" w:hAnsi="Times New Roman"/>
          <w:sz w:val="24"/>
          <w:szCs w:val="24"/>
        </w:rPr>
      </w:pPr>
    </w:p>
    <w:p w:rsidR="000940FF" w:rsidRDefault="000940FF" w:rsidP="00135CE5">
      <w:pPr>
        <w:pStyle w:val="ListeParagraf"/>
        <w:autoSpaceDE w:val="0"/>
        <w:autoSpaceDN w:val="0"/>
        <w:adjustRightInd w:val="0"/>
        <w:spacing w:after="0" w:line="240" w:lineRule="auto"/>
        <w:ind w:left="567"/>
        <w:rPr>
          <w:rFonts w:ascii="Times New Roman" w:hAnsi="Times New Roman"/>
          <w:sz w:val="24"/>
          <w:szCs w:val="24"/>
        </w:rPr>
      </w:pPr>
    </w:p>
    <w:p w:rsidR="000940FF" w:rsidRDefault="000940FF" w:rsidP="00135CE5">
      <w:pPr>
        <w:pStyle w:val="ListeParagraf"/>
        <w:autoSpaceDE w:val="0"/>
        <w:autoSpaceDN w:val="0"/>
        <w:adjustRightInd w:val="0"/>
        <w:spacing w:after="0" w:line="240" w:lineRule="auto"/>
        <w:ind w:left="567"/>
        <w:rPr>
          <w:rFonts w:ascii="Times New Roman" w:hAnsi="Times New Roman"/>
          <w:sz w:val="24"/>
          <w:szCs w:val="24"/>
        </w:rPr>
      </w:pPr>
    </w:p>
    <w:p w:rsidR="000940FF" w:rsidRDefault="000940FF" w:rsidP="00135CE5">
      <w:pPr>
        <w:pStyle w:val="ListeParagraf"/>
        <w:autoSpaceDE w:val="0"/>
        <w:autoSpaceDN w:val="0"/>
        <w:adjustRightInd w:val="0"/>
        <w:spacing w:after="0" w:line="240" w:lineRule="auto"/>
        <w:ind w:left="567"/>
        <w:rPr>
          <w:rFonts w:ascii="Times New Roman" w:hAnsi="Times New Roman"/>
          <w:sz w:val="24"/>
          <w:szCs w:val="24"/>
        </w:rPr>
      </w:pPr>
    </w:p>
    <w:p w:rsidR="000940FF" w:rsidRPr="0007174E" w:rsidRDefault="009F0619" w:rsidP="0007174E">
      <w:pPr>
        <w:pStyle w:val="Balk5"/>
        <w:spacing w:after="240"/>
        <w:jc w:val="center"/>
        <w:rPr>
          <w:rFonts w:asciiTheme="minorHAnsi" w:hAnsiTheme="minorHAnsi"/>
          <w:b/>
          <w:bCs/>
          <w:color w:val="auto"/>
          <w:highlight w:val="yellow"/>
        </w:rPr>
      </w:pPr>
      <w:bookmarkStart w:id="381" w:name="_Toc132713943"/>
      <w:r>
        <w:rPr>
          <w:rStyle w:val="Gl"/>
          <w:color w:val="auto"/>
        </w:rPr>
        <w:lastRenderedPageBreak/>
        <w:t>Şekil 7.2</w:t>
      </w:r>
      <w:r w:rsidRPr="000940FF">
        <w:rPr>
          <w:rStyle w:val="Gl"/>
          <w:color w:val="auto"/>
        </w:rPr>
        <w:t>: 202</w:t>
      </w:r>
      <w:r w:rsidR="00A74317">
        <w:rPr>
          <w:rStyle w:val="Gl"/>
          <w:color w:val="auto"/>
        </w:rPr>
        <w:t>2</w:t>
      </w:r>
      <w:r w:rsidR="00135CE5" w:rsidRPr="000940FF">
        <w:rPr>
          <w:rStyle w:val="Gl"/>
          <w:color w:val="auto"/>
        </w:rPr>
        <w:t xml:space="preserve"> Yılında Taşınmaz Teminine İlişkin Alınan Kurul Kararlarının </w:t>
      </w:r>
      <w:r w:rsidR="000940FF" w:rsidRPr="000940FF">
        <w:rPr>
          <w:rStyle w:val="Gl"/>
          <w:color w:val="auto"/>
        </w:rPr>
        <w:t xml:space="preserve">Sektörel </w:t>
      </w:r>
      <w:r w:rsidR="00135CE5" w:rsidRPr="000940FF">
        <w:rPr>
          <w:rStyle w:val="Gl"/>
          <w:color w:val="auto"/>
        </w:rPr>
        <w:t>Dağılımı</w:t>
      </w:r>
      <w:bookmarkEnd w:id="381"/>
    </w:p>
    <w:p w:rsidR="00EA266D" w:rsidRDefault="00A74317" w:rsidP="000940FF">
      <w:pPr>
        <w:jc w:val="center"/>
      </w:pPr>
      <w:r>
        <w:rPr>
          <w:noProof/>
          <w:lang w:eastAsia="tr-TR"/>
        </w:rPr>
        <w:drawing>
          <wp:inline distT="0" distB="0" distL="0" distR="0" wp14:anchorId="0F0E340F" wp14:editId="2EEFD01C">
            <wp:extent cx="5381625" cy="2800350"/>
            <wp:effectExtent l="0" t="0" r="9525" b="0"/>
            <wp:docPr id="18" name="Grafik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0940FF" w:rsidRPr="000940FF" w:rsidRDefault="000940FF" w:rsidP="000940FF">
      <w:r w:rsidRPr="000940FF">
        <w:t>Ayrıca mevzuat çalışmaları kapsamında; elektrik, doğal gaz ve petrol piyasalarında Kurum tarafından yürütülecek taşınmaz temini uygulamalarına ilişkin usul ve esaslar ile önlisans veya lisans sahiplerinin taşınmaz temininden kaynaklı hak ve yükümlülüklerinin belirlenmesi amacıyla hazırlanan “</w:t>
      </w:r>
      <w:r w:rsidRPr="000940FF">
        <w:rPr>
          <w:i/>
        </w:rPr>
        <w:t>Enerji Piyasası Düzenleme Kurumu Tarafından Yürütülen Taşınmaz Temini İşlemleri Hakkında Yönetmelik</w:t>
      </w:r>
      <w:r w:rsidRPr="000940FF">
        <w:t xml:space="preserve">” 02.11.2021 tarihli ve 31679 sayılı Resmî </w:t>
      </w:r>
      <w:r w:rsidR="00274939">
        <w:t>Gazetede</w:t>
      </w:r>
      <w:r w:rsidRPr="000940FF">
        <w:t xml:space="preserve"> yayımlanarak yürürlüğe girmiştir. İlaveten, 15.11.2021 tarihli ve 31660 sayılı Resmî </w:t>
      </w:r>
      <w:r w:rsidR="00274939">
        <w:t>Gazetede</w:t>
      </w:r>
      <w:r w:rsidRPr="000940FF">
        <w:t xml:space="preserve"> yayımlanan 11.11.2021 tarihli ve 10554-2 sayılı Kurul Kararı ile “</w:t>
      </w:r>
      <w:r w:rsidRPr="000940FF">
        <w:rPr>
          <w:i/>
        </w:rPr>
        <w:t>Taşınmaz Temini İşlemlerine İlişkin Başvurular Hakkında Usul ve Esaslar</w:t>
      </w:r>
      <w:r w:rsidRPr="000940FF">
        <w:t xml:space="preserve">” kabul edilmiştir. 02.02.2018 tarihli ve 30320 sayılı Resmî </w:t>
      </w:r>
      <w:r w:rsidR="00274939">
        <w:t>Gazetede</w:t>
      </w:r>
      <w:r w:rsidRPr="000940FF">
        <w:t xml:space="preserve"> yayımlanan “Enerji Piyasası Düzenleme Kurumu Tarafından Yürütülen Taşınmaz Temini İşlemlerine İlişkin Usul ve Esaslar” ise 11.11.2021 tarihli ve 10554-2 sayılı Kurul Kararı ile yürürlükten kaldırılmıştır.</w:t>
      </w:r>
    </w:p>
    <w:p w:rsidR="000940FF" w:rsidRPr="000940FF" w:rsidRDefault="000940FF" w:rsidP="000940FF">
      <w:r w:rsidRPr="000940FF">
        <w:t xml:space="preserve">Diğer yandan; taşınmaz teminine ilişkin başvuruların elektronik ortamda alınması uygulamasının geliştirilmesine yönelik olarak Kamulaştırma Dairesi Başkanlığı ile Bilgi İşlem Dairesi Başkanlığı koordinesinde çalışmalara devam edilmiştir. </w:t>
      </w:r>
    </w:p>
    <w:p w:rsidR="000940FF" w:rsidRPr="000940FF" w:rsidRDefault="000940FF" w:rsidP="000940FF">
      <w:r w:rsidRPr="000940FF">
        <w:t>“Elektrik Piyasasında Önlisans veya Lisanslara Konu Üretim Tesislerinin Santral Sahalarının Belirlenmesine İlişkin Usul ve Esaslar” uyarınca, santral sahalarının tespitine yönelik olarak Kuruma sunulan koordinat verilerinin uygunluğunun değerlendirilebilmesini teminen veri raporlama, vektör veriye dönüştürme, haritaya aktarma ve harita görseli oluşturma çalışmalarına devam edilmiştir.</w:t>
      </w:r>
    </w:p>
    <w:p w:rsidR="00A74317" w:rsidRPr="000940FF" w:rsidRDefault="00A74317" w:rsidP="00A74317">
      <w:r>
        <w:t>Bunun yanı sıra, mevzuata yeni giren depolamalı elektrik üretim tesislerine ilişkin olarak Elektrik Piyasası Dairesi Başkanlığının santral sahası haritası, saha çakışması vb. hususlardaki görüş taleplerini karşılayabilmek amacıyla, yeni üretim tesisi önlisans başvuruları ile müstakil depolama tesisleri ve bunlara bağlı üretim tesisi önlisans başvuruları kapsamında sunulan ilgili koordinat verileri kullanılarak ihtiyaç duyulacak harita çalışmalarının yapılabilmesine yönelik gerekli teknik çalışmalar gerçekleştirilmiş, ayrıca ilgili bilişim sistemlerinde ihtiyaç duyulan geliştirmelerin yapılması temin edilmiş olup Elektrik Piyasası Dairesi Başkanlığının bu kapsamdaki görüş talepleri karşılanmaya başlanmıştır.</w:t>
      </w:r>
    </w:p>
    <w:p w:rsidR="00A74317" w:rsidRDefault="00A74317" w:rsidP="00A74317">
      <w:pPr>
        <w:rPr>
          <w:rFonts w:eastAsiaTheme="minorHAnsi"/>
        </w:rPr>
      </w:pPr>
      <w:r>
        <w:t>Coğrafi Bilgi Sistemleri altyapısının geliştirilmesine yönelik teknik şartname hazırlama çalışmaları tamamlanarak “EPDK Entegre Coğrafi Bilgi Sistemi (ECBS) Geliştirilmesi ve Kurulması Projesi” başlatılmış olup proje kapsamında analiz ve tasarım çalışmaları tamamlanmış, geliştirme ve kurulum çalışmaları halen devam etmektedir.</w:t>
      </w:r>
    </w:p>
    <w:p w:rsidR="00A74317" w:rsidRDefault="00A74317" w:rsidP="00A74317">
      <w:pPr>
        <w:rPr>
          <w:rFonts w:eastAsiaTheme="minorHAnsi"/>
        </w:rPr>
      </w:pPr>
      <w:r>
        <w:lastRenderedPageBreak/>
        <w:t>Elektrik dağıtım şirketleri ile doğal gaz dağıtım şirketlerine ait şebeke verilerine Kurum tarafından erişim sağlanması ve erişim sağlanmış olan servislerin canlı tutulmasına yönelik çalışmalar sürdürülmüştür. Bununla birlikte, elektrik ve doğal gaz dağıtım şebekelerine ait coğrafi veri katmanlarına ilişkin olarak veri paylaşım esasları belirlenmiş ve uygulamada dikkate alınmak üzere ilgili taraflara bildirilmiştir. Veri paylaşım esaslarının belirlenmesi sonrasında, bazı dağıtım şirketlerine ait dağıtım şebekesi coğrafi veri katmanları test amaçlı olarak Türkiye Ulusal Coğrafi Bilgi Sistemi (TUCBS) Platformuna sunulmuştur.</w:t>
      </w:r>
    </w:p>
    <w:p w:rsidR="00A74317" w:rsidRPr="00E6446B" w:rsidRDefault="00A74317" w:rsidP="00A74317">
      <w:pPr>
        <w:rPr>
          <w:rFonts w:eastAsiaTheme="minorHAnsi"/>
        </w:rPr>
      </w:pPr>
      <w:r>
        <w:t>Kurum tarafından verilen önlisans/lisanslara ait koordinat verilerinin sayısal vektör veri haline getirilmesi suretiyle oluşturulan ve coğrafi web servisleriyle TUCBS platformuna sunulan coğrafi veri katmanlarındaki verilerin güncellenmesi sağlanmıştır. Ayrıca, bu katmanlara ait metaveri hazırlama çalışması başlatılarak tamamlanmış ve oluşturulan metaveri setlerinin TUCBS kapsamındaki metaveri portalına kaydına başlanmıştır.</w:t>
      </w:r>
    </w:p>
    <w:p w:rsidR="00A74317" w:rsidRDefault="00A74317" w:rsidP="00A74317">
      <w:r>
        <w:t>Çevre, Şehircilik ve İklim Değişikliği Bakanlığı Coğrafi Bilgi Sistemleri Genel Müdürlüğü tarafından yürütülen TUCBS Altyapısının Kurulumu Projesi (5. FAZ) kapsamında Altyapı Temasına ait standart dokümanın Elektrik Alt Teması ve Petrol/Gaz/Kimyasal Alt Temasına ilişkin bölümlerinin genişletilmesine yönelik çalışmalarda Kurum birimleri ve dağıtım şirketleriyle gerekli koordinasyon sağlanmış, çalışma heyetlerinin oluşturulması koordine edilmiş ve yaklaşık üç ay süren heyet çalışmalarına katılım sağlanarak tema standart dokümanının güncellenmesine katkı verilmiştir.</w:t>
      </w:r>
    </w:p>
    <w:p w:rsidR="00313A98" w:rsidRDefault="00313A98" w:rsidP="000940FF"/>
    <w:p w:rsidR="00EE246C" w:rsidRDefault="00EE246C">
      <w:pPr>
        <w:jc w:val="left"/>
        <w:rPr>
          <w:rFonts w:eastAsiaTheme="majorEastAsia" w:cstheme="majorBidi"/>
          <w:b/>
          <w:bCs/>
        </w:rPr>
      </w:pPr>
    </w:p>
    <w:p w:rsidR="0078671F" w:rsidRDefault="0078671F">
      <w:pPr>
        <w:jc w:val="left"/>
        <w:rPr>
          <w:rFonts w:eastAsiaTheme="majorEastAsia" w:cstheme="majorBidi"/>
          <w:b/>
          <w:bCs/>
        </w:rPr>
      </w:pPr>
    </w:p>
    <w:p w:rsidR="0078671F" w:rsidRDefault="0078671F">
      <w:pPr>
        <w:jc w:val="left"/>
        <w:rPr>
          <w:rFonts w:eastAsiaTheme="majorEastAsia" w:cstheme="majorBidi"/>
          <w:b/>
          <w:bCs/>
        </w:rPr>
      </w:pPr>
    </w:p>
    <w:p w:rsidR="0078671F" w:rsidRDefault="0078671F">
      <w:pPr>
        <w:jc w:val="left"/>
        <w:rPr>
          <w:rFonts w:eastAsiaTheme="majorEastAsia" w:cstheme="majorBidi"/>
          <w:b/>
          <w:bCs/>
        </w:rPr>
      </w:pPr>
    </w:p>
    <w:p w:rsidR="0078671F" w:rsidRDefault="0078671F">
      <w:pPr>
        <w:jc w:val="left"/>
        <w:rPr>
          <w:rFonts w:eastAsiaTheme="majorEastAsia" w:cstheme="majorBidi"/>
          <w:b/>
          <w:bCs/>
        </w:rPr>
      </w:pPr>
    </w:p>
    <w:p w:rsidR="0078671F" w:rsidRDefault="0078671F">
      <w:pPr>
        <w:jc w:val="left"/>
        <w:rPr>
          <w:rFonts w:eastAsiaTheme="majorEastAsia" w:cstheme="majorBidi"/>
          <w:b/>
          <w:bCs/>
        </w:rPr>
      </w:pPr>
    </w:p>
    <w:p w:rsidR="0078671F" w:rsidRDefault="0078671F">
      <w:pPr>
        <w:jc w:val="left"/>
        <w:rPr>
          <w:rFonts w:eastAsiaTheme="majorEastAsia" w:cstheme="majorBidi"/>
          <w:b/>
          <w:bCs/>
        </w:rPr>
      </w:pPr>
    </w:p>
    <w:p w:rsidR="0078671F" w:rsidRDefault="0078671F">
      <w:pPr>
        <w:jc w:val="left"/>
        <w:rPr>
          <w:rFonts w:eastAsiaTheme="majorEastAsia" w:cstheme="majorBidi"/>
          <w:b/>
          <w:bCs/>
        </w:rPr>
      </w:pPr>
    </w:p>
    <w:p w:rsidR="0078671F" w:rsidRDefault="0078671F">
      <w:pPr>
        <w:jc w:val="left"/>
        <w:rPr>
          <w:rFonts w:eastAsiaTheme="majorEastAsia" w:cstheme="majorBidi"/>
          <w:b/>
          <w:bCs/>
        </w:rPr>
      </w:pPr>
    </w:p>
    <w:p w:rsidR="0078671F" w:rsidRDefault="0078671F">
      <w:pPr>
        <w:jc w:val="left"/>
        <w:rPr>
          <w:rFonts w:eastAsiaTheme="majorEastAsia" w:cstheme="majorBidi"/>
          <w:b/>
          <w:bCs/>
        </w:rPr>
      </w:pPr>
    </w:p>
    <w:p w:rsidR="0078671F" w:rsidRDefault="0078671F">
      <w:pPr>
        <w:jc w:val="left"/>
        <w:rPr>
          <w:rFonts w:eastAsiaTheme="majorEastAsia" w:cstheme="majorBidi"/>
          <w:b/>
          <w:bCs/>
        </w:rPr>
      </w:pPr>
    </w:p>
    <w:p w:rsidR="0078671F" w:rsidRDefault="0078671F">
      <w:pPr>
        <w:jc w:val="left"/>
        <w:rPr>
          <w:rFonts w:eastAsiaTheme="majorEastAsia" w:cstheme="majorBidi"/>
          <w:b/>
          <w:bCs/>
        </w:rPr>
      </w:pPr>
    </w:p>
    <w:p w:rsidR="0078671F" w:rsidRDefault="0078671F">
      <w:pPr>
        <w:jc w:val="left"/>
        <w:rPr>
          <w:rFonts w:eastAsiaTheme="majorEastAsia" w:cstheme="majorBidi"/>
          <w:b/>
          <w:bCs/>
        </w:rPr>
      </w:pPr>
    </w:p>
    <w:p w:rsidR="005747D2" w:rsidRPr="00E9291A" w:rsidRDefault="005747D2" w:rsidP="000A5A56">
      <w:pPr>
        <w:pStyle w:val="Balk1"/>
        <w:numPr>
          <w:ilvl w:val="0"/>
          <w:numId w:val="11"/>
        </w:numPr>
        <w:spacing w:before="0"/>
        <w:rPr>
          <w:rFonts w:asciiTheme="minorHAnsi" w:hAnsiTheme="minorHAnsi"/>
          <w:color w:val="auto"/>
          <w:sz w:val="22"/>
          <w:szCs w:val="22"/>
        </w:rPr>
      </w:pPr>
      <w:bookmarkStart w:id="382" w:name="_Toc132713847"/>
      <w:r w:rsidRPr="00E9291A">
        <w:rPr>
          <w:rFonts w:asciiTheme="minorHAnsi" w:hAnsiTheme="minorHAnsi"/>
          <w:color w:val="auto"/>
          <w:sz w:val="22"/>
          <w:szCs w:val="22"/>
        </w:rPr>
        <w:lastRenderedPageBreak/>
        <w:t xml:space="preserve">HUKUK </w:t>
      </w:r>
      <w:r w:rsidR="00F24CFD" w:rsidRPr="00F24CFD">
        <w:rPr>
          <w:rFonts w:asciiTheme="minorHAnsi" w:hAnsiTheme="minorHAnsi"/>
          <w:color w:val="auto"/>
          <w:sz w:val="22"/>
          <w:szCs w:val="22"/>
        </w:rPr>
        <w:t>HİZMETLERİNE İLİŞKİN FAALİYETLER</w:t>
      </w:r>
      <w:bookmarkEnd w:id="380"/>
      <w:bookmarkEnd w:id="382"/>
    </w:p>
    <w:p w:rsidR="00FB6EAC" w:rsidRPr="00E9291A" w:rsidRDefault="00FB6EAC" w:rsidP="00D730CF">
      <w:pPr>
        <w:pStyle w:val="Balk2"/>
        <w:spacing w:after="240"/>
        <w:rPr>
          <w:rFonts w:asciiTheme="minorHAnsi" w:hAnsiTheme="minorHAnsi"/>
          <w:color w:val="auto"/>
          <w:sz w:val="22"/>
          <w:szCs w:val="22"/>
        </w:rPr>
      </w:pPr>
      <w:bookmarkStart w:id="383" w:name="_Toc442431313"/>
      <w:bookmarkStart w:id="384" w:name="_Toc475364869"/>
      <w:bookmarkStart w:id="385" w:name="_Toc132713848"/>
      <w:r w:rsidRPr="00E9291A">
        <w:rPr>
          <w:rFonts w:asciiTheme="minorHAnsi" w:hAnsiTheme="minorHAnsi"/>
          <w:color w:val="auto"/>
          <w:sz w:val="22"/>
          <w:szCs w:val="22"/>
        </w:rPr>
        <w:t>8.1.Dava Takip İşlemleri</w:t>
      </w:r>
      <w:bookmarkEnd w:id="383"/>
      <w:bookmarkEnd w:id="384"/>
      <w:bookmarkEnd w:id="385"/>
    </w:p>
    <w:p w:rsidR="00FB6EAC" w:rsidRDefault="00FB6EAC" w:rsidP="00FB6EAC">
      <w:r w:rsidRPr="00E9291A">
        <w:t>Kurum</w:t>
      </w:r>
      <w:r>
        <w:t>u</w:t>
      </w:r>
      <w:r w:rsidRPr="00E9291A">
        <w:t>n taraf olduğu dava ve takiplere ilişkin iş ve işlemler, 11.09.2003 tarihli ve 207-51 sayılı Kurul Kararı ile kabul edilerek yürürlüğe konulan Enerji Piyasası Düzenleme Kurumunun Taraf Olduğu Davaların Takibine İlişkin Usul ve Esaslar Hakkında Yönetmelik hükümleri çerçevesinde yürütülmektedir.</w:t>
      </w:r>
    </w:p>
    <w:p w:rsidR="00F018C6" w:rsidRPr="008102B6" w:rsidRDefault="00F018C6" w:rsidP="008102B6">
      <w:pPr>
        <w:pStyle w:val="Balk5"/>
        <w:spacing w:after="240"/>
        <w:jc w:val="center"/>
        <w:rPr>
          <w:rStyle w:val="Gl"/>
          <w:bCs w:val="0"/>
          <w:color w:val="auto"/>
        </w:rPr>
      </w:pPr>
      <w:bookmarkStart w:id="386" w:name="_Toc94703938"/>
      <w:bookmarkStart w:id="387" w:name="_Toc132713944"/>
      <w:r w:rsidRPr="008102B6">
        <w:rPr>
          <w:rStyle w:val="Gl"/>
          <w:bCs w:val="0"/>
          <w:color w:val="auto"/>
        </w:rPr>
        <w:t>Tablo 8.1: 2022 Yılı Sonu İtibariyle Kurumumuzun Taraf Olduğu Toplam Dava Sayısı</w:t>
      </w:r>
      <w:bookmarkEnd w:id="386"/>
      <w:bookmarkEnd w:id="387"/>
    </w:p>
    <w:tbl>
      <w:tblPr>
        <w:tblW w:w="3073"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70" w:type="dxa"/>
          <w:right w:w="70" w:type="dxa"/>
        </w:tblCellMar>
        <w:tblLook w:val="04A0" w:firstRow="1" w:lastRow="0" w:firstColumn="1" w:lastColumn="0" w:noHBand="0" w:noVBand="1"/>
      </w:tblPr>
      <w:tblGrid>
        <w:gridCol w:w="2126"/>
        <w:gridCol w:w="1708"/>
        <w:gridCol w:w="2257"/>
      </w:tblGrid>
      <w:tr w:rsidR="00F018C6" w:rsidRPr="00994ED7" w:rsidTr="00F018C6">
        <w:trPr>
          <w:trHeight w:hRule="exact" w:val="315"/>
          <w:jc w:val="center"/>
        </w:trPr>
        <w:tc>
          <w:tcPr>
            <w:tcW w:w="1745" w:type="pct"/>
            <w:shd w:val="clear" w:color="000000" w:fill="6E9ECA"/>
            <w:vAlign w:val="center"/>
            <w:hideMark/>
          </w:tcPr>
          <w:p w:rsidR="00F018C6" w:rsidRPr="00994ED7" w:rsidRDefault="00F018C6" w:rsidP="00F018C6">
            <w:pPr>
              <w:spacing w:after="0" w:line="240" w:lineRule="auto"/>
              <w:jc w:val="center"/>
              <w:rPr>
                <w:rFonts w:ascii="Calibri" w:eastAsia="Times New Roman" w:hAnsi="Calibri"/>
                <w:b/>
                <w:bCs/>
                <w:color w:val="FFFFFF"/>
                <w:lang w:eastAsia="tr-TR"/>
              </w:rPr>
            </w:pPr>
            <w:r w:rsidRPr="00994ED7">
              <w:rPr>
                <w:rFonts w:ascii="Calibri" w:eastAsia="Times New Roman" w:hAnsi="Calibri"/>
                <w:b/>
                <w:bCs/>
                <w:color w:val="FFFFFF"/>
                <w:lang w:eastAsia="tr-TR"/>
              </w:rPr>
              <w:t>Dava Türü</w:t>
            </w:r>
          </w:p>
        </w:tc>
        <w:tc>
          <w:tcPr>
            <w:tcW w:w="1402" w:type="pct"/>
            <w:shd w:val="clear" w:color="000000" w:fill="6E9ECA"/>
            <w:vAlign w:val="center"/>
            <w:hideMark/>
          </w:tcPr>
          <w:p w:rsidR="00F018C6" w:rsidRPr="00994ED7" w:rsidRDefault="00F018C6" w:rsidP="00F018C6">
            <w:pPr>
              <w:spacing w:after="0" w:line="240" w:lineRule="auto"/>
              <w:jc w:val="center"/>
              <w:rPr>
                <w:rFonts w:ascii="Calibri" w:eastAsia="Times New Roman" w:hAnsi="Calibri"/>
                <w:b/>
                <w:bCs/>
                <w:color w:val="FFFFFF"/>
                <w:lang w:eastAsia="tr-TR"/>
              </w:rPr>
            </w:pPr>
            <w:r w:rsidRPr="00994ED7">
              <w:rPr>
                <w:rFonts w:ascii="Calibri" w:eastAsia="Times New Roman" w:hAnsi="Calibri"/>
                <w:b/>
                <w:bCs/>
                <w:color w:val="FFFFFF"/>
                <w:lang w:eastAsia="tr-TR"/>
              </w:rPr>
              <w:t>Dava Sayısı</w:t>
            </w:r>
          </w:p>
        </w:tc>
        <w:tc>
          <w:tcPr>
            <w:tcW w:w="1853" w:type="pct"/>
            <w:shd w:val="clear" w:color="000000" w:fill="6E9ECA"/>
            <w:vAlign w:val="center"/>
            <w:hideMark/>
          </w:tcPr>
          <w:p w:rsidR="00F018C6" w:rsidRPr="00994ED7" w:rsidRDefault="00F018C6" w:rsidP="00F018C6">
            <w:pPr>
              <w:spacing w:after="0" w:line="240" w:lineRule="auto"/>
              <w:jc w:val="center"/>
              <w:rPr>
                <w:rFonts w:ascii="Calibri" w:eastAsia="Times New Roman" w:hAnsi="Calibri"/>
                <w:b/>
                <w:bCs/>
                <w:color w:val="FFFFFF"/>
                <w:lang w:eastAsia="tr-TR"/>
              </w:rPr>
            </w:pPr>
            <w:r w:rsidRPr="00994ED7">
              <w:rPr>
                <w:rFonts w:ascii="Calibri" w:eastAsia="Times New Roman" w:hAnsi="Calibri"/>
                <w:b/>
                <w:bCs/>
                <w:color w:val="FFFFFF"/>
                <w:lang w:eastAsia="tr-TR"/>
              </w:rPr>
              <w:t>Oran (%)</w:t>
            </w:r>
          </w:p>
        </w:tc>
      </w:tr>
      <w:tr w:rsidR="00F018C6" w:rsidRPr="00994ED7" w:rsidTr="00F018C6">
        <w:trPr>
          <w:trHeight w:hRule="exact" w:val="315"/>
          <w:jc w:val="center"/>
        </w:trPr>
        <w:tc>
          <w:tcPr>
            <w:tcW w:w="1745" w:type="pct"/>
            <w:shd w:val="clear" w:color="auto" w:fill="auto"/>
            <w:vAlign w:val="center"/>
            <w:hideMark/>
          </w:tcPr>
          <w:p w:rsidR="00F018C6" w:rsidRPr="00994ED7" w:rsidRDefault="00F018C6" w:rsidP="00F018C6">
            <w:pPr>
              <w:spacing w:after="0" w:line="240" w:lineRule="auto"/>
              <w:rPr>
                <w:rFonts w:ascii="Calibri" w:eastAsia="Times New Roman" w:hAnsi="Calibri"/>
                <w:color w:val="000000"/>
                <w:lang w:eastAsia="tr-TR"/>
              </w:rPr>
            </w:pPr>
            <w:r w:rsidRPr="00994ED7">
              <w:rPr>
                <w:rFonts w:ascii="Calibri" w:eastAsia="Times New Roman" w:hAnsi="Calibri"/>
                <w:color w:val="000000"/>
                <w:lang w:eastAsia="tr-TR"/>
              </w:rPr>
              <w:t>Ceza Davaları</w:t>
            </w:r>
          </w:p>
        </w:tc>
        <w:tc>
          <w:tcPr>
            <w:tcW w:w="1402" w:type="pct"/>
            <w:shd w:val="clear" w:color="auto" w:fill="auto"/>
            <w:noWrap/>
            <w:vAlign w:val="center"/>
            <w:hideMark/>
          </w:tcPr>
          <w:p w:rsidR="00F018C6" w:rsidRPr="00994ED7" w:rsidRDefault="00F018C6" w:rsidP="00F018C6">
            <w:pPr>
              <w:spacing w:after="0" w:line="240" w:lineRule="auto"/>
              <w:jc w:val="right"/>
              <w:rPr>
                <w:rFonts w:ascii="Calibri" w:eastAsia="Times New Roman" w:hAnsi="Calibri"/>
                <w:color w:val="000000"/>
                <w:lang w:eastAsia="tr-TR"/>
              </w:rPr>
            </w:pPr>
            <w:r w:rsidRPr="00994ED7">
              <w:rPr>
                <w:rFonts w:ascii="Calibri" w:eastAsia="Times New Roman" w:hAnsi="Calibri"/>
                <w:color w:val="000000"/>
                <w:lang w:eastAsia="tr-TR"/>
              </w:rPr>
              <w:t xml:space="preserve"> </w:t>
            </w:r>
            <w:r>
              <w:rPr>
                <w:rFonts w:ascii="Calibri" w:eastAsia="Times New Roman" w:hAnsi="Calibri"/>
                <w:color w:val="000000"/>
                <w:lang w:eastAsia="tr-TR"/>
              </w:rPr>
              <w:t>35.545</w:t>
            </w:r>
            <w:r w:rsidRPr="00994ED7">
              <w:rPr>
                <w:rFonts w:ascii="Calibri" w:eastAsia="Times New Roman" w:hAnsi="Calibri"/>
                <w:color w:val="000000"/>
                <w:lang w:eastAsia="tr-TR"/>
              </w:rPr>
              <w:t xml:space="preserve"> </w:t>
            </w:r>
          </w:p>
        </w:tc>
        <w:tc>
          <w:tcPr>
            <w:tcW w:w="1853" w:type="pct"/>
            <w:shd w:val="clear" w:color="auto" w:fill="auto"/>
            <w:noWrap/>
            <w:vAlign w:val="center"/>
            <w:hideMark/>
          </w:tcPr>
          <w:p w:rsidR="00F018C6" w:rsidRPr="00994ED7" w:rsidRDefault="00F018C6" w:rsidP="00F018C6">
            <w:pPr>
              <w:spacing w:after="0" w:line="240" w:lineRule="auto"/>
              <w:jc w:val="center"/>
              <w:rPr>
                <w:rFonts w:ascii="Calibri" w:eastAsia="Times New Roman" w:hAnsi="Calibri"/>
                <w:color w:val="000000"/>
                <w:lang w:eastAsia="tr-TR"/>
              </w:rPr>
            </w:pPr>
            <w:r w:rsidRPr="00994ED7">
              <w:rPr>
                <w:rFonts w:ascii="Calibri" w:eastAsia="Times New Roman" w:hAnsi="Calibri"/>
                <w:color w:val="000000"/>
                <w:lang w:eastAsia="tr-TR"/>
              </w:rPr>
              <w:t xml:space="preserve"> </w:t>
            </w:r>
            <w:r>
              <w:rPr>
                <w:rFonts w:ascii="Calibri" w:eastAsia="Times New Roman" w:hAnsi="Calibri"/>
                <w:color w:val="000000"/>
                <w:lang w:eastAsia="tr-TR"/>
              </w:rPr>
              <w:t>53.05</w:t>
            </w:r>
          </w:p>
        </w:tc>
      </w:tr>
      <w:tr w:rsidR="00F018C6" w:rsidRPr="00994ED7" w:rsidTr="00F018C6">
        <w:trPr>
          <w:trHeight w:hRule="exact" w:val="315"/>
          <w:jc w:val="center"/>
        </w:trPr>
        <w:tc>
          <w:tcPr>
            <w:tcW w:w="1745" w:type="pct"/>
            <w:shd w:val="clear" w:color="auto" w:fill="auto"/>
            <w:vAlign w:val="center"/>
            <w:hideMark/>
          </w:tcPr>
          <w:p w:rsidR="00F018C6" w:rsidRPr="00994ED7" w:rsidRDefault="00F018C6" w:rsidP="00F018C6">
            <w:pPr>
              <w:spacing w:after="0" w:line="240" w:lineRule="auto"/>
              <w:rPr>
                <w:rFonts w:ascii="Calibri" w:eastAsia="Times New Roman" w:hAnsi="Calibri"/>
                <w:color w:val="000000"/>
                <w:lang w:eastAsia="tr-TR"/>
              </w:rPr>
            </w:pPr>
            <w:r w:rsidRPr="00994ED7">
              <w:rPr>
                <w:rFonts w:ascii="Calibri" w:eastAsia="Times New Roman" w:hAnsi="Calibri"/>
                <w:color w:val="000000"/>
                <w:lang w:eastAsia="tr-TR"/>
              </w:rPr>
              <w:t>İdari Davalar</w:t>
            </w:r>
          </w:p>
        </w:tc>
        <w:tc>
          <w:tcPr>
            <w:tcW w:w="1402" w:type="pct"/>
            <w:shd w:val="clear" w:color="auto" w:fill="auto"/>
            <w:noWrap/>
            <w:vAlign w:val="center"/>
            <w:hideMark/>
          </w:tcPr>
          <w:p w:rsidR="00F018C6" w:rsidRPr="00994ED7" w:rsidRDefault="00F018C6" w:rsidP="00F018C6">
            <w:pPr>
              <w:spacing w:after="0" w:line="240" w:lineRule="auto"/>
              <w:jc w:val="right"/>
              <w:rPr>
                <w:rFonts w:ascii="Calibri" w:eastAsia="Times New Roman" w:hAnsi="Calibri"/>
                <w:color w:val="000000"/>
                <w:lang w:eastAsia="tr-TR"/>
              </w:rPr>
            </w:pPr>
            <w:r w:rsidRPr="00994ED7">
              <w:rPr>
                <w:rFonts w:ascii="Calibri" w:eastAsia="Times New Roman" w:hAnsi="Calibri"/>
                <w:color w:val="000000"/>
                <w:lang w:eastAsia="tr-TR"/>
              </w:rPr>
              <w:t xml:space="preserve"> </w:t>
            </w:r>
            <w:r>
              <w:rPr>
                <w:rFonts w:ascii="Calibri" w:eastAsia="Times New Roman" w:hAnsi="Calibri"/>
                <w:color w:val="000000"/>
                <w:lang w:eastAsia="tr-TR"/>
              </w:rPr>
              <w:t>24.318</w:t>
            </w:r>
            <w:r w:rsidRPr="00994ED7">
              <w:rPr>
                <w:rFonts w:ascii="Calibri" w:eastAsia="Times New Roman" w:hAnsi="Calibri"/>
                <w:color w:val="000000"/>
                <w:lang w:eastAsia="tr-TR"/>
              </w:rPr>
              <w:t xml:space="preserve"> </w:t>
            </w:r>
          </w:p>
        </w:tc>
        <w:tc>
          <w:tcPr>
            <w:tcW w:w="1853" w:type="pct"/>
            <w:shd w:val="clear" w:color="auto" w:fill="auto"/>
            <w:noWrap/>
            <w:vAlign w:val="center"/>
            <w:hideMark/>
          </w:tcPr>
          <w:p w:rsidR="00F018C6" w:rsidRPr="00994ED7" w:rsidRDefault="00F018C6" w:rsidP="00F018C6">
            <w:pPr>
              <w:spacing w:after="0" w:line="240" w:lineRule="auto"/>
              <w:jc w:val="center"/>
              <w:rPr>
                <w:rFonts w:ascii="Calibri" w:eastAsia="Times New Roman" w:hAnsi="Calibri"/>
                <w:color w:val="000000"/>
                <w:lang w:eastAsia="tr-TR"/>
              </w:rPr>
            </w:pPr>
            <w:r w:rsidRPr="00994ED7">
              <w:rPr>
                <w:rFonts w:ascii="Calibri" w:eastAsia="Times New Roman" w:hAnsi="Calibri"/>
                <w:color w:val="000000"/>
                <w:lang w:eastAsia="tr-TR"/>
              </w:rPr>
              <w:t xml:space="preserve"> </w:t>
            </w:r>
            <w:r>
              <w:rPr>
                <w:rFonts w:ascii="Calibri" w:eastAsia="Times New Roman" w:hAnsi="Calibri"/>
                <w:color w:val="000000"/>
                <w:lang w:eastAsia="tr-TR"/>
              </w:rPr>
              <w:t>36.29</w:t>
            </w:r>
            <w:r w:rsidRPr="00994ED7">
              <w:rPr>
                <w:rFonts w:ascii="Calibri" w:eastAsia="Times New Roman" w:hAnsi="Calibri"/>
                <w:color w:val="000000"/>
                <w:lang w:eastAsia="tr-TR"/>
              </w:rPr>
              <w:t xml:space="preserve"> </w:t>
            </w:r>
          </w:p>
        </w:tc>
      </w:tr>
      <w:tr w:rsidR="00F018C6" w:rsidRPr="00994ED7" w:rsidTr="00F018C6">
        <w:trPr>
          <w:trHeight w:hRule="exact" w:val="315"/>
          <w:jc w:val="center"/>
        </w:trPr>
        <w:tc>
          <w:tcPr>
            <w:tcW w:w="1745" w:type="pct"/>
            <w:shd w:val="clear" w:color="auto" w:fill="auto"/>
            <w:vAlign w:val="center"/>
            <w:hideMark/>
          </w:tcPr>
          <w:p w:rsidR="00F018C6" w:rsidRPr="00994ED7" w:rsidRDefault="00F018C6" w:rsidP="00F018C6">
            <w:pPr>
              <w:spacing w:after="0" w:line="240" w:lineRule="auto"/>
              <w:rPr>
                <w:rFonts w:ascii="Calibri" w:eastAsia="Times New Roman" w:hAnsi="Calibri"/>
                <w:color w:val="000000"/>
                <w:lang w:eastAsia="tr-TR"/>
              </w:rPr>
            </w:pPr>
            <w:r w:rsidRPr="00994ED7">
              <w:rPr>
                <w:rFonts w:ascii="Calibri" w:eastAsia="Times New Roman" w:hAnsi="Calibri"/>
                <w:color w:val="000000"/>
                <w:lang w:eastAsia="tr-TR"/>
              </w:rPr>
              <w:t>Hukuk Davaları</w:t>
            </w:r>
          </w:p>
        </w:tc>
        <w:tc>
          <w:tcPr>
            <w:tcW w:w="1402" w:type="pct"/>
            <w:shd w:val="clear" w:color="auto" w:fill="auto"/>
            <w:noWrap/>
            <w:vAlign w:val="center"/>
            <w:hideMark/>
          </w:tcPr>
          <w:p w:rsidR="00F018C6" w:rsidRPr="00994ED7" w:rsidRDefault="00F018C6" w:rsidP="00F018C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7.143</w:t>
            </w:r>
            <w:r w:rsidRPr="00994ED7">
              <w:rPr>
                <w:rFonts w:ascii="Calibri" w:eastAsia="Times New Roman" w:hAnsi="Calibri"/>
                <w:color w:val="000000"/>
                <w:lang w:eastAsia="tr-TR"/>
              </w:rPr>
              <w:t xml:space="preserve"> </w:t>
            </w:r>
          </w:p>
        </w:tc>
        <w:tc>
          <w:tcPr>
            <w:tcW w:w="1853" w:type="pct"/>
            <w:shd w:val="clear" w:color="auto" w:fill="auto"/>
            <w:noWrap/>
            <w:vAlign w:val="center"/>
            <w:hideMark/>
          </w:tcPr>
          <w:p w:rsidR="00F018C6" w:rsidRPr="00994ED7" w:rsidRDefault="00F018C6" w:rsidP="00F018C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10.66</w:t>
            </w:r>
          </w:p>
        </w:tc>
      </w:tr>
      <w:tr w:rsidR="00F018C6" w:rsidRPr="00994ED7" w:rsidTr="00F018C6">
        <w:trPr>
          <w:trHeight w:hRule="exact" w:val="315"/>
          <w:jc w:val="center"/>
        </w:trPr>
        <w:tc>
          <w:tcPr>
            <w:tcW w:w="1745" w:type="pct"/>
            <w:shd w:val="clear" w:color="auto" w:fill="auto"/>
            <w:vAlign w:val="center"/>
            <w:hideMark/>
          </w:tcPr>
          <w:p w:rsidR="00F018C6" w:rsidRPr="00994ED7" w:rsidRDefault="00F018C6" w:rsidP="00F018C6">
            <w:pPr>
              <w:spacing w:after="0" w:line="240" w:lineRule="auto"/>
              <w:rPr>
                <w:rFonts w:ascii="Calibri" w:eastAsia="Times New Roman" w:hAnsi="Calibri"/>
                <w:b/>
                <w:bCs/>
                <w:color w:val="000000"/>
                <w:lang w:eastAsia="tr-TR"/>
              </w:rPr>
            </w:pPr>
            <w:r w:rsidRPr="00994ED7">
              <w:rPr>
                <w:rFonts w:ascii="Calibri" w:eastAsia="Times New Roman" w:hAnsi="Calibri"/>
                <w:b/>
                <w:bCs/>
                <w:color w:val="000000"/>
                <w:lang w:eastAsia="tr-TR"/>
              </w:rPr>
              <w:t>TOPLAM</w:t>
            </w:r>
          </w:p>
        </w:tc>
        <w:tc>
          <w:tcPr>
            <w:tcW w:w="1402" w:type="pct"/>
            <w:shd w:val="clear" w:color="auto" w:fill="auto"/>
            <w:noWrap/>
            <w:vAlign w:val="center"/>
            <w:hideMark/>
          </w:tcPr>
          <w:p w:rsidR="00F018C6" w:rsidRPr="00994ED7" w:rsidRDefault="00F018C6" w:rsidP="00F018C6">
            <w:pPr>
              <w:spacing w:after="0" w:line="240" w:lineRule="auto"/>
              <w:jc w:val="right"/>
              <w:rPr>
                <w:rFonts w:ascii="Calibri" w:eastAsia="Times New Roman" w:hAnsi="Calibri"/>
                <w:b/>
                <w:bCs/>
                <w:color w:val="000000"/>
                <w:lang w:eastAsia="tr-TR"/>
              </w:rPr>
            </w:pPr>
            <w:r>
              <w:rPr>
                <w:rFonts w:ascii="Calibri" w:eastAsia="Times New Roman" w:hAnsi="Calibri"/>
                <w:b/>
                <w:bCs/>
                <w:color w:val="000000"/>
                <w:lang w:eastAsia="tr-TR"/>
              </w:rPr>
              <w:t>67.006</w:t>
            </w:r>
          </w:p>
        </w:tc>
        <w:tc>
          <w:tcPr>
            <w:tcW w:w="1853" w:type="pct"/>
            <w:shd w:val="clear" w:color="auto" w:fill="auto"/>
            <w:vAlign w:val="center"/>
            <w:hideMark/>
          </w:tcPr>
          <w:p w:rsidR="00F018C6" w:rsidRPr="00994ED7" w:rsidRDefault="00F018C6" w:rsidP="00F018C6">
            <w:pPr>
              <w:spacing w:after="0" w:line="240" w:lineRule="auto"/>
              <w:jc w:val="center"/>
              <w:rPr>
                <w:rFonts w:ascii="Calibri" w:eastAsia="Times New Roman" w:hAnsi="Calibri"/>
                <w:b/>
                <w:bCs/>
                <w:color w:val="000000"/>
                <w:lang w:eastAsia="tr-TR"/>
              </w:rPr>
            </w:pPr>
            <w:r w:rsidRPr="00994ED7">
              <w:rPr>
                <w:rFonts w:ascii="Calibri" w:eastAsia="Times New Roman" w:hAnsi="Calibri"/>
                <w:b/>
                <w:bCs/>
                <w:color w:val="000000"/>
                <w:lang w:eastAsia="tr-TR"/>
              </w:rPr>
              <w:t>100</w:t>
            </w:r>
          </w:p>
        </w:tc>
      </w:tr>
    </w:tbl>
    <w:p w:rsidR="00F018C6" w:rsidRPr="00994ED7" w:rsidRDefault="00F018C6" w:rsidP="00F018C6">
      <w:pPr>
        <w:spacing w:after="0" w:line="240" w:lineRule="auto"/>
        <w:rPr>
          <w:rFonts w:ascii="Calibri" w:eastAsia="Times New Roman" w:hAnsi="Calibri"/>
          <w:b/>
          <w:bCs/>
          <w:color w:val="000000"/>
          <w:lang w:eastAsia="tr-TR"/>
        </w:rPr>
      </w:pPr>
    </w:p>
    <w:p w:rsidR="00F018C6" w:rsidRPr="008102B6" w:rsidRDefault="00F018C6" w:rsidP="008102B6">
      <w:pPr>
        <w:pStyle w:val="Balk5"/>
        <w:spacing w:after="240"/>
        <w:jc w:val="center"/>
        <w:rPr>
          <w:rStyle w:val="Gl"/>
          <w:color w:val="auto"/>
        </w:rPr>
      </w:pPr>
      <w:bookmarkStart w:id="388" w:name="_Toc94703939"/>
      <w:bookmarkStart w:id="389" w:name="_Toc132713945"/>
      <w:r w:rsidRPr="008102B6">
        <w:rPr>
          <w:rStyle w:val="Gl"/>
          <w:color w:val="auto"/>
        </w:rPr>
        <w:t>Tablo 8.2: 2022 Yılı Sonu İtibariyle Kurumumuzun Taraf Olduğu Davaların Piyasalara Dağılımı</w:t>
      </w:r>
      <w:bookmarkEnd w:id="388"/>
      <w:bookmarkEnd w:id="389"/>
    </w:p>
    <w:tbl>
      <w:tblPr>
        <w:tblW w:w="3091"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70" w:type="dxa"/>
          <w:right w:w="70" w:type="dxa"/>
        </w:tblCellMar>
        <w:tblLook w:val="04A0" w:firstRow="1" w:lastRow="0" w:firstColumn="1" w:lastColumn="0" w:noHBand="0" w:noVBand="1"/>
      </w:tblPr>
      <w:tblGrid>
        <w:gridCol w:w="2121"/>
        <w:gridCol w:w="1701"/>
        <w:gridCol w:w="2305"/>
      </w:tblGrid>
      <w:tr w:rsidR="00F018C6" w:rsidRPr="00AE0C4A" w:rsidTr="00F018C6">
        <w:trPr>
          <w:trHeight w:hRule="exact" w:val="315"/>
          <w:jc w:val="center"/>
        </w:trPr>
        <w:tc>
          <w:tcPr>
            <w:tcW w:w="1731" w:type="pct"/>
            <w:shd w:val="clear" w:color="000000" w:fill="6E9ECA"/>
            <w:vAlign w:val="center"/>
            <w:hideMark/>
          </w:tcPr>
          <w:p w:rsidR="00F018C6" w:rsidRPr="00AE0C4A" w:rsidRDefault="00F018C6" w:rsidP="00F018C6">
            <w:pPr>
              <w:spacing w:after="0" w:line="240" w:lineRule="auto"/>
              <w:jc w:val="center"/>
              <w:rPr>
                <w:rFonts w:ascii="Calibri" w:eastAsia="Times New Roman" w:hAnsi="Calibri"/>
                <w:b/>
                <w:bCs/>
                <w:color w:val="FFFFFF"/>
                <w:lang w:eastAsia="tr-TR"/>
              </w:rPr>
            </w:pPr>
            <w:r w:rsidRPr="00AE0C4A">
              <w:rPr>
                <w:rFonts w:ascii="Calibri" w:eastAsia="Times New Roman" w:hAnsi="Calibri"/>
                <w:b/>
                <w:bCs/>
                <w:color w:val="FFFFFF"/>
                <w:lang w:eastAsia="tr-TR"/>
              </w:rPr>
              <w:t>Piyasa</w:t>
            </w:r>
          </w:p>
        </w:tc>
        <w:tc>
          <w:tcPr>
            <w:tcW w:w="1388" w:type="pct"/>
            <w:shd w:val="clear" w:color="000000" w:fill="6E9ECA"/>
            <w:vAlign w:val="center"/>
            <w:hideMark/>
          </w:tcPr>
          <w:p w:rsidR="00F018C6" w:rsidRPr="00AE0C4A" w:rsidRDefault="00F018C6" w:rsidP="00F018C6">
            <w:pPr>
              <w:spacing w:after="0" w:line="240" w:lineRule="auto"/>
              <w:jc w:val="center"/>
              <w:rPr>
                <w:rFonts w:ascii="Calibri" w:eastAsia="Times New Roman" w:hAnsi="Calibri"/>
                <w:b/>
                <w:bCs/>
                <w:color w:val="FFFFFF"/>
                <w:lang w:eastAsia="tr-TR"/>
              </w:rPr>
            </w:pPr>
            <w:r w:rsidRPr="00AE0C4A">
              <w:rPr>
                <w:rFonts w:ascii="Calibri" w:eastAsia="Times New Roman" w:hAnsi="Calibri"/>
                <w:b/>
                <w:bCs/>
                <w:color w:val="FFFFFF"/>
                <w:lang w:eastAsia="tr-TR"/>
              </w:rPr>
              <w:t>Dava Sayısı</w:t>
            </w:r>
          </w:p>
        </w:tc>
        <w:tc>
          <w:tcPr>
            <w:tcW w:w="1881" w:type="pct"/>
            <w:shd w:val="clear" w:color="000000" w:fill="6E9ECA"/>
            <w:vAlign w:val="center"/>
            <w:hideMark/>
          </w:tcPr>
          <w:p w:rsidR="00F018C6" w:rsidRPr="00AE0C4A" w:rsidRDefault="00F018C6" w:rsidP="00F018C6">
            <w:pPr>
              <w:spacing w:after="0" w:line="240" w:lineRule="auto"/>
              <w:jc w:val="center"/>
              <w:rPr>
                <w:rFonts w:ascii="Calibri" w:eastAsia="Times New Roman" w:hAnsi="Calibri"/>
                <w:b/>
                <w:bCs/>
                <w:color w:val="FFFFFF"/>
                <w:lang w:eastAsia="tr-TR"/>
              </w:rPr>
            </w:pPr>
            <w:r w:rsidRPr="00AE0C4A">
              <w:rPr>
                <w:rFonts w:ascii="Calibri" w:eastAsia="Times New Roman" w:hAnsi="Calibri"/>
                <w:b/>
                <w:bCs/>
                <w:color w:val="FFFFFF"/>
                <w:lang w:eastAsia="tr-TR"/>
              </w:rPr>
              <w:t>Oran (%)</w:t>
            </w:r>
          </w:p>
        </w:tc>
      </w:tr>
      <w:tr w:rsidR="00F018C6" w:rsidRPr="00AE0C4A" w:rsidTr="00F018C6">
        <w:trPr>
          <w:trHeight w:hRule="exact" w:val="315"/>
          <w:jc w:val="center"/>
        </w:trPr>
        <w:tc>
          <w:tcPr>
            <w:tcW w:w="1731" w:type="pct"/>
            <w:shd w:val="clear" w:color="auto" w:fill="auto"/>
            <w:vAlign w:val="center"/>
            <w:hideMark/>
          </w:tcPr>
          <w:p w:rsidR="00F018C6" w:rsidRPr="00AE0C4A" w:rsidRDefault="00F018C6" w:rsidP="00F018C6">
            <w:pPr>
              <w:spacing w:after="0" w:line="240" w:lineRule="auto"/>
              <w:rPr>
                <w:rFonts w:ascii="Calibri" w:eastAsia="Times New Roman" w:hAnsi="Calibri"/>
                <w:color w:val="000000"/>
                <w:lang w:eastAsia="tr-TR"/>
              </w:rPr>
            </w:pPr>
            <w:r w:rsidRPr="00AE0C4A">
              <w:rPr>
                <w:rFonts w:ascii="Calibri" w:eastAsia="Times New Roman" w:hAnsi="Calibri"/>
                <w:color w:val="000000"/>
                <w:lang w:eastAsia="tr-TR"/>
              </w:rPr>
              <w:t>Elektrik</w:t>
            </w:r>
          </w:p>
        </w:tc>
        <w:tc>
          <w:tcPr>
            <w:tcW w:w="1388" w:type="pct"/>
            <w:shd w:val="clear" w:color="auto" w:fill="auto"/>
            <w:noWrap/>
            <w:vAlign w:val="center"/>
            <w:hideMark/>
          </w:tcPr>
          <w:p w:rsidR="00F018C6" w:rsidRPr="00AE0C4A" w:rsidRDefault="00F018C6" w:rsidP="00F018C6">
            <w:pPr>
              <w:spacing w:after="0" w:line="240" w:lineRule="auto"/>
              <w:jc w:val="right"/>
              <w:rPr>
                <w:rFonts w:ascii="Calibri" w:eastAsia="Times New Roman" w:hAnsi="Calibri"/>
                <w:color w:val="000000"/>
                <w:lang w:eastAsia="tr-TR"/>
              </w:rPr>
            </w:pPr>
            <w:r w:rsidRPr="00AE0C4A">
              <w:rPr>
                <w:rFonts w:ascii="Calibri" w:eastAsia="Times New Roman" w:hAnsi="Calibri"/>
                <w:color w:val="000000"/>
                <w:lang w:eastAsia="tr-TR"/>
              </w:rPr>
              <w:t xml:space="preserve"> </w:t>
            </w:r>
            <w:r>
              <w:rPr>
                <w:rFonts w:ascii="Calibri" w:eastAsia="Times New Roman" w:hAnsi="Calibri"/>
                <w:color w:val="000000"/>
                <w:lang w:eastAsia="tr-TR"/>
              </w:rPr>
              <w:t>9.745</w:t>
            </w:r>
            <w:r w:rsidRPr="00AE0C4A">
              <w:rPr>
                <w:rFonts w:ascii="Calibri" w:eastAsia="Times New Roman" w:hAnsi="Calibri"/>
                <w:color w:val="000000"/>
                <w:lang w:eastAsia="tr-TR"/>
              </w:rPr>
              <w:t xml:space="preserve"> </w:t>
            </w:r>
          </w:p>
        </w:tc>
        <w:tc>
          <w:tcPr>
            <w:tcW w:w="1881" w:type="pct"/>
            <w:shd w:val="clear" w:color="auto" w:fill="auto"/>
            <w:noWrap/>
            <w:vAlign w:val="center"/>
            <w:hideMark/>
          </w:tcPr>
          <w:p w:rsidR="00F018C6" w:rsidRPr="00AE0C4A" w:rsidRDefault="00F018C6" w:rsidP="00F018C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14.54</w:t>
            </w:r>
          </w:p>
        </w:tc>
      </w:tr>
      <w:tr w:rsidR="00F018C6" w:rsidRPr="00AE0C4A" w:rsidTr="00F018C6">
        <w:trPr>
          <w:trHeight w:hRule="exact" w:val="315"/>
          <w:jc w:val="center"/>
        </w:trPr>
        <w:tc>
          <w:tcPr>
            <w:tcW w:w="1731" w:type="pct"/>
            <w:shd w:val="clear" w:color="auto" w:fill="auto"/>
            <w:vAlign w:val="center"/>
            <w:hideMark/>
          </w:tcPr>
          <w:p w:rsidR="00F018C6" w:rsidRPr="00AE0C4A" w:rsidRDefault="00F018C6" w:rsidP="00F018C6">
            <w:pPr>
              <w:spacing w:after="0" w:line="240" w:lineRule="auto"/>
              <w:rPr>
                <w:rFonts w:ascii="Calibri" w:eastAsia="Times New Roman" w:hAnsi="Calibri"/>
                <w:color w:val="000000"/>
                <w:lang w:eastAsia="tr-TR"/>
              </w:rPr>
            </w:pPr>
            <w:r w:rsidRPr="00AE0C4A">
              <w:rPr>
                <w:rFonts w:ascii="Calibri" w:eastAsia="Times New Roman" w:hAnsi="Calibri"/>
                <w:color w:val="000000"/>
                <w:lang w:eastAsia="tr-TR"/>
              </w:rPr>
              <w:t>Doğal Gaz</w:t>
            </w:r>
          </w:p>
        </w:tc>
        <w:tc>
          <w:tcPr>
            <w:tcW w:w="1388" w:type="pct"/>
            <w:shd w:val="clear" w:color="auto" w:fill="auto"/>
            <w:noWrap/>
            <w:vAlign w:val="center"/>
            <w:hideMark/>
          </w:tcPr>
          <w:p w:rsidR="00F018C6" w:rsidRPr="00AE0C4A" w:rsidRDefault="00F018C6" w:rsidP="00F018C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547</w:t>
            </w:r>
          </w:p>
        </w:tc>
        <w:tc>
          <w:tcPr>
            <w:tcW w:w="1881" w:type="pct"/>
            <w:shd w:val="clear" w:color="auto" w:fill="auto"/>
            <w:noWrap/>
            <w:vAlign w:val="center"/>
            <w:hideMark/>
          </w:tcPr>
          <w:p w:rsidR="00F018C6" w:rsidRPr="00AE0C4A" w:rsidRDefault="00F018C6" w:rsidP="00F018C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0,82</w:t>
            </w:r>
          </w:p>
        </w:tc>
      </w:tr>
      <w:tr w:rsidR="00F018C6" w:rsidRPr="00AE0C4A" w:rsidTr="00F018C6">
        <w:trPr>
          <w:trHeight w:hRule="exact" w:val="315"/>
          <w:jc w:val="center"/>
        </w:trPr>
        <w:tc>
          <w:tcPr>
            <w:tcW w:w="1731" w:type="pct"/>
            <w:shd w:val="clear" w:color="auto" w:fill="auto"/>
            <w:vAlign w:val="center"/>
            <w:hideMark/>
          </w:tcPr>
          <w:p w:rsidR="00F018C6" w:rsidRPr="00AE0C4A" w:rsidRDefault="00F018C6" w:rsidP="00F018C6">
            <w:pPr>
              <w:spacing w:after="0" w:line="240" w:lineRule="auto"/>
              <w:rPr>
                <w:rFonts w:ascii="Calibri" w:eastAsia="Times New Roman" w:hAnsi="Calibri"/>
                <w:color w:val="000000"/>
                <w:lang w:eastAsia="tr-TR"/>
              </w:rPr>
            </w:pPr>
            <w:r w:rsidRPr="00AE0C4A">
              <w:rPr>
                <w:rFonts w:ascii="Calibri" w:eastAsia="Times New Roman" w:hAnsi="Calibri"/>
                <w:color w:val="000000"/>
                <w:lang w:eastAsia="tr-TR"/>
              </w:rPr>
              <w:t>Petrol</w:t>
            </w:r>
          </w:p>
        </w:tc>
        <w:tc>
          <w:tcPr>
            <w:tcW w:w="1388" w:type="pct"/>
            <w:shd w:val="clear" w:color="auto" w:fill="auto"/>
            <w:noWrap/>
            <w:vAlign w:val="center"/>
            <w:hideMark/>
          </w:tcPr>
          <w:p w:rsidR="00F018C6" w:rsidRPr="00AE0C4A" w:rsidRDefault="00F018C6" w:rsidP="00F018C6">
            <w:pPr>
              <w:spacing w:after="0" w:line="240" w:lineRule="auto"/>
              <w:jc w:val="right"/>
              <w:rPr>
                <w:rFonts w:ascii="Calibri" w:eastAsia="Times New Roman" w:hAnsi="Calibri"/>
                <w:color w:val="000000"/>
                <w:lang w:eastAsia="tr-TR"/>
              </w:rPr>
            </w:pPr>
            <w:r w:rsidRPr="00AE0C4A">
              <w:rPr>
                <w:rFonts w:ascii="Calibri" w:eastAsia="Times New Roman" w:hAnsi="Calibri"/>
                <w:color w:val="000000"/>
                <w:lang w:eastAsia="tr-TR"/>
              </w:rPr>
              <w:t xml:space="preserve"> </w:t>
            </w:r>
            <w:r>
              <w:rPr>
                <w:rFonts w:ascii="Calibri" w:eastAsia="Times New Roman" w:hAnsi="Calibri"/>
                <w:color w:val="000000"/>
                <w:lang w:eastAsia="tr-TR"/>
              </w:rPr>
              <w:t>51.659</w:t>
            </w:r>
            <w:r w:rsidRPr="00AE0C4A">
              <w:rPr>
                <w:rFonts w:ascii="Calibri" w:eastAsia="Times New Roman" w:hAnsi="Calibri"/>
                <w:color w:val="000000"/>
                <w:lang w:eastAsia="tr-TR"/>
              </w:rPr>
              <w:t xml:space="preserve"> </w:t>
            </w:r>
          </w:p>
        </w:tc>
        <w:tc>
          <w:tcPr>
            <w:tcW w:w="1881" w:type="pct"/>
            <w:shd w:val="clear" w:color="auto" w:fill="auto"/>
            <w:noWrap/>
            <w:vAlign w:val="center"/>
            <w:hideMark/>
          </w:tcPr>
          <w:p w:rsidR="00F018C6" w:rsidRPr="00AE0C4A" w:rsidRDefault="00F018C6" w:rsidP="00F018C6">
            <w:pPr>
              <w:spacing w:after="0" w:line="240" w:lineRule="auto"/>
              <w:jc w:val="center"/>
              <w:rPr>
                <w:rFonts w:ascii="Calibri" w:eastAsia="Times New Roman" w:hAnsi="Calibri"/>
                <w:color w:val="000000"/>
                <w:lang w:eastAsia="tr-TR"/>
              </w:rPr>
            </w:pPr>
            <w:r w:rsidRPr="00AE0C4A">
              <w:rPr>
                <w:rFonts w:ascii="Calibri" w:eastAsia="Times New Roman" w:hAnsi="Calibri"/>
                <w:color w:val="000000"/>
                <w:lang w:eastAsia="tr-TR"/>
              </w:rPr>
              <w:t xml:space="preserve"> </w:t>
            </w:r>
            <w:r>
              <w:rPr>
                <w:rFonts w:ascii="Calibri" w:eastAsia="Times New Roman" w:hAnsi="Calibri"/>
                <w:color w:val="000000"/>
                <w:lang w:eastAsia="tr-TR"/>
              </w:rPr>
              <w:t>77,09</w:t>
            </w:r>
            <w:r w:rsidRPr="00AE0C4A">
              <w:rPr>
                <w:rFonts w:ascii="Calibri" w:eastAsia="Times New Roman" w:hAnsi="Calibri"/>
                <w:color w:val="000000"/>
                <w:lang w:eastAsia="tr-TR"/>
              </w:rPr>
              <w:t xml:space="preserve"> </w:t>
            </w:r>
          </w:p>
        </w:tc>
      </w:tr>
      <w:tr w:rsidR="00F018C6" w:rsidRPr="00AE0C4A" w:rsidTr="00F018C6">
        <w:trPr>
          <w:trHeight w:hRule="exact" w:val="315"/>
          <w:jc w:val="center"/>
        </w:trPr>
        <w:tc>
          <w:tcPr>
            <w:tcW w:w="1731" w:type="pct"/>
            <w:shd w:val="clear" w:color="auto" w:fill="auto"/>
            <w:vAlign w:val="center"/>
            <w:hideMark/>
          </w:tcPr>
          <w:p w:rsidR="00F018C6" w:rsidRPr="00AE0C4A" w:rsidRDefault="00F018C6" w:rsidP="00F018C6">
            <w:pPr>
              <w:spacing w:after="0" w:line="240" w:lineRule="auto"/>
              <w:rPr>
                <w:rFonts w:ascii="Calibri" w:eastAsia="Times New Roman" w:hAnsi="Calibri"/>
                <w:color w:val="000000"/>
                <w:lang w:eastAsia="tr-TR"/>
              </w:rPr>
            </w:pPr>
            <w:r w:rsidRPr="00AE0C4A">
              <w:rPr>
                <w:rFonts w:ascii="Calibri" w:eastAsia="Times New Roman" w:hAnsi="Calibri"/>
                <w:bCs/>
                <w:color w:val="000000"/>
                <w:lang w:eastAsia="tr-TR"/>
              </w:rPr>
              <w:t>LPG</w:t>
            </w:r>
          </w:p>
        </w:tc>
        <w:tc>
          <w:tcPr>
            <w:tcW w:w="1388" w:type="pct"/>
            <w:shd w:val="clear" w:color="auto" w:fill="auto"/>
            <w:noWrap/>
            <w:vAlign w:val="center"/>
            <w:hideMark/>
          </w:tcPr>
          <w:p w:rsidR="00F018C6" w:rsidRPr="00AE0C4A" w:rsidRDefault="00F018C6" w:rsidP="00F018C6">
            <w:pPr>
              <w:spacing w:after="0" w:line="240" w:lineRule="auto"/>
              <w:jc w:val="right"/>
              <w:rPr>
                <w:rFonts w:ascii="Calibri" w:eastAsia="Times New Roman" w:hAnsi="Calibri"/>
                <w:color w:val="000000"/>
                <w:lang w:eastAsia="tr-TR"/>
              </w:rPr>
            </w:pPr>
            <w:r>
              <w:rPr>
                <w:rFonts w:ascii="Calibri" w:eastAsia="Times New Roman" w:hAnsi="Calibri"/>
                <w:bCs/>
                <w:color w:val="000000"/>
                <w:lang w:eastAsia="tr-TR"/>
              </w:rPr>
              <w:t>2.379</w:t>
            </w:r>
          </w:p>
        </w:tc>
        <w:tc>
          <w:tcPr>
            <w:tcW w:w="1881" w:type="pct"/>
            <w:shd w:val="clear" w:color="auto" w:fill="auto"/>
            <w:noWrap/>
            <w:vAlign w:val="center"/>
            <w:hideMark/>
          </w:tcPr>
          <w:p w:rsidR="00F018C6" w:rsidRPr="00AE0C4A" w:rsidRDefault="00F018C6" w:rsidP="00F018C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3,55</w:t>
            </w:r>
          </w:p>
        </w:tc>
      </w:tr>
      <w:tr w:rsidR="00F018C6" w:rsidRPr="00AE0C4A" w:rsidTr="00F018C6">
        <w:trPr>
          <w:trHeight w:hRule="exact" w:val="315"/>
          <w:jc w:val="center"/>
        </w:trPr>
        <w:tc>
          <w:tcPr>
            <w:tcW w:w="1731" w:type="pct"/>
            <w:shd w:val="clear" w:color="auto" w:fill="auto"/>
            <w:vAlign w:val="center"/>
            <w:hideMark/>
          </w:tcPr>
          <w:p w:rsidR="00F018C6" w:rsidRPr="00AE0C4A" w:rsidRDefault="00F018C6" w:rsidP="00F018C6">
            <w:pPr>
              <w:spacing w:after="0" w:line="240" w:lineRule="auto"/>
              <w:rPr>
                <w:rFonts w:ascii="Calibri" w:eastAsia="Times New Roman" w:hAnsi="Calibri"/>
                <w:color w:val="000000"/>
                <w:lang w:eastAsia="tr-TR"/>
              </w:rPr>
            </w:pPr>
            <w:r w:rsidRPr="00AE0C4A">
              <w:rPr>
                <w:rFonts w:ascii="Calibri" w:eastAsia="Times New Roman" w:hAnsi="Calibri"/>
                <w:bCs/>
                <w:color w:val="000000"/>
                <w:lang w:eastAsia="tr-TR"/>
              </w:rPr>
              <w:t>Kamulaştırma</w:t>
            </w:r>
          </w:p>
        </w:tc>
        <w:tc>
          <w:tcPr>
            <w:tcW w:w="1388" w:type="pct"/>
            <w:shd w:val="clear" w:color="auto" w:fill="auto"/>
            <w:noWrap/>
            <w:vAlign w:val="center"/>
            <w:hideMark/>
          </w:tcPr>
          <w:p w:rsidR="00F018C6" w:rsidRPr="00AE0C4A" w:rsidRDefault="00F018C6" w:rsidP="00F018C6">
            <w:pPr>
              <w:spacing w:after="0" w:line="240" w:lineRule="auto"/>
              <w:jc w:val="right"/>
              <w:rPr>
                <w:rFonts w:ascii="Calibri" w:eastAsia="Times New Roman" w:hAnsi="Calibri"/>
                <w:color w:val="000000"/>
                <w:lang w:eastAsia="tr-TR"/>
              </w:rPr>
            </w:pPr>
            <w:r w:rsidRPr="00AE0C4A">
              <w:rPr>
                <w:rFonts w:ascii="Calibri" w:eastAsia="Times New Roman" w:hAnsi="Calibri"/>
                <w:bCs/>
                <w:color w:val="000000"/>
                <w:lang w:eastAsia="tr-TR"/>
              </w:rPr>
              <w:t xml:space="preserve"> </w:t>
            </w:r>
            <w:r>
              <w:rPr>
                <w:rFonts w:ascii="Calibri" w:eastAsia="Times New Roman" w:hAnsi="Calibri"/>
                <w:bCs/>
                <w:color w:val="000000"/>
                <w:lang w:eastAsia="tr-TR"/>
              </w:rPr>
              <w:t>1.928</w:t>
            </w:r>
            <w:r w:rsidRPr="00AE0C4A">
              <w:rPr>
                <w:rFonts w:ascii="Calibri" w:eastAsia="Times New Roman" w:hAnsi="Calibri"/>
                <w:bCs/>
                <w:color w:val="000000"/>
                <w:lang w:eastAsia="tr-TR"/>
              </w:rPr>
              <w:t xml:space="preserve"> </w:t>
            </w:r>
          </w:p>
        </w:tc>
        <w:tc>
          <w:tcPr>
            <w:tcW w:w="1881" w:type="pct"/>
            <w:shd w:val="clear" w:color="auto" w:fill="auto"/>
            <w:noWrap/>
            <w:vAlign w:val="center"/>
            <w:hideMark/>
          </w:tcPr>
          <w:p w:rsidR="00F018C6" w:rsidRPr="00AE0C4A" w:rsidRDefault="00F018C6" w:rsidP="00F018C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2,88</w:t>
            </w:r>
          </w:p>
        </w:tc>
      </w:tr>
      <w:tr w:rsidR="00F018C6" w:rsidRPr="00AE0C4A" w:rsidTr="00F018C6">
        <w:trPr>
          <w:trHeight w:hRule="exact" w:val="315"/>
          <w:jc w:val="center"/>
        </w:trPr>
        <w:tc>
          <w:tcPr>
            <w:tcW w:w="1731" w:type="pct"/>
            <w:shd w:val="clear" w:color="auto" w:fill="auto"/>
            <w:vAlign w:val="center"/>
            <w:hideMark/>
          </w:tcPr>
          <w:p w:rsidR="00F018C6" w:rsidRPr="00AE0C4A" w:rsidRDefault="00F018C6" w:rsidP="00F018C6">
            <w:pPr>
              <w:spacing w:after="0" w:line="240" w:lineRule="auto"/>
              <w:rPr>
                <w:rFonts w:ascii="Calibri" w:eastAsia="Times New Roman" w:hAnsi="Calibri"/>
                <w:color w:val="000000"/>
                <w:lang w:eastAsia="tr-TR"/>
              </w:rPr>
            </w:pPr>
            <w:r w:rsidRPr="00AE0C4A">
              <w:rPr>
                <w:rFonts w:ascii="Calibri" w:eastAsia="Times New Roman" w:hAnsi="Calibri"/>
                <w:bCs/>
                <w:color w:val="000000"/>
                <w:lang w:eastAsia="tr-TR"/>
              </w:rPr>
              <w:t>Diğer</w:t>
            </w:r>
          </w:p>
        </w:tc>
        <w:tc>
          <w:tcPr>
            <w:tcW w:w="1388" w:type="pct"/>
            <w:shd w:val="clear" w:color="auto" w:fill="auto"/>
            <w:noWrap/>
            <w:vAlign w:val="center"/>
            <w:hideMark/>
          </w:tcPr>
          <w:p w:rsidR="00F018C6" w:rsidRPr="00AE0C4A" w:rsidRDefault="00F018C6" w:rsidP="00F018C6">
            <w:pPr>
              <w:spacing w:after="0" w:line="240" w:lineRule="auto"/>
              <w:jc w:val="right"/>
              <w:rPr>
                <w:rFonts w:ascii="Calibri" w:eastAsia="Times New Roman" w:hAnsi="Calibri"/>
                <w:color w:val="000000"/>
                <w:lang w:eastAsia="tr-TR"/>
              </w:rPr>
            </w:pPr>
            <w:r>
              <w:rPr>
                <w:rFonts w:ascii="Calibri" w:eastAsia="Times New Roman" w:hAnsi="Calibri"/>
                <w:bCs/>
                <w:color w:val="000000"/>
                <w:lang w:eastAsia="tr-TR"/>
              </w:rPr>
              <w:t>748</w:t>
            </w:r>
          </w:p>
        </w:tc>
        <w:tc>
          <w:tcPr>
            <w:tcW w:w="1881" w:type="pct"/>
            <w:shd w:val="clear" w:color="auto" w:fill="auto"/>
            <w:noWrap/>
            <w:vAlign w:val="center"/>
            <w:hideMark/>
          </w:tcPr>
          <w:p w:rsidR="00F018C6" w:rsidRPr="00AE0C4A" w:rsidRDefault="00F018C6" w:rsidP="00F018C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1,12</w:t>
            </w:r>
          </w:p>
        </w:tc>
      </w:tr>
      <w:tr w:rsidR="00F018C6" w:rsidRPr="00AE0C4A" w:rsidTr="00F018C6">
        <w:trPr>
          <w:trHeight w:hRule="exact" w:val="315"/>
          <w:jc w:val="center"/>
        </w:trPr>
        <w:tc>
          <w:tcPr>
            <w:tcW w:w="1731" w:type="pct"/>
            <w:shd w:val="clear" w:color="auto" w:fill="auto"/>
            <w:vAlign w:val="center"/>
            <w:hideMark/>
          </w:tcPr>
          <w:p w:rsidR="00F018C6" w:rsidRPr="00AE0C4A" w:rsidRDefault="00F018C6" w:rsidP="00F018C6">
            <w:pPr>
              <w:spacing w:after="0" w:line="240" w:lineRule="auto"/>
              <w:rPr>
                <w:rFonts w:ascii="Calibri" w:eastAsia="Times New Roman" w:hAnsi="Calibri"/>
                <w:b/>
                <w:bCs/>
                <w:color w:val="000000"/>
                <w:lang w:eastAsia="tr-TR"/>
              </w:rPr>
            </w:pPr>
            <w:r w:rsidRPr="00AE0C4A">
              <w:rPr>
                <w:rFonts w:ascii="Calibri" w:eastAsia="Times New Roman" w:hAnsi="Calibri"/>
                <w:b/>
                <w:bCs/>
                <w:color w:val="000000"/>
                <w:lang w:eastAsia="tr-TR"/>
              </w:rPr>
              <w:t>TOPLAM</w:t>
            </w:r>
          </w:p>
        </w:tc>
        <w:tc>
          <w:tcPr>
            <w:tcW w:w="1388" w:type="pct"/>
            <w:shd w:val="clear" w:color="auto" w:fill="auto"/>
            <w:noWrap/>
            <w:vAlign w:val="center"/>
            <w:hideMark/>
          </w:tcPr>
          <w:p w:rsidR="00F018C6" w:rsidRPr="00AE0C4A" w:rsidRDefault="00F018C6" w:rsidP="00F018C6">
            <w:pPr>
              <w:spacing w:after="0" w:line="240" w:lineRule="auto"/>
              <w:jc w:val="right"/>
              <w:rPr>
                <w:rFonts w:ascii="Calibri" w:eastAsia="Times New Roman" w:hAnsi="Calibri"/>
                <w:b/>
                <w:bCs/>
                <w:color w:val="000000"/>
                <w:lang w:eastAsia="tr-TR"/>
              </w:rPr>
            </w:pPr>
            <w:r>
              <w:rPr>
                <w:rFonts w:ascii="Calibri" w:eastAsia="Times New Roman" w:hAnsi="Calibri"/>
                <w:b/>
                <w:bCs/>
                <w:color w:val="000000"/>
                <w:lang w:eastAsia="tr-TR"/>
              </w:rPr>
              <w:t>67.006</w:t>
            </w:r>
          </w:p>
        </w:tc>
        <w:tc>
          <w:tcPr>
            <w:tcW w:w="1881" w:type="pct"/>
            <w:shd w:val="clear" w:color="auto" w:fill="auto"/>
            <w:vAlign w:val="center"/>
            <w:hideMark/>
          </w:tcPr>
          <w:p w:rsidR="00F018C6" w:rsidRPr="00AE0C4A" w:rsidRDefault="00F018C6" w:rsidP="00F018C6">
            <w:pPr>
              <w:spacing w:after="0" w:line="240" w:lineRule="auto"/>
              <w:jc w:val="center"/>
              <w:rPr>
                <w:rFonts w:ascii="Calibri" w:eastAsia="Times New Roman" w:hAnsi="Calibri"/>
                <w:b/>
                <w:bCs/>
                <w:color w:val="000000"/>
                <w:lang w:eastAsia="tr-TR"/>
              </w:rPr>
            </w:pPr>
            <w:r w:rsidRPr="00AE0C4A">
              <w:rPr>
                <w:rFonts w:ascii="Calibri" w:eastAsia="Times New Roman" w:hAnsi="Calibri"/>
                <w:b/>
                <w:bCs/>
                <w:color w:val="000000"/>
                <w:lang w:eastAsia="tr-TR"/>
              </w:rPr>
              <w:t>100</w:t>
            </w:r>
          </w:p>
        </w:tc>
      </w:tr>
    </w:tbl>
    <w:p w:rsidR="00F018C6" w:rsidRPr="00AE0C4A" w:rsidRDefault="00F018C6" w:rsidP="00F018C6">
      <w:pPr>
        <w:spacing w:after="0" w:line="240" w:lineRule="auto"/>
        <w:rPr>
          <w:rFonts w:ascii="Calibri" w:eastAsia="Times New Roman" w:hAnsi="Calibri"/>
          <w:b/>
          <w:bCs/>
          <w:color w:val="000000"/>
          <w:lang w:eastAsia="tr-TR"/>
        </w:rPr>
      </w:pPr>
    </w:p>
    <w:p w:rsidR="00F018C6" w:rsidRPr="008102B6" w:rsidRDefault="00F018C6" w:rsidP="008102B6">
      <w:pPr>
        <w:pStyle w:val="Balk5"/>
        <w:spacing w:after="240"/>
        <w:jc w:val="center"/>
        <w:rPr>
          <w:rStyle w:val="Gl"/>
          <w:bCs w:val="0"/>
          <w:color w:val="auto"/>
        </w:rPr>
      </w:pPr>
      <w:bookmarkStart w:id="390" w:name="_Toc94703940"/>
      <w:bookmarkStart w:id="391" w:name="_Toc132713946"/>
      <w:r w:rsidRPr="008102B6">
        <w:rPr>
          <w:rStyle w:val="Gl"/>
          <w:bCs w:val="0"/>
          <w:color w:val="auto"/>
        </w:rPr>
        <w:t>Tablo 8.3: 2022 Yılında Kurumumuzun Taraf Olduğu Davaların Dağılımı</w:t>
      </w:r>
      <w:bookmarkEnd w:id="390"/>
      <w:bookmarkEnd w:id="391"/>
    </w:p>
    <w:tbl>
      <w:tblPr>
        <w:tblW w:w="3169"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70" w:type="dxa"/>
          <w:right w:w="70" w:type="dxa"/>
        </w:tblCellMar>
        <w:tblLook w:val="04A0" w:firstRow="1" w:lastRow="0" w:firstColumn="1" w:lastColumn="0" w:noHBand="0" w:noVBand="1"/>
      </w:tblPr>
      <w:tblGrid>
        <w:gridCol w:w="2263"/>
        <w:gridCol w:w="1701"/>
        <w:gridCol w:w="2318"/>
      </w:tblGrid>
      <w:tr w:rsidR="00F018C6" w:rsidRPr="00AE0C4A" w:rsidTr="00F018C6">
        <w:trPr>
          <w:trHeight w:hRule="exact" w:val="615"/>
          <w:jc w:val="center"/>
        </w:trPr>
        <w:tc>
          <w:tcPr>
            <w:tcW w:w="1801" w:type="pct"/>
            <w:shd w:val="clear" w:color="000000" w:fill="6E9ECA"/>
            <w:vAlign w:val="center"/>
            <w:hideMark/>
          </w:tcPr>
          <w:p w:rsidR="00F018C6" w:rsidRPr="00AE0C4A" w:rsidRDefault="00F018C6" w:rsidP="00F018C6">
            <w:pPr>
              <w:spacing w:after="0" w:line="240" w:lineRule="auto"/>
              <w:jc w:val="center"/>
              <w:rPr>
                <w:rFonts w:ascii="Calibri" w:eastAsia="Times New Roman" w:hAnsi="Calibri"/>
                <w:b/>
                <w:bCs/>
                <w:color w:val="FFFFFF"/>
                <w:lang w:eastAsia="tr-TR"/>
              </w:rPr>
            </w:pPr>
            <w:r w:rsidRPr="00AE0C4A">
              <w:rPr>
                <w:rFonts w:ascii="Calibri" w:eastAsia="Times New Roman" w:hAnsi="Calibri"/>
                <w:b/>
                <w:bCs/>
                <w:color w:val="FFFFFF"/>
                <w:lang w:eastAsia="tr-TR"/>
              </w:rPr>
              <w:t>Dava Türü</w:t>
            </w:r>
          </w:p>
        </w:tc>
        <w:tc>
          <w:tcPr>
            <w:tcW w:w="1354" w:type="pct"/>
            <w:shd w:val="clear" w:color="000000" w:fill="6E9ECA"/>
            <w:vAlign w:val="center"/>
            <w:hideMark/>
          </w:tcPr>
          <w:p w:rsidR="00F018C6" w:rsidRPr="00AE0C4A" w:rsidRDefault="00F018C6" w:rsidP="00F018C6">
            <w:pPr>
              <w:spacing w:after="0" w:line="240" w:lineRule="auto"/>
              <w:jc w:val="center"/>
              <w:rPr>
                <w:rFonts w:ascii="Calibri" w:eastAsia="Times New Roman" w:hAnsi="Calibri"/>
                <w:b/>
                <w:bCs/>
                <w:color w:val="FFFFFF"/>
                <w:lang w:eastAsia="tr-TR"/>
              </w:rPr>
            </w:pPr>
            <w:r w:rsidRPr="00AE0C4A">
              <w:rPr>
                <w:rFonts w:ascii="Calibri" w:eastAsia="Times New Roman" w:hAnsi="Calibri"/>
                <w:b/>
                <w:bCs/>
                <w:color w:val="FFFFFF"/>
                <w:lang w:eastAsia="tr-TR"/>
              </w:rPr>
              <w:t>Dava Sayısı</w:t>
            </w:r>
          </w:p>
        </w:tc>
        <w:tc>
          <w:tcPr>
            <w:tcW w:w="1845" w:type="pct"/>
            <w:shd w:val="clear" w:color="000000" w:fill="6E9ECA"/>
            <w:vAlign w:val="center"/>
            <w:hideMark/>
          </w:tcPr>
          <w:p w:rsidR="00F018C6" w:rsidRPr="00AE0C4A" w:rsidRDefault="00F018C6" w:rsidP="00F018C6">
            <w:pPr>
              <w:spacing w:after="0" w:line="240" w:lineRule="auto"/>
              <w:jc w:val="center"/>
              <w:rPr>
                <w:rFonts w:ascii="Calibri" w:eastAsia="Times New Roman" w:hAnsi="Calibri"/>
                <w:b/>
                <w:bCs/>
                <w:color w:val="FFFFFF"/>
                <w:lang w:eastAsia="tr-TR"/>
              </w:rPr>
            </w:pPr>
            <w:r w:rsidRPr="00AE0C4A">
              <w:rPr>
                <w:rFonts w:ascii="Calibri" w:eastAsia="Times New Roman" w:hAnsi="Calibri"/>
                <w:b/>
                <w:bCs/>
                <w:color w:val="FFFFFF"/>
                <w:lang w:eastAsia="tr-TR"/>
              </w:rPr>
              <w:t>Oran (%)</w:t>
            </w:r>
          </w:p>
        </w:tc>
      </w:tr>
      <w:tr w:rsidR="00F018C6" w:rsidRPr="00AE0C4A" w:rsidTr="00F018C6">
        <w:trPr>
          <w:trHeight w:hRule="exact" w:val="315"/>
          <w:jc w:val="center"/>
        </w:trPr>
        <w:tc>
          <w:tcPr>
            <w:tcW w:w="1801" w:type="pct"/>
            <w:shd w:val="clear" w:color="auto" w:fill="auto"/>
            <w:vAlign w:val="center"/>
            <w:hideMark/>
          </w:tcPr>
          <w:p w:rsidR="00F018C6" w:rsidRPr="00AE0C4A" w:rsidRDefault="00F018C6" w:rsidP="00F018C6">
            <w:pPr>
              <w:spacing w:after="0" w:line="240" w:lineRule="auto"/>
              <w:rPr>
                <w:rFonts w:ascii="Calibri" w:eastAsia="Times New Roman" w:hAnsi="Calibri"/>
                <w:color w:val="000000"/>
                <w:lang w:eastAsia="tr-TR"/>
              </w:rPr>
            </w:pPr>
            <w:r w:rsidRPr="00AE0C4A">
              <w:rPr>
                <w:rFonts w:ascii="Calibri" w:eastAsia="Times New Roman" w:hAnsi="Calibri"/>
                <w:color w:val="000000"/>
                <w:lang w:eastAsia="tr-TR"/>
              </w:rPr>
              <w:t>Ceza Davaları</w:t>
            </w:r>
          </w:p>
        </w:tc>
        <w:tc>
          <w:tcPr>
            <w:tcW w:w="1354" w:type="pct"/>
            <w:shd w:val="clear" w:color="auto" w:fill="auto"/>
            <w:noWrap/>
            <w:vAlign w:val="center"/>
            <w:hideMark/>
          </w:tcPr>
          <w:p w:rsidR="00F018C6" w:rsidRPr="00AE0C4A" w:rsidRDefault="00F018C6" w:rsidP="00F018C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1.043</w:t>
            </w:r>
          </w:p>
        </w:tc>
        <w:tc>
          <w:tcPr>
            <w:tcW w:w="1845" w:type="pct"/>
            <w:shd w:val="clear" w:color="auto" w:fill="auto"/>
            <w:noWrap/>
            <w:vAlign w:val="center"/>
            <w:hideMark/>
          </w:tcPr>
          <w:p w:rsidR="00F018C6" w:rsidRPr="00AE0C4A" w:rsidRDefault="00F018C6" w:rsidP="00F018C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26,45</w:t>
            </w:r>
          </w:p>
        </w:tc>
      </w:tr>
      <w:tr w:rsidR="00F018C6" w:rsidRPr="00AE0C4A" w:rsidTr="00F018C6">
        <w:trPr>
          <w:trHeight w:hRule="exact" w:val="315"/>
          <w:jc w:val="center"/>
        </w:trPr>
        <w:tc>
          <w:tcPr>
            <w:tcW w:w="1801" w:type="pct"/>
            <w:shd w:val="clear" w:color="auto" w:fill="auto"/>
            <w:vAlign w:val="center"/>
            <w:hideMark/>
          </w:tcPr>
          <w:p w:rsidR="00F018C6" w:rsidRPr="00AE0C4A" w:rsidRDefault="00F018C6" w:rsidP="00F018C6">
            <w:pPr>
              <w:spacing w:after="0" w:line="240" w:lineRule="auto"/>
              <w:rPr>
                <w:rFonts w:ascii="Calibri" w:eastAsia="Times New Roman" w:hAnsi="Calibri"/>
                <w:color w:val="000000"/>
                <w:lang w:eastAsia="tr-TR"/>
              </w:rPr>
            </w:pPr>
            <w:r w:rsidRPr="00AE0C4A">
              <w:rPr>
                <w:rFonts w:ascii="Calibri" w:eastAsia="Times New Roman" w:hAnsi="Calibri"/>
                <w:color w:val="000000"/>
                <w:lang w:eastAsia="tr-TR"/>
              </w:rPr>
              <w:t>İdari Davalar</w:t>
            </w:r>
          </w:p>
        </w:tc>
        <w:tc>
          <w:tcPr>
            <w:tcW w:w="1354" w:type="pct"/>
            <w:shd w:val="clear" w:color="auto" w:fill="auto"/>
            <w:noWrap/>
            <w:vAlign w:val="center"/>
            <w:hideMark/>
          </w:tcPr>
          <w:p w:rsidR="00F018C6" w:rsidRPr="00AE0C4A" w:rsidRDefault="00F018C6" w:rsidP="00F018C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2.416</w:t>
            </w:r>
          </w:p>
        </w:tc>
        <w:tc>
          <w:tcPr>
            <w:tcW w:w="1845" w:type="pct"/>
            <w:shd w:val="clear" w:color="auto" w:fill="auto"/>
            <w:noWrap/>
            <w:vAlign w:val="center"/>
            <w:hideMark/>
          </w:tcPr>
          <w:p w:rsidR="00F018C6" w:rsidRPr="00AE0C4A" w:rsidRDefault="00F018C6" w:rsidP="00F018C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61,28</w:t>
            </w:r>
          </w:p>
        </w:tc>
      </w:tr>
      <w:tr w:rsidR="00F018C6" w:rsidRPr="00AE0C4A" w:rsidTr="00F018C6">
        <w:trPr>
          <w:trHeight w:hRule="exact" w:val="315"/>
          <w:jc w:val="center"/>
        </w:trPr>
        <w:tc>
          <w:tcPr>
            <w:tcW w:w="1801" w:type="pct"/>
            <w:shd w:val="clear" w:color="auto" w:fill="auto"/>
            <w:vAlign w:val="center"/>
            <w:hideMark/>
          </w:tcPr>
          <w:p w:rsidR="00F018C6" w:rsidRPr="00AE0C4A" w:rsidRDefault="00F018C6" w:rsidP="00F018C6">
            <w:pPr>
              <w:spacing w:after="0" w:line="240" w:lineRule="auto"/>
              <w:rPr>
                <w:rFonts w:ascii="Calibri" w:eastAsia="Times New Roman" w:hAnsi="Calibri"/>
                <w:color w:val="000000"/>
                <w:lang w:eastAsia="tr-TR"/>
              </w:rPr>
            </w:pPr>
            <w:r w:rsidRPr="00AE0C4A">
              <w:rPr>
                <w:rFonts w:ascii="Calibri" w:eastAsia="Times New Roman" w:hAnsi="Calibri"/>
                <w:color w:val="000000"/>
                <w:lang w:eastAsia="tr-TR"/>
              </w:rPr>
              <w:t>Hukuk Davaları</w:t>
            </w:r>
          </w:p>
        </w:tc>
        <w:tc>
          <w:tcPr>
            <w:tcW w:w="1354" w:type="pct"/>
            <w:shd w:val="clear" w:color="auto" w:fill="auto"/>
            <w:noWrap/>
            <w:vAlign w:val="center"/>
            <w:hideMark/>
          </w:tcPr>
          <w:p w:rsidR="00F018C6" w:rsidRPr="00AE0C4A" w:rsidRDefault="00F018C6" w:rsidP="00F018C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484</w:t>
            </w:r>
          </w:p>
        </w:tc>
        <w:tc>
          <w:tcPr>
            <w:tcW w:w="1845" w:type="pct"/>
            <w:shd w:val="clear" w:color="auto" w:fill="auto"/>
            <w:noWrap/>
            <w:vAlign w:val="center"/>
            <w:hideMark/>
          </w:tcPr>
          <w:p w:rsidR="00F018C6" w:rsidRPr="00AE0C4A" w:rsidRDefault="00F018C6" w:rsidP="00F018C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12,27</w:t>
            </w:r>
          </w:p>
        </w:tc>
      </w:tr>
      <w:tr w:rsidR="00F018C6" w:rsidRPr="00AE0C4A" w:rsidTr="00F018C6">
        <w:trPr>
          <w:trHeight w:hRule="exact" w:val="315"/>
          <w:jc w:val="center"/>
        </w:trPr>
        <w:tc>
          <w:tcPr>
            <w:tcW w:w="1801" w:type="pct"/>
            <w:shd w:val="clear" w:color="auto" w:fill="auto"/>
            <w:vAlign w:val="center"/>
            <w:hideMark/>
          </w:tcPr>
          <w:p w:rsidR="00F018C6" w:rsidRPr="00AE0C4A" w:rsidRDefault="00F018C6" w:rsidP="00F018C6">
            <w:pPr>
              <w:spacing w:after="0" w:line="240" w:lineRule="auto"/>
              <w:rPr>
                <w:rFonts w:ascii="Calibri" w:eastAsia="Times New Roman" w:hAnsi="Calibri"/>
                <w:b/>
                <w:bCs/>
                <w:color w:val="000000"/>
                <w:lang w:eastAsia="tr-TR"/>
              </w:rPr>
            </w:pPr>
            <w:r w:rsidRPr="00AE0C4A">
              <w:rPr>
                <w:rFonts w:ascii="Calibri" w:eastAsia="Times New Roman" w:hAnsi="Calibri"/>
                <w:b/>
                <w:bCs/>
                <w:color w:val="000000"/>
                <w:lang w:eastAsia="tr-TR"/>
              </w:rPr>
              <w:t>TOPLAM</w:t>
            </w:r>
          </w:p>
        </w:tc>
        <w:tc>
          <w:tcPr>
            <w:tcW w:w="1354" w:type="pct"/>
            <w:shd w:val="clear" w:color="auto" w:fill="auto"/>
            <w:noWrap/>
            <w:vAlign w:val="center"/>
            <w:hideMark/>
          </w:tcPr>
          <w:p w:rsidR="00F018C6" w:rsidRPr="00AE0C4A" w:rsidRDefault="00F018C6" w:rsidP="00F018C6">
            <w:pPr>
              <w:spacing w:after="0" w:line="240" w:lineRule="auto"/>
              <w:jc w:val="right"/>
              <w:rPr>
                <w:rFonts w:ascii="Calibri" w:eastAsia="Times New Roman" w:hAnsi="Calibri"/>
                <w:b/>
                <w:bCs/>
                <w:color w:val="000000"/>
                <w:lang w:eastAsia="tr-TR"/>
              </w:rPr>
            </w:pPr>
            <w:r>
              <w:rPr>
                <w:rFonts w:ascii="Calibri" w:eastAsia="Times New Roman" w:hAnsi="Calibri"/>
                <w:b/>
                <w:bCs/>
                <w:color w:val="000000"/>
                <w:lang w:eastAsia="tr-TR"/>
              </w:rPr>
              <w:t>3.943</w:t>
            </w:r>
          </w:p>
        </w:tc>
        <w:tc>
          <w:tcPr>
            <w:tcW w:w="1845" w:type="pct"/>
            <w:shd w:val="clear" w:color="auto" w:fill="auto"/>
            <w:vAlign w:val="center"/>
            <w:hideMark/>
          </w:tcPr>
          <w:p w:rsidR="00F018C6" w:rsidRPr="00AE0C4A" w:rsidRDefault="00F018C6" w:rsidP="00F018C6">
            <w:pPr>
              <w:spacing w:after="0" w:line="240" w:lineRule="auto"/>
              <w:jc w:val="center"/>
              <w:rPr>
                <w:rFonts w:ascii="Calibri" w:eastAsia="Times New Roman" w:hAnsi="Calibri"/>
                <w:b/>
                <w:bCs/>
                <w:color w:val="000000"/>
                <w:lang w:eastAsia="tr-TR"/>
              </w:rPr>
            </w:pPr>
            <w:r w:rsidRPr="00AE0C4A">
              <w:rPr>
                <w:rFonts w:ascii="Calibri" w:eastAsia="Times New Roman" w:hAnsi="Calibri"/>
                <w:b/>
                <w:bCs/>
                <w:color w:val="000000"/>
                <w:lang w:eastAsia="tr-TR"/>
              </w:rPr>
              <w:t>100</w:t>
            </w:r>
          </w:p>
        </w:tc>
      </w:tr>
    </w:tbl>
    <w:p w:rsidR="00551243" w:rsidRDefault="00551243" w:rsidP="00FB6EAC">
      <w:pPr>
        <w:autoSpaceDE w:val="0"/>
        <w:autoSpaceDN w:val="0"/>
        <w:adjustRightInd w:val="0"/>
        <w:spacing w:after="0"/>
        <w:rPr>
          <w:bCs/>
          <w:color w:val="000000" w:themeColor="text1"/>
        </w:rPr>
      </w:pPr>
    </w:p>
    <w:p w:rsidR="0063730C" w:rsidRDefault="00FB6EAC" w:rsidP="00FB6EAC">
      <w:pPr>
        <w:autoSpaceDE w:val="0"/>
        <w:autoSpaceDN w:val="0"/>
        <w:adjustRightInd w:val="0"/>
        <w:spacing w:after="0"/>
        <w:rPr>
          <w:bCs/>
          <w:color w:val="000000" w:themeColor="text1"/>
        </w:rPr>
      </w:pPr>
      <w:r w:rsidRPr="00E9291A">
        <w:rPr>
          <w:bCs/>
          <w:color w:val="000000" w:themeColor="text1"/>
        </w:rPr>
        <w:t>Tablolardan anlaşılacağı üzere Kurum</w:t>
      </w:r>
      <w:r>
        <w:rPr>
          <w:bCs/>
          <w:color w:val="000000" w:themeColor="text1"/>
        </w:rPr>
        <w:t>u</w:t>
      </w:r>
      <w:r w:rsidRPr="00E9291A">
        <w:rPr>
          <w:bCs/>
          <w:color w:val="000000" w:themeColor="text1"/>
        </w:rPr>
        <w:t xml:space="preserve">n taraf olduğu davaların büyük kısmı, petrol piyasası ile ilgilidir. </w:t>
      </w:r>
      <w:r w:rsidR="0063730C">
        <w:rPr>
          <w:bCs/>
          <w:color w:val="000000" w:themeColor="text1"/>
        </w:rPr>
        <w:t>Bu durumun p</w:t>
      </w:r>
      <w:r>
        <w:rPr>
          <w:bCs/>
          <w:color w:val="000000" w:themeColor="text1"/>
        </w:rPr>
        <w:t>etrol piyasasında, lisanslı aktör sayısının fazla olmasından kaynaklandığı değerlendirilmektedir.</w:t>
      </w:r>
    </w:p>
    <w:p w:rsidR="00931DEA" w:rsidRDefault="00931DEA" w:rsidP="00FB6EAC">
      <w:pPr>
        <w:autoSpaceDE w:val="0"/>
        <w:autoSpaceDN w:val="0"/>
        <w:adjustRightInd w:val="0"/>
        <w:spacing w:after="0"/>
        <w:rPr>
          <w:bCs/>
          <w:color w:val="000000" w:themeColor="text1"/>
        </w:rPr>
      </w:pPr>
    </w:p>
    <w:p w:rsidR="00931DEA" w:rsidRDefault="00931DEA" w:rsidP="00FB6EAC">
      <w:pPr>
        <w:autoSpaceDE w:val="0"/>
        <w:autoSpaceDN w:val="0"/>
        <w:adjustRightInd w:val="0"/>
        <w:spacing w:after="0"/>
        <w:rPr>
          <w:bCs/>
          <w:color w:val="000000" w:themeColor="text1"/>
        </w:rPr>
      </w:pPr>
    </w:p>
    <w:p w:rsidR="00931DEA" w:rsidRDefault="00931DEA" w:rsidP="00FB6EAC">
      <w:pPr>
        <w:autoSpaceDE w:val="0"/>
        <w:autoSpaceDN w:val="0"/>
        <w:adjustRightInd w:val="0"/>
        <w:spacing w:after="0"/>
        <w:rPr>
          <w:bCs/>
          <w:color w:val="000000" w:themeColor="text1"/>
        </w:rPr>
      </w:pPr>
    </w:p>
    <w:p w:rsidR="00931DEA" w:rsidRDefault="00931DEA" w:rsidP="00FB6EAC">
      <w:pPr>
        <w:autoSpaceDE w:val="0"/>
        <w:autoSpaceDN w:val="0"/>
        <w:adjustRightInd w:val="0"/>
        <w:spacing w:after="0"/>
        <w:rPr>
          <w:bCs/>
          <w:color w:val="000000" w:themeColor="text1"/>
        </w:rPr>
      </w:pPr>
    </w:p>
    <w:p w:rsidR="00931DEA" w:rsidRDefault="00931DEA" w:rsidP="00FB6EAC">
      <w:pPr>
        <w:autoSpaceDE w:val="0"/>
        <w:autoSpaceDN w:val="0"/>
        <w:adjustRightInd w:val="0"/>
        <w:spacing w:after="0"/>
        <w:rPr>
          <w:bCs/>
          <w:color w:val="000000" w:themeColor="text1"/>
        </w:rPr>
      </w:pPr>
    </w:p>
    <w:p w:rsidR="00931DEA" w:rsidRDefault="00931DEA" w:rsidP="00FB6EAC">
      <w:pPr>
        <w:autoSpaceDE w:val="0"/>
        <w:autoSpaceDN w:val="0"/>
        <w:adjustRightInd w:val="0"/>
        <w:spacing w:after="0"/>
        <w:rPr>
          <w:bCs/>
          <w:color w:val="000000" w:themeColor="text1"/>
        </w:rPr>
      </w:pPr>
    </w:p>
    <w:p w:rsidR="00FB6EAC" w:rsidRDefault="00FB6EAC" w:rsidP="00FB6EAC">
      <w:pPr>
        <w:pStyle w:val="Balk5"/>
        <w:jc w:val="center"/>
        <w:rPr>
          <w:rStyle w:val="Gl"/>
          <w:color w:val="auto"/>
        </w:rPr>
      </w:pPr>
      <w:bookmarkStart w:id="392" w:name="_Toc132713947"/>
      <w:r w:rsidRPr="00691065">
        <w:rPr>
          <w:rStyle w:val="Gl"/>
          <w:color w:val="auto"/>
        </w:rPr>
        <w:lastRenderedPageBreak/>
        <w:t>Şekil 8.1</w:t>
      </w:r>
      <w:r w:rsidRPr="00633961">
        <w:rPr>
          <w:rStyle w:val="Gl"/>
          <w:color w:val="auto"/>
        </w:rPr>
        <w:t>: Yıllar İtibar</w:t>
      </w:r>
      <w:r w:rsidR="0032372F">
        <w:rPr>
          <w:rStyle w:val="Gl"/>
          <w:color w:val="auto"/>
        </w:rPr>
        <w:t>ı</w:t>
      </w:r>
      <w:r w:rsidRPr="00633961">
        <w:rPr>
          <w:rStyle w:val="Gl"/>
          <w:color w:val="auto"/>
        </w:rPr>
        <w:t>yl</w:t>
      </w:r>
      <w:r w:rsidR="0032372F">
        <w:rPr>
          <w:rStyle w:val="Gl"/>
          <w:color w:val="auto"/>
        </w:rPr>
        <w:t>a</w:t>
      </w:r>
      <w:r w:rsidRPr="00633961">
        <w:rPr>
          <w:rStyle w:val="Gl"/>
          <w:color w:val="auto"/>
        </w:rPr>
        <w:t xml:space="preserve"> Kurum</w:t>
      </w:r>
      <w:r w:rsidR="009E1BC5">
        <w:rPr>
          <w:rStyle w:val="Gl"/>
          <w:color w:val="auto"/>
        </w:rPr>
        <w:t xml:space="preserve">a </w:t>
      </w:r>
      <w:r w:rsidRPr="00633961">
        <w:rPr>
          <w:rStyle w:val="Gl"/>
          <w:color w:val="auto"/>
        </w:rPr>
        <w:t>Açılan Davaların Piyasa Bazında Dağılımı</w:t>
      </w:r>
      <w:bookmarkEnd w:id="392"/>
    </w:p>
    <w:p w:rsidR="00FB6EAC" w:rsidRDefault="00F018C6" w:rsidP="00FB6EAC">
      <w:pPr>
        <w:spacing w:after="0" w:line="240" w:lineRule="auto"/>
        <w:rPr>
          <w:color w:val="000000" w:themeColor="text1"/>
          <w:highlight w:val="yellow"/>
        </w:rPr>
      </w:pPr>
      <w:r w:rsidRPr="00AE0C4A">
        <w:rPr>
          <w:rFonts w:ascii="Calibri" w:hAnsi="Calibri"/>
          <w:noProof/>
          <w:color w:val="000000"/>
          <w:highlight w:val="yellow"/>
          <w:lang w:eastAsia="tr-TR"/>
        </w:rPr>
        <w:drawing>
          <wp:inline distT="0" distB="0" distL="0" distR="0" wp14:anchorId="1CE8C9FA" wp14:editId="299948EC">
            <wp:extent cx="6158865" cy="3335731"/>
            <wp:effectExtent l="0" t="0" r="13335" b="17145"/>
            <wp:docPr id="6" name="Grafik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F018C6" w:rsidRDefault="00F018C6" w:rsidP="00FB6EAC">
      <w:pPr>
        <w:spacing w:after="0" w:line="240" w:lineRule="auto"/>
        <w:rPr>
          <w:color w:val="000000" w:themeColor="text1"/>
        </w:rPr>
      </w:pPr>
    </w:p>
    <w:p w:rsidR="00F018C6" w:rsidRPr="00AE0C4A" w:rsidRDefault="00F018C6" w:rsidP="00F018C6">
      <w:pPr>
        <w:spacing w:after="0" w:line="240" w:lineRule="auto"/>
        <w:rPr>
          <w:rFonts w:ascii="Calibri" w:hAnsi="Calibri"/>
          <w:color w:val="000000"/>
        </w:rPr>
      </w:pPr>
      <w:r w:rsidRPr="00A20F85">
        <w:rPr>
          <w:rFonts w:ascii="Calibri" w:hAnsi="Calibri"/>
          <w:color w:val="000000"/>
        </w:rPr>
        <w:t>202</w:t>
      </w:r>
      <w:r>
        <w:rPr>
          <w:rFonts w:ascii="Calibri" w:hAnsi="Calibri"/>
          <w:color w:val="000000"/>
        </w:rPr>
        <w:t>2</w:t>
      </w:r>
      <w:r w:rsidRPr="00A20F85">
        <w:rPr>
          <w:rFonts w:ascii="Calibri" w:hAnsi="Calibri"/>
          <w:color w:val="000000"/>
        </w:rPr>
        <w:t xml:space="preserve"> yılında;</w:t>
      </w:r>
    </w:p>
    <w:p w:rsidR="00F018C6" w:rsidRPr="00AE0C4A" w:rsidRDefault="00F018C6" w:rsidP="00F018C6">
      <w:pPr>
        <w:spacing w:after="0" w:line="240" w:lineRule="auto"/>
        <w:rPr>
          <w:rFonts w:ascii="Calibri" w:hAnsi="Calibri"/>
          <w:color w:val="000000"/>
        </w:rPr>
      </w:pPr>
    </w:p>
    <w:p w:rsidR="00F018C6" w:rsidRPr="00AE0C4A" w:rsidRDefault="00F018C6" w:rsidP="00F018C6">
      <w:pPr>
        <w:numPr>
          <w:ilvl w:val="0"/>
          <w:numId w:val="3"/>
        </w:numPr>
        <w:spacing w:after="0" w:line="240" w:lineRule="auto"/>
        <w:contextualSpacing/>
        <w:rPr>
          <w:rFonts w:ascii="Calibri" w:hAnsi="Calibri"/>
          <w:color w:val="000000"/>
        </w:rPr>
      </w:pPr>
      <w:r w:rsidRPr="00AE0C4A">
        <w:rPr>
          <w:rFonts w:ascii="Calibri" w:hAnsi="Calibri"/>
          <w:color w:val="000000"/>
        </w:rPr>
        <w:t xml:space="preserve">Kurumumuz tarafından </w:t>
      </w:r>
      <w:r>
        <w:rPr>
          <w:rFonts w:ascii="Calibri" w:hAnsi="Calibri"/>
          <w:color w:val="000000"/>
        </w:rPr>
        <w:t>3.943</w:t>
      </w:r>
      <w:r w:rsidRPr="00AE0C4A">
        <w:rPr>
          <w:rFonts w:ascii="Calibri" w:hAnsi="Calibri"/>
          <w:color w:val="000000"/>
        </w:rPr>
        <w:t xml:space="preserve"> adet davaya taraf olunmuştur. </w:t>
      </w:r>
    </w:p>
    <w:p w:rsidR="00F018C6" w:rsidRPr="00AE0C4A" w:rsidRDefault="00F018C6" w:rsidP="00F018C6">
      <w:pPr>
        <w:autoSpaceDE w:val="0"/>
        <w:autoSpaceDN w:val="0"/>
        <w:adjustRightInd w:val="0"/>
        <w:spacing w:after="0" w:line="240" w:lineRule="auto"/>
        <w:rPr>
          <w:rFonts w:ascii="Calibri" w:hAnsi="Calibri"/>
          <w:bCs/>
          <w:color w:val="000000"/>
          <w:highlight w:val="yellow"/>
        </w:rPr>
      </w:pPr>
    </w:p>
    <w:p w:rsidR="00F018C6" w:rsidRPr="00AE0C4A" w:rsidRDefault="00F018C6" w:rsidP="00F018C6">
      <w:pPr>
        <w:numPr>
          <w:ilvl w:val="0"/>
          <w:numId w:val="3"/>
        </w:numPr>
        <w:spacing w:after="0" w:line="240" w:lineRule="auto"/>
        <w:contextualSpacing/>
        <w:rPr>
          <w:rFonts w:ascii="Calibri" w:hAnsi="Calibri"/>
          <w:color w:val="000000"/>
        </w:rPr>
      </w:pPr>
      <w:r w:rsidRPr="00AE0C4A">
        <w:rPr>
          <w:rFonts w:ascii="Calibri" w:hAnsi="Calibri"/>
          <w:color w:val="000000"/>
        </w:rPr>
        <w:t xml:space="preserve">Kurumumuzun taraf olduğu </w:t>
      </w:r>
      <w:r>
        <w:rPr>
          <w:rFonts w:ascii="Calibri" w:hAnsi="Calibri"/>
          <w:color w:val="000000"/>
        </w:rPr>
        <w:t>3.943</w:t>
      </w:r>
      <w:r w:rsidRPr="00AE0C4A">
        <w:rPr>
          <w:rFonts w:ascii="Calibri" w:hAnsi="Calibri"/>
          <w:color w:val="000000"/>
        </w:rPr>
        <w:t xml:space="preserve"> adet davadan; </w:t>
      </w:r>
      <w:r>
        <w:rPr>
          <w:rFonts w:ascii="Calibri" w:hAnsi="Calibri"/>
          <w:color w:val="000000"/>
        </w:rPr>
        <w:t>1.043</w:t>
      </w:r>
      <w:r w:rsidRPr="00AE0C4A">
        <w:rPr>
          <w:rFonts w:ascii="Calibri" w:hAnsi="Calibri"/>
          <w:color w:val="000000"/>
        </w:rPr>
        <w:t xml:space="preserve"> adedi ceza davası, </w:t>
      </w:r>
      <w:r>
        <w:rPr>
          <w:rFonts w:ascii="Calibri" w:hAnsi="Calibri"/>
          <w:color w:val="000000"/>
        </w:rPr>
        <w:t>2.416</w:t>
      </w:r>
      <w:r w:rsidRPr="00AE0C4A">
        <w:rPr>
          <w:rFonts w:ascii="Calibri" w:hAnsi="Calibri"/>
          <w:color w:val="000000"/>
        </w:rPr>
        <w:t xml:space="preserve"> adedi idari dava, </w:t>
      </w:r>
      <w:r>
        <w:rPr>
          <w:rFonts w:ascii="Calibri" w:hAnsi="Calibri"/>
          <w:color w:val="000000"/>
        </w:rPr>
        <w:t>484</w:t>
      </w:r>
      <w:r w:rsidRPr="00AE0C4A">
        <w:rPr>
          <w:rFonts w:ascii="Calibri" w:hAnsi="Calibri"/>
          <w:color w:val="000000"/>
        </w:rPr>
        <w:t xml:space="preserve"> adedi hukuk davasıdır. </w:t>
      </w:r>
    </w:p>
    <w:p w:rsidR="00F018C6" w:rsidRPr="00AE0C4A" w:rsidRDefault="00F018C6" w:rsidP="00F018C6">
      <w:pPr>
        <w:spacing w:after="0" w:line="240" w:lineRule="auto"/>
        <w:rPr>
          <w:rFonts w:ascii="Calibri" w:hAnsi="Calibri"/>
          <w:color w:val="000000"/>
          <w:highlight w:val="yellow"/>
        </w:rPr>
      </w:pPr>
    </w:p>
    <w:p w:rsidR="00F018C6" w:rsidRDefault="00F018C6" w:rsidP="00F018C6">
      <w:pPr>
        <w:numPr>
          <w:ilvl w:val="0"/>
          <w:numId w:val="3"/>
        </w:numPr>
        <w:spacing w:after="0" w:line="240" w:lineRule="auto"/>
        <w:contextualSpacing/>
        <w:rPr>
          <w:rFonts w:ascii="Calibri" w:hAnsi="Calibri"/>
          <w:color w:val="000000"/>
        </w:rPr>
      </w:pPr>
      <w:r>
        <w:rPr>
          <w:rFonts w:ascii="Calibri" w:hAnsi="Calibri"/>
          <w:color w:val="000000"/>
        </w:rPr>
        <w:t>3.015</w:t>
      </w:r>
      <w:r w:rsidRPr="00AE0C4A">
        <w:rPr>
          <w:rFonts w:ascii="Calibri" w:hAnsi="Calibri"/>
          <w:color w:val="000000"/>
        </w:rPr>
        <w:t xml:space="preserve"> adet dava dışı dosyanın (takipsizlik, haciz ihbarnamesi, görevsizlik vs.) takibi yapılmıştır. </w:t>
      </w:r>
    </w:p>
    <w:p w:rsidR="00F018C6" w:rsidRDefault="00F018C6" w:rsidP="00F018C6">
      <w:pPr>
        <w:spacing w:after="0" w:line="240" w:lineRule="auto"/>
        <w:ind w:left="720"/>
        <w:contextualSpacing/>
        <w:rPr>
          <w:rFonts w:ascii="Calibri" w:hAnsi="Calibri"/>
          <w:color w:val="000000"/>
        </w:rPr>
      </w:pPr>
    </w:p>
    <w:p w:rsidR="00F018C6" w:rsidRPr="008102B6" w:rsidRDefault="00F018C6" w:rsidP="008102B6">
      <w:pPr>
        <w:pStyle w:val="Balk5"/>
        <w:spacing w:after="240"/>
        <w:jc w:val="center"/>
        <w:rPr>
          <w:rStyle w:val="Gl"/>
          <w:color w:val="auto"/>
        </w:rPr>
      </w:pPr>
      <w:bookmarkStart w:id="393" w:name="_Toc132713948"/>
      <w:r w:rsidRPr="008102B6">
        <w:rPr>
          <w:rStyle w:val="Gl"/>
          <w:color w:val="auto"/>
        </w:rPr>
        <w:t>Tablo 8.4: 2022 Yılında Takip Edilen Dava Dışı Dosyaların Dağılımı</w:t>
      </w:r>
      <w:bookmarkEnd w:id="393"/>
    </w:p>
    <w:tbl>
      <w:tblPr>
        <w:tblW w:w="4480" w:type="dxa"/>
        <w:tblInd w:w="2761" w:type="dxa"/>
        <w:tblCellMar>
          <w:left w:w="70" w:type="dxa"/>
          <w:right w:w="70" w:type="dxa"/>
        </w:tblCellMar>
        <w:tblLook w:val="04A0" w:firstRow="1" w:lastRow="0" w:firstColumn="1" w:lastColumn="0" w:noHBand="0" w:noVBand="1"/>
      </w:tblPr>
      <w:tblGrid>
        <w:gridCol w:w="3520"/>
        <w:gridCol w:w="960"/>
      </w:tblGrid>
      <w:tr w:rsidR="00F018C6" w:rsidRPr="009A48BF" w:rsidTr="00F018C6">
        <w:trPr>
          <w:trHeight w:val="300"/>
        </w:trPr>
        <w:tc>
          <w:tcPr>
            <w:tcW w:w="3520" w:type="dxa"/>
            <w:tcBorders>
              <w:top w:val="single" w:sz="4" w:space="0" w:color="auto"/>
              <w:left w:val="single" w:sz="4" w:space="0" w:color="auto"/>
              <w:bottom w:val="single" w:sz="4" w:space="0" w:color="auto"/>
              <w:right w:val="single" w:sz="4" w:space="0" w:color="auto"/>
            </w:tcBorders>
            <w:shd w:val="clear" w:color="auto" w:fill="6E9ECA"/>
            <w:noWrap/>
            <w:vAlign w:val="center"/>
          </w:tcPr>
          <w:p w:rsidR="00F018C6" w:rsidRPr="009A48BF" w:rsidRDefault="00F018C6" w:rsidP="00F018C6">
            <w:pPr>
              <w:spacing w:after="0" w:line="240" w:lineRule="auto"/>
              <w:rPr>
                <w:rFonts w:ascii="Calibri" w:eastAsia="Times New Roman" w:hAnsi="Calibri" w:cs="Calibri"/>
                <w:color w:val="FFFFFF" w:themeColor="background1"/>
                <w:lang w:eastAsia="tr-TR"/>
              </w:rPr>
            </w:pPr>
            <w:r w:rsidRPr="009A48BF">
              <w:rPr>
                <w:rFonts w:ascii="Calibri" w:eastAsia="Times New Roman" w:hAnsi="Calibri"/>
                <w:b/>
                <w:bCs/>
                <w:color w:val="FFFFFF" w:themeColor="background1"/>
                <w:lang w:eastAsia="tr-TR"/>
              </w:rPr>
              <w:t>Dosya Türü</w:t>
            </w:r>
          </w:p>
        </w:tc>
        <w:tc>
          <w:tcPr>
            <w:tcW w:w="960" w:type="dxa"/>
            <w:tcBorders>
              <w:top w:val="single" w:sz="4" w:space="0" w:color="auto"/>
              <w:left w:val="nil"/>
              <w:bottom w:val="single" w:sz="4" w:space="0" w:color="auto"/>
              <w:right w:val="single" w:sz="4" w:space="0" w:color="auto"/>
            </w:tcBorders>
            <w:shd w:val="clear" w:color="auto" w:fill="6E9ECA"/>
            <w:noWrap/>
            <w:vAlign w:val="center"/>
          </w:tcPr>
          <w:p w:rsidR="00F018C6" w:rsidRPr="009A48BF" w:rsidRDefault="00F018C6" w:rsidP="00F018C6">
            <w:pPr>
              <w:spacing w:after="0" w:line="240" w:lineRule="auto"/>
              <w:rPr>
                <w:rFonts w:ascii="Calibri" w:eastAsia="Times New Roman" w:hAnsi="Calibri" w:cs="Calibri"/>
                <w:color w:val="FFFFFF" w:themeColor="background1"/>
                <w:lang w:eastAsia="tr-TR"/>
              </w:rPr>
            </w:pPr>
            <w:r w:rsidRPr="009A48BF">
              <w:rPr>
                <w:rFonts w:ascii="Calibri" w:eastAsia="Times New Roman" w:hAnsi="Calibri"/>
                <w:b/>
                <w:bCs/>
                <w:color w:val="FFFFFF" w:themeColor="background1"/>
                <w:lang w:eastAsia="tr-TR"/>
              </w:rPr>
              <w:t>Sayısı</w:t>
            </w:r>
          </w:p>
        </w:tc>
      </w:tr>
      <w:tr w:rsidR="00F018C6" w:rsidRPr="005A17C9" w:rsidTr="00F018C6">
        <w:trPr>
          <w:trHeight w:val="300"/>
        </w:trPr>
        <w:tc>
          <w:tcPr>
            <w:tcW w:w="3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18C6" w:rsidRPr="005A17C9" w:rsidRDefault="00F018C6" w:rsidP="00F018C6">
            <w:pPr>
              <w:spacing w:after="0" w:line="240" w:lineRule="auto"/>
              <w:rPr>
                <w:rFonts w:ascii="Calibri" w:eastAsia="Times New Roman" w:hAnsi="Calibri" w:cs="Calibri"/>
                <w:color w:val="000000"/>
                <w:lang w:eastAsia="tr-TR"/>
              </w:rPr>
            </w:pPr>
            <w:r w:rsidRPr="005A17C9">
              <w:rPr>
                <w:rFonts w:ascii="Calibri" w:eastAsia="Times New Roman" w:hAnsi="Calibri" w:cs="Calibri"/>
                <w:color w:val="000000"/>
                <w:lang w:eastAsia="tr-TR"/>
              </w:rPr>
              <w:t>Eğitim Dosya</w:t>
            </w:r>
            <w:r>
              <w:rPr>
                <w:rFonts w:ascii="Calibri" w:eastAsia="Times New Roman" w:hAnsi="Calibri" w:cs="Calibri"/>
                <w:color w:val="000000"/>
                <w:lang w:eastAsia="tr-TR"/>
              </w:rPr>
              <w:t>ları</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F018C6" w:rsidRPr="005A17C9" w:rsidRDefault="00F018C6" w:rsidP="00551243">
            <w:pPr>
              <w:spacing w:after="0" w:line="240" w:lineRule="auto"/>
              <w:jc w:val="right"/>
              <w:rPr>
                <w:rFonts w:ascii="Calibri" w:eastAsia="Times New Roman" w:hAnsi="Calibri" w:cs="Calibri"/>
                <w:color w:val="000000"/>
                <w:lang w:eastAsia="tr-TR"/>
              </w:rPr>
            </w:pPr>
            <w:r w:rsidRPr="005A17C9">
              <w:rPr>
                <w:rFonts w:ascii="Calibri" w:eastAsia="Times New Roman" w:hAnsi="Calibri" w:cs="Calibri"/>
                <w:color w:val="000000"/>
                <w:lang w:eastAsia="tr-TR"/>
              </w:rPr>
              <w:t>13</w:t>
            </w:r>
          </w:p>
        </w:tc>
      </w:tr>
      <w:tr w:rsidR="00F018C6" w:rsidRPr="005A17C9" w:rsidTr="00F018C6">
        <w:trPr>
          <w:trHeight w:val="300"/>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rsidR="00F018C6" w:rsidRPr="005A17C9" w:rsidRDefault="00F018C6" w:rsidP="00F018C6">
            <w:pPr>
              <w:spacing w:after="0" w:line="240" w:lineRule="auto"/>
              <w:rPr>
                <w:rFonts w:ascii="Calibri" w:eastAsia="Times New Roman" w:hAnsi="Calibri" w:cs="Calibri"/>
                <w:color w:val="000000"/>
                <w:lang w:eastAsia="tr-TR"/>
              </w:rPr>
            </w:pPr>
            <w:r w:rsidRPr="005A17C9">
              <w:rPr>
                <w:rFonts w:ascii="Calibri" w:eastAsia="Times New Roman" w:hAnsi="Calibri" w:cs="Calibri"/>
                <w:color w:val="000000"/>
                <w:lang w:eastAsia="tr-TR"/>
              </w:rPr>
              <w:t>Görüş Dosya</w:t>
            </w:r>
            <w:r>
              <w:rPr>
                <w:rFonts w:ascii="Calibri" w:eastAsia="Times New Roman" w:hAnsi="Calibri" w:cs="Calibri"/>
                <w:color w:val="000000"/>
                <w:lang w:eastAsia="tr-TR"/>
              </w:rPr>
              <w:t>ları</w:t>
            </w:r>
          </w:p>
        </w:tc>
        <w:tc>
          <w:tcPr>
            <w:tcW w:w="960" w:type="dxa"/>
            <w:tcBorders>
              <w:top w:val="nil"/>
              <w:left w:val="nil"/>
              <w:bottom w:val="single" w:sz="4" w:space="0" w:color="auto"/>
              <w:right w:val="single" w:sz="4" w:space="0" w:color="auto"/>
            </w:tcBorders>
            <w:shd w:val="clear" w:color="auto" w:fill="auto"/>
            <w:noWrap/>
            <w:vAlign w:val="bottom"/>
            <w:hideMark/>
          </w:tcPr>
          <w:p w:rsidR="00F018C6" w:rsidRPr="005A17C9" w:rsidRDefault="00F018C6" w:rsidP="00551243">
            <w:pPr>
              <w:spacing w:after="0" w:line="240" w:lineRule="auto"/>
              <w:jc w:val="right"/>
              <w:rPr>
                <w:rFonts w:ascii="Calibri" w:eastAsia="Times New Roman" w:hAnsi="Calibri" w:cs="Calibri"/>
                <w:color w:val="000000"/>
                <w:lang w:eastAsia="tr-TR"/>
              </w:rPr>
            </w:pPr>
            <w:r w:rsidRPr="005A17C9">
              <w:rPr>
                <w:rFonts w:ascii="Calibri" w:eastAsia="Times New Roman" w:hAnsi="Calibri" w:cs="Calibri"/>
                <w:color w:val="000000"/>
                <w:lang w:eastAsia="tr-TR"/>
              </w:rPr>
              <w:t>131</w:t>
            </w:r>
          </w:p>
        </w:tc>
      </w:tr>
      <w:tr w:rsidR="00F018C6" w:rsidRPr="005A17C9" w:rsidTr="00F018C6">
        <w:trPr>
          <w:trHeight w:val="300"/>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rsidR="00F018C6" w:rsidRPr="005A17C9" w:rsidRDefault="00F018C6" w:rsidP="00F018C6">
            <w:pPr>
              <w:spacing w:after="0" w:line="240" w:lineRule="auto"/>
              <w:rPr>
                <w:rFonts w:ascii="Calibri" w:eastAsia="Times New Roman" w:hAnsi="Calibri" w:cs="Calibri"/>
                <w:color w:val="000000"/>
                <w:lang w:eastAsia="tr-TR"/>
              </w:rPr>
            </w:pPr>
            <w:r w:rsidRPr="005A17C9">
              <w:rPr>
                <w:rFonts w:ascii="Calibri" w:eastAsia="Times New Roman" w:hAnsi="Calibri" w:cs="Calibri"/>
                <w:color w:val="000000"/>
                <w:lang w:eastAsia="tr-TR"/>
              </w:rPr>
              <w:t>Değişik İş Dosya</w:t>
            </w:r>
            <w:r>
              <w:rPr>
                <w:rFonts w:ascii="Calibri" w:eastAsia="Times New Roman" w:hAnsi="Calibri" w:cs="Calibri"/>
                <w:color w:val="000000"/>
                <w:lang w:eastAsia="tr-TR"/>
              </w:rPr>
              <w:t>ları</w:t>
            </w:r>
          </w:p>
        </w:tc>
        <w:tc>
          <w:tcPr>
            <w:tcW w:w="960" w:type="dxa"/>
            <w:tcBorders>
              <w:top w:val="nil"/>
              <w:left w:val="nil"/>
              <w:bottom w:val="single" w:sz="4" w:space="0" w:color="auto"/>
              <w:right w:val="single" w:sz="4" w:space="0" w:color="auto"/>
            </w:tcBorders>
            <w:shd w:val="clear" w:color="auto" w:fill="auto"/>
            <w:noWrap/>
            <w:vAlign w:val="bottom"/>
            <w:hideMark/>
          </w:tcPr>
          <w:p w:rsidR="00F018C6" w:rsidRPr="005A17C9" w:rsidRDefault="00F018C6" w:rsidP="00551243">
            <w:pPr>
              <w:spacing w:after="0" w:line="240" w:lineRule="auto"/>
              <w:jc w:val="right"/>
              <w:rPr>
                <w:rFonts w:ascii="Calibri" w:eastAsia="Times New Roman" w:hAnsi="Calibri" w:cs="Calibri"/>
                <w:color w:val="000000"/>
                <w:lang w:eastAsia="tr-TR"/>
              </w:rPr>
            </w:pPr>
            <w:r w:rsidRPr="005A17C9">
              <w:rPr>
                <w:rFonts w:ascii="Calibri" w:eastAsia="Times New Roman" w:hAnsi="Calibri" w:cs="Calibri"/>
                <w:color w:val="000000"/>
                <w:lang w:eastAsia="tr-TR"/>
              </w:rPr>
              <w:t>335</w:t>
            </w:r>
          </w:p>
        </w:tc>
      </w:tr>
      <w:tr w:rsidR="00F018C6" w:rsidRPr="005A17C9" w:rsidTr="00F018C6">
        <w:trPr>
          <w:trHeight w:val="300"/>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rsidR="00F018C6" w:rsidRPr="005A17C9" w:rsidRDefault="00F018C6" w:rsidP="00F018C6">
            <w:pPr>
              <w:spacing w:after="0" w:line="240" w:lineRule="auto"/>
              <w:rPr>
                <w:rFonts w:ascii="Calibri" w:eastAsia="Times New Roman" w:hAnsi="Calibri" w:cs="Calibri"/>
                <w:color w:val="000000"/>
                <w:lang w:eastAsia="tr-TR"/>
              </w:rPr>
            </w:pPr>
            <w:r w:rsidRPr="005A17C9">
              <w:rPr>
                <w:rFonts w:ascii="Calibri" w:eastAsia="Times New Roman" w:hAnsi="Calibri" w:cs="Calibri"/>
                <w:color w:val="000000"/>
                <w:lang w:eastAsia="tr-TR"/>
              </w:rPr>
              <w:t xml:space="preserve">Haciz </w:t>
            </w:r>
            <w:r>
              <w:rPr>
                <w:rFonts w:ascii="Calibri" w:eastAsia="Times New Roman" w:hAnsi="Calibri" w:cs="Calibri"/>
                <w:color w:val="000000"/>
                <w:lang w:eastAsia="tr-TR"/>
              </w:rPr>
              <w:t xml:space="preserve">İhbarnamesi / Müzekkeresi </w:t>
            </w:r>
            <w:r w:rsidRPr="005A17C9">
              <w:rPr>
                <w:rFonts w:ascii="Calibri" w:eastAsia="Times New Roman" w:hAnsi="Calibri" w:cs="Calibri"/>
                <w:color w:val="000000"/>
                <w:lang w:eastAsia="tr-TR"/>
              </w:rPr>
              <w:t>Dosya</w:t>
            </w:r>
            <w:r>
              <w:rPr>
                <w:rFonts w:ascii="Calibri" w:eastAsia="Times New Roman" w:hAnsi="Calibri" w:cs="Calibri"/>
                <w:color w:val="000000"/>
                <w:lang w:eastAsia="tr-TR"/>
              </w:rPr>
              <w:t>ları</w:t>
            </w:r>
          </w:p>
        </w:tc>
        <w:tc>
          <w:tcPr>
            <w:tcW w:w="960" w:type="dxa"/>
            <w:tcBorders>
              <w:top w:val="nil"/>
              <w:left w:val="nil"/>
              <w:bottom w:val="single" w:sz="4" w:space="0" w:color="auto"/>
              <w:right w:val="single" w:sz="4" w:space="0" w:color="auto"/>
            </w:tcBorders>
            <w:shd w:val="clear" w:color="auto" w:fill="auto"/>
            <w:noWrap/>
            <w:vAlign w:val="bottom"/>
            <w:hideMark/>
          </w:tcPr>
          <w:p w:rsidR="00F018C6" w:rsidRPr="005A17C9" w:rsidRDefault="00F018C6" w:rsidP="00551243">
            <w:pPr>
              <w:spacing w:after="0" w:line="240" w:lineRule="auto"/>
              <w:jc w:val="right"/>
              <w:rPr>
                <w:rFonts w:ascii="Calibri" w:eastAsia="Times New Roman" w:hAnsi="Calibri" w:cs="Calibri"/>
                <w:color w:val="000000"/>
                <w:lang w:eastAsia="tr-TR"/>
              </w:rPr>
            </w:pPr>
            <w:r w:rsidRPr="005A17C9">
              <w:rPr>
                <w:rFonts w:ascii="Calibri" w:eastAsia="Times New Roman" w:hAnsi="Calibri" w:cs="Calibri"/>
                <w:color w:val="000000"/>
                <w:lang w:eastAsia="tr-TR"/>
              </w:rPr>
              <w:t>127</w:t>
            </w:r>
          </w:p>
        </w:tc>
      </w:tr>
      <w:tr w:rsidR="00F018C6" w:rsidRPr="005A17C9" w:rsidTr="00F018C6">
        <w:trPr>
          <w:trHeight w:val="300"/>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rsidR="00F018C6" w:rsidRPr="005A17C9" w:rsidRDefault="00F018C6" w:rsidP="00F018C6">
            <w:pPr>
              <w:spacing w:after="0" w:line="240" w:lineRule="auto"/>
              <w:rPr>
                <w:rFonts w:ascii="Calibri" w:eastAsia="Times New Roman" w:hAnsi="Calibri" w:cs="Calibri"/>
                <w:color w:val="000000"/>
                <w:lang w:eastAsia="tr-TR"/>
              </w:rPr>
            </w:pPr>
            <w:r w:rsidRPr="005A17C9">
              <w:rPr>
                <w:rFonts w:ascii="Calibri" w:eastAsia="Times New Roman" w:hAnsi="Calibri" w:cs="Calibri"/>
                <w:color w:val="000000"/>
                <w:lang w:eastAsia="tr-TR"/>
              </w:rPr>
              <w:t>İcra Emri Dosya</w:t>
            </w:r>
            <w:r>
              <w:rPr>
                <w:rFonts w:ascii="Calibri" w:eastAsia="Times New Roman" w:hAnsi="Calibri" w:cs="Calibri"/>
                <w:color w:val="000000"/>
                <w:lang w:eastAsia="tr-TR"/>
              </w:rPr>
              <w:t>ları</w:t>
            </w:r>
          </w:p>
        </w:tc>
        <w:tc>
          <w:tcPr>
            <w:tcW w:w="960" w:type="dxa"/>
            <w:tcBorders>
              <w:top w:val="nil"/>
              <w:left w:val="nil"/>
              <w:bottom w:val="single" w:sz="4" w:space="0" w:color="auto"/>
              <w:right w:val="single" w:sz="4" w:space="0" w:color="auto"/>
            </w:tcBorders>
            <w:shd w:val="clear" w:color="auto" w:fill="auto"/>
            <w:noWrap/>
            <w:vAlign w:val="bottom"/>
            <w:hideMark/>
          </w:tcPr>
          <w:p w:rsidR="00F018C6" w:rsidRPr="005A17C9" w:rsidRDefault="00F018C6" w:rsidP="00551243">
            <w:pPr>
              <w:spacing w:after="0" w:line="240" w:lineRule="auto"/>
              <w:jc w:val="right"/>
              <w:rPr>
                <w:rFonts w:ascii="Calibri" w:eastAsia="Times New Roman" w:hAnsi="Calibri" w:cs="Calibri"/>
                <w:color w:val="000000"/>
                <w:lang w:eastAsia="tr-TR"/>
              </w:rPr>
            </w:pPr>
            <w:r w:rsidRPr="005A17C9">
              <w:rPr>
                <w:rFonts w:ascii="Calibri" w:eastAsia="Times New Roman" w:hAnsi="Calibri" w:cs="Calibri"/>
                <w:color w:val="000000"/>
                <w:lang w:eastAsia="tr-TR"/>
              </w:rPr>
              <w:t>59</w:t>
            </w:r>
          </w:p>
        </w:tc>
      </w:tr>
      <w:tr w:rsidR="00F018C6" w:rsidRPr="005A17C9" w:rsidTr="00F018C6">
        <w:trPr>
          <w:trHeight w:val="300"/>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rsidR="00F018C6" w:rsidRPr="005A17C9" w:rsidRDefault="00F018C6" w:rsidP="00F018C6">
            <w:pPr>
              <w:spacing w:after="0" w:line="240" w:lineRule="auto"/>
              <w:rPr>
                <w:rFonts w:ascii="Calibri" w:eastAsia="Times New Roman" w:hAnsi="Calibri" w:cs="Calibri"/>
                <w:color w:val="000000"/>
                <w:lang w:eastAsia="tr-TR"/>
              </w:rPr>
            </w:pPr>
            <w:r w:rsidRPr="005A17C9">
              <w:rPr>
                <w:rFonts w:ascii="Calibri" w:eastAsia="Times New Roman" w:hAnsi="Calibri" w:cs="Calibri"/>
                <w:color w:val="000000"/>
                <w:lang w:eastAsia="tr-TR"/>
              </w:rPr>
              <w:t>İcra Takibi Dosya</w:t>
            </w:r>
            <w:r>
              <w:rPr>
                <w:rFonts w:ascii="Calibri" w:eastAsia="Times New Roman" w:hAnsi="Calibri" w:cs="Calibri"/>
                <w:color w:val="000000"/>
                <w:lang w:eastAsia="tr-TR"/>
              </w:rPr>
              <w:t>ları</w:t>
            </w:r>
          </w:p>
        </w:tc>
        <w:tc>
          <w:tcPr>
            <w:tcW w:w="960" w:type="dxa"/>
            <w:tcBorders>
              <w:top w:val="nil"/>
              <w:left w:val="nil"/>
              <w:bottom w:val="single" w:sz="4" w:space="0" w:color="auto"/>
              <w:right w:val="single" w:sz="4" w:space="0" w:color="auto"/>
            </w:tcBorders>
            <w:shd w:val="clear" w:color="auto" w:fill="auto"/>
            <w:noWrap/>
            <w:vAlign w:val="bottom"/>
            <w:hideMark/>
          </w:tcPr>
          <w:p w:rsidR="00F018C6" w:rsidRPr="005A17C9" w:rsidRDefault="00F018C6" w:rsidP="00551243">
            <w:pPr>
              <w:spacing w:after="0" w:line="240" w:lineRule="auto"/>
              <w:jc w:val="right"/>
              <w:rPr>
                <w:rFonts w:ascii="Calibri" w:eastAsia="Times New Roman" w:hAnsi="Calibri" w:cs="Calibri"/>
                <w:color w:val="000000"/>
                <w:lang w:eastAsia="tr-TR"/>
              </w:rPr>
            </w:pPr>
            <w:r w:rsidRPr="005A17C9">
              <w:rPr>
                <w:rFonts w:ascii="Calibri" w:eastAsia="Times New Roman" w:hAnsi="Calibri" w:cs="Calibri"/>
                <w:color w:val="000000"/>
                <w:lang w:eastAsia="tr-TR"/>
              </w:rPr>
              <w:t>23</w:t>
            </w:r>
          </w:p>
        </w:tc>
      </w:tr>
      <w:tr w:rsidR="00F018C6" w:rsidRPr="005A17C9" w:rsidTr="00F018C6">
        <w:trPr>
          <w:trHeight w:val="300"/>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rsidR="00F018C6" w:rsidRPr="005A17C9" w:rsidRDefault="00F018C6" w:rsidP="00F018C6">
            <w:pPr>
              <w:spacing w:after="0" w:line="240" w:lineRule="auto"/>
              <w:rPr>
                <w:rFonts w:ascii="Calibri" w:eastAsia="Times New Roman" w:hAnsi="Calibri" w:cs="Calibri"/>
                <w:color w:val="000000"/>
                <w:lang w:eastAsia="tr-TR"/>
              </w:rPr>
            </w:pPr>
            <w:r w:rsidRPr="005A17C9">
              <w:rPr>
                <w:rFonts w:ascii="Calibri" w:eastAsia="Times New Roman" w:hAnsi="Calibri" w:cs="Calibri"/>
                <w:color w:val="000000"/>
                <w:lang w:eastAsia="tr-TR"/>
              </w:rPr>
              <w:t>İhale Dosya</w:t>
            </w:r>
            <w:r>
              <w:rPr>
                <w:rFonts w:ascii="Calibri" w:eastAsia="Times New Roman" w:hAnsi="Calibri" w:cs="Calibri"/>
                <w:color w:val="000000"/>
                <w:lang w:eastAsia="tr-TR"/>
              </w:rPr>
              <w:t>ları</w:t>
            </w:r>
          </w:p>
        </w:tc>
        <w:tc>
          <w:tcPr>
            <w:tcW w:w="960" w:type="dxa"/>
            <w:tcBorders>
              <w:top w:val="nil"/>
              <w:left w:val="nil"/>
              <w:bottom w:val="single" w:sz="4" w:space="0" w:color="auto"/>
              <w:right w:val="single" w:sz="4" w:space="0" w:color="auto"/>
            </w:tcBorders>
            <w:shd w:val="clear" w:color="auto" w:fill="auto"/>
            <w:noWrap/>
            <w:vAlign w:val="bottom"/>
            <w:hideMark/>
          </w:tcPr>
          <w:p w:rsidR="00F018C6" w:rsidRPr="005A17C9" w:rsidRDefault="00F018C6" w:rsidP="00551243">
            <w:pPr>
              <w:spacing w:after="0" w:line="240" w:lineRule="auto"/>
              <w:jc w:val="right"/>
              <w:rPr>
                <w:rFonts w:ascii="Calibri" w:eastAsia="Times New Roman" w:hAnsi="Calibri" w:cs="Calibri"/>
                <w:color w:val="000000"/>
                <w:lang w:eastAsia="tr-TR"/>
              </w:rPr>
            </w:pPr>
            <w:r w:rsidRPr="005A17C9">
              <w:rPr>
                <w:rFonts w:ascii="Calibri" w:eastAsia="Times New Roman" w:hAnsi="Calibri" w:cs="Calibri"/>
                <w:color w:val="000000"/>
                <w:lang w:eastAsia="tr-TR"/>
              </w:rPr>
              <w:t>8</w:t>
            </w:r>
          </w:p>
        </w:tc>
      </w:tr>
      <w:tr w:rsidR="00F018C6" w:rsidRPr="005A17C9" w:rsidTr="00F018C6">
        <w:trPr>
          <w:trHeight w:val="300"/>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rsidR="00F018C6" w:rsidRPr="005A17C9" w:rsidRDefault="00F018C6" w:rsidP="00F018C6">
            <w:pPr>
              <w:spacing w:after="0" w:line="240" w:lineRule="auto"/>
              <w:rPr>
                <w:rFonts w:ascii="Calibri" w:eastAsia="Times New Roman" w:hAnsi="Calibri" w:cs="Calibri"/>
                <w:color w:val="000000"/>
                <w:lang w:eastAsia="tr-TR"/>
              </w:rPr>
            </w:pPr>
            <w:r w:rsidRPr="005A17C9">
              <w:rPr>
                <w:rFonts w:ascii="Calibri" w:eastAsia="Times New Roman" w:hAnsi="Calibri" w:cs="Calibri"/>
                <w:color w:val="000000"/>
                <w:lang w:eastAsia="tr-TR"/>
              </w:rPr>
              <w:t>Müzekkere Dosy</w:t>
            </w:r>
            <w:r>
              <w:rPr>
                <w:rFonts w:ascii="Calibri" w:eastAsia="Times New Roman" w:hAnsi="Calibri" w:cs="Calibri"/>
                <w:color w:val="000000"/>
                <w:lang w:eastAsia="tr-TR"/>
              </w:rPr>
              <w:t>aları</w:t>
            </w:r>
          </w:p>
        </w:tc>
        <w:tc>
          <w:tcPr>
            <w:tcW w:w="960" w:type="dxa"/>
            <w:tcBorders>
              <w:top w:val="nil"/>
              <w:left w:val="nil"/>
              <w:bottom w:val="single" w:sz="4" w:space="0" w:color="auto"/>
              <w:right w:val="single" w:sz="4" w:space="0" w:color="auto"/>
            </w:tcBorders>
            <w:shd w:val="clear" w:color="auto" w:fill="auto"/>
            <w:noWrap/>
            <w:vAlign w:val="bottom"/>
            <w:hideMark/>
          </w:tcPr>
          <w:p w:rsidR="00F018C6" w:rsidRPr="005A17C9" w:rsidRDefault="00F018C6" w:rsidP="00551243">
            <w:pPr>
              <w:spacing w:after="0" w:line="240" w:lineRule="auto"/>
              <w:jc w:val="right"/>
              <w:rPr>
                <w:rFonts w:ascii="Calibri" w:eastAsia="Times New Roman" w:hAnsi="Calibri" w:cs="Calibri"/>
                <w:color w:val="000000"/>
                <w:lang w:eastAsia="tr-TR"/>
              </w:rPr>
            </w:pPr>
            <w:r w:rsidRPr="005A17C9">
              <w:rPr>
                <w:rFonts w:ascii="Calibri" w:eastAsia="Times New Roman" w:hAnsi="Calibri" w:cs="Calibri"/>
                <w:color w:val="000000"/>
                <w:lang w:eastAsia="tr-TR"/>
              </w:rPr>
              <w:t>1</w:t>
            </w:r>
            <w:r w:rsidR="00551243">
              <w:rPr>
                <w:rFonts w:ascii="Calibri" w:eastAsia="Times New Roman" w:hAnsi="Calibri" w:cs="Calibri"/>
                <w:color w:val="000000"/>
                <w:lang w:eastAsia="tr-TR"/>
              </w:rPr>
              <w:t>.</w:t>
            </w:r>
            <w:r w:rsidRPr="005A17C9">
              <w:rPr>
                <w:rFonts w:ascii="Calibri" w:eastAsia="Times New Roman" w:hAnsi="Calibri" w:cs="Calibri"/>
                <w:color w:val="000000"/>
                <w:lang w:eastAsia="tr-TR"/>
              </w:rPr>
              <w:t>851</w:t>
            </w:r>
          </w:p>
        </w:tc>
      </w:tr>
      <w:tr w:rsidR="00F018C6" w:rsidRPr="005A17C9" w:rsidTr="00F018C6">
        <w:trPr>
          <w:trHeight w:val="300"/>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rsidR="00F018C6" w:rsidRPr="005A17C9" w:rsidRDefault="00F018C6" w:rsidP="00F018C6">
            <w:pPr>
              <w:spacing w:after="0" w:line="240" w:lineRule="auto"/>
              <w:rPr>
                <w:rFonts w:ascii="Calibri" w:eastAsia="Times New Roman" w:hAnsi="Calibri" w:cs="Calibri"/>
                <w:color w:val="000000"/>
                <w:lang w:eastAsia="tr-TR"/>
              </w:rPr>
            </w:pPr>
            <w:r w:rsidRPr="005A17C9">
              <w:rPr>
                <w:rFonts w:ascii="Calibri" w:eastAsia="Times New Roman" w:hAnsi="Calibri" w:cs="Calibri"/>
                <w:color w:val="000000"/>
                <w:lang w:eastAsia="tr-TR"/>
              </w:rPr>
              <w:t>Suç Duyurusu Dosya</w:t>
            </w:r>
            <w:r>
              <w:rPr>
                <w:rFonts w:ascii="Calibri" w:eastAsia="Times New Roman" w:hAnsi="Calibri" w:cs="Calibri"/>
                <w:color w:val="000000"/>
                <w:lang w:eastAsia="tr-TR"/>
              </w:rPr>
              <w:t>ları</w:t>
            </w:r>
          </w:p>
        </w:tc>
        <w:tc>
          <w:tcPr>
            <w:tcW w:w="960" w:type="dxa"/>
            <w:tcBorders>
              <w:top w:val="nil"/>
              <w:left w:val="nil"/>
              <w:bottom w:val="single" w:sz="4" w:space="0" w:color="auto"/>
              <w:right w:val="single" w:sz="4" w:space="0" w:color="auto"/>
            </w:tcBorders>
            <w:shd w:val="clear" w:color="auto" w:fill="auto"/>
            <w:noWrap/>
            <w:vAlign w:val="bottom"/>
            <w:hideMark/>
          </w:tcPr>
          <w:p w:rsidR="00F018C6" w:rsidRPr="005A17C9" w:rsidRDefault="00F018C6" w:rsidP="00551243">
            <w:pPr>
              <w:spacing w:after="0" w:line="240" w:lineRule="auto"/>
              <w:jc w:val="right"/>
              <w:rPr>
                <w:rFonts w:ascii="Calibri" w:eastAsia="Times New Roman" w:hAnsi="Calibri" w:cs="Calibri"/>
                <w:color w:val="000000"/>
                <w:lang w:eastAsia="tr-TR"/>
              </w:rPr>
            </w:pPr>
            <w:r w:rsidRPr="005A17C9">
              <w:rPr>
                <w:rFonts w:ascii="Calibri" w:eastAsia="Times New Roman" w:hAnsi="Calibri" w:cs="Calibri"/>
                <w:color w:val="000000"/>
                <w:lang w:eastAsia="tr-TR"/>
              </w:rPr>
              <w:t>10</w:t>
            </w:r>
          </w:p>
        </w:tc>
      </w:tr>
      <w:tr w:rsidR="00F018C6" w:rsidRPr="005A17C9" w:rsidTr="00F018C6">
        <w:trPr>
          <w:trHeight w:val="300"/>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rsidR="00F018C6" w:rsidRPr="005A17C9" w:rsidRDefault="00F018C6" w:rsidP="00F018C6">
            <w:pPr>
              <w:spacing w:after="0" w:line="240" w:lineRule="auto"/>
              <w:rPr>
                <w:rFonts w:ascii="Calibri" w:eastAsia="Times New Roman" w:hAnsi="Calibri" w:cs="Calibri"/>
                <w:color w:val="000000"/>
                <w:lang w:eastAsia="tr-TR"/>
              </w:rPr>
            </w:pPr>
            <w:r w:rsidRPr="005A17C9">
              <w:rPr>
                <w:rFonts w:ascii="Calibri" w:eastAsia="Times New Roman" w:hAnsi="Calibri" w:cs="Calibri"/>
                <w:color w:val="000000"/>
                <w:lang w:eastAsia="tr-TR"/>
              </w:rPr>
              <w:t>Takipsizlik Kararı Dosya</w:t>
            </w:r>
            <w:r>
              <w:rPr>
                <w:rFonts w:ascii="Calibri" w:eastAsia="Times New Roman" w:hAnsi="Calibri" w:cs="Calibri"/>
                <w:color w:val="000000"/>
                <w:lang w:eastAsia="tr-TR"/>
              </w:rPr>
              <w:t>ları</w:t>
            </w:r>
          </w:p>
        </w:tc>
        <w:tc>
          <w:tcPr>
            <w:tcW w:w="960" w:type="dxa"/>
            <w:tcBorders>
              <w:top w:val="nil"/>
              <w:left w:val="nil"/>
              <w:bottom w:val="single" w:sz="4" w:space="0" w:color="auto"/>
              <w:right w:val="single" w:sz="4" w:space="0" w:color="auto"/>
            </w:tcBorders>
            <w:shd w:val="clear" w:color="auto" w:fill="auto"/>
            <w:noWrap/>
            <w:vAlign w:val="bottom"/>
            <w:hideMark/>
          </w:tcPr>
          <w:p w:rsidR="00F018C6" w:rsidRPr="005A17C9" w:rsidRDefault="00F018C6" w:rsidP="00551243">
            <w:pPr>
              <w:spacing w:after="0" w:line="240" w:lineRule="auto"/>
              <w:jc w:val="right"/>
              <w:rPr>
                <w:rFonts w:ascii="Calibri" w:eastAsia="Times New Roman" w:hAnsi="Calibri" w:cs="Calibri"/>
                <w:color w:val="000000"/>
                <w:lang w:eastAsia="tr-TR"/>
              </w:rPr>
            </w:pPr>
            <w:r w:rsidRPr="005A17C9">
              <w:rPr>
                <w:rFonts w:ascii="Calibri" w:eastAsia="Times New Roman" w:hAnsi="Calibri" w:cs="Calibri"/>
                <w:color w:val="000000"/>
                <w:lang w:eastAsia="tr-TR"/>
              </w:rPr>
              <w:t>32</w:t>
            </w:r>
          </w:p>
        </w:tc>
      </w:tr>
      <w:tr w:rsidR="00F018C6" w:rsidRPr="005A17C9" w:rsidTr="00F018C6">
        <w:trPr>
          <w:trHeight w:val="300"/>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rsidR="00F018C6" w:rsidRPr="005A17C9" w:rsidRDefault="00F018C6" w:rsidP="00F018C6">
            <w:pPr>
              <w:spacing w:after="0" w:line="240" w:lineRule="auto"/>
              <w:rPr>
                <w:rFonts w:ascii="Calibri" w:eastAsia="Times New Roman" w:hAnsi="Calibri" w:cs="Calibri"/>
                <w:color w:val="000000"/>
                <w:lang w:eastAsia="tr-TR"/>
              </w:rPr>
            </w:pPr>
            <w:r w:rsidRPr="005A17C9">
              <w:rPr>
                <w:rFonts w:ascii="Calibri" w:eastAsia="Times New Roman" w:hAnsi="Calibri" w:cs="Calibri"/>
                <w:color w:val="000000"/>
                <w:lang w:eastAsia="tr-TR"/>
              </w:rPr>
              <w:t xml:space="preserve">Vekalet </w:t>
            </w:r>
            <w:r>
              <w:rPr>
                <w:rFonts w:ascii="Calibri" w:eastAsia="Times New Roman" w:hAnsi="Calibri" w:cs="Calibri"/>
                <w:color w:val="000000"/>
                <w:lang w:eastAsia="tr-TR"/>
              </w:rPr>
              <w:t xml:space="preserve">Ücreti </w:t>
            </w:r>
            <w:r w:rsidRPr="005A17C9">
              <w:rPr>
                <w:rFonts w:ascii="Calibri" w:eastAsia="Times New Roman" w:hAnsi="Calibri" w:cs="Calibri"/>
                <w:color w:val="000000"/>
                <w:lang w:eastAsia="tr-TR"/>
              </w:rPr>
              <w:t>ve Yarg</w:t>
            </w:r>
            <w:r>
              <w:rPr>
                <w:rFonts w:ascii="Calibri" w:eastAsia="Times New Roman" w:hAnsi="Calibri" w:cs="Calibri"/>
                <w:color w:val="000000"/>
                <w:lang w:eastAsia="tr-TR"/>
              </w:rPr>
              <w:t>ılama Gideri</w:t>
            </w:r>
            <w:r w:rsidRPr="005A17C9">
              <w:rPr>
                <w:rFonts w:ascii="Calibri" w:eastAsia="Times New Roman" w:hAnsi="Calibri" w:cs="Calibri"/>
                <w:color w:val="000000"/>
                <w:lang w:eastAsia="tr-TR"/>
              </w:rPr>
              <w:t xml:space="preserve"> Ödeme Dosya</w:t>
            </w:r>
            <w:r>
              <w:rPr>
                <w:rFonts w:ascii="Calibri" w:eastAsia="Times New Roman" w:hAnsi="Calibri" w:cs="Calibri"/>
                <w:color w:val="000000"/>
                <w:lang w:eastAsia="tr-TR"/>
              </w:rPr>
              <w:t>ları</w:t>
            </w:r>
          </w:p>
        </w:tc>
        <w:tc>
          <w:tcPr>
            <w:tcW w:w="960" w:type="dxa"/>
            <w:tcBorders>
              <w:top w:val="nil"/>
              <w:left w:val="nil"/>
              <w:bottom w:val="single" w:sz="4" w:space="0" w:color="auto"/>
              <w:right w:val="single" w:sz="4" w:space="0" w:color="auto"/>
            </w:tcBorders>
            <w:shd w:val="clear" w:color="auto" w:fill="auto"/>
            <w:noWrap/>
            <w:vAlign w:val="bottom"/>
            <w:hideMark/>
          </w:tcPr>
          <w:p w:rsidR="00F018C6" w:rsidRPr="005A17C9" w:rsidRDefault="00F018C6" w:rsidP="00551243">
            <w:pPr>
              <w:spacing w:after="0" w:line="240" w:lineRule="auto"/>
              <w:jc w:val="right"/>
              <w:rPr>
                <w:rFonts w:ascii="Calibri" w:eastAsia="Times New Roman" w:hAnsi="Calibri" w:cs="Calibri"/>
                <w:color w:val="000000"/>
                <w:lang w:eastAsia="tr-TR"/>
              </w:rPr>
            </w:pPr>
            <w:r w:rsidRPr="005A17C9">
              <w:rPr>
                <w:rFonts w:ascii="Calibri" w:eastAsia="Times New Roman" w:hAnsi="Calibri" w:cs="Calibri"/>
                <w:color w:val="000000"/>
                <w:lang w:eastAsia="tr-TR"/>
              </w:rPr>
              <w:t>426</w:t>
            </w:r>
          </w:p>
        </w:tc>
      </w:tr>
      <w:tr w:rsidR="00F018C6" w:rsidRPr="005A17C9" w:rsidTr="00F018C6">
        <w:trPr>
          <w:trHeight w:val="300"/>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rsidR="00F018C6" w:rsidRPr="00D76E9A" w:rsidRDefault="00F018C6" w:rsidP="00F018C6">
            <w:pPr>
              <w:spacing w:after="0" w:line="240" w:lineRule="auto"/>
              <w:rPr>
                <w:rFonts w:ascii="Calibri" w:eastAsia="Times New Roman" w:hAnsi="Calibri" w:cs="Calibri"/>
                <w:b/>
                <w:color w:val="000000"/>
                <w:lang w:eastAsia="tr-TR"/>
              </w:rPr>
            </w:pPr>
            <w:r w:rsidRPr="00D76E9A">
              <w:rPr>
                <w:rFonts w:ascii="Calibri" w:eastAsia="Times New Roman" w:hAnsi="Calibri" w:cs="Calibri"/>
                <w:b/>
                <w:color w:val="000000"/>
                <w:lang w:eastAsia="tr-TR"/>
              </w:rPr>
              <w:t>Toplam</w:t>
            </w:r>
          </w:p>
        </w:tc>
        <w:tc>
          <w:tcPr>
            <w:tcW w:w="960" w:type="dxa"/>
            <w:tcBorders>
              <w:top w:val="nil"/>
              <w:left w:val="nil"/>
              <w:bottom w:val="single" w:sz="4" w:space="0" w:color="auto"/>
              <w:right w:val="single" w:sz="4" w:space="0" w:color="auto"/>
            </w:tcBorders>
            <w:shd w:val="clear" w:color="auto" w:fill="auto"/>
            <w:noWrap/>
            <w:vAlign w:val="bottom"/>
            <w:hideMark/>
          </w:tcPr>
          <w:p w:rsidR="00F018C6" w:rsidRPr="00D76E9A" w:rsidRDefault="00F018C6" w:rsidP="00551243">
            <w:pPr>
              <w:spacing w:after="0" w:line="240" w:lineRule="auto"/>
              <w:jc w:val="right"/>
              <w:rPr>
                <w:rFonts w:ascii="Calibri" w:eastAsia="Times New Roman" w:hAnsi="Calibri" w:cs="Calibri"/>
                <w:b/>
                <w:color w:val="000000"/>
                <w:lang w:eastAsia="tr-TR"/>
              </w:rPr>
            </w:pPr>
            <w:r w:rsidRPr="00D76E9A">
              <w:rPr>
                <w:rFonts w:ascii="Calibri" w:eastAsia="Times New Roman" w:hAnsi="Calibri" w:cs="Calibri"/>
                <w:b/>
                <w:color w:val="000000"/>
                <w:lang w:eastAsia="tr-TR"/>
              </w:rPr>
              <w:t>3</w:t>
            </w:r>
            <w:r w:rsidR="00551243">
              <w:rPr>
                <w:rFonts w:ascii="Calibri" w:eastAsia="Times New Roman" w:hAnsi="Calibri" w:cs="Calibri"/>
                <w:b/>
                <w:color w:val="000000"/>
                <w:lang w:eastAsia="tr-TR"/>
              </w:rPr>
              <w:t>.</w:t>
            </w:r>
            <w:r w:rsidRPr="00D76E9A">
              <w:rPr>
                <w:rFonts w:ascii="Calibri" w:eastAsia="Times New Roman" w:hAnsi="Calibri" w:cs="Calibri"/>
                <w:b/>
                <w:color w:val="000000"/>
                <w:lang w:eastAsia="tr-TR"/>
              </w:rPr>
              <w:t>015</w:t>
            </w:r>
          </w:p>
        </w:tc>
      </w:tr>
    </w:tbl>
    <w:p w:rsidR="00F018C6" w:rsidRPr="00AE0C4A" w:rsidRDefault="00F018C6" w:rsidP="00F018C6">
      <w:pPr>
        <w:spacing w:after="0" w:line="240" w:lineRule="auto"/>
        <w:rPr>
          <w:rFonts w:ascii="Calibri" w:hAnsi="Calibri"/>
          <w:color w:val="000000"/>
        </w:rPr>
      </w:pPr>
    </w:p>
    <w:p w:rsidR="00F018C6" w:rsidRPr="008102B6" w:rsidRDefault="00F018C6" w:rsidP="008102B6">
      <w:pPr>
        <w:pStyle w:val="Balk5"/>
        <w:spacing w:after="240"/>
        <w:jc w:val="center"/>
        <w:rPr>
          <w:rStyle w:val="Gl"/>
          <w:bCs w:val="0"/>
          <w:color w:val="auto"/>
        </w:rPr>
      </w:pPr>
      <w:bookmarkStart w:id="394" w:name="_Toc94703942"/>
      <w:bookmarkStart w:id="395" w:name="_Toc132713949"/>
      <w:r w:rsidRPr="008102B6">
        <w:rPr>
          <w:rStyle w:val="Gl"/>
          <w:bCs w:val="0"/>
          <w:color w:val="auto"/>
        </w:rPr>
        <w:lastRenderedPageBreak/>
        <w:t>Tablo 8.5: 2022 Yılı Sonu İtibariyle Kurumumuzun Takip Ettiği İdari Davaların Kesinleşme Durumu</w:t>
      </w:r>
      <w:bookmarkEnd w:id="394"/>
      <w:bookmarkEnd w:id="395"/>
    </w:p>
    <w:tbl>
      <w:tblPr>
        <w:tblW w:w="3165" w:type="pct"/>
        <w:jc w:val="center"/>
        <w:tblCellMar>
          <w:left w:w="70" w:type="dxa"/>
          <w:right w:w="70" w:type="dxa"/>
        </w:tblCellMar>
        <w:tblLook w:val="04A0" w:firstRow="1" w:lastRow="0" w:firstColumn="1" w:lastColumn="0" w:noHBand="0" w:noVBand="1"/>
      </w:tblPr>
      <w:tblGrid>
        <w:gridCol w:w="2092"/>
        <w:gridCol w:w="2090"/>
        <w:gridCol w:w="2088"/>
      </w:tblGrid>
      <w:tr w:rsidR="00F018C6" w:rsidRPr="00AE0C4A" w:rsidTr="00F018C6">
        <w:trPr>
          <w:trHeight w:val="227"/>
          <w:jc w:val="center"/>
        </w:trPr>
        <w:tc>
          <w:tcPr>
            <w:tcW w:w="1668" w:type="pct"/>
            <w:tcBorders>
              <w:top w:val="single" w:sz="8" w:space="0" w:color="BFBFBF"/>
              <w:left w:val="single" w:sz="4" w:space="0" w:color="9BBB59" w:themeColor="accent3"/>
              <w:bottom w:val="single" w:sz="8" w:space="0" w:color="BFBFBF"/>
              <w:right w:val="single" w:sz="8" w:space="0" w:color="BFBFBF"/>
            </w:tcBorders>
            <w:shd w:val="clear" w:color="000000" w:fill="6E9ECA"/>
            <w:vAlign w:val="center"/>
            <w:hideMark/>
          </w:tcPr>
          <w:p w:rsidR="00F018C6" w:rsidRPr="00AE0C4A" w:rsidRDefault="00F018C6" w:rsidP="00F018C6">
            <w:pPr>
              <w:spacing w:after="0" w:line="240" w:lineRule="auto"/>
              <w:jc w:val="center"/>
              <w:rPr>
                <w:rFonts w:ascii="Calibri" w:eastAsia="Times New Roman" w:hAnsi="Calibri"/>
                <w:b/>
                <w:bCs/>
                <w:color w:val="FFFFFF"/>
                <w:lang w:eastAsia="tr-TR"/>
              </w:rPr>
            </w:pPr>
            <w:r w:rsidRPr="00AE0C4A">
              <w:rPr>
                <w:rFonts w:ascii="Calibri" w:eastAsia="Times New Roman" w:hAnsi="Calibri"/>
                <w:b/>
                <w:bCs/>
                <w:color w:val="FFFFFF"/>
                <w:lang w:eastAsia="tr-TR"/>
              </w:rPr>
              <w:t>Dava Sayısı</w:t>
            </w:r>
          </w:p>
        </w:tc>
        <w:tc>
          <w:tcPr>
            <w:tcW w:w="1667" w:type="pct"/>
            <w:tcBorders>
              <w:top w:val="single" w:sz="8" w:space="0" w:color="BFBFBF"/>
              <w:left w:val="nil"/>
              <w:bottom w:val="single" w:sz="8" w:space="0" w:color="BFBFBF"/>
              <w:right w:val="single" w:sz="8" w:space="0" w:color="BFBFBF"/>
            </w:tcBorders>
            <w:shd w:val="clear" w:color="000000" w:fill="6E9ECA"/>
            <w:vAlign w:val="center"/>
            <w:hideMark/>
          </w:tcPr>
          <w:p w:rsidR="00F018C6" w:rsidRPr="00AE0C4A" w:rsidRDefault="00F018C6" w:rsidP="00F018C6">
            <w:pPr>
              <w:spacing w:after="0" w:line="240" w:lineRule="auto"/>
              <w:jc w:val="center"/>
              <w:rPr>
                <w:rFonts w:ascii="Calibri" w:eastAsia="Times New Roman" w:hAnsi="Calibri"/>
                <w:b/>
                <w:bCs/>
                <w:color w:val="FFFFFF"/>
                <w:lang w:eastAsia="tr-TR"/>
              </w:rPr>
            </w:pPr>
            <w:r w:rsidRPr="00AE0C4A">
              <w:rPr>
                <w:rFonts w:ascii="Calibri" w:eastAsia="Times New Roman" w:hAnsi="Calibri"/>
                <w:b/>
                <w:bCs/>
                <w:color w:val="FFFFFF"/>
                <w:lang w:eastAsia="tr-TR"/>
              </w:rPr>
              <w:t>Kesinleşenler</w:t>
            </w:r>
          </w:p>
        </w:tc>
        <w:tc>
          <w:tcPr>
            <w:tcW w:w="1665" w:type="pct"/>
            <w:tcBorders>
              <w:top w:val="single" w:sz="8" w:space="0" w:color="BFBFBF"/>
              <w:left w:val="nil"/>
              <w:bottom w:val="single" w:sz="8" w:space="0" w:color="BFBFBF"/>
              <w:right w:val="single" w:sz="8" w:space="0" w:color="BFBFBF"/>
            </w:tcBorders>
            <w:shd w:val="clear" w:color="000000" w:fill="6E9ECA"/>
            <w:vAlign w:val="center"/>
            <w:hideMark/>
          </w:tcPr>
          <w:p w:rsidR="00F018C6" w:rsidRPr="00AE0C4A" w:rsidRDefault="00F018C6" w:rsidP="00F018C6">
            <w:pPr>
              <w:spacing w:after="0" w:line="240" w:lineRule="auto"/>
              <w:jc w:val="center"/>
              <w:rPr>
                <w:rFonts w:ascii="Calibri" w:eastAsia="Times New Roman" w:hAnsi="Calibri"/>
                <w:b/>
                <w:bCs/>
                <w:color w:val="FFFFFF"/>
                <w:lang w:eastAsia="tr-TR"/>
              </w:rPr>
            </w:pPr>
            <w:r w:rsidRPr="00AE0C4A">
              <w:rPr>
                <w:rFonts w:ascii="Calibri" w:eastAsia="Times New Roman" w:hAnsi="Calibri"/>
                <w:b/>
                <w:bCs/>
                <w:color w:val="FFFFFF"/>
                <w:lang w:eastAsia="tr-TR"/>
              </w:rPr>
              <w:t>Derdestler</w:t>
            </w:r>
          </w:p>
        </w:tc>
      </w:tr>
      <w:tr w:rsidR="00F018C6" w:rsidRPr="00AE0C4A" w:rsidTr="00F018C6">
        <w:trPr>
          <w:trHeight w:val="227"/>
          <w:jc w:val="center"/>
        </w:trPr>
        <w:tc>
          <w:tcPr>
            <w:tcW w:w="1668" w:type="pct"/>
            <w:tcBorders>
              <w:top w:val="nil"/>
              <w:left w:val="single" w:sz="4" w:space="0" w:color="9BBB59" w:themeColor="accent3"/>
              <w:bottom w:val="single" w:sz="8" w:space="0" w:color="BFBFBF"/>
              <w:right w:val="single" w:sz="8" w:space="0" w:color="BFBFBF"/>
            </w:tcBorders>
            <w:shd w:val="clear" w:color="auto" w:fill="auto"/>
            <w:noWrap/>
            <w:vAlign w:val="center"/>
            <w:hideMark/>
          </w:tcPr>
          <w:p w:rsidR="00F018C6" w:rsidRPr="00AE0C4A" w:rsidRDefault="00F018C6" w:rsidP="00F018C6">
            <w:pPr>
              <w:spacing w:after="0" w:line="240" w:lineRule="auto"/>
              <w:jc w:val="right"/>
              <w:rPr>
                <w:rFonts w:ascii="Calibri" w:eastAsia="Times New Roman" w:hAnsi="Calibri"/>
                <w:color w:val="000000"/>
                <w:lang w:eastAsia="tr-TR"/>
              </w:rPr>
            </w:pPr>
            <w:r w:rsidRPr="00AE0C4A">
              <w:rPr>
                <w:rFonts w:ascii="Calibri" w:eastAsia="Times New Roman" w:hAnsi="Calibri"/>
                <w:color w:val="000000"/>
                <w:lang w:eastAsia="tr-TR"/>
              </w:rPr>
              <w:t xml:space="preserve"> </w:t>
            </w:r>
            <w:r>
              <w:rPr>
                <w:rFonts w:ascii="Calibri" w:eastAsia="Times New Roman" w:hAnsi="Calibri"/>
                <w:color w:val="000000"/>
                <w:lang w:eastAsia="tr-TR"/>
              </w:rPr>
              <w:t>24.318</w:t>
            </w:r>
          </w:p>
        </w:tc>
        <w:tc>
          <w:tcPr>
            <w:tcW w:w="1667" w:type="pct"/>
            <w:tcBorders>
              <w:top w:val="nil"/>
              <w:left w:val="nil"/>
              <w:bottom w:val="single" w:sz="8" w:space="0" w:color="BFBFBF"/>
              <w:right w:val="single" w:sz="8" w:space="0" w:color="BFBFBF"/>
            </w:tcBorders>
            <w:shd w:val="clear" w:color="auto" w:fill="auto"/>
            <w:noWrap/>
            <w:vAlign w:val="center"/>
            <w:hideMark/>
          </w:tcPr>
          <w:p w:rsidR="00F018C6" w:rsidRPr="00AE0C4A" w:rsidRDefault="00F018C6" w:rsidP="00F018C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6.984</w:t>
            </w:r>
          </w:p>
        </w:tc>
        <w:tc>
          <w:tcPr>
            <w:tcW w:w="1665" w:type="pct"/>
            <w:tcBorders>
              <w:top w:val="nil"/>
              <w:left w:val="nil"/>
              <w:bottom w:val="single" w:sz="8" w:space="0" w:color="BFBFBF"/>
              <w:right w:val="single" w:sz="8" w:space="0" w:color="BFBFBF"/>
            </w:tcBorders>
            <w:shd w:val="clear" w:color="auto" w:fill="auto"/>
            <w:vAlign w:val="center"/>
            <w:hideMark/>
          </w:tcPr>
          <w:p w:rsidR="00F018C6" w:rsidRPr="00AE0C4A" w:rsidRDefault="00F018C6" w:rsidP="00F018C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17.334</w:t>
            </w:r>
          </w:p>
        </w:tc>
      </w:tr>
    </w:tbl>
    <w:p w:rsidR="00F018C6" w:rsidRPr="00AE0C4A" w:rsidRDefault="00F018C6" w:rsidP="00F018C6">
      <w:pPr>
        <w:spacing w:after="0" w:line="240" w:lineRule="auto"/>
        <w:rPr>
          <w:rFonts w:ascii="Calibri" w:hAnsi="Calibri"/>
          <w:color w:val="000000"/>
          <w:highlight w:val="yellow"/>
        </w:rPr>
      </w:pPr>
    </w:p>
    <w:p w:rsidR="00F018C6" w:rsidRPr="00AE0C4A" w:rsidRDefault="00F018C6" w:rsidP="00F018C6">
      <w:pPr>
        <w:numPr>
          <w:ilvl w:val="0"/>
          <w:numId w:val="3"/>
        </w:numPr>
        <w:spacing w:after="0" w:line="240" w:lineRule="auto"/>
        <w:contextualSpacing/>
        <w:rPr>
          <w:rFonts w:ascii="Calibri" w:hAnsi="Calibri"/>
          <w:color w:val="000000"/>
        </w:rPr>
      </w:pPr>
      <w:r w:rsidRPr="00AE0C4A">
        <w:rPr>
          <w:rFonts w:ascii="Calibri" w:hAnsi="Calibri"/>
          <w:color w:val="000000"/>
        </w:rPr>
        <w:t>31.12.</w:t>
      </w:r>
      <w:r>
        <w:rPr>
          <w:rFonts w:ascii="Calibri" w:hAnsi="Calibri"/>
          <w:color w:val="000000"/>
        </w:rPr>
        <w:t>2022</w:t>
      </w:r>
      <w:r w:rsidRPr="00AE0C4A">
        <w:rPr>
          <w:rFonts w:ascii="Calibri" w:hAnsi="Calibri"/>
          <w:color w:val="000000"/>
        </w:rPr>
        <w:t xml:space="preserve"> tarihi itibariyle; Kurumumuz tarafından </w:t>
      </w:r>
      <w:r>
        <w:rPr>
          <w:rFonts w:ascii="Calibri" w:hAnsi="Calibri"/>
          <w:color w:val="000000"/>
        </w:rPr>
        <w:t>67.006</w:t>
      </w:r>
      <w:r w:rsidRPr="00AE0C4A">
        <w:rPr>
          <w:rFonts w:ascii="Calibri" w:hAnsi="Calibri"/>
          <w:color w:val="000000"/>
        </w:rPr>
        <w:t xml:space="preserve"> adet davaya taraf olunmuş olup bahse konu davaların </w:t>
      </w:r>
      <w:r>
        <w:rPr>
          <w:rFonts w:ascii="Calibri" w:hAnsi="Calibri"/>
          <w:color w:val="000000"/>
        </w:rPr>
        <w:t>59.751</w:t>
      </w:r>
      <w:r w:rsidRPr="00AE0C4A">
        <w:rPr>
          <w:rFonts w:ascii="Calibri" w:hAnsi="Calibri"/>
          <w:color w:val="000000"/>
        </w:rPr>
        <w:t xml:space="preserve"> adedi halen derdesttir.</w:t>
      </w:r>
    </w:p>
    <w:p w:rsidR="00F018C6" w:rsidRPr="00AE0C4A" w:rsidRDefault="00F018C6" w:rsidP="00F018C6">
      <w:pPr>
        <w:spacing w:after="0" w:line="240" w:lineRule="auto"/>
        <w:rPr>
          <w:rFonts w:ascii="Calibri" w:hAnsi="Calibri"/>
          <w:color w:val="000000"/>
          <w:highlight w:val="yellow"/>
        </w:rPr>
      </w:pPr>
    </w:p>
    <w:p w:rsidR="00F018C6" w:rsidRPr="00AE0C4A" w:rsidRDefault="00F018C6" w:rsidP="00F018C6">
      <w:pPr>
        <w:numPr>
          <w:ilvl w:val="0"/>
          <w:numId w:val="3"/>
        </w:numPr>
        <w:spacing w:after="0" w:line="240" w:lineRule="auto"/>
        <w:contextualSpacing/>
        <w:rPr>
          <w:rFonts w:ascii="Calibri" w:hAnsi="Calibri"/>
          <w:color w:val="000000"/>
        </w:rPr>
      </w:pPr>
      <w:r w:rsidRPr="00AE0C4A">
        <w:rPr>
          <w:rFonts w:ascii="Calibri" w:hAnsi="Calibri"/>
          <w:color w:val="000000"/>
        </w:rPr>
        <w:t xml:space="preserve">Kurumumuzun taraf olduğu </w:t>
      </w:r>
      <w:r>
        <w:rPr>
          <w:rFonts w:ascii="Calibri" w:hAnsi="Calibri"/>
          <w:color w:val="000000"/>
        </w:rPr>
        <w:t>67.006</w:t>
      </w:r>
      <w:r w:rsidRPr="00AE0C4A">
        <w:rPr>
          <w:rFonts w:ascii="Calibri" w:hAnsi="Calibri"/>
          <w:color w:val="000000"/>
        </w:rPr>
        <w:t xml:space="preserve"> adet davadan; </w:t>
      </w:r>
      <w:r>
        <w:rPr>
          <w:rFonts w:ascii="Calibri" w:hAnsi="Calibri"/>
          <w:color w:val="000000"/>
        </w:rPr>
        <w:t>35.545</w:t>
      </w:r>
      <w:r w:rsidRPr="00AE0C4A">
        <w:rPr>
          <w:rFonts w:ascii="Calibri" w:hAnsi="Calibri"/>
          <w:color w:val="000000"/>
        </w:rPr>
        <w:t xml:space="preserve"> adedi ceza davası, </w:t>
      </w:r>
      <w:r>
        <w:rPr>
          <w:rFonts w:ascii="Calibri" w:hAnsi="Calibri"/>
          <w:color w:val="000000"/>
        </w:rPr>
        <w:t>24.318</w:t>
      </w:r>
      <w:r w:rsidRPr="00AE0C4A">
        <w:rPr>
          <w:rFonts w:ascii="Calibri" w:hAnsi="Calibri"/>
          <w:color w:val="000000"/>
        </w:rPr>
        <w:t xml:space="preserve"> adedi idari dava, </w:t>
      </w:r>
      <w:r>
        <w:rPr>
          <w:rFonts w:ascii="Calibri" w:hAnsi="Calibri"/>
          <w:color w:val="000000"/>
        </w:rPr>
        <w:t>7.143</w:t>
      </w:r>
      <w:r w:rsidRPr="00AE0C4A">
        <w:rPr>
          <w:rFonts w:ascii="Calibri" w:hAnsi="Calibri"/>
          <w:color w:val="000000"/>
        </w:rPr>
        <w:t xml:space="preserve"> adedi hukuk davasıdır. </w:t>
      </w:r>
    </w:p>
    <w:p w:rsidR="00F018C6" w:rsidRPr="00AE0C4A" w:rsidRDefault="00F018C6" w:rsidP="00F018C6">
      <w:pPr>
        <w:spacing w:after="0" w:line="240" w:lineRule="auto"/>
        <w:rPr>
          <w:rFonts w:ascii="Calibri" w:hAnsi="Calibri"/>
          <w:color w:val="000000"/>
          <w:highlight w:val="yellow"/>
        </w:rPr>
      </w:pPr>
    </w:p>
    <w:p w:rsidR="00F018C6" w:rsidRPr="00AE0C4A" w:rsidRDefault="00F018C6" w:rsidP="00F018C6">
      <w:pPr>
        <w:spacing w:after="0" w:line="240" w:lineRule="auto"/>
        <w:ind w:left="720"/>
        <w:contextualSpacing/>
        <w:rPr>
          <w:rFonts w:ascii="Calibri" w:hAnsi="Calibri"/>
          <w:color w:val="000000"/>
        </w:rPr>
      </w:pPr>
    </w:p>
    <w:p w:rsidR="00F018C6" w:rsidRPr="00AE0C4A" w:rsidRDefault="00F018C6" w:rsidP="00F018C6">
      <w:pPr>
        <w:numPr>
          <w:ilvl w:val="0"/>
          <w:numId w:val="3"/>
        </w:numPr>
        <w:spacing w:after="0" w:line="240" w:lineRule="auto"/>
        <w:contextualSpacing/>
        <w:rPr>
          <w:rFonts w:ascii="Calibri" w:hAnsi="Calibri"/>
          <w:color w:val="000000"/>
        </w:rPr>
      </w:pPr>
      <w:r w:rsidRPr="00AE0C4A">
        <w:rPr>
          <w:rFonts w:ascii="Calibri" w:hAnsi="Calibri"/>
          <w:color w:val="000000"/>
        </w:rPr>
        <w:t xml:space="preserve">  </w:t>
      </w:r>
      <w:r>
        <w:rPr>
          <w:rFonts w:ascii="Calibri" w:hAnsi="Calibri"/>
          <w:color w:val="000000"/>
        </w:rPr>
        <w:t>23.167</w:t>
      </w:r>
      <w:r w:rsidRPr="00AE0C4A">
        <w:rPr>
          <w:rFonts w:ascii="Calibri" w:hAnsi="Calibri"/>
          <w:color w:val="000000"/>
        </w:rPr>
        <w:t xml:space="preserve"> adet dava dışı dosyanın (takipsizlik, haciz ihbarnamesi, görevsizlik vs.) takibi yapılmıştır. </w:t>
      </w:r>
    </w:p>
    <w:p w:rsidR="00F018C6" w:rsidRDefault="00F018C6" w:rsidP="00F018C6">
      <w:pPr>
        <w:spacing w:after="0" w:line="240" w:lineRule="auto"/>
        <w:rPr>
          <w:rFonts w:ascii="Calibri" w:hAnsi="Calibri"/>
          <w:color w:val="000000"/>
          <w:highlight w:val="yellow"/>
        </w:rPr>
      </w:pPr>
    </w:p>
    <w:p w:rsidR="00F018C6" w:rsidRPr="008102B6" w:rsidRDefault="00F018C6" w:rsidP="008102B6">
      <w:pPr>
        <w:pStyle w:val="Balk5"/>
        <w:spacing w:after="240"/>
        <w:jc w:val="center"/>
        <w:rPr>
          <w:rStyle w:val="Gl"/>
          <w:color w:val="auto"/>
        </w:rPr>
      </w:pPr>
      <w:bookmarkStart w:id="396" w:name="_Toc94703943"/>
      <w:bookmarkStart w:id="397" w:name="_Toc132713950"/>
      <w:r w:rsidRPr="008102B6">
        <w:rPr>
          <w:rStyle w:val="Gl"/>
          <w:color w:val="auto"/>
        </w:rPr>
        <w:t>Tablo 8.6: 2022 Yılı Sonu İtibariyle Kurumumuzun Taraf Olduğu Davalardan Kesinleştiği Tespit Edilen Davaların Sonuçları Bakımından Dağılımı</w:t>
      </w:r>
      <w:bookmarkEnd w:id="396"/>
      <w:bookmarkEnd w:id="397"/>
    </w:p>
    <w:tbl>
      <w:tblPr>
        <w:tblW w:w="4508"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70" w:type="dxa"/>
          <w:right w:w="70" w:type="dxa"/>
        </w:tblCellMar>
        <w:tblLook w:val="04A0" w:firstRow="1" w:lastRow="0" w:firstColumn="1" w:lastColumn="0" w:noHBand="0" w:noVBand="1"/>
      </w:tblPr>
      <w:tblGrid>
        <w:gridCol w:w="2374"/>
        <w:gridCol w:w="1680"/>
        <w:gridCol w:w="1680"/>
        <w:gridCol w:w="1601"/>
        <w:gridCol w:w="1601"/>
      </w:tblGrid>
      <w:tr w:rsidR="00F018C6" w:rsidRPr="00AE0C4A" w:rsidTr="00F018C6">
        <w:trPr>
          <w:trHeight w:val="20"/>
          <w:jc w:val="center"/>
        </w:trPr>
        <w:tc>
          <w:tcPr>
            <w:tcW w:w="1328" w:type="pct"/>
            <w:vMerge w:val="restart"/>
            <w:shd w:val="clear" w:color="000000" w:fill="6E9ECA"/>
            <w:vAlign w:val="center"/>
            <w:hideMark/>
          </w:tcPr>
          <w:p w:rsidR="00F018C6" w:rsidRPr="00AE0C4A" w:rsidRDefault="00F018C6" w:rsidP="00F018C6">
            <w:pPr>
              <w:spacing w:after="0" w:line="240" w:lineRule="auto"/>
              <w:jc w:val="center"/>
              <w:rPr>
                <w:rFonts w:ascii="Calibri" w:eastAsia="Times New Roman" w:hAnsi="Calibri"/>
                <w:b/>
                <w:bCs/>
                <w:color w:val="FFFFFF"/>
                <w:lang w:eastAsia="tr-TR"/>
              </w:rPr>
            </w:pPr>
            <w:r w:rsidRPr="00AE0C4A">
              <w:rPr>
                <w:rFonts w:ascii="Calibri" w:eastAsia="Times New Roman" w:hAnsi="Calibri"/>
                <w:b/>
                <w:bCs/>
                <w:color w:val="FFFFFF"/>
                <w:lang w:eastAsia="tr-TR"/>
              </w:rPr>
              <w:t>Dava Türü</w:t>
            </w:r>
          </w:p>
        </w:tc>
        <w:tc>
          <w:tcPr>
            <w:tcW w:w="1880" w:type="pct"/>
            <w:gridSpan w:val="2"/>
            <w:shd w:val="clear" w:color="000000" w:fill="6E9ECA"/>
            <w:vAlign w:val="center"/>
            <w:hideMark/>
          </w:tcPr>
          <w:p w:rsidR="00F018C6" w:rsidRPr="00AE0C4A" w:rsidRDefault="00F018C6" w:rsidP="00F018C6">
            <w:pPr>
              <w:spacing w:after="0" w:line="240" w:lineRule="auto"/>
              <w:jc w:val="center"/>
              <w:rPr>
                <w:rFonts w:ascii="Calibri" w:eastAsia="Times New Roman" w:hAnsi="Calibri"/>
                <w:b/>
                <w:bCs/>
                <w:color w:val="FFFFFF"/>
                <w:lang w:eastAsia="tr-TR"/>
              </w:rPr>
            </w:pPr>
            <w:r w:rsidRPr="00AE0C4A">
              <w:rPr>
                <w:rFonts w:ascii="Calibri" w:eastAsia="Times New Roman" w:hAnsi="Calibri"/>
                <w:b/>
                <w:bCs/>
                <w:color w:val="FFFFFF"/>
                <w:lang w:eastAsia="tr-TR"/>
              </w:rPr>
              <w:t>Lehe Olanlar</w:t>
            </w:r>
          </w:p>
        </w:tc>
        <w:tc>
          <w:tcPr>
            <w:tcW w:w="1793" w:type="pct"/>
            <w:gridSpan w:val="2"/>
            <w:shd w:val="clear" w:color="000000" w:fill="6E9ECA"/>
            <w:vAlign w:val="center"/>
            <w:hideMark/>
          </w:tcPr>
          <w:p w:rsidR="00F018C6" w:rsidRPr="00AE0C4A" w:rsidRDefault="00F018C6" w:rsidP="00F018C6">
            <w:pPr>
              <w:spacing w:after="0" w:line="240" w:lineRule="auto"/>
              <w:jc w:val="center"/>
              <w:rPr>
                <w:rFonts w:ascii="Calibri" w:eastAsia="Times New Roman" w:hAnsi="Calibri"/>
                <w:b/>
                <w:bCs/>
                <w:color w:val="FFFFFF"/>
                <w:lang w:eastAsia="tr-TR"/>
              </w:rPr>
            </w:pPr>
            <w:r w:rsidRPr="00AE0C4A">
              <w:rPr>
                <w:rFonts w:ascii="Calibri" w:eastAsia="Times New Roman" w:hAnsi="Calibri"/>
                <w:b/>
                <w:bCs/>
                <w:color w:val="FFFFFF"/>
                <w:lang w:eastAsia="tr-TR"/>
              </w:rPr>
              <w:t>Aleyhe Olanlar</w:t>
            </w:r>
          </w:p>
        </w:tc>
      </w:tr>
      <w:tr w:rsidR="00F018C6" w:rsidRPr="00AE0C4A" w:rsidTr="00F018C6">
        <w:trPr>
          <w:trHeight w:val="20"/>
          <w:jc w:val="center"/>
        </w:trPr>
        <w:tc>
          <w:tcPr>
            <w:tcW w:w="1328" w:type="pct"/>
            <w:vMerge/>
            <w:vAlign w:val="center"/>
            <w:hideMark/>
          </w:tcPr>
          <w:p w:rsidR="00F018C6" w:rsidRPr="00AE0C4A" w:rsidRDefault="00F018C6" w:rsidP="00F018C6">
            <w:pPr>
              <w:spacing w:after="0" w:line="240" w:lineRule="auto"/>
              <w:rPr>
                <w:rFonts w:ascii="Calibri" w:eastAsia="Times New Roman" w:hAnsi="Calibri"/>
                <w:b/>
                <w:bCs/>
                <w:color w:val="FFFFFF"/>
                <w:lang w:eastAsia="tr-TR"/>
              </w:rPr>
            </w:pPr>
          </w:p>
        </w:tc>
        <w:tc>
          <w:tcPr>
            <w:tcW w:w="940" w:type="pct"/>
            <w:shd w:val="clear" w:color="000000" w:fill="6E9ECA"/>
            <w:vAlign w:val="center"/>
            <w:hideMark/>
          </w:tcPr>
          <w:p w:rsidR="00F018C6" w:rsidRPr="00AE0C4A" w:rsidRDefault="00F018C6" w:rsidP="00F018C6">
            <w:pPr>
              <w:spacing w:after="0" w:line="240" w:lineRule="auto"/>
              <w:jc w:val="center"/>
              <w:rPr>
                <w:rFonts w:ascii="Calibri" w:eastAsia="Times New Roman" w:hAnsi="Calibri"/>
                <w:b/>
                <w:bCs/>
                <w:color w:val="FFFFFF"/>
                <w:lang w:eastAsia="tr-TR"/>
              </w:rPr>
            </w:pPr>
            <w:r w:rsidRPr="00AE0C4A">
              <w:rPr>
                <w:rFonts w:ascii="Calibri" w:eastAsia="Times New Roman" w:hAnsi="Calibri"/>
                <w:b/>
                <w:bCs/>
                <w:color w:val="FFFFFF"/>
                <w:lang w:eastAsia="tr-TR"/>
              </w:rPr>
              <w:t>Dava Sayısı</w:t>
            </w:r>
          </w:p>
        </w:tc>
        <w:tc>
          <w:tcPr>
            <w:tcW w:w="940" w:type="pct"/>
            <w:shd w:val="clear" w:color="000000" w:fill="6E9ECA"/>
            <w:vAlign w:val="center"/>
            <w:hideMark/>
          </w:tcPr>
          <w:p w:rsidR="00F018C6" w:rsidRPr="00AE0C4A" w:rsidRDefault="00F018C6" w:rsidP="00F018C6">
            <w:pPr>
              <w:spacing w:after="0" w:line="240" w:lineRule="auto"/>
              <w:jc w:val="center"/>
              <w:rPr>
                <w:rFonts w:ascii="Calibri" w:eastAsia="Times New Roman" w:hAnsi="Calibri"/>
                <w:b/>
                <w:bCs/>
                <w:color w:val="FFFFFF"/>
                <w:lang w:eastAsia="tr-TR"/>
              </w:rPr>
            </w:pPr>
            <w:r w:rsidRPr="00AE0C4A">
              <w:rPr>
                <w:rFonts w:ascii="Calibri" w:eastAsia="Times New Roman" w:hAnsi="Calibri"/>
                <w:b/>
                <w:bCs/>
                <w:color w:val="FFFFFF"/>
                <w:lang w:eastAsia="tr-TR"/>
              </w:rPr>
              <w:t>Oran (%)</w:t>
            </w:r>
          </w:p>
        </w:tc>
        <w:tc>
          <w:tcPr>
            <w:tcW w:w="896" w:type="pct"/>
            <w:shd w:val="clear" w:color="000000" w:fill="6E9ECA"/>
            <w:vAlign w:val="center"/>
            <w:hideMark/>
          </w:tcPr>
          <w:p w:rsidR="00F018C6" w:rsidRPr="00AE0C4A" w:rsidRDefault="00F018C6" w:rsidP="00F018C6">
            <w:pPr>
              <w:spacing w:after="0" w:line="240" w:lineRule="auto"/>
              <w:jc w:val="center"/>
              <w:rPr>
                <w:rFonts w:ascii="Calibri" w:eastAsia="Times New Roman" w:hAnsi="Calibri"/>
                <w:b/>
                <w:bCs/>
                <w:color w:val="FFFFFF"/>
                <w:lang w:eastAsia="tr-TR"/>
              </w:rPr>
            </w:pPr>
            <w:r w:rsidRPr="00AE0C4A">
              <w:rPr>
                <w:rFonts w:ascii="Calibri" w:eastAsia="Times New Roman" w:hAnsi="Calibri"/>
                <w:b/>
                <w:bCs/>
                <w:color w:val="FFFFFF"/>
                <w:lang w:eastAsia="tr-TR"/>
              </w:rPr>
              <w:t>Dava Sayısı</w:t>
            </w:r>
          </w:p>
        </w:tc>
        <w:tc>
          <w:tcPr>
            <w:tcW w:w="896" w:type="pct"/>
            <w:shd w:val="clear" w:color="000000" w:fill="6E9ECA"/>
            <w:vAlign w:val="center"/>
            <w:hideMark/>
          </w:tcPr>
          <w:p w:rsidR="00F018C6" w:rsidRPr="00AE0C4A" w:rsidRDefault="00F018C6" w:rsidP="00F018C6">
            <w:pPr>
              <w:spacing w:after="0" w:line="240" w:lineRule="auto"/>
              <w:jc w:val="center"/>
              <w:rPr>
                <w:rFonts w:ascii="Calibri" w:eastAsia="Times New Roman" w:hAnsi="Calibri"/>
                <w:b/>
                <w:bCs/>
                <w:color w:val="FFFFFF"/>
                <w:lang w:eastAsia="tr-TR"/>
              </w:rPr>
            </w:pPr>
            <w:r w:rsidRPr="00AE0C4A">
              <w:rPr>
                <w:rFonts w:ascii="Calibri" w:eastAsia="Times New Roman" w:hAnsi="Calibri"/>
                <w:b/>
                <w:bCs/>
                <w:color w:val="FFFFFF"/>
                <w:lang w:eastAsia="tr-TR"/>
              </w:rPr>
              <w:t>Oran (%)</w:t>
            </w:r>
          </w:p>
        </w:tc>
      </w:tr>
      <w:tr w:rsidR="00F018C6" w:rsidRPr="00AE0C4A" w:rsidTr="00F018C6">
        <w:trPr>
          <w:trHeight w:val="20"/>
          <w:jc w:val="center"/>
        </w:trPr>
        <w:tc>
          <w:tcPr>
            <w:tcW w:w="1328" w:type="pct"/>
            <w:shd w:val="clear" w:color="auto" w:fill="auto"/>
            <w:vAlign w:val="center"/>
            <w:hideMark/>
          </w:tcPr>
          <w:p w:rsidR="00F018C6" w:rsidRPr="00AE0C4A" w:rsidRDefault="00F018C6" w:rsidP="00F018C6">
            <w:pPr>
              <w:spacing w:after="0" w:line="240" w:lineRule="auto"/>
              <w:rPr>
                <w:rFonts w:ascii="Calibri" w:eastAsia="Times New Roman" w:hAnsi="Calibri"/>
                <w:color w:val="000000"/>
                <w:lang w:eastAsia="tr-TR"/>
              </w:rPr>
            </w:pPr>
            <w:r w:rsidRPr="00AE0C4A">
              <w:rPr>
                <w:rFonts w:ascii="Calibri" w:eastAsia="Times New Roman" w:hAnsi="Calibri"/>
                <w:color w:val="000000"/>
                <w:lang w:eastAsia="tr-TR"/>
              </w:rPr>
              <w:t>Ceza Davaları</w:t>
            </w:r>
          </w:p>
        </w:tc>
        <w:tc>
          <w:tcPr>
            <w:tcW w:w="940" w:type="pct"/>
            <w:shd w:val="clear" w:color="auto" w:fill="auto"/>
            <w:noWrap/>
            <w:vAlign w:val="center"/>
            <w:hideMark/>
          </w:tcPr>
          <w:p w:rsidR="00F018C6" w:rsidRPr="00AE0C4A" w:rsidRDefault="00F018C6" w:rsidP="00F018C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200</w:t>
            </w:r>
          </w:p>
        </w:tc>
        <w:tc>
          <w:tcPr>
            <w:tcW w:w="940" w:type="pct"/>
            <w:shd w:val="clear" w:color="auto" w:fill="auto"/>
            <w:noWrap/>
            <w:vAlign w:val="center"/>
            <w:hideMark/>
          </w:tcPr>
          <w:p w:rsidR="00F018C6" w:rsidRPr="00AE0C4A" w:rsidRDefault="00F018C6" w:rsidP="00F018C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82,99</w:t>
            </w:r>
          </w:p>
        </w:tc>
        <w:tc>
          <w:tcPr>
            <w:tcW w:w="896" w:type="pct"/>
            <w:shd w:val="clear" w:color="auto" w:fill="auto"/>
            <w:vAlign w:val="center"/>
            <w:hideMark/>
          </w:tcPr>
          <w:p w:rsidR="00F018C6" w:rsidRPr="00AE0C4A" w:rsidRDefault="00F018C6" w:rsidP="00F018C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41</w:t>
            </w:r>
          </w:p>
        </w:tc>
        <w:tc>
          <w:tcPr>
            <w:tcW w:w="896" w:type="pct"/>
            <w:shd w:val="clear" w:color="auto" w:fill="auto"/>
            <w:vAlign w:val="center"/>
            <w:hideMark/>
          </w:tcPr>
          <w:p w:rsidR="00F018C6" w:rsidRPr="00AE0C4A" w:rsidRDefault="00F018C6" w:rsidP="00F018C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17,01</w:t>
            </w:r>
          </w:p>
        </w:tc>
      </w:tr>
      <w:tr w:rsidR="00F018C6" w:rsidRPr="00AE0C4A" w:rsidTr="00F018C6">
        <w:trPr>
          <w:trHeight w:val="20"/>
          <w:jc w:val="center"/>
        </w:trPr>
        <w:tc>
          <w:tcPr>
            <w:tcW w:w="1328" w:type="pct"/>
            <w:shd w:val="clear" w:color="auto" w:fill="auto"/>
            <w:vAlign w:val="center"/>
            <w:hideMark/>
          </w:tcPr>
          <w:p w:rsidR="00F018C6" w:rsidRPr="00AE0C4A" w:rsidRDefault="00F018C6" w:rsidP="00F018C6">
            <w:pPr>
              <w:spacing w:after="0" w:line="240" w:lineRule="auto"/>
              <w:rPr>
                <w:rFonts w:ascii="Calibri" w:eastAsia="Times New Roman" w:hAnsi="Calibri"/>
                <w:color w:val="000000"/>
                <w:lang w:eastAsia="tr-TR"/>
              </w:rPr>
            </w:pPr>
            <w:r w:rsidRPr="00AE0C4A">
              <w:rPr>
                <w:rFonts w:ascii="Calibri" w:eastAsia="Times New Roman" w:hAnsi="Calibri"/>
                <w:color w:val="000000"/>
                <w:lang w:eastAsia="tr-TR"/>
              </w:rPr>
              <w:t>İdari Davalar</w:t>
            </w:r>
          </w:p>
        </w:tc>
        <w:tc>
          <w:tcPr>
            <w:tcW w:w="940" w:type="pct"/>
            <w:shd w:val="clear" w:color="auto" w:fill="auto"/>
            <w:noWrap/>
            <w:vAlign w:val="center"/>
            <w:hideMark/>
          </w:tcPr>
          <w:p w:rsidR="00F018C6" w:rsidRPr="00AE0C4A" w:rsidRDefault="00F018C6" w:rsidP="00F018C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5.255</w:t>
            </w:r>
          </w:p>
        </w:tc>
        <w:tc>
          <w:tcPr>
            <w:tcW w:w="940" w:type="pct"/>
            <w:shd w:val="clear" w:color="auto" w:fill="auto"/>
            <w:noWrap/>
            <w:vAlign w:val="center"/>
            <w:hideMark/>
          </w:tcPr>
          <w:p w:rsidR="00F018C6" w:rsidRPr="00AE0C4A" w:rsidRDefault="00F018C6" w:rsidP="00F018C6">
            <w:pPr>
              <w:spacing w:after="0" w:line="240" w:lineRule="auto"/>
              <w:jc w:val="center"/>
              <w:rPr>
                <w:rFonts w:ascii="Calibri" w:eastAsia="Times New Roman" w:hAnsi="Calibri"/>
                <w:color w:val="000000"/>
                <w:lang w:eastAsia="tr-TR"/>
              </w:rPr>
            </w:pPr>
            <w:r w:rsidRPr="00AE0C4A">
              <w:rPr>
                <w:rFonts w:ascii="Calibri" w:eastAsia="Times New Roman" w:hAnsi="Calibri"/>
                <w:color w:val="000000"/>
                <w:lang w:eastAsia="tr-TR"/>
              </w:rPr>
              <w:t xml:space="preserve"> </w:t>
            </w:r>
            <w:r>
              <w:rPr>
                <w:rFonts w:ascii="Calibri" w:eastAsia="Times New Roman" w:hAnsi="Calibri"/>
                <w:color w:val="000000"/>
                <w:lang w:eastAsia="tr-TR"/>
              </w:rPr>
              <w:t>75,24</w:t>
            </w:r>
            <w:r w:rsidRPr="00AE0C4A">
              <w:rPr>
                <w:rFonts w:ascii="Calibri" w:eastAsia="Times New Roman" w:hAnsi="Calibri"/>
                <w:color w:val="000000"/>
                <w:lang w:eastAsia="tr-TR"/>
              </w:rPr>
              <w:t xml:space="preserve"> </w:t>
            </w:r>
          </w:p>
        </w:tc>
        <w:tc>
          <w:tcPr>
            <w:tcW w:w="896" w:type="pct"/>
            <w:shd w:val="clear" w:color="auto" w:fill="auto"/>
            <w:vAlign w:val="center"/>
            <w:hideMark/>
          </w:tcPr>
          <w:p w:rsidR="00F018C6" w:rsidRPr="00AE0C4A" w:rsidRDefault="00F018C6" w:rsidP="00F018C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1.729</w:t>
            </w:r>
          </w:p>
        </w:tc>
        <w:tc>
          <w:tcPr>
            <w:tcW w:w="896" w:type="pct"/>
            <w:shd w:val="clear" w:color="auto" w:fill="auto"/>
            <w:vAlign w:val="center"/>
            <w:hideMark/>
          </w:tcPr>
          <w:p w:rsidR="00F018C6" w:rsidRPr="00AE0C4A" w:rsidRDefault="00F018C6" w:rsidP="00F018C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24,76</w:t>
            </w:r>
          </w:p>
        </w:tc>
      </w:tr>
      <w:tr w:rsidR="00F018C6" w:rsidRPr="00AE0C4A" w:rsidTr="00F018C6">
        <w:trPr>
          <w:trHeight w:val="20"/>
          <w:jc w:val="center"/>
        </w:trPr>
        <w:tc>
          <w:tcPr>
            <w:tcW w:w="1328" w:type="pct"/>
            <w:shd w:val="clear" w:color="auto" w:fill="auto"/>
            <w:vAlign w:val="center"/>
            <w:hideMark/>
          </w:tcPr>
          <w:p w:rsidR="00F018C6" w:rsidRPr="00AE0C4A" w:rsidRDefault="00F018C6" w:rsidP="00F018C6">
            <w:pPr>
              <w:spacing w:after="0" w:line="240" w:lineRule="auto"/>
              <w:rPr>
                <w:rFonts w:ascii="Calibri" w:eastAsia="Times New Roman" w:hAnsi="Calibri"/>
                <w:color w:val="000000"/>
                <w:lang w:eastAsia="tr-TR"/>
              </w:rPr>
            </w:pPr>
            <w:r w:rsidRPr="00AE0C4A">
              <w:rPr>
                <w:rFonts w:ascii="Calibri" w:eastAsia="Times New Roman" w:hAnsi="Calibri"/>
                <w:color w:val="000000"/>
                <w:lang w:eastAsia="tr-TR"/>
              </w:rPr>
              <w:t>Hukuk Davaları</w:t>
            </w:r>
          </w:p>
        </w:tc>
        <w:tc>
          <w:tcPr>
            <w:tcW w:w="940" w:type="pct"/>
            <w:shd w:val="clear" w:color="auto" w:fill="auto"/>
            <w:noWrap/>
            <w:vAlign w:val="center"/>
            <w:hideMark/>
          </w:tcPr>
          <w:p w:rsidR="00F018C6" w:rsidRPr="00AE0C4A" w:rsidRDefault="00F018C6" w:rsidP="00F018C6">
            <w:pPr>
              <w:spacing w:after="0" w:line="240" w:lineRule="auto"/>
              <w:jc w:val="right"/>
              <w:rPr>
                <w:rFonts w:ascii="Calibri" w:eastAsia="Times New Roman" w:hAnsi="Calibri"/>
                <w:color w:val="000000"/>
                <w:lang w:eastAsia="tr-TR"/>
              </w:rPr>
            </w:pPr>
            <w:r w:rsidRPr="00AE0C4A">
              <w:rPr>
                <w:rFonts w:ascii="Calibri" w:eastAsia="Times New Roman" w:hAnsi="Calibri"/>
                <w:color w:val="000000"/>
                <w:lang w:eastAsia="tr-TR"/>
              </w:rPr>
              <w:t xml:space="preserve">  </w:t>
            </w:r>
            <w:r>
              <w:rPr>
                <w:rFonts w:ascii="Calibri" w:eastAsia="Times New Roman" w:hAnsi="Calibri"/>
                <w:color w:val="000000"/>
                <w:lang w:eastAsia="tr-TR"/>
              </w:rPr>
              <w:t>20</w:t>
            </w:r>
            <w:r w:rsidRPr="00AE0C4A">
              <w:rPr>
                <w:rFonts w:ascii="Calibri" w:eastAsia="Times New Roman" w:hAnsi="Calibri"/>
                <w:color w:val="000000"/>
                <w:lang w:eastAsia="tr-TR"/>
              </w:rPr>
              <w:t xml:space="preserve"> </w:t>
            </w:r>
          </w:p>
        </w:tc>
        <w:tc>
          <w:tcPr>
            <w:tcW w:w="940" w:type="pct"/>
            <w:shd w:val="clear" w:color="auto" w:fill="auto"/>
            <w:noWrap/>
            <w:vAlign w:val="center"/>
            <w:hideMark/>
          </w:tcPr>
          <w:p w:rsidR="00F018C6" w:rsidRPr="00AE0C4A" w:rsidRDefault="00F018C6" w:rsidP="00F018C6">
            <w:pPr>
              <w:spacing w:after="0" w:line="240" w:lineRule="auto"/>
              <w:jc w:val="center"/>
              <w:rPr>
                <w:rFonts w:ascii="Calibri" w:eastAsia="Times New Roman" w:hAnsi="Calibri"/>
                <w:color w:val="000000"/>
                <w:lang w:eastAsia="tr-TR"/>
              </w:rPr>
            </w:pPr>
            <w:r w:rsidRPr="00AE0C4A">
              <w:rPr>
                <w:rFonts w:ascii="Calibri" w:eastAsia="Times New Roman" w:hAnsi="Calibri"/>
                <w:color w:val="000000"/>
                <w:lang w:eastAsia="tr-TR"/>
              </w:rPr>
              <w:t xml:space="preserve"> </w:t>
            </w:r>
            <w:r>
              <w:rPr>
                <w:rFonts w:ascii="Calibri" w:eastAsia="Times New Roman" w:hAnsi="Calibri"/>
                <w:color w:val="000000"/>
                <w:lang w:eastAsia="tr-TR"/>
              </w:rPr>
              <w:t>66,67</w:t>
            </w:r>
            <w:r w:rsidRPr="00AE0C4A">
              <w:rPr>
                <w:rFonts w:ascii="Calibri" w:eastAsia="Times New Roman" w:hAnsi="Calibri"/>
                <w:color w:val="000000"/>
                <w:lang w:eastAsia="tr-TR"/>
              </w:rPr>
              <w:t xml:space="preserve"> </w:t>
            </w:r>
          </w:p>
        </w:tc>
        <w:tc>
          <w:tcPr>
            <w:tcW w:w="896" w:type="pct"/>
            <w:shd w:val="clear" w:color="auto" w:fill="auto"/>
            <w:vAlign w:val="center"/>
            <w:hideMark/>
          </w:tcPr>
          <w:p w:rsidR="00F018C6" w:rsidRPr="00AE0C4A" w:rsidRDefault="00F018C6" w:rsidP="00F018C6">
            <w:pPr>
              <w:spacing w:after="0" w:line="240" w:lineRule="auto"/>
              <w:jc w:val="right"/>
              <w:rPr>
                <w:rFonts w:ascii="Calibri" w:eastAsia="Times New Roman" w:hAnsi="Calibri"/>
                <w:color w:val="000000"/>
                <w:lang w:eastAsia="tr-TR"/>
              </w:rPr>
            </w:pPr>
            <w:r w:rsidRPr="00AE0C4A">
              <w:rPr>
                <w:rFonts w:ascii="Calibri" w:eastAsia="Times New Roman" w:hAnsi="Calibri"/>
                <w:color w:val="000000"/>
                <w:lang w:eastAsia="tr-TR"/>
              </w:rPr>
              <w:t xml:space="preserve"> 10</w:t>
            </w:r>
          </w:p>
        </w:tc>
        <w:tc>
          <w:tcPr>
            <w:tcW w:w="896" w:type="pct"/>
            <w:shd w:val="clear" w:color="auto" w:fill="auto"/>
            <w:vAlign w:val="center"/>
            <w:hideMark/>
          </w:tcPr>
          <w:p w:rsidR="00F018C6" w:rsidRPr="00AE0C4A" w:rsidRDefault="00F018C6" w:rsidP="00F018C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33,33</w:t>
            </w:r>
          </w:p>
        </w:tc>
      </w:tr>
      <w:tr w:rsidR="00F018C6" w:rsidRPr="00AE0C4A" w:rsidTr="00F018C6">
        <w:trPr>
          <w:trHeight w:val="20"/>
          <w:jc w:val="center"/>
        </w:trPr>
        <w:tc>
          <w:tcPr>
            <w:tcW w:w="1328" w:type="pct"/>
            <w:shd w:val="clear" w:color="auto" w:fill="auto"/>
            <w:vAlign w:val="center"/>
            <w:hideMark/>
          </w:tcPr>
          <w:p w:rsidR="00F018C6" w:rsidRPr="00AE0C4A" w:rsidRDefault="00F018C6" w:rsidP="00F018C6">
            <w:pPr>
              <w:spacing w:after="0" w:line="240" w:lineRule="auto"/>
              <w:rPr>
                <w:rFonts w:ascii="Calibri" w:eastAsia="Times New Roman" w:hAnsi="Calibri"/>
                <w:b/>
                <w:bCs/>
                <w:color w:val="000000"/>
                <w:lang w:eastAsia="tr-TR"/>
              </w:rPr>
            </w:pPr>
            <w:r w:rsidRPr="00AE0C4A">
              <w:rPr>
                <w:rFonts w:ascii="Calibri" w:eastAsia="Times New Roman" w:hAnsi="Calibri"/>
                <w:b/>
                <w:bCs/>
                <w:color w:val="000000"/>
                <w:lang w:eastAsia="tr-TR"/>
              </w:rPr>
              <w:t>Toplam</w:t>
            </w:r>
          </w:p>
        </w:tc>
        <w:tc>
          <w:tcPr>
            <w:tcW w:w="940" w:type="pct"/>
            <w:shd w:val="clear" w:color="auto" w:fill="auto"/>
            <w:noWrap/>
            <w:vAlign w:val="center"/>
            <w:hideMark/>
          </w:tcPr>
          <w:p w:rsidR="00F018C6" w:rsidRPr="00AE0C4A" w:rsidRDefault="00F018C6" w:rsidP="00F018C6">
            <w:pPr>
              <w:spacing w:after="0" w:line="240" w:lineRule="auto"/>
              <w:jc w:val="right"/>
              <w:rPr>
                <w:rFonts w:ascii="Calibri" w:eastAsia="Times New Roman" w:hAnsi="Calibri"/>
                <w:b/>
                <w:bCs/>
                <w:color w:val="000000"/>
                <w:lang w:eastAsia="tr-TR"/>
              </w:rPr>
            </w:pPr>
            <w:r w:rsidRPr="00AE0C4A">
              <w:rPr>
                <w:rFonts w:ascii="Calibri" w:eastAsia="Times New Roman" w:hAnsi="Calibri"/>
                <w:b/>
                <w:bCs/>
                <w:color w:val="000000"/>
                <w:lang w:eastAsia="tr-TR"/>
              </w:rPr>
              <w:t xml:space="preserve"> </w:t>
            </w:r>
            <w:r>
              <w:rPr>
                <w:rFonts w:ascii="Calibri" w:eastAsia="Times New Roman" w:hAnsi="Calibri"/>
                <w:b/>
                <w:bCs/>
                <w:color w:val="000000"/>
                <w:lang w:eastAsia="tr-TR"/>
              </w:rPr>
              <w:t>5.475</w:t>
            </w:r>
            <w:r w:rsidRPr="00AE0C4A">
              <w:rPr>
                <w:rFonts w:ascii="Calibri" w:eastAsia="Times New Roman" w:hAnsi="Calibri"/>
                <w:b/>
                <w:bCs/>
                <w:color w:val="000000"/>
                <w:lang w:eastAsia="tr-TR"/>
              </w:rPr>
              <w:t xml:space="preserve"> </w:t>
            </w:r>
          </w:p>
        </w:tc>
        <w:tc>
          <w:tcPr>
            <w:tcW w:w="940" w:type="pct"/>
            <w:shd w:val="clear" w:color="auto" w:fill="auto"/>
            <w:vAlign w:val="center"/>
            <w:hideMark/>
          </w:tcPr>
          <w:p w:rsidR="00F018C6" w:rsidRPr="00AE0C4A" w:rsidRDefault="00F018C6" w:rsidP="00F018C6">
            <w:pPr>
              <w:spacing w:after="0" w:line="240" w:lineRule="auto"/>
              <w:jc w:val="center"/>
              <w:rPr>
                <w:rFonts w:ascii="Calibri" w:eastAsia="Times New Roman" w:hAnsi="Calibri"/>
                <w:b/>
                <w:bCs/>
                <w:color w:val="000000"/>
                <w:lang w:eastAsia="tr-TR"/>
              </w:rPr>
            </w:pPr>
            <w:r>
              <w:rPr>
                <w:rFonts w:ascii="Calibri" w:eastAsia="Times New Roman" w:hAnsi="Calibri"/>
                <w:b/>
                <w:bCs/>
                <w:color w:val="000000"/>
                <w:lang w:eastAsia="tr-TR"/>
              </w:rPr>
              <w:t>75,47</w:t>
            </w:r>
          </w:p>
        </w:tc>
        <w:tc>
          <w:tcPr>
            <w:tcW w:w="896" w:type="pct"/>
            <w:shd w:val="clear" w:color="auto" w:fill="auto"/>
            <w:vAlign w:val="center"/>
            <w:hideMark/>
          </w:tcPr>
          <w:p w:rsidR="00F018C6" w:rsidRPr="00AE0C4A" w:rsidRDefault="00F018C6" w:rsidP="00F018C6">
            <w:pPr>
              <w:spacing w:after="0" w:line="240" w:lineRule="auto"/>
              <w:jc w:val="right"/>
              <w:rPr>
                <w:rFonts w:ascii="Calibri" w:eastAsia="Times New Roman" w:hAnsi="Calibri"/>
                <w:b/>
                <w:bCs/>
                <w:color w:val="000000"/>
                <w:lang w:eastAsia="tr-TR"/>
              </w:rPr>
            </w:pPr>
            <w:r>
              <w:rPr>
                <w:rFonts w:ascii="Calibri" w:eastAsia="Times New Roman" w:hAnsi="Calibri"/>
                <w:b/>
                <w:bCs/>
                <w:color w:val="000000"/>
                <w:lang w:eastAsia="tr-TR"/>
              </w:rPr>
              <w:t>1.780</w:t>
            </w:r>
          </w:p>
        </w:tc>
        <w:tc>
          <w:tcPr>
            <w:tcW w:w="896" w:type="pct"/>
            <w:shd w:val="clear" w:color="auto" w:fill="auto"/>
            <w:vAlign w:val="center"/>
            <w:hideMark/>
          </w:tcPr>
          <w:p w:rsidR="00F018C6" w:rsidRPr="00AE0C4A" w:rsidRDefault="00F018C6" w:rsidP="00F018C6">
            <w:pPr>
              <w:spacing w:after="0" w:line="240" w:lineRule="auto"/>
              <w:jc w:val="center"/>
              <w:rPr>
                <w:rFonts w:ascii="Calibri" w:eastAsia="Times New Roman" w:hAnsi="Calibri"/>
                <w:b/>
                <w:bCs/>
                <w:color w:val="000000"/>
                <w:lang w:eastAsia="tr-TR"/>
              </w:rPr>
            </w:pPr>
            <w:r w:rsidRPr="00AE0C4A">
              <w:rPr>
                <w:rFonts w:ascii="Calibri" w:eastAsia="Times New Roman" w:hAnsi="Calibri"/>
                <w:b/>
                <w:bCs/>
                <w:color w:val="000000"/>
                <w:lang w:eastAsia="tr-TR"/>
              </w:rPr>
              <w:t xml:space="preserve"> </w:t>
            </w:r>
            <w:r>
              <w:rPr>
                <w:rFonts w:ascii="Calibri" w:eastAsia="Times New Roman" w:hAnsi="Calibri"/>
                <w:b/>
                <w:bCs/>
                <w:color w:val="000000"/>
                <w:lang w:eastAsia="tr-TR"/>
              </w:rPr>
              <w:t>24,53</w:t>
            </w:r>
            <w:r w:rsidRPr="00AE0C4A">
              <w:rPr>
                <w:rFonts w:ascii="Calibri" w:eastAsia="Times New Roman" w:hAnsi="Calibri"/>
                <w:b/>
                <w:bCs/>
                <w:color w:val="000000"/>
                <w:lang w:eastAsia="tr-TR"/>
              </w:rPr>
              <w:t xml:space="preserve"> </w:t>
            </w:r>
          </w:p>
        </w:tc>
      </w:tr>
    </w:tbl>
    <w:p w:rsidR="00F018C6" w:rsidRPr="00AE0C4A" w:rsidRDefault="00F018C6" w:rsidP="00F018C6">
      <w:pPr>
        <w:spacing w:after="0" w:line="240" w:lineRule="auto"/>
        <w:rPr>
          <w:rFonts w:ascii="Calibri" w:eastAsia="Times New Roman" w:hAnsi="Calibri"/>
          <w:b/>
          <w:bCs/>
          <w:lang w:eastAsia="tr-TR"/>
        </w:rPr>
      </w:pPr>
    </w:p>
    <w:p w:rsidR="00F018C6" w:rsidRPr="008102B6" w:rsidRDefault="00F018C6" w:rsidP="008102B6">
      <w:pPr>
        <w:pStyle w:val="Balk5"/>
        <w:spacing w:after="240"/>
        <w:jc w:val="center"/>
        <w:rPr>
          <w:rStyle w:val="Gl"/>
          <w:bCs w:val="0"/>
          <w:color w:val="auto"/>
        </w:rPr>
      </w:pPr>
      <w:bookmarkStart w:id="398" w:name="_Toc94703944"/>
      <w:bookmarkStart w:id="399" w:name="_Toc132713951"/>
      <w:r w:rsidRPr="008102B6">
        <w:rPr>
          <w:rStyle w:val="Gl"/>
          <w:bCs w:val="0"/>
          <w:color w:val="auto"/>
        </w:rPr>
        <w:t>Tablo 8.7: 2022 Yılı Sonu İtibariyle Kurumumuzun Taraf Olduğu Davalardan Sona Eren Davaların Sonuçları Bakımından Dağılımı</w:t>
      </w:r>
      <w:bookmarkEnd w:id="398"/>
      <w:bookmarkEnd w:id="399"/>
    </w:p>
    <w:tbl>
      <w:tblPr>
        <w:tblW w:w="4931"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70" w:type="dxa"/>
          <w:right w:w="70" w:type="dxa"/>
        </w:tblCellMar>
        <w:tblLook w:val="04A0" w:firstRow="1" w:lastRow="0" w:firstColumn="1" w:lastColumn="0" w:noHBand="0" w:noVBand="1"/>
      </w:tblPr>
      <w:tblGrid>
        <w:gridCol w:w="2792"/>
        <w:gridCol w:w="1812"/>
        <w:gridCol w:w="1814"/>
        <w:gridCol w:w="1679"/>
        <w:gridCol w:w="1677"/>
      </w:tblGrid>
      <w:tr w:rsidR="00F018C6" w:rsidRPr="00AE0C4A" w:rsidTr="00F018C6">
        <w:trPr>
          <w:trHeight w:val="20"/>
          <w:jc w:val="center"/>
        </w:trPr>
        <w:tc>
          <w:tcPr>
            <w:tcW w:w="1428" w:type="pct"/>
            <w:vMerge w:val="restart"/>
            <w:shd w:val="clear" w:color="000000" w:fill="6E9ECA"/>
            <w:vAlign w:val="center"/>
            <w:hideMark/>
          </w:tcPr>
          <w:p w:rsidR="00F018C6" w:rsidRPr="00AE0C4A" w:rsidRDefault="00F018C6" w:rsidP="00F018C6">
            <w:pPr>
              <w:spacing w:after="0" w:line="240" w:lineRule="auto"/>
              <w:jc w:val="center"/>
              <w:rPr>
                <w:rFonts w:ascii="Calibri" w:eastAsia="Times New Roman" w:hAnsi="Calibri"/>
                <w:b/>
                <w:bCs/>
                <w:color w:val="FFFFFF"/>
                <w:lang w:eastAsia="tr-TR"/>
              </w:rPr>
            </w:pPr>
            <w:r w:rsidRPr="00AE0C4A">
              <w:rPr>
                <w:rFonts w:ascii="Calibri" w:eastAsia="Times New Roman" w:hAnsi="Calibri"/>
                <w:b/>
                <w:bCs/>
                <w:color w:val="FFFFFF"/>
                <w:lang w:eastAsia="tr-TR"/>
              </w:rPr>
              <w:t>Dava Türü</w:t>
            </w:r>
          </w:p>
        </w:tc>
        <w:tc>
          <w:tcPr>
            <w:tcW w:w="1855" w:type="pct"/>
            <w:gridSpan w:val="2"/>
            <w:shd w:val="clear" w:color="000000" w:fill="6E9ECA"/>
            <w:vAlign w:val="center"/>
            <w:hideMark/>
          </w:tcPr>
          <w:p w:rsidR="00F018C6" w:rsidRPr="00AE0C4A" w:rsidRDefault="00F018C6" w:rsidP="00F018C6">
            <w:pPr>
              <w:spacing w:after="0" w:line="240" w:lineRule="auto"/>
              <w:jc w:val="center"/>
              <w:rPr>
                <w:rFonts w:ascii="Calibri" w:eastAsia="Times New Roman" w:hAnsi="Calibri"/>
                <w:b/>
                <w:bCs/>
                <w:color w:val="FFFFFF"/>
                <w:lang w:eastAsia="tr-TR"/>
              </w:rPr>
            </w:pPr>
            <w:r w:rsidRPr="00AE0C4A">
              <w:rPr>
                <w:rFonts w:ascii="Calibri" w:eastAsia="Times New Roman" w:hAnsi="Calibri"/>
                <w:b/>
                <w:bCs/>
                <w:color w:val="FFFFFF"/>
                <w:lang w:eastAsia="tr-TR"/>
              </w:rPr>
              <w:t>Lehe Olanlar</w:t>
            </w:r>
          </w:p>
        </w:tc>
        <w:tc>
          <w:tcPr>
            <w:tcW w:w="1718" w:type="pct"/>
            <w:gridSpan w:val="2"/>
            <w:shd w:val="clear" w:color="000000" w:fill="6E9ECA"/>
            <w:vAlign w:val="center"/>
            <w:hideMark/>
          </w:tcPr>
          <w:p w:rsidR="00F018C6" w:rsidRPr="00AE0C4A" w:rsidRDefault="00F018C6" w:rsidP="00F018C6">
            <w:pPr>
              <w:spacing w:after="0" w:line="240" w:lineRule="auto"/>
              <w:jc w:val="center"/>
              <w:rPr>
                <w:rFonts w:ascii="Calibri" w:eastAsia="Times New Roman" w:hAnsi="Calibri"/>
                <w:b/>
                <w:bCs/>
                <w:color w:val="FFFFFF"/>
                <w:lang w:eastAsia="tr-TR"/>
              </w:rPr>
            </w:pPr>
            <w:r w:rsidRPr="00AE0C4A">
              <w:rPr>
                <w:rFonts w:ascii="Calibri" w:eastAsia="Times New Roman" w:hAnsi="Calibri"/>
                <w:b/>
                <w:bCs/>
                <w:color w:val="FFFFFF"/>
                <w:lang w:eastAsia="tr-TR"/>
              </w:rPr>
              <w:t>Aleyhe Olanlar</w:t>
            </w:r>
          </w:p>
        </w:tc>
      </w:tr>
      <w:tr w:rsidR="00F018C6" w:rsidRPr="00AE0C4A" w:rsidTr="00F018C6">
        <w:trPr>
          <w:trHeight w:val="20"/>
          <w:jc w:val="center"/>
        </w:trPr>
        <w:tc>
          <w:tcPr>
            <w:tcW w:w="1428" w:type="pct"/>
            <w:vMerge/>
            <w:vAlign w:val="center"/>
            <w:hideMark/>
          </w:tcPr>
          <w:p w:rsidR="00F018C6" w:rsidRPr="00AE0C4A" w:rsidRDefault="00F018C6" w:rsidP="00F018C6">
            <w:pPr>
              <w:spacing w:after="0" w:line="240" w:lineRule="auto"/>
              <w:rPr>
                <w:rFonts w:ascii="Calibri" w:eastAsia="Times New Roman" w:hAnsi="Calibri"/>
                <w:b/>
                <w:bCs/>
                <w:color w:val="FFFFFF"/>
                <w:lang w:eastAsia="tr-TR"/>
              </w:rPr>
            </w:pPr>
          </w:p>
        </w:tc>
        <w:tc>
          <w:tcPr>
            <w:tcW w:w="927" w:type="pct"/>
            <w:shd w:val="clear" w:color="000000" w:fill="6E9ECA"/>
            <w:vAlign w:val="center"/>
            <w:hideMark/>
          </w:tcPr>
          <w:p w:rsidR="00F018C6" w:rsidRPr="00AE0C4A" w:rsidRDefault="00F018C6" w:rsidP="00F018C6">
            <w:pPr>
              <w:spacing w:after="0" w:line="240" w:lineRule="auto"/>
              <w:jc w:val="center"/>
              <w:rPr>
                <w:rFonts w:ascii="Calibri" w:eastAsia="Times New Roman" w:hAnsi="Calibri"/>
                <w:b/>
                <w:bCs/>
                <w:color w:val="FFFFFF"/>
                <w:lang w:eastAsia="tr-TR"/>
              </w:rPr>
            </w:pPr>
            <w:r w:rsidRPr="00AE0C4A">
              <w:rPr>
                <w:rFonts w:ascii="Calibri" w:eastAsia="Times New Roman" w:hAnsi="Calibri"/>
                <w:b/>
                <w:bCs/>
                <w:color w:val="FFFFFF"/>
                <w:lang w:eastAsia="tr-TR"/>
              </w:rPr>
              <w:t>Dava Sayısı</w:t>
            </w:r>
          </w:p>
        </w:tc>
        <w:tc>
          <w:tcPr>
            <w:tcW w:w="927" w:type="pct"/>
            <w:shd w:val="clear" w:color="000000" w:fill="6E9ECA"/>
            <w:vAlign w:val="center"/>
            <w:hideMark/>
          </w:tcPr>
          <w:p w:rsidR="00F018C6" w:rsidRPr="00AE0C4A" w:rsidRDefault="00F018C6" w:rsidP="00F018C6">
            <w:pPr>
              <w:spacing w:after="0" w:line="240" w:lineRule="auto"/>
              <w:jc w:val="center"/>
              <w:rPr>
                <w:rFonts w:ascii="Calibri" w:eastAsia="Times New Roman" w:hAnsi="Calibri"/>
                <w:b/>
                <w:bCs/>
                <w:color w:val="FFFFFF"/>
                <w:lang w:eastAsia="tr-TR"/>
              </w:rPr>
            </w:pPr>
            <w:r w:rsidRPr="00AE0C4A">
              <w:rPr>
                <w:rFonts w:ascii="Calibri" w:eastAsia="Times New Roman" w:hAnsi="Calibri"/>
                <w:b/>
                <w:bCs/>
                <w:color w:val="FFFFFF"/>
                <w:lang w:eastAsia="tr-TR"/>
              </w:rPr>
              <w:t>Oran (%)</w:t>
            </w:r>
          </w:p>
        </w:tc>
        <w:tc>
          <w:tcPr>
            <w:tcW w:w="859" w:type="pct"/>
            <w:shd w:val="clear" w:color="000000" w:fill="6E9ECA"/>
            <w:vAlign w:val="center"/>
            <w:hideMark/>
          </w:tcPr>
          <w:p w:rsidR="00F018C6" w:rsidRPr="00AE0C4A" w:rsidRDefault="00F018C6" w:rsidP="00F018C6">
            <w:pPr>
              <w:spacing w:after="0" w:line="240" w:lineRule="auto"/>
              <w:jc w:val="center"/>
              <w:rPr>
                <w:rFonts w:ascii="Calibri" w:eastAsia="Times New Roman" w:hAnsi="Calibri"/>
                <w:b/>
                <w:bCs/>
                <w:color w:val="FFFFFF"/>
                <w:lang w:eastAsia="tr-TR"/>
              </w:rPr>
            </w:pPr>
            <w:r w:rsidRPr="00AE0C4A">
              <w:rPr>
                <w:rFonts w:ascii="Calibri" w:eastAsia="Times New Roman" w:hAnsi="Calibri"/>
                <w:b/>
                <w:bCs/>
                <w:color w:val="FFFFFF"/>
                <w:lang w:eastAsia="tr-TR"/>
              </w:rPr>
              <w:t>Dava Sayısı</w:t>
            </w:r>
          </w:p>
        </w:tc>
        <w:tc>
          <w:tcPr>
            <w:tcW w:w="859" w:type="pct"/>
            <w:shd w:val="clear" w:color="000000" w:fill="6E9ECA"/>
            <w:vAlign w:val="center"/>
            <w:hideMark/>
          </w:tcPr>
          <w:p w:rsidR="00F018C6" w:rsidRPr="00AE0C4A" w:rsidRDefault="00F018C6" w:rsidP="00F018C6">
            <w:pPr>
              <w:spacing w:after="0" w:line="240" w:lineRule="auto"/>
              <w:jc w:val="center"/>
              <w:rPr>
                <w:rFonts w:ascii="Calibri" w:eastAsia="Times New Roman" w:hAnsi="Calibri"/>
                <w:b/>
                <w:bCs/>
                <w:color w:val="FFFFFF"/>
                <w:lang w:eastAsia="tr-TR"/>
              </w:rPr>
            </w:pPr>
            <w:r w:rsidRPr="00AE0C4A">
              <w:rPr>
                <w:rFonts w:ascii="Calibri" w:eastAsia="Times New Roman" w:hAnsi="Calibri"/>
                <w:b/>
                <w:bCs/>
                <w:color w:val="FFFFFF"/>
                <w:lang w:eastAsia="tr-TR"/>
              </w:rPr>
              <w:t>Oran (%)</w:t>
            </w:r>
          </w:p>
        </w:tc>
      </w:tr>
      <w:tr w:rsidR="00F018C6" w:rsidRPr="00AE0C4A" w:rsidTr="00F018C6">
        <w:trPr>
          <w:trHeight w:val="20"/>
          <w:jc w:val="center"/>
        </w:trPr>
        <w:tc>
          <w:tcPr>
            <w:tcW w:w="1428" w:type="pct"/>
            <w:shd w:val="clear" w:color="auto" w:fill="auto"/>
            <w:vAlign w:val="center"/>
            <w:hideMark/>
          </w:tcPr>
          <w:p w:rsidR="00F018C6" w:rsidRPr="00AE0C4A" w:rsidRDefault="00F018C6" w:rsidP="00F018C6">
            <w:pPr>
              <w:spacing w:after="0" w:line="240" w:lineRule="auto"/>
              <w:rPr>
                <w:rFonts w:ascii="Calibri" w:eastAsia="Times New Roman" w:hAnsi="Calibri"/>
                <w:color w:val="000000"/>
                <w:lang w:eastAsia="tr-TR"/>
              </w:rPr>
            </w:pPr>
            <w:r w:rsidRPr="00AE0C4A">
              <w:rPr>
                <w:rFonts w:ascii="Calibri" w:eastAsia="Times New Roman" w:hAnsi="Calibri"/>
                <w:color w:val="000000"/>
                <w:lang w:eastAsia="tr-TR"/>
              </w:rPr>
              <w:t>Ceza Davaları</w:t>
            </w:r>
          </w:p>
        </w:tc>
        <w:tc>
          <w:tcPr>
            <w:tcW w:w="927" w:type="pct"/>
            <w:shd w:val="clear" w:color="auto" w:fill="auto"/>
            <w:noWrap/>
            <w:vAlign w:val="center"/>
            <w:hideMark/>
          </w:tcPr>
          <w:p w:rsidR="00F018C6" w:rsidRPr="00AE0C4A" w:rsidRDefault="00F018C6" w:rsidP="00F018C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9.352</w:t>
            </w:r>
          </w:p>
        </w:tc>
        <w:tc>
          <w:tcPr>
            <w:tcW w:w="927" w:type="pct"/>
            <w:shd w:val="clear" w:color="auto" w:fill="auto"/>
            <w:noWrap/>
            <w:vAlign w:val="center"/>
            <w:hideMark/>
          </w:tcPr>
          <w:p w:rsidR="00F018C6" w:rsidRPr="00AE0C4A" w:rsidRDefault="00F018C6" w:rsidP="00F018C6">
            <w:pPr>
              <w:spacing w:after="0" w:line="240" w:lineRule="auto"/>
              <w:jc w:val="center"/>
              <w:rPr>
                <w:rFonts w:ascii="Calibri" w:eastAsia="Times New Roman" w:hAnsi="Calibri"/>
                <w:color w:val="000000"/>
                <w:lang w:eastAsia="tr-TR"/>
              </w:rPr>
            </w:pPr>
            <w:r w:rsidRPr="00AE0C4A">
              <w:rPr>
                <w:rFonts w:ascii="Calibri" w:eastAsia="Times New Roman" w:hAnsi="Calibri"/>
                <w:color w:val="000000"/>
                <w:lang w:eastAsia="tr-TR"/>
              </w:rPr>
              <w:t xml:space="preserve"> </w:t>
            </w:r>
            <w:r>
              <w:rPr>
                <w:rFonts w:ascii="Calibri" w:eastAsia="Times New Roman" w:hAnsi="Calibri"/>
                <w:color w:val="000000"/>
                <w:lang w:eastAsia="tr-TR"/>
              </w:rPr>
              <w:t>88,67</w:t>
            </w:r>
            <w:r w:rsidRPr="00AE0C4A">
              <w:rPr>
                <w:rFonts w:ascii="Calibri" w:eastAsia="Times New Roman" w:hAnsi="Calibri"/>
                <w:color w:val="000000"/>
                <w:lang w:eastAsia="tr-TR"/>
              </w:rPr>
              <w:t xml:space="preserve"> </w:t>
            </w:r>
          </w:p>
        </w:tc>
        <w:tc>
          <w:tcPr>
            <w:tcW w:w="859" w:type="pct"/>
            <w:shd w:val="clear" w:color="auto" w:fill="auto"/>
            <w:vAlign w:val="center"/>
            <w:hideMark/>
          </w:tcPr>
          <w:p w:rsidR="00F018C6" w:rsidRPr="00AE0C4A" w:rsidRDefault="00F018C6" w:rsidP="00F018C6">
            <w:pPr>
              <w:spacing w:after="0" w:line="240" w:lineRule="auto"/>
              <w:jc w:val="right"/>
              <w:rPr>
                <w:rFonts w:ascii="Calibri" w:eastAsia="Times New Roman" w:hAnsi="Calibri"/>
                <w:color w:val="000000"/>
                <w:lang w:eastAsia="tr-TR"/>
              </w:rPr>
            </w:pPr>
            <w:r w:rsidRPr="00AE0C4A">
              <w:rPr>
                <w:rFonts w:ascii="Calibri" w:eastAsia="Times New Roman" w:hAnsi="Calibri"/>
                <w:color w:val="000000"/>
                <w:lang w:eastAsia="tr-TR"/>
              </w:rPr>
              <w:t xml:space="preserve"> </w:t>
            </w:r>
            <w:r>
              <w:rPr>
                <w:rFonts w:ascii="Calibri" w:eastAsia="Times New Roman" w:hAnsi="Calibri"/>
                <w:color w:val="000000"/>
                <w:lang w:eastAsia="tr-TR"/>
              </w:rPr>
              <w:t>1.195</w:t>
            </w:r>
            <w:r w:rsidRPr="00AE0C4A">
              <w:rPr>
                <w:rFonts w:ascii="Calibri" w:eastAsia="Times New Roman" w:hAnsi="Calibri"/>
                <w:color w:val="000000"/>
                <w:lang w:eastAsia="tr-TR"/>
              </w:rPr>
              <w:t xml:space="preserve"> </w:t>
            </w:r>
          </w:p>
        </w:tc>
        <w:tc>
          <w:tcPr>
            <w:tcW w:w="859" w:type="pct"/>
            <w:shd w:val="clear" w:color="auto" w:fill="auto"/>
            <w:vAlign w:val="center"/>
            <w:hideMark/>
          </w:tcPr>
          <w:p w:rsidR="00F018C6" w:rsidRPr="00AE0C4A" w:rsidRDefault="00F018C6" w:rsidP="00F018C6">
            <w:pPr>
              <w:spacing w:after="0" w:line="240" w:lineRule="auto"/>
              <w:jc w:val="center"/>
              <w:rPr>
                <w:rFonts w:ascii="Calibri" w:eastAsia="Times New Roman" w:hAnsi="Calibri"/>
                <w:color w:val="000000"/>
                <w:lang w:eastAsia="tr-TR"/>
              </w:rPr>
            </w:pPr>
            <w:r w:rsidRPr="00AE0C4A">
              <w:rPr>
                <w:rFonts w:ascii="Calibri" w:eastAsia="Times New Roman" w:hAnsi="Calibri"/>
                <w:color w:val="000000"/>
                <w:lang w:eastAsia="tr-TR"/>
              </w:rPr>
              <w:t xml:space="preserve"> </w:t>
            </w:r>
            <w:r>
              <w:rPr>
                <w:rFonts w:ascii="Calibri" w:eastAsia="Times New Roman" w:hAnsi="Calibri"/>
                <w:color w:val="000000"/>
                <w:lang w:eastAsia="tr-TR"/>
              </w:rPr>
              <w:t>11,33</w:t>
            </w:r>
            <w:r w:rsidRPr="00AE0C4A">
              <w:rPr>
                <w:rFonts w:ascii="Calibri" w:eastAsia="Times New Roman" w:hAnsi="Calibri"/>
                <w:color w:val="000000"/>
                <w:lang w:eastAsia="tr-TR"/>
              </w:rPr>
              <w:t xml:space="preserve"> </w:t>
            </w:r>
          </w:p>
        </w:tc>
      </w:tr>
      <w:tr w:rsidR="00F018C6" w:rsidRPr="00AE0C4A" w:rsidTr="00F018C6">
        <w:trPr>
          <w:trHeight w:val="20"/>
          <w:jc w:val="center"/>
        </w:trPr>
        <w:tc>
          <w:tcPr>
            <w:tcW w:w="1428" w:type="pct"/>
            <w:shd w:val="clear" w:color="auto" w:fill="auto"/>
            <w:vAlign w:val="center"/>
            <w:hideMark/>
          </w:tcPr>
          <w:p w:rsidR="00F018C6" w:rsidRPr="00AE0C4A" w:rsidRDefault="00F018C6" w:rsidP="00F018C6">
            <w:pPr>
              <w:spacing w:after="0" w:line="240" w:lineRule="auto"/>
              <w:rPr>
                <w:rFonts w:ascii="Calibri" w:eastAsia="Times New Roman" w:hAnsi="Calibri"/>
                <w:color w:val="000000"/>
                <w:lang w:eastAsia="tr-TR"/>
              </w:rPr>
            </w:pPr>
            <w:r w:rsidRPr="00AE0C4A">
              <w:rPr>
                <w:rFonts w:ascii="Calibri" w:eastAsia="Times New Roman" w:hAnsi="Calibri"/>
                <w:color w:val="000000"/>
                <w:lang w:eastAsia="tr-TR"/>
              </w:rPr>
              <w:t>İdari Davalar</w:t>
            </w:r>
          </w:p>
        </w:tc>
        <w:tc>
          <w:tcPr>
            <w:tcW w:w="927" w:type="pct"/>
            <w:shd w:val="clear" w:color="auto" w:fill="auto"/>
            <w:noWrap/>
            <w:vAlign w:val="center"/>
            <w:hideMark/>
          </w:tcPr>
          <w:p w:rsidR="00F018C6" w:rsidRPr="00AE0C4A" w:rsidRDefault="00F018C6" w:rsidP="00F018C6">
            <w:pPr>
              <w:spacing w:after="0" w:line="240" w:lineRule="auto"/>
              <w:jc w:val="right"/>
              <w:rPr>
                <w:rFonts w:ascii="Calibri" w:eastAsia="Times New Roman" w:hAnsi="Calibri"/>
                <w:color w:val="000000"/>
                <w:lang w:eastAsia="tr-TR"/>
              </w:rPr>
            </w:pPr>
            <w:r w:rsidRPr="00AE0C4A">
              <w:rPr>
                <w:rFonts w:ascii="Calibri" w:eastAsia="Times New Roman" w:hAnsi="Calibri"/>
                <w:color w:val="000000"/>
                <w:lang w:eastAsia="tr-TR"/>
              </w:rPr>
              <w:t xml:space="preserve">  </w:t>
            </w:r>
            <w:r>
              <w:rPr>
                <w:rFonts w:ascii="Calibri" w:eastAsia="Times New Roman" w:hAnsi="Calibri"/>
                <w:color w:val="000000"/>
                <w:lang w:eastAsia="tr-TR"/>
              </w:rPr>
              <w:t>13.693</w:t>
            </w:r>
            <w:r w:rsidRPr="00AE0C4A">
              <w:rPr>
                <w:rFonts w:ascii="Calibri" w:eastAsia="Times New Roman" w:hAnsi="Calibri"/>
                <w:color w:val="000000"/>
                <w:lang w:eastAsia="tr-TR"/>
              </w:rPr>
              <w:t xml:space="preserve"> </w:t>
            </w:r>
          </w:p>
        </w:tc>
        <w:tc>
          <w:tcPr>
            <w:tcW w:w="927" w:type="pct"/>
            <w:shd w:val="clear" w:color="auto" w:fill="auto"/>
            <w:noWrap/>
            <w:vAlign w:val="center"/>
            <w:hideMark/>
          </w:tcPr>
          <w:p w:rsidR="00F018C6" w:rsidRPr="00AE0C4A" w:rsidRDefault="00F018C6" w:rsidP="00F018C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73,48</w:t>
            </w:r>
          </w:p>
        </w:tc>
        <w:tc>
          <w:tcPr>
            <w:tcW w:w="859" w:type="pct"/>
            <w:shd w:val="clear" w:color="auto" w:fill="auto"/>
            <w:vAlign w:val="center"/>
            <w:hideMark/>
          </w:tcPr>
          <w:p w:rsidR="00F018C6" w:rsidRPr="00AE0C4A" w:rsidRDefault="00F018C6" w:rsidP="00F018C6">
            <w:pPr>
              <w:spacing w:after="0" w:line="240" w:lineRule="auto"/>
              <w:jc w:val="right"/>
              <w:rPr>
                <w:rFonts w:ascii="Calibri" w:eastAsia="Times New Roman" w:hAnsi="Calibri"/>
                <w:color w:val="000000"/>
                <w:lang w:eastAsia="tr-TR"/>
              </w:rPr>
            </w:pPr>
            <w:r w:rsidRPr="00AE0C4A">
              <w:rPr>
                <w:rFonts w:ascii="Calibri" w:eastAsia="Times New Roman" w:hAnsi="Calibri"/>
                <w:color w:val="000000"/>
                <w:lang w:eastAsia="tr-TR"/>
              </w:rPr>
              <w:t xml:space="preserve">  </w:t>
            </w:r>
            <w:r>
              <w:rPr>
                <w:rFonts w:ascii="Calibri" w:eastAsia="Times New Roman" w:hAnsi="Calibri"/>
                <w:color w:val="000000"/>
                <w:lang w:eastAsia="tr-TR"/>
              </w:rPr>
              <w:t>4.941</w:t>
            </w:r>
            <w:r w:rsidRPr="00AE0C4A">
              <w:rPr>
                <w:rFonts w:ascii="Calibri" w:eastAsia="Times New Roman" w:hAnsi="Calibri"/>
                <w:color w:val="000000"/>
                <w:lang w:eastAsia="tr-TR"/>
              </w:rPr>
              <w:t xml:space="preserve"> </w:t>
            </w:r>
          </w:p>
        </w:tc>
        <w:tc>
          <w:tcPr>
            <w:tcW w:w="859" w:type="pct"/>
            <w:shd w:val="clear" w:color="auto" w:fill="auto"/>
            <w:vAlign w:val="center"/>
            <w:hideMark/>
          </w:tcPr>
          <w:p w:rsidR="00F018C6" w:rsidRPr="00AE0C4A" w:rsidRDefault="00F018C6" w:rsidP="00F018C6">
            <w:pPr>
              <w:spacing w:after="0" w:line="240" w:lineRule="auto"/>
              <w:jc w:val="center"/>
              <w:rPr>
                <w:rFonts w:ascii="Calibri" w:eastAsia="Times New Roman" w:hAnsi="Calibri"/>
                <w:color w:val="000000"/>
                <w:lang w:eastAsia="tr-TR"/>
              </w:rPr>
            </w:pPr>
            <w:r w:rsidRPr="00AE0C4A">
              <w:rPr>
                <w:rFonts w:ascii="Calibri" w:eastAsia="Times New Roman" w:hAnsi="Calibri"/>
                <w:color w:val="000000"/>
                <w:lang w:eastAsia="tr-TR"/>
              </w:rPr>
              <w:t xml:space="preserve"> </w:t>
            </w:r>
            <w:r>
              <w:rPr>
                <w:rFonts w:ascii="Calibri" w:eastAsia="Times New Roman" w:hAnsi="Calibri"/>
                <w:color w:val="000000"/>
                <w:lang w:eastAsia="tr-TR"/>
              </w:rPr>
              <w:t>26,52</w:t>
            </w:r>
            <w:r w:rsidRPr="00AE0C4A">
              <w:rPr>
                <w:rFonts w:ascii="Calibri" w:eastAsia="Times New Roman" w:hAnsi="Calibri"/>
                <w:color w:val="000000"/>
                <w:lang w:eastAsia="tr-TR"/>
              </w:rPr>
              <w:t xml:space="preserve"> </w:t>
            </w:r>
          </w:p>
        </w:tc>
      </w:tr>
      <w:tr w:rsidR="00F018C6" w:rsidRPr="00AE0C4A" w:rsidTr="00F018C6">
        <w:trPr>
          <w:trHeight w:val="20"/>
          <w:jc w:val="center"/>
        </w:trPr>
        <w:tc>
          <w:tcPr>
            <w:tcW w:w="1428" w:type="pct"/>
            <w:shd w:val="clear" w:color="auto" w:fill="auto"/>
            <w:vAlign w:val="center"/>
            <w:hideMark/>
          </w:tcPr>
          <w:p w:rsidR="00F018C6" w:rsidRPr="00AE0C4A" w:rsidRDefault="00F018C6" w:rsidP="00F018C6">
            <w:pPr>
              <w:spacing w:after="0" w:line="240" w:lineRule="auto"/>
              <w:rPr>
                <w:rFonts w:ascii="Calibri" w:eastAsia="Times New Roman" w:hAnsi="Calibri"/>
                <w:color w:val="000000"/>
                <w:lang w:eastAsia="tr-TR"/>
              </w:rPr>
            </w:pPr>
            <w:r w:rsidRPr="00AE0C4A">
              <w:rPr>
                <w:rFonts w:ascii="Calibri" w:eastAsia="Times New Roman" w:hAnsi="Calibri"/>
                <w:color w:val="000000"/>
                <w:lang w:eastAsia="tr-TR"/>
              </w:rPr>
              <w:t>Hukuk Davaları</w:t>
            </w:r>
          </w:p>
        </w:tc>
        <w:tc>
          <w:tcPr>
            <w:tcW w:w="927" w:type="pct"/>
            <w:shd w:val="clear" w:color="auto" w:fill="auto"/>
            <w:noWrap/>
            <w:vAlign w:val="center"/>
            <w:hideMark/>
          </w:tcPr>
          <w:p w:rsidR="00F018C6" w:rsidRPr="00AE0C4A" w:rsidRDefault="00F018C6" w:rsidP="00F018C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179</w:t>
            </w:r>
          </w:p>
        </w:tc>
        <w:tc>
          <w:tcPr>
            <w:tcW w:w="927" w:type="pct"/>
            <w:shd w:val="clear" w:color="auto" w:fill="auto"/>
            <w:noWrap/>
            <w:vAlign w:val="center"/>
            <w:hideMark/>
          </w:tcPr>
          <w:p w:rsidR="00F018C6" w:rsidRPr="00AE0C4A" w:rsidRDefault="00F018C6" w:rsidP="00F018C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81,74</w:t>
            </w:r>
          </w:p>
        </w:tc>
        <w:tc>
          <w:tcPr>
            <w:tcW w:w="859" w:type="pct"/>
            <w:shd w:val="clear" w:color="auto" w:fill="auto"/>
            <w:vAlign w:val="center"/>
            <w:hideMark/>
          </w:tcPr>
          <w:p w:rsidR="00F018C6" w:rsidRPr="00AE0C4A" w:rsidRDefault="00F018C6" w:rsidP="00F018C6">
            <w:pPr>
              <w:spacing w:after="0" w:line="240" w:lineRule="auto"/>
              <w:jc w:val="right"/>
              <w:rPr>
                <w:rFonts w:ascii="Calibri" w:eastAsia="Times New Roman" w:hAnsi="Calibri"/>
                <w:color w:val="000000"/>
                <w:lang w:eastAsia="tr-TR"/>
              </w:rPr>
            </w:pPr>
            <w:r w:rsidRPr="00AE0C4A">
              <w:rPr>
                <w:rFonts w:ascii="Calibri" w:eastAsia="Times New Roman" w:hAnsi="Calibri"/>
                <w:color w:val="000000"/>
                <w:lang w:eastAsia="tr-TR"/>
              </w:rPr>
              <w:t xml:space="preserve">  </w:t>
            </w:r>
            <w:r>
              <w:rPr>
                <w:rFonts w:ascii="Calibri" w:eastAsia="Times New Roman" w:hAnsi="Calibri"/>
                <w:color w:val="000000"/>
                <w:lang w:eastAsia="tr-TR"/>
              </w:rPr>
              <w:t>40</w:t>
            </w:r>
            <w:r w:rsidRPr="00AE0C4A">
              <w:rPr>
                <w:rFonts w:ascii="Calibri" w:eastAsia="Times New Roman" w:hAnsi="Calibri"/>
                <w:color w:val="000000"/>
                <w:lang w:eastAsia="tr-TR"/>
              </w:rPr>
              <w:t xml:space="preserve"> </w:t>
            </w:r>
          </w:p>
        </w:tc>
        <w:tc>
          <w:tcPr>
            <w:tcW w:w="859" w:type="pct"/>
            <w:shd w:val="clear" w:color="auto" w:fill="auto"/>
            <w:vAlign w:val="center"/>
            <w:hideMark/>
          </w:tcPr>
          <w:p w:rsidR="00F018C6" w:rsidRPr="00AE0C4A" w:rsidRDefault="00F018C6" w:rsidP="00F018C6">
            <w:pPr>
              <w:spacing w:after="0" w:line="240" w:lineRule="auto"/>
              <w:jc w:val="center"/>
              <w:rPr>
                <w:rFonts w:ascii="Calibri" w:eastAsia="Times New Roman" w:hAnsi="Calibri"/>
                <w:color w:val="000000"/>
                <w:lang w:eastAsia="tr-TR"/>
              </w:rPr>
            </w:pPr>
            <w:r w:rsidRPr="00AE0C4A">
              <w:rPr>
                <w:rFonts w:ascii="Calibri" w:eastAsia="Times New Roman" w:hAnsi="Calibri"/>
                <w:color w:val="000000"/>
                <w:lang w:eastAsia="tr-TR"/>
              </w:rPr>
              <w:t xml:space="preserve"> </w:t>
            </w:r>
            <w:r>
              <w:rPr>
                <w:rFonts w:ascii="Calibri" w:eastAsia="Times New Roman" w:hAnsi="Calibri"/>
                <w:color w:val="000000"/>
                <w:lang w:eastAsia="tr-TR"/>
              </w:rPr>
              <w:t>18,26</w:t>
            </w:r>
            <w:r w:rsidRPr="00AE0C4A">
              <w:rPr>
                <w:rFonts w:ascii="Calibri" w:eastAsia="Times New Roman" w:hAnsi="Calibri"/>
                <w:color w:val="000000"/>
                <w:lang w:eastAsia="tr-TR"/>
              </w:rPr>
              <w:t xml:space="preserve"> </w:t>
            </w:r>
          </w:p>
        </w:tc>
      </w:tr>
      <w:tr w:rsidR="00F018C6" w:rsidRPr="00AE0C4A" w:rsidTr="00F018C6">
        <w:trPr>
          <w:trHeight w:val="20"/>
          <w:jc w:val="center"/>
        </w:trPr>
        <w:tc>
          <w:tcPr>
            <w:tcW w:w="1428" w:type="pct"/>
            <w:shd w:val="clear" w:color="auto" w:fill="auto"/>
            <w:vAlign w:val="center"/>
            <w:hideMark/>
          </w:tcPr>
          <w:p w:rsidR="00F018C6" w:rsidRPr="00AE0C4A" w:rsidRDefault="00F018C6" w:rsidP="00F018C6">
            <w:pPr>
              <w:spacing w:after="0" w:line="240" w:lineRule="auto"/>
              <w:rPr>
                <w:rFonts w:ascii="Calibri" w:eastAsia="Times New Roman" w:hAnsi="Calibri"/>
                <w:b/>
                <w:bCs/>
                <w:color w:val="000000"/>
                <w:lang w:eastAsia="tr-TR"/>
              </w:rPr>
            </w:pPr>
            <w:r w:rsidRPr="00AE0C4A">
              <w:rPr>
                <w:rFonts w:ascii="Calibri" w:eastAsia="Times New Roman" w:hAnsi="Calibri"/>
                <w:b/>
                <w:bCs/>
                <w:color w:val="000000"/>
                <w:lang w:eastAsia="tr-TR"/>
              </w:rPr>
              <w:t>Toplam</w:t>
            </w:r>
          </w:p>
        </w:tc>
        <w:tc>
          <w:tcPr>
            <w:tcW w:w="927" w:type="pct"/>
            <w:shd w:val="clear" w:color="auto" w:fill="auto"/>
            <w:noWrap/>
            <w:vAlign w:val="center"/>
            <w:hideMark/>
          </w:tcPr>
          <w:p w:rsidR="00F018C6" w:rsidRPr="00AE0C4A" w:rsidRDefault="00F018C6" w:rsidP="00F018C6">
            <w:pPr>
              <w:spacing w:after="0" w:line="240" w:lineRule="auto"/>
              <w:jc w:val="right"/>
              <w:rPr>
                <w:rFonts w:ascii="Calibri" w:eastAsia="Times New Roman" w:hAnsi="Calibri"/>
                <w:b/>
                <w:bCs/>
                <w:color w:val="000000"/>
                <w:lang w:eastAsia="tr-TR"/>
              </w:rPr>
            </w:pPr>
            <w:r>
              <w:rPr>
                <w:rFonts w:ascii="Calibri" w:eastAsia="Times New Roman" w:hAnsi="Calibri"/>
                <w:b/>
                <w:bCs/>
                <w:color w:val="000000"/>
                <w:lang w:eastAsia="tr-TR"/>
              </w:rPr>
              <w:t>23.224</w:t>
            </w:r>
          </w:p>
        </w:tc>
        <w:tc>
          <w:tcPr>
            <w:tcW w:w="927" w:type="pct"/>
            <w:shd w:val="clear" w:color="auto" w:fill="auto"/>
            <w:vAlign w:val="center"/>
            <w:hideMark/>
          </w:tcPr>
          <w:p w:rsidR="00F018C6" w:rsidRPr="00AE0C4A" w:rsidRDefault="00F018C6" w:rsidP="00F018C6">
            <w:pPr>
              <w:spacing w:after="0" w:line="240" w:lineRule="auto"/>
              <w:jc w:val="center"/>
              <w:rPr>
                <w:rFonts w:ascii="Calibri" w:eastAsia="Times New Roman" w:hAnsi="Calibri"/>
                <w:b/>
                <w:bCs/>
                <w:color w:val="000000"/>
                <w:lang w:eastAsia="tr-TR"/>
              </w:rPr>
            </w:pPr>
            <w:r>
              <w:rPr>
                <w:rFonts w:ascii="Calibri" w:eastAsia="Times New Roman" w:hAnsi="Calibri"/>
                <w:b/>
                <w:bCs/>
                <w:color w:val="000000"/>
                <w:lang w:eastAsia="tr-TR"/>
              </w:rPr>
              <w:t>78,99</w:t>
            </w:r>
          </w:p>
        </w:tc>
        <w:tc>
          <w:tcPr>
            <w:tcW w:w="859" w:type="pct"/>
            <w:shd w:val="clear" w:color="auto" w:fill="auto"/>
            <w:vAlign w:val="center"/>
            <w:hideMark/>
          </w:tcPr>
          <w:p w:rsidR="00F018C6" w:rsidRPr="00AE0C4A" w:rsidRDefault="00F018C6" w:rsidP="00F018C6">
            <w:pPr>
              <w:spacing w:after="0" w:line="240" w:lineRule="auto"/>
              <w:jc w:val="right"/>
              <w:rPr>
                <w:rFonts w:ascii="Calibri" w:eastAsia="Times New Roman" w:hAnsi="Calibri"/>
                <w:b/>
                <w:bCs/>
                <w:color w:val="000000"/>
                <w:lang w:eastAsia="tr-TR"/>
              </w:rPr>
            </w:pPr>
            <w:r>
              <w:rPr>
                <w:rFonts w:ascii="Calibri" w:eastAsia="Times New Roman" w:hAnsi="Calibri"/>
                <w:b/>
                <w:bCs/>
                <w:color w:val="000000"/>
                <w:lang w:eastAsia="tr-TR"/>
              </w:rPr>
              <w:t>6.176</w:t>
            </w:r>
          </w:p>
        </w:tc>
        <w:tc>
          <w:tcPr>
            <w:tcW w:w="859" w:type="pct"/>
            <w:shd w:val="clear" w:color="auto" w:fill="auto"/>
            <w:vAlign w:val="center"/>
            <w:hideMark/>
          </w:tcPr>
          <w:p w:rsidR="00F018C6" w:rsidRPr="00AE0C4A" w:rsidRDefault="00F018C6" w:rsidP="00F018C6">
            <w:pPr>
              <w:spacing w:after="0" w:line="240" w:lineRule="auto"/>
              <w:jc w:val="center"/>
              <w:rPr>
                <w:rFonts w:ascii="Calibri" w:eastAsia="Times New Roman" w:hAnsi="Calibri"/>
                <w:b/>
                <w:bCs/>
                <w:color w:val="000000"/>
                <w:lang w:eastAsia="tr-TR"/>
              </w:rPr>
            </w:pPr>
            <w:r w:rsidRPr="00AE0C4A">
              <w:rPr>
                <w:rFonts w:ascii="Calibri" w:eastAsia="Times New Roman" w:hAnsi="Calibri"/>
                <w:b/>
                <w:bCs/>
                <w:color w:val="000000"/>
                <w:lang w:eastAsia="tr-TR"/>
              </w:rPr>
              <w:t xml:space="preserve"> </w:t>
            </w:r>
            <w:r>
              <w:rPr>
                <w:rFonts w:ascii="Calibri" w:eastAsia="Times New Roman" w:hAnsi="Calibri"/>
                <w:b/>
                <w:bCs/>
                <w:color w:val="000000"/>
                <w:lang w:eastAsia="tr-TR"/>
              </w:rPr>
              <w:t>21,01</w:t>
            </w:r>
            <w:r w:rsidRPr="00AE0C4A">
              <w:rPr>
                <w:rFonts w:ascii="Calibri" w:eastAsia="Times New Roman" w:hAnsi="Calibri"/>
                <w:b/>
                <w:bCs/>
                <w:color w:val="000000"/>
                <w:lang w:eastAsia="tr-TR"/>
              </w:rPr>
              <w:t xml:space="preserve"> </w:t>
            </w:r>
          </w:p>
        </w:tc>
      </w:tr>
    </w:tbl>
    <w:p w:rsidR="00F018C6" w:rsidRPr="00AE0C4A" w:rsidRDefault="00F018C6" w:rsidP="00F018C6">
      <w:pPr>
        <w:spacing w:after="0" w:line="240" w:lineRule="auto"/>
        <w:rPr>
          <w:rFonts w:ascii="Calibri" w:eastAsia="Times New Roman" w:hAnsi="Calibri"/>
          <w:lang w:eastAsia="tr-TR"/>
        </w:rPr>
      </w:pPr>
    </w:p>
    <w:p w:rsidR="00F018C6" w:rsidRPr="00AE0C4A" w:rsidRDefault="00F018C6" w:rsidP="00F018C6">
      <w:pPr>
        <w:spacing w:after="0" w:line="240" w:lineRule="auto"/>
        <w:rPr>
          <w:rFonts w:ascii="Calibri" w:eastAsia="Times New Roman" w:hAnsi="Calibri"/>
          <w:lang w:eastAsia="tr-TR"/>
        </w:rPr>
      </w:pPr>
    </w:p>
    <w:p w:rsidR="00F018C6" w:rsidRPr="008102B6" w:rsidRDefault="007E5E11" w:rsidP="008102B6">
      <w:pPr>
        <w:pStyle w:val="Balk5"/>
        <w:spacing w:after="240"/>
        <w:jc w:val="center"/>
        <w:rPr>
          <w:rStyle w:val="Gl"/>
          <w:color w:val="auto"/>
        </w:rPr>
      </w:pPr>
      <w:bookmarkStart w:id="400" w:name="_Toc94703945"/>
      <w:bookmarkStart w:id="401" w:name="_Toc132713952"/>
      <w:r w:rsidRPr="008102B6">
        <w:rPr>
          <w:rStyle w:val="Gl"/>
          <w:bCs w:val="0"/>
          <w:color w:val="auto"/>
        </w:rPr>
        <w:lastRenderedPageBreak/>
        <w:t>Şekil 8.2:</w:t>
      </w:r>
      <w:r w:rsidR="00F018C6" w:rsidRPr="008102B6">
        <w:rPr>
          <w:rStyle w:val="Gl"/>
          <w:color w:val="auto"/>
        </w:rPr>
        <w:t xml:space="preserve"> 2022 Yılı Sonu İtibariyle Kurumumuzun Taraf Olduğu Davaların Sonuçları Bakımından Dağılımı</w:t>
      </w:r>
      <w:bookmarkEnd w:id="400"/>
      <w:bookmarkEnd w:id="401"/>
    </w:p>
    <w:p w:rsidR="00F018C6" w:rsidRPr="00AE0C4A" w:rsidRDefault="00F018C6" w:rsidP="0035089D">
      <w:r w:rsidRPr="00AE0C4A">
        <w:rPr>
          <w:noProof/>
          <w:lang w:eastAsia="tr-TR"/>
        </w:rPr>
        <w:drawing>
          <wp:inline distT="0" distB="0" distL="0" distR="0" wp14:anchorId="6FC8ED7F" wp14:editId="0A4C20BE">
            <wp:extent cx="5763895" cy="2605177"/>
            <wp:effectExtent l="0" t="0" r="8255" b="5080"/>
            <wp:docPr id="21" name="Grafik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F018C6" w:rsidRDefault="00F018C6" w:rsidP="00F018C6">
      <w:pPr>
        <w:spacing w:after="0" w:line="240" w:lineRule="auto"/>
        <w:rPr>
          <w:rFonts w:ascii="Calibri" w:eastAsia="Times New Roman" w:hAnsi="Calibri"/>
          <w:lang w:eastAsia="tr-TR"/>
        </w:rPr>
      </w:pPr>
    </w:p>
    <w:p w:rsidR="00F018C6" w:rsidRDefault="00F018C6" w:rsidP="00F018C6">
      <w:pPr>
        <w:spacing w:after="0" w:line="240" w:lineRule="auto"/>
        <w:rPr>
          <w:rFonts w:ascii="Calibri" w:eastAsia="Times New Roman" w:hAnsi="Calibri"/>
          <w:lang w:eastAsia="tr-TR"/>
        </w:rPr>
      </w:pPr>
    </w:p>
    <w:p w:rsidR="00F018C6" w:rsidRPr="00D76E9A" w:rsidRDefault="00F018C6" w:rsidP="00F018C6">
      <w:pPr>
        <w:pStyle w:val="ListeParagraf"/>
        <w:numPr>
          <w:ilvl w:val="0"/>
          <w:numId w:val="78"/>
        </w:numPr>
        <w:spacing w:after="0" w:line="240" w:lineRule="auto"/>
        <w:rPr>
          <w:rFonts w:ascii="Calibri" w:eastAsia="Times New Roman" w:hAnsi="Calibri"/>
          <w:lang w:eastAsia="tr-TR"/>
        </w:rPr>
      </w:pPr>
      <w:r w:rsidRPr="00D76E9A">
        <w:rPr>
          <w:rFonts w:ascii="Calibri" w:eastAsia="Times New Roman" w:hAnsi="Calibri"/>
          <w:lang w:eastAsia="tr-TR"/>
        </w:rPr>
        <w:t>Kurumumuzun taraf olduğu davalar ile ilgili olarak, 2022 yılında 643 duruşmaya</w:t>
      </w:r>
      <w:r>
        <w:rPr>
          <w:rFonts w:ascii="Calibri" w:eastAsia="Times New Roman" w:hAnsi="Calibri"/>
          <w:lang w:eastAsia="tr-TR"/>
        </w:rPr>
        <w:t xml:space="preserve"> </w:t>
      </w:r>
      <w:r w:rsidRPr="00D76E9A">
        <w:rPr>
          <w:rFonts w:ascii="Calibri" w:eastAsia="Times New Roman" w:hAnsi="Calibri"/>
          <w:lang w:eastAsia="tr-TR"/>
        </w:rPr>
        <w:t>katılım sağlanmıştır.</w:t>
      </w:r>
    </w:p>
    <w:p w:rsidR="00F018C6" w:rsidRPr="00604359" w:rsidRDefault="00F018C6" w:rsidP="00604359">
      <w:pPr>
        <w:pStyle w:val="Balk2"/>
        <w:spacing w:after="240"/>
        <w:rPr>
          <w:rFonts w:asciiTheme="minorHAnsi" w:hAnsiTheme="minorHAnsi"/>
          <w:color w:val="auto"/>
          <w:sz w:val="22"/>
          <w:szCs w:val="22"/>
        </w:rPr>
      </w:pPr>
      <w:bookmarkStart w:id="402" w:name="_Toc132713849"/>
      <w:bookmarkStart w:id="403" w:name="_Toc94703852"/>
      <w:r w:rsidRPr="00604359">
        <w:rPr>
          <w:rFonts w:asciiTheme="minorHAnsi" w:hAnsiTheme="minorHAnsi"/>
          <w:color w:val="auto"/>
          <w:sz w:val="22"/>
          <w:szCs w:val="22"/>
        </w:rPr>
        <w:t>8.2. Arabuluculuk Faaliyetleri</w:t>
      </w:r>
      <w:bookmarkEnd w:id="402"/>
    </w:p>
    <w:p w:rsidR="00F018C6" w:rsidRDefault="00F018C6" w:rsidP="00F018C6">
      <w:pPr>
        <w:spacing w:after="0" w:line="240" w:lineRule="auto"/>
        <w:rPr>
          <w:rFonts w:ascii="Calibri" w:eastAsia="Times New Roman" w:hAnsi="Calibri"/>
          <w:lang w:eastAsia="tr-TR"/>
        </w:rPr>
      </w:pPr>
      <w:r>
        <w:rPr>
          <w:rFonts w:ascii="Calibri" w:eastAsia="Times New Roman" w:hAnsi="Calibri"/>
          <w:lang w:eastAsia="tr-TR"/>
        </w:rPr>
        <w:t>Kurumumuzun taraf olduğu arabuluculuk müzakereleri kapsamında belirlenen komisyon üyeleri tarafından 6 adedi 2022 yılında olmak üzere toplam 24 adet dosyadan arabuluculuk müzakeresine katılım sağlanmış olup, bu müzakerelerin tamamında anlaşamama tutanağı düzenlenmiştir.</w:t>
      </w:r>
    </w:p>
    <w:p w:rsidR="00F018C6" w:rsidRDefault="00F018C6" w:rsidP="00F018C6">
      <w:pPr>
        <w:spacing w:after="0" w:line="240" w:lineRule="auto"/>
        <w:rPr>
          <w:rFonts w:ascii="Calibri" w:eastAsia="Times New Roman" w:hAnsi="Calibri"/>
          <w:lang w:eastAsia="tr-TR"/>
        </w:rPr>
      </w:pPr>
    </w:p>
    <w:p w:rsidR="00F018C6" w:rsidRPr="008102B6" w:rsidRDefault="00F018C6" w:rsidP="008102B6">
      <w:pPr>
        <w:pStyle w:val="Balk5"/>
        <w:spacing w:after="240"/>
        <w:jc w:val="center"/>
        <w:rPr>
          <w:rStyle w:val="Gl"/>
          <w:color w:val="auto"/>
        </w:rPr>
      </w:pPr>
      <w:bookmarkStart w:id="404" w:name="_Toc132713953"/>
      <w:r w:rsidRPr="008102B6">
        <w:rPr>
          <w:rStyle w:val="Gl"/>
          <w:color w:val="auto"/>
        </w:rPr>
        <w:t>Tablo 8.8: Yıllar İtibariyle Arabuluculuk Dosya Sayısı Dağılımı</w:t>
      </w:r>
      <w:bookmarkEnd w:id="404"/>
    </w:p>
    <w:tbl>
      <w:tblPr>
        <w:tblW w:w="2970"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70" w:type="dxa"/>
          <w:right w:w="70" w:type="dxa"/>
        </w:tblCellMar>
        <w:tblLook w:val="04A0" w:firstRow="1" w:lastRow="0" w:firstColumn="1" w:lastColumn="0" w:noHBand="0" w:noVBand="1"/>
      </w:tblPr>
      <w:tblGrid>
        <w:gridCol w:w="2011"/>
        <w:gridCol w:w="1825"/>
        <w:gridCol w:w="2051"/>
      </w:tblGrid>
      <w:tr w:rsidR="00F018C6" w:rsidRPr="00994ED7" w:rsidTr="00F018C6">
        <w:trPr>
          <w:trHeight w:val="305"/>
          <w:jc w:val="center"/>
        </w:trPr>
        <w:tc>
          <w:tcPr>
            <w:tcW w:w="1708" w:type="pct"/>
            <w:shd w:val="clear" w:color="000000" w:fill="6E9ECA"/>
            <w:vAlign w:val="center"/>
            <w:hideMark/>
          </w:tcPr>
          <w:p w:rsidR="00F018C6" w:rsidRPr="00994ED7" w:rsidRDefault="00F018C6" w:rsidP="00F018C6">
            <w:pPr>
              <w:spacing w:after="0" w:line="240" w:lineRule="auto"/>
              <w:jc w:val="center"/>
              <w:rPr>
                <w:rFonts w:ascii="Calibri" w:eastAsia="Times New Roman" w:hAnsi="Calibri"/>
                <w:b/>
                <w:bCs/>
                <w:color w:val="FFFFFF"/>
                <w:lang w:eastAsia="tr-TR"/>
              </w:rPr>
            </w:pPr>
            <w:r>
              <w:rPr>
                <w:rFonts w:ascii="Calibri" w:eastAsia="Times New Roman" w:hAnsi="Calibri"/>
                <w:b/>
                <w:bCs/>
                <w:color w:val="FFFFFF"/>
                <w:lang w:eastAsia="tr-TR"/>
              </w:rPr>
              <w:t>2020 Yılı</w:t>
            </w:r>
          </w:p>
        </w:tc>
        <w:tc>
          <w:tcPr>
            <w:tcW w:w="1550" w:type="pct"/>
            <w:shd w:val="clear" w:color="000000" w:fill="6E9ECA"/>
            <w:vAlign w:val="center"/>
            <w:hideMark/>
          </w:tcPr>
          <w:p w:rsidR="00F018C6" w:rsidRPr="00994ED7" w:rsidRDefault="00F018C6" w:rsidP="00F018C6">
            <w:pPr>
              <w:spacing w:after="0" w:line="240" w:lineRule="auto"/>
              <w:jc w:val="center"/>
              <w:rPr>
                <w:rFonts w:ascii="Calibri" w:eastAsia="Times New Roman" w:hAnsi="Calibri"/>
                <w:b/>
                <w:bCs/>
                <w:color w:val="FFFFFF"/>
                <w:lang w:eastAsia="tr-TR"/>
              </w:rPr>
            </w:pPr>
            <w:r>
              <w:rPr>
                <w:rFonts w:ascii="Calibri" w:eastAsia="Times New Roman" w:hAnsi="Calibri"/>
                <w:b/>
                <w:bCs/>
                <w:color w:val="FFFFFF"/>
                <w:lang w:eastAsia="tr-TR"/>
              </w:rPr>
              <w:t>2021 Yılı</w:t>
            </w:r>
          </w:p>
        </w:tc>
        <w:tc>
          <w:tcPr>
            <w:tcW w:w="1742" w:type="pct"/>
            <w:shd w:val="clear" w:color="000000" w:fill="6E9ECA"/>
            <w:vAlign w:val="center"/>
            <w:hideMark/>
          </w:tcPr>
          <w:p w:rsidR="00F018C6" w:rsidRPr="00994ED7" w:rsidRDefault="00F018C6" w:rsidP="00F018C6">
            <w:pPr>
              <w:spacing w:after="0" w:line="240" w:lineRule="auto"/>
              <w:jc w:val="center"/>
              <w:rPr>
                <w:rFonts w:ascii="Calibri" w:eastAsia="Times New Roman" w:hAnsi="Calibri"/>
                <w:b/>
                <w:bCs/>
                <w:color w:val="FFFFFF"/>
                <w:lang w:eastAsia="tr-TR"/>
              </w:rPr>
            </w:pPr>
            <w:r>
              <w:rPr>
                <w:rFonts w:ascii="Calibri" w:eastAsia="Times New Roman" w:hAnsi="Calibri"/>
                <w:b/>
                <w:bCs/>
                <w:color w:val="FFFFFF"/>
                <w:lang w:eastAsia="tr-TR"/>
              </w:rPr>
              <w:t>2022 Yılı</w:t>
            </w:r>
          </w:p>
        </w:tc>
      </w:tr>
      <w:tr w:rsidR="00F018C6" w:rsidRPr="00994ED7" w:rsidTr="00F018C6">
        <w:trPr>
          <w:trHeight w:val="305"/>
          <w:jc w:val="center"/>
        </w:trPr>
        <w:tc>
          <w:tcPr>
            <w:tcW w:w="1708" w:type="pct"/>
            <w:shd w:val="clear" w:color="auto" w:fill="auto"/>
            <w:vAlign w:val="center"/>
            <w:hideMark/>
          </w:tcPr>
          <w:p w:rsidR="00F018C6" w:rsidRPr="00994ED7" w:rsidRDefault="00F018C6" w:rsidP="00F018C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6</w:t>
            </w:r>
          </w:p>
        </w:tc>
        <w:tc>
          <w:tcPr>
            <w:tcW w:w="1550" w:type="pct"/>
            <w:shd w:val="clear" w:color="auto" w:fill="auto"/>
            <w:noWrap/>
            <w:vAlign w:val="center"/>
            <w:hideMark/>
          </w:tcPr>
          <w:p w:rsidR="00F018C6" w:rsidRPr="00994ED7" w:rsidRDefault="00F018C6" w:rsidP="00F018C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10</w:t>
            </w:r>
          </w:p>
        </w:tc>
        <w:tc>
          <w:tcPr>
            <w:tcW w:w="1742" w:type="pct"/>
            <w:shd w:val="clear" w:color="auto" w:fill="auto"/>
            <w:noWrap/>
            <w:vAlign w:val="center"/>
            <w:hideMark/>
          </w:tcPr>
          <w:p w:rsidR="00F018C6" w:rsidRPr="00994ED7" w:rsidRDefault="00F018C6" w:rsidP="00F018C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6</w:t>
            </w:r>
          </w:p>
        </w:tc>
      </w:tr>
    </w:tbl>
    <w:p w:rsidR="00F018C6" w:rsidRDefault="00F018C6" w:rsidP="00F018C6">
      <w:pPr>
        <w:spacing w:after="0" w:line="240" w:lineRule="auto"/>
        <w:rPr>
          <w:rFonts w:ascii="Calibri" w:eastAsia="Times New Roman" w:hAnsi="Calibri"/>
          <w:lang w:eastAsia="tr-TR"/>
        </w:rPr>
      </w:pPr>
    </w:p>
    <w:p w:rsidR="00F018C6" w:rsidRPr="00604359" w:rsidRDefault="00F018C6" w:rsidP="00604359">
      <w:pPr>
        <w:pStyle w:val="Balk2"/>
        <w:spacing w:after="240"/>
        <w:rPr>
          <w:rFonts w:asciiTheme="minorHAnsi" w:hAnsiTheme="minorHAnsi"/>
          <w:color w:val="auto"/>
          <w:sz w:val="22"/>
          <w:szCs w:val="22"/>
        </w:rPr>
      </w:pPr>
      <w:bookmarkStart w:id="405" w:name="_Toc132713850"/>
      <w:r w:rsidRPr="00604359">
        <w:rPr>
          <w:rFonts w:asciiTheme="minorHAnsi" w:hAnsiTheme="minorHAnsi"/>
          <w:color w:val="auto"/>
          <w:sz w:val="22"/>
          <w:szCs w:val="22"/>
        </w:rPr>
        <w:t>8.3. Görüş Verme</w:t>
      </w:r>
      <w:bookmarkEnd w:id="403"/>
      <w:bookmarkEnd w:id="405"/>
    </w:p>
    <w:p w:rsidR="00F018C6" w:rsidRPr="00AE0C4A" w:rsidRDefault="00F018C6" w:rsidP="00F018C6">
      <w:pPr>
        <w:rPr>
          <w:rFonts w:ascii="Calibri" w:hAnsi="Calibri"/>
        </w:rPr>
      </w:pPr>
      <w:r w:rsidRPr="00AE0C4A">
        <w:rPr>
          <w:rFonts w:ascii="Calibri" w:hAnsi="Calibri"/>
        </w:rPr>
        <w:t>Kurumumuzun hizmet birimlerine, çalışmalarını yürüttükleri mevzuat hazırlama gibi düzenleyici işlemler ile Kurumumuzu bağlayacak, Kurumumuza yükümlülük getirecek ya da Kurumumuzun veya mensuplarının taraf olabileceği ihtilaflara yol açabilecek nitelikteki işlemleri tesis etmeden önce veya hukuki bir konuyla ilgili görüş verilmektedir. Ayrıca Kurumumuz hizmet birimleri dışında, Cumhurbaşkanlığı, Bakanlıklar ve diğer Kamu Kurum ve Kuruluşlarına da görüş verilmektedir.</w:t>
      </w:r>
    </w:p>
    <w:p w:rsidR="00F018C6" w:rsidRPr="00994ED7" w:rsidRDefault="00F018C6" w:rsidP="00F018C6">
      <w:pPr>
        <w:autoSpaceDE w:val="0"/>
        <w:autoSpaceDN w:val="0"/>
        <w:adjustRightInd w:val="0"/>
        <w:spacing w:after="0"/>
        <w:ind w:firstLine="360"/>
        <w:rPr>
          <w:rFonts w:ascii="Calibri" w:hAnsi="Calibri"/>
          <w:bCs/>
        </w:rPr>
      </w:pPr>
      <w:r w:rsidRPr="00AE0C4A">
        <w:rPr>
          <w:rFonts w:ascii="Calibri" w:hAnsi="Calibri"/>
          <w:bCs/>
        </w:rPr>
        <w:t xml:space="preserve">Bu </w:t>
      </w:r>
      <w:r w:rsidRPr="00994ED7">
        <w:rPr>
          <w:rFonts w:ascii="Calibri" w:hAnsi="Calibri"/>
          <w:bCs/>
        </w:rPr>
        <w:t>kapsamda;</w:t>
      </w:r>
    </w:p>
    <w:p w:rsidR="00F018C6" w:rsidRPr="00994ED7" w:rsidRDefault="00F018C6" w:rsidP="00F018C6">
      <w:pPr>
        <w:numPr>
          <w:ilvl w:val="0"/>
          <w:numId w:val="17"/>
        </w:numPr>
        <w:autoSpaceDE w:val="0"/>
        <w:autoSpaceDN w:val="0"/>
        <w:adjustRightInd w:val="0"/>
        <w:spacing w:after="0"/>
        <w:contextualSpacing/>
        <w:rPr>
          <w:rFonts w:ascii="Calibri" w:hAnsi="Calibri"/>
          <w:bCs/>
        </w:rPr>
      </w:pPr>
      <w:r w:rsidRPr="00994ED7">
        <w:rPr>
          <w:rFonts w:ascii="Calibri" w:hAnsi="Calibri"/>
          <w:bCs/>
        </w:rPr>
        <w:t>202</w:t>
      </w:r>
      <w:r>
        <w:rPr>
          <w:rFonts w:ascii="Calibri" w:hAnsi="Calibri"/>
          <w:bCs/>
        </w:rPr>
        <w:t>2</w:t>
      </w:r>
      <w:r w:rsidRPr="00994ED7">
        <w:rPr>
          <w:rFonts w:ascii="Calibri" w:hAnsi="Calibri"/>
          <w:bCs/>
        </w:rPr>
        <w:t xml:space="preserve"> yılında </w:t>
      </w:r>
      <w:r>
        <w:rPr>
          <w:rFonts w:ascii="Calibri" w:hAnsi="Calibri"/>
          <w:bCs/>
        </w:rPr>
        <w:t>131</w:t>
      </w:r>
      <w:r w:rsidRPr="00A20F85">
        <w:rPr>
          <w:rFonts w:ascii="Calibri" w:hAnsi="Calibri"/>
          <w:bCs/>
        </w:rPr>
        <w:t xml:space="preserve"> adet hukuki görüş verilmiştir</w:t>
      </w:r>
      <w:r w:rsidRPr="00994ED7">
        <w:rPr>
          <w:rFonts w:ascii="Calibri" w:hAnsi="Calibri"/>
          <w:bCs/>
        </w:rPr>
        <w:t>.</w:t>
      </w:r>
    </w:p>
    <w:p w:rsidR="00F018C6" w:rsidRPr="00994ED7" w:rsidRDefault="00F018C6" w:rsidP="00F018C6">
      <w:pPr>
        <w:numPr>
          <w:ilvl w:val="0"/>
          <w:numId w:val="17"/>
        </w:numPr>
        <w:autoSpaceDE w:val="0"/>
        <w:autoSpaceDN w:val="0"/>
        <w:adjustRightInd w:val="0"/>
        <w:spacing w:after="0"/>
        <w:contextualSpacing/>
        <w:rPr>
          <w:rFonts w:ascii="Calibri" w:hAnsi="Calibri"/>
          <w:bCs/>
        </w:rPr>
      </w:pPr>
      <w:r w:rsidRPr="00994ED7">
        <w:rPr>
          <w:rFonts w:ascii="Calibri" w:hAnsi="Calibri"/>
          <w:bCs/>
        </w:rPr>
        <w:t>31.12.202</w:t>
      </w:r>
      <w:r>
        <w:rPr>
          <w:rFonts w:ascii="Calibri" w:hAnsi="Calibri"/>
          <w:bCs/>
        </w:rPr>
        <w:t>2</w:t>
      </w:r>
      <w:r w:rsidRPr="00994ED7">
        <w:rPr>
          <w:rFonts w:ascii="Calibri" w:hAnsi="Calibri"/>
          <w:bCs/>
        </w:rPr>
        <w:t xml:space="preserve"> tarihi itibariyle toplam </w:t>
      </w:r>
      <w:r>
        <w:rPr>
          <w:rFonts w:ascii="Calibri" w:hAnsi="Calibri"/>
          <w:bCs/>
        </w:rPr>
        <w:t>3.214</w:t>
      </w:r>
      <w:r w:rsidRPr="00A20F85">
        <w:rPr>
          <w:rFonts w:ascii="Calibri" w:hAnsi="Calibri"/>
          <w:bCs/>
        </w:rPr>
        <w:t xml:space="preserve"> adet hukuki görüş verilmiştir</w:t>
      </w:r>
      <w:r w:rsidRPr="00994ED7">
        <w:rPr>
          <w:rFonts w:ascii="Calibri" w:hAnsi="Calibri"/>
          <w:bCs/>
        </w:rPr>
        <w:t>.</w:t>
      </w:r>
    </w:p>
    <w:p w:rsidR="00F018C6" w:rsidRDefault="00F018C6" w:rsidP="00F018C6">
      <w:pPr>
        <w:spacing w:after="0" w:line="240" w:lineRule="auto"/>
        <w:rPr>
          <w:rFonts w:ascii="Calibri" w:eastAsia="Times New Roman" w:hAnsi="Calibri"/>
          <w:b/>
          <w:bCs/>
          <w:color w:val="000000"/>
          <w:lang w:eastAsia="tr-TR"/>
        </w:rPr>
      </w:pPr>
    </w:p>
    <w:p w:rsidR="00F018C6" w:rsidRDefault="00F018C6" w:rsidP="00F018C6">
      <w:pPr>
        <w:spacing w:after="0" w:line="240" w:lineRule="auto"/>
        <w:rPr>
          <w:rFonts w:ascii="Calibri" w:eastAsia="Times New Roman" w:hAnsi="Calibri"/>
          <w:b/>
          <w:bCs/>
          <w:color w:val="000000"/>
          <w:lang w:eastAsia="tr-TR"/>
        </w:rPr>
      </w:pPr>
    </w:p>
    <w:p w:rsidR="00F018C6" w:rsidRPr="00994ED7" w:rsidRDefault="00F018C6" w:rsidP="00F018C6">
      <w:pPr>
        <w:spacing w:after="0" w:line="240" w:lineRule="auto"/>
        <w:rPr>
          <w:rFonts w:ascii="Calibri" w:eastAsia="Times New Roman" w:hAnsi="Calibri"/>
          <w:b/>
          <w:bCs/>
          <w:color w:val="000000"/>
          <w:lang w:eastAsia="tr-TR"/>
        </w:rPr>
      </w:pPr>
    </w:p>
    <w:p w:rsidR="00F018C6" w:rsidRPr="008102B6" w:rsidRDefault="00F018C6" w:rsidP="00551243">
      <w:pPr>
        <w:pStyle w:val="Balk5"/>
        <w:spacing w:before="0" w:after="240"/>
        <w:jc w:val="center"/>
        <w:rPr>
          <w:rStyle w:val="Gl"/>
          <w:color w:val="auto"/>
        </w:rPr>
      </w:pPr>
      <w:bookmarkStart w:id="406" w:name="_Toc94703946"/>
      <w:bookmarkStart w:id="407" w:name="_Toc132713954"/>
      <w:r w:rsidRPr="008102B6">
        <w:rPr>
          <w:rStyle w:val="Gl"/>
          <w:color w:val="auto"/>
        </w:rPr>
        <w:lastRenderedPageBreak/>
        <w:t>Tablo 8.9: 2022 Yılı Sonu İtibariyle Hukuk Dairesi Başkanlığı Tarafından Verilen Görüşlerin Dağılımı</w:t>
      </w:r>
      <w:bookmarkEnd w:id="406"/>
      <w:bookmarkEnd w:id="407"/>
    </w:p>
    <w:tbl>
      <w:tblPr>
        <w:tblpPr w:leftFromText="141" w:rightFromText="141" w:vertAnchor="text" w:horzAnchor="margin" w:tblpY="45"/>
        <w:tblW w:w="4808" w:type="pct"/>
        <w:tblCellMar>
          <w:left w:w="70" w:type="dxa"/>
          <w:right w:w="70" w:type="dxa"/>
        </w:tblCellMar>
        <w:tblLook w:val="04A0" w:firstRow="1" w:lastRow="0" w:firstColumn="1" w:lastColumn="0" w:noHBand="0" w:noVBand="1"/>
      </w:tblPr>
      <w:tblGrid>
        <w:gridCol w:w="6625"/>
        <w:gridCol w:w="1485"/>
        <w:gridCol w:w="1411"/>
      </w:tblGrid>
      <w:tr w:rsidR="00931DEA" w:rsidRPr="00AE0C4A" w:rsidTr="00551243">
        <w:trPr>
          <w:trHeight w:val="20"/>
        </w:trPr>
        <w:tc>
          <w:tcPr>
            <w:tcW w:w="3479" w:type="pct"/>
            <w:tcBorders>
              <w:top w:val="single" w:sz="8" w:space="0" w:color="BFBFBF"/>
              <w:left w:val="single" w:sz="8" w:space="0" w:color="BFBFBF"/>
              <w:bottom w:val="single" w:sz="8" w:space="0" w:color="BFBFBF"/>
              <w:right w:val="single" w:sz="8" w:space="0" w:color="BFBFBF"/>
            </w:tcBorders>
            <w:shd w:val="clear" w:color="000000" w:fill="6E9ECA"/>
            <w:vAlign w:val="center"/>
            <w:hideMark/>
          </w:tcPr>
          <w:p w:rsidR="00931DEA" w:rsidRPr="00AE0C4A" w:rsidRDefault="00931DEA" w:rsidP="00931DEA">
            <w:pPr>
              <w:spacing w:after="0" w:line="240" w:lineRule="auto"/>
              <w:jc w:val="center"/>
              <w:rPr>
                <w:rFonts w:ascii="Calibri" w:eastAsia="Times New Roman" w:hAnsi="Calibri"/>
                <w:b/>
                <w:bCs/>
                <w:color w:val="FFFFFF"/>
                <w:lang w:eastAsia="tr-TR"/>
              </w:rPr>
            </w:pPr>
            <w:r w:rsidRPr="00AE0C4A">
              <w:rPr>
                <w:rFonts w:ascii="Calibri" w:eastAsia="Times New Roman" w:hAnsi="Calibri"/>
                <w:b/>
                <w:bCs/>
                <w:color w:val="FFFFFF"/>
                <w:lang w:eastAsia="tr-TR"/>
              </w:rPr>
              <w:t>Görüş Verilen Yerler</w:t>
            </w:r>
          </w:p>
        </w:tc>
        <w:tc>
          <w:tcPr>
            <w:tcW w:w="780" w:type="pct"/>
            <w:tcBorders>
              <w:top w:val="single" w:sz="8" w:space="0" w:color="BFBFBF"/>
              <w:left w:val="nil"/>
              <w:bottom w:val="single" w:sz="8" w:space="0" w:color="BFBFBF"/>
              <w:right w:val="single" w:sz="8" w:space="0" w:color="BFBFBF"/>
            </w:tcBorders>
            <w:shd w:val="clear" w:color="000000" w:fill="6E9ECA"/>
            <w:vAlign w:val="center"/>
            <w:hideMark/>
          </w:tcPr>
          <w:p w:rsidR="00931DEA" w:rsidRPr="00AE0C4A" w:rsidRDefault="00931DEA" w:rsidP="00931DEA">
            <w:pPr>
              <w:spacing w:after="0" w:line="240" w:lineRule="auto"/>
              <w:jc w:val="center"/>
              <w:rPr>
                <w:rFonts w:ascii="Calibri" w:eastAsia="Times New Roman" w:hAnsi="Calibri"/>
                <w:b/>
                <w:bCs/>
                <w:color w:val="FFFFFF"/>
                <w:lang w:eastAsia="tr-TR"/>
              </w:rPr>
            </w:pPr>
            <w:r w:rsidRPr="00AE0C4A">
              <w:rPr>
                <w:rFonts w:ascii="Calibri" w:eastAsia="Times New Roman" w:hAnsi="Calibri"/>
                <w:b/>
                <w:bCs/>
                <w:color w:val="FFFFFF"/>
                <w:lang w:eastAsia="tr-TR"/>
              </w:rPr>
              <w:t>Görüş Sayısı</w:t>
            </w:r>
          </w:p>
        </w:tc>
        <w:tc>
          <w:tcPr>
            <w:tcW w:w="741" w:type="pct"/>
            <w:tcBorders>
              <w:top w:val="single" w:sz="8" w:space="0" w:color="BFBFBF"/>
              <w:left w:val="nil"/>
              <w:bottom w:val="single" w:sz="8" w:space="0" w:color="BFBFBF"/>
              <w:right w:val="single" w:sz="8" w:space="0" w:color="BFBFBF"/>
            </w:tcBorders>
            <w:shd w:val="clear" w:color="000000" w:fill="6E9ECA"/>
            <w:vAlign w:val="center"/>
            <w:hideMark/>
          </w:tcPr>
          <w:p w:rsidR="00931DEA" w:rsidRPr="00AE0C4A" w:rsidRDefault="00931DEA" w:rsidP="00931DEA">
            <w:pPr>
              <w:spacing w:after="0" w:line="240" w:lineRule="auto"/>
              <w:jc w:val="center"/>
              <w:rPr>
                <w:rFonts w:ascii="Calibri" w:eastAsia="Times New Roman" w:hAnsi="Calibri"/>
                <w:b/>
                <w:bCs/>
                <w:color w:val="FFFFFF"/>
                <w:lang w:eastAsia="tr-TR"/>
              </w:rPr>
            </w:pPr>
            <w:r w:rsidRPr="00AE0C4A">
              <w:rPr>
                <w:rFonts w:ascii="Calibri" w:eastAsia="Times New Roman" w:hAnsi="Calibri"/>
                <w:b/>
                <w:bCs/>
                <w:color w:val="FFFFFF"/>
                <w:lang w:eastAsia="tr-TR"/>
              </w:rPr>
              <w:t>Oran (%)</w:t>
            </w:r>
          </w:p>
        </w:tc>
      </w:tr>
      <w:tr w:rsidR="00931DEA" w:rsidRPr="00AE0C4A" w:rsidTr="00551243">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rsidR="00931DEA" w:rsidRPr="00AE0C4A" w:rsidRDefault="00931DEA" w:rsidP="00931DEA">
            <w:pPr>
              <w:spacing w:after="0" w:line="240" w:lineRule="auto"/>
              <w:rPr>
                <w:rFonts w:ascii="Calibri" w:eastAsia="Times New Roman" w:hAnsi="Calibri"/>
                <w:color w:val="000000"/>
                <w:lang w:eastAsia="tr-TR"/>
              </w:rPr>
            </w:pPr>
            <w:r w:rsidRPr="00AE0C4A">
              <w:rPr>
                <w:rFonts w:ascii="Calibri" w:eastAsia="Times New Roman" w:hAnsi="Calibri"/>
                <w:color w:val="000000"/>
                <w:lang w:eastAsia="tr-TR"/>
              </w:rPr>
              <w:t>Elektrik Piyasası Dairesi Başkanlığı</w:t>
            </w:r>
          </w:p>
        </w:tc>
        <w:tc>
          <w:tcPr>
            <w:tcW w:w="780" w:type="pct"/>
            <w:tcBorders>
              <w:top w:val="nil"/>
              <w:left w:val="nil"/>
              <w:bottom w:val="single" w:sz="8" w:space="0" w:color="BFBFBF"/>
              <w:right w:val="single" w:sz="8" w:space="0" w:color="BFBFBF"/>
            </w:tcBorders>
            <w:shd w:val="clear" w:color="auto" w:fill="auto"/>
            <w:noWrap/>
            <w:vAlign w:val="center"/>
            <w:hideMark/>
          </w:tcPr>
          <w:p w:rsidR="00931DEA" w:rsidRPr="00AE0C4A" w:rsidRDefault="00931DEA" w:rsidP="00931DEA">
            <w:pPr>
              <w:spacing w:after="0" w:line="240" w:lineRule="auto"/>
              <w:jc w:val="right"/>
              <w:rPr>
                <w:rFonts w:ascii="Calibri" w:eastAsia="Times New Roman" w:hAnsi="Calibri"/>
                <w:color w:val="000000"/>
                <w:lang w:eastAsia="tr-TR"/>
              </w:rPr>
            </w:pPr>
            <w:r w:rsidRPr="00AE0C4A">
              <w:rPr>
                <w:rFonts w:ascii="Calibri" w:eastAsia="Times New Roman" w:hAnsi="Calibri"/>
                <w:color w:val="000000"/>
                <w:lang w:eastAsia="tr-TR"/>
              </w:rPr>
              <w:t xml:space="preserve"> </w:t>
            </w:r>
            <w:r>
              <w:rPr>
                <w:rFonts w:ascii="Calibri" w:eastAsia="Times New Roman" w:hAnsi="Calibri"/>
                <w:color w:val="000000"/>
                <w:lang w:eastAsia="tr-TR"/>
              </w:rPr>
              <w:t>859</w:t>
            </w:r>
            <w:r w:rsidRPr="00AE0C4A">
              <w:rPr>
                <w:rFonts w:ascii="Calibri" w:eastAsia="Times New Roman" w:hAnsi="Calibri"/>
                <w:color w:val="000000"/>
                <w:lang w:eastAsia="tr-TR"/>
              </w:rPr>
              <w:t xml:space="preserve"> </w:t>
            </w:r>
          </w:p>
        </w:tc>
        <w:tc>
          <w:tcPr>
            <w:tcW w:w="741" w:type="pct"/>
            <w:tcBorders>
              <w:top w:val="nil"/>
              <w:left w:val="nil"/>
              <w:bottom w:val="single" w:sz="8" w:space="0" w:color="BFBFBF"/>
              <w:right w:val="single" w:sz="8" w:space="0" w:color="BFBFBF"/>
            </w:tcBorders>
            <w:shd w:val="clear" w:color="auto" w:fill="auto"/>
            <w:noWrap/>
            <w:vAlign w:val="bottom"/>
            <w:hideMark/>
          </w:tcPr>
          <w:p w:rsidR="00931DEA" w:rsidRPr="00AE0C4A" w:rsidRDefault="00931DEA" w:rsidP="00931DEA">
            <w:pPr>
              <w:spacing w:after="0" w:line="240" w:lineRule="auto"/>
              <w:jc w:val="center"/>
              <w:rPr>
                <w:rFonts w:ascii="Calibri" w:eastAsia="Times New Roman" w:hAnsi="Calibri"/>
                <w:color w:val="000000"/>
                <w:lang w:eastAsia="tr-TR"/>
              </w:rPr>
            </w:pPr>
            <w:r>
              <w:rPr>
                <w:rFonts w:ascii="Calibri" w:hAnsi="Calibri" w:cs="Calibri"/>
                <w:color w:val="000000"/>
              </w:rPr>
              <w:t>26,73</w:t>
            </w:r>
          </w:p>
        </w:tc>
      </w:tr>
      <w:tr w:rsidR="00931DEA" w:rsidRPr="00AE0C4A" w:rsidTr="00551243">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rsidR="00931DEA" w:rsidRPr="00AE0C4A" w:rsidRDefault="00931DEA" w:rsidP="00931DEA">
            <w:pPr>
              <w:spacing w:after="0" w:line="240" w:lineRule="auto"/>
              <w:rPr>
                <w:rFonts w:ascii="Calibri" w:eastAsia="Times New Roman" w:hAnsi="Calibri"/>
                <w:color w:val="000000"/>
                <w:lang w:eastAsia="tr-TR"/>
              </w:rPr>
            </w:pPr>
            <w:r w:rsidRPr="00AE0C4A">
              <w:rPr>
                <w:rFonts w:ascii="Calibri" w:eastAsia="Times New Roman" w:hAnsi="Calibri"/>
                <w:color w:val="000000"/>
                <w:lang w:eastAsia="tr-TR"/>
              </w:rPr>
              <w:t>Doğal Gaz Piyasası Dairesi Başkanlığı</w:t>
            </w:r>
          </w:p>
        </w:tc>
        <w:tc>
          <w:tcPr>
            <w:tcW w:w="780" w:type="pct"/>
            <w:tcBorders>
              <w:top w:val="nil"/>
              <w:left w:val="nil"/>
              <w:bottom w:val="single" w:sz="8" w:space="0" w:color="BFBFBF"/>
              <w:right w:val="single" w:sz="8" w:space="0" w:color="BFBFBF"/>
            </w:tcBorders>
            <w:shd w:val="clear" w:color="auto" w:fill="auto"/>
            <w:noWrap/>
            <w:vAlign w:val="center"/>
            <w:hideMark/>
          </w:tcPr>
          <w:p w:rsidR="00931DEA" w:rsidRPr="00AE0C4A" w:rsidRDefault="00931DEA" w:rsidP="00931DEA">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462</w:t>
            </w:r>
          </w:p>
        </w:tc>
        <w:tc>
          <w:tcPr>
            <w:tcW w:w="741" w:type="pct"/>
            <w:tcBorders>
              <w:top w:val="nil"/>
              <w:left w:val="nil"/>
              <w:bottom w:val="single" w:sz="8" w:space="0" w:color="BFBFBF"/>
              <w:right w:val="single" w:sz="8" w:space="0" w:color="BFBFBF"/>
            </w:tcBorders>
            <w:shd w:val="clear" w:color="auto" w:fill="auto"/>
            <w:noWrap/>
            <w:vAlign w:val="bottom"/>
            <w:hideMark/>
          </w:tcPr>
          <w:p w:rsidR="00931DEA" w:rsidRPr="00AE0C4A" w:rsidRDefault="00931DEA" w:rsidP="00931DEA">
            <w:pPr>
              <w:spacing w:after="0" w:line="240" w:lineRule="auto"/>
              <w:jc w:val="center"/>
              <w:rPr>
                <w:rFonts w:ascii="Calibri" w:eastAsia="Times New Roman" w:hAnsi="Calibri"/>
                <w:color w:val="000000"/>
                <w:lang w:eastAsia="tr-TR"/>
              </w:rPr>
            </w:pPr>
            <w:r>
              <w:rPr>
                <w:rFonts w:ascii="Calibri" w:hAnsi="Calibri" w:cs="Calibri"/>
                <w:color w:val="000000"/>
              </w:rPr>
              <w:t>14,37</w:t>
            </w:r>
          </w:p>
        </w:tc>
      </w:tr>
      <w:tr w:rsidR="00931DEA" w:rsidRPr="00AE0C4A" w:rsidTr="00551243">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rsidR="00931DEA" w:rsidRPr="00AE0C4A" w:rsidRDefault="00931DEA" w:rsidP="00931DEA">
            <w:pPr>
              <w:spacing w:after="0" w:line="240" w:lineRule="auto"/>
              <w:rPr>
                <w:rFonts w:ascii="Calibri" w:eastAsia="Times New Roman" w:hAnsi="Calibri"/>
                <w:color w:val="000000"/>
                <w:lang w:eastAsia="tr-TR"/>
              </w:rPr>
            </w:pPr>
            <w:r w:rsidRPr="00AE0C4A">
              <w:rPr>
                <w:rFonts w:ascii="Calibri" w:eastAsia="Times New Roman" w:hAnsi="Calibri"/>
                <w:color w:val="000000"/>
                <w:lang w:eastAsia="tr-TR"/>
              </w:rPr>
              <w:t>Petrol Piyasası Dairesi Başkanlığı</w:t>
            </w:r>
          </w:p>
        </w:tc>
        <w:tc>
          <w:tcPr>
            <w:tcW w:w="780" w:type="pct"/>
            <w:tcBorders>
              <w:top w:val="nil"/>
              <w:left w:val="nil"/>
              <w:bottom w:val="single" w:sz="8" w:space="0" w:color="BFBFBF"/>
              <w:right w:val="single" w:sz="8" w:space="0" w:color="BFBFBF"/>
            </w:tcBorders>
            <w:shd w:val="clear" w:color="auto" w:fill="auto"/>
            <w:noWrap/>
            <w:vAlign w:val="center"/>
            <w:hideMark/>
          </w:tcPr>
          <w:p w:rsidR="00931DEA" w:rsidRPr="00AE0C4A" w:rsidRDefault="00931DEA" w:rsidP="00931DEA">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643</w:t>
            </w:r>
          </w:p>
        </w:tc>
        <w:tc>
          <w:tcPr>
            <w:tcW w:w="741" w:type="pct"/>
            <w:tcBorders>
              <w:top w:val="nil"/>
              <w:left w:val="nil"/>
              <w:bottom w:val="single" w:sz="8" w:space="0" w:color="BFBFBF"/>
              <w:right w:val="single" w:sz="8" w:space="0" w:color="BFBFBF"/>
            </w:tcBorders>
            <w:shd w:val="clear" w:color="auto" w:fill="auto"/>
            <w:noWrap/>
            <w:vAlign w:val="bottom"/>
            <w:hideMark/>
          </w:tcPr>
          <w:p w:rsidR="00931DEA" w:rsidRPr="00AE0C4A" w:rsidRDefault="00931DEA" w:rsidP="00931DEA">
            <w:pPr>
              <w:spacing w:after="0" w:line="240" w:lineRule="auto"/>
              <w:jc w:val="center"/>
              <w:rPr>
                <w:rFonts w:ascii="Calibri" w:eastAsia="Times New Roman" w:hAnsi="Calibri"/>
                <w:color w:val="000000"/>
                <w:lang w:eastAsia="tr-TR"/>
              </w:rPr>
            </w:pPr>
            <w:r>
              <w:rPr>
                <w:rFonts w:ascii="Calibri" w:hAnsi="Calibri" w:cs="Calibri"/>
                <w:color w:val="000000"/>
              </w:rPr>
              <w:t>20,01</w:t>
            </w:r>
          </w:p>
        </w:tc>
      </w:tr>
      <w:tr w:rsidR="00931DEA" w:rsidRPr="00AE0C4A" w:rsidTr="00551243">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rsidR="00931DEA" w:rsidRPr="00AE0C4A" w:rsidRDefault="00931DEA" w:rsidP="00931DEA">
            <w:pPr>
              <w:spacing w:after="0" w:line="240" w:lineRule="auto"/>
              <w:rPr>
                <w:rFonts w:ascii="Calibri" w:eastAsia="Times New Roman" w:hAnsi="Calibri"/>
                <w:color w:val="000000"/>
                <w:lang w:eastAsia="tr-TR"/>
              </w:rPr>
            </w:pPr>
            <w:r w:rsidRPr="00AE0C4A">
              <w:rPr>
                <w:rFonts w:ascii="Calibri" w:eastAsia="Times New Roman" w:hAnsi="Calibri"/>
                <w:color w:val="000000"/>
                <w:lang w:eastAsia="tr-TR"/>
              </w:rPr>
              <w:t>Sıvılaştırılmış Petrol Gazları Piyasası Dairesi Başkanlığı</w:t>
            </w:r>
          </w:p>
        </w:tc>
        <w:tc>
          <w:tcPr>
            <w:tcW w:w="780" w:type="pct"/>
            <w:tcBorders>
              <w:top w:val="nil"/>
              <w:left w:val="nil"/>
              <w:bottom w:val="single" w:sz="8" w:space="0" w:color="BFBFBF"/>
              <w:right w:val="single" w:sz="8" w:space="0" w:color="BFBFBF"/>
            </w:tcBorders>
            <w:shd w:val="clear" w:color="auto" w:fill="auto"/>
            <w:noWrap/>
            <w:vAlign w:val="center"/>
            <w:hideMark/>
          </w:tcPr>
          <w:p w:rsidR="00931DEA" w:rsidRPr="00AE0C4A" w:rsidRDefault="00931DEA" w:rsidP="00931DEA">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215</w:t>
            </w:r>
          </w:p>
        </w:tc>
        <w:tc>
          <w:tcPr>
            <w:tcW w:w="741" w:type="pct"/>
            <w:tcBorders>
              <w:top w:val="nil"/>
              <w:left w:val="nil"/>
              <w:bottom w:val="single" w:sz="8" w:space="0" w:color="BFBFBF"/>
              <w:right w:val="single" w:sz="8" w:space="0" w:color="BFBFBF"/>
            </w:tcBorders>
            <w:shd w:val="clear" w:color="auto" w:fill="auto"/>
            <w:noWrap/>
            <w:vAlign w:val="bottom"/>
            <w:hideMark/>
          </w:tcPr>
          <w:p w:rsidR="00931DEA" w:rsidRPr="00AE0C4A" w:rsidRDefault="00931DEA" w:rsidP="00931DEA">
            <w:pPr>
              <w:spacing w:after="0" w:line="240" w:lineRule="auto"/>
              <w:jc w:val="center"/>
              <w:rPr>
                <w:rFonts w:ascii="Calibri" w:eastAsia="Times New Roman" w:hAnsi="Calibri"/>
                <w:color w:val="000000"/>
                <w:lang w:eastAsia="tr-TR"/>
              </w:rPr>
            </w:pPr>
            <w:r>
              <w:rPr>
                <w:rFonts w:ascii="Calibri" w:hAnsi="Calibri" w:cs="Calibri"/>
                <w:color w:val="000000"/>
              </w:rPr>
              <w:t>6,69</w:t>
            </w:r>
          </w:p>
        </w:tc>
      </w:tr>
      <w:tr w:rsidR="00931DEA" w:rsidRPr="00AE0C4A" w:rsidTr="00551243">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tcPr>
          <w:p w:rsidR="00931DEA" w:rsidRPr="00AE0C4A" w:rsidRDefault="00931DEA" w:rsidP="00931DEA">
            <w:pPr>
              <w:spacing w:after="0" w:line="240" w:lineRule="auto"/>
              <w:rPr>
                <w:rFonts w:ascii="Calibri" w:eastAsia="Times New Roman" w:hAnsi="Calibri"/>
                <w:color w:val="000000"/>
                <w:lang w:eastAsia="tr-TR"/>
              </w:rPr>
            </w:pPr>
            <w:r>
              <w:rPr>
                <w:rFonts w:ascii="Calibri" w:eastAsia="Times New Roman" w:hAnsi="Calibri"/>
                <w:color w:val="000000"/>
                <w:lang w:eastAsia="tr-TR"/>
              </w:rPr>
              <w:t>Enerji Dönüşüm Dairesi Başkanlığı</w:t>
            </w:r>
            <w:r w:rsidR="00551243">
              <w:rPr>
                <w:rFonts w:ascii="Calibri" w:eastAsia="Times New Roman" w:hAnsi="Calibri"/>
                <w:color w:val="000000"/>
                <w:lang w:eastAsia="tr-TR"/>
              </w:rPr>
              <w:t>*</w:t>
            </w:r>
          </w:p>
        </w:tc>
        <w:tc>
          <w:tcPr>
            <w:tcW w:w="780" w:type="pct"/>
            <w:tcBorders>
              <w:top w:val="nil"/>
              <w:left w:val="nil"/>
              <w:bottom w:val="single" w:sz="8" w:space="0" w:color="BFBFBF"/>
              <w:right w:val="single" w:sz="8" w:space="0" w:color="BFBFBF"/>
            </w:tcBorders>
            <w:shd w:val="clear" w:color="auto" w:fill="auto"/>
            <w:noWrap/>
            <w:vAlign w:val="center"/>
          </w:tcPr>
          <w:p w:rsidR="00931DEA" w:rsidRDefault="00931DEA" w:rsidP="00931DEA">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w:t>
            </w:r>
          </w:p>
        </w:tc>
        <w:tc>
          <w:tcPr>
            <w:tcW w:w="741" w:type="pct"/>
            <w:tcBorders>
              <w:top w:val="nil"/>
              <w:left w:val="nil"/>
              <w:bottom w:val="single" w:sz="8" w:space="0" w:color="BFBFBF"/>
              <w:right w:val="single" w:sz="8" w:space="0" w:color="BFBFBF"/>
            </w:tcBorders>
            <w:shd w:val="clear" w:color="auto" w:fill="auto"/>
            <w:noWrap/>
            <w:vAlign w:val="bottom"/>
          </w:tcPr>
          <w:p w:rsidR="00931DEA" w:rsidRDefault="00931DEA" w:rsidP="00931DEA">
            <w:pPr>
              <w:spacing w:after="0" w:line="240" w:lineRule="auto"/>
              <w:jc w:val="center"/>
              <w:rPr>
                <w:rFonts w:ascii="Calibri" w:eastAsia="Times New Roman" w:hAnsi="Calibri"/>
                <w:color w:val="000000"/>
                <w:lang w:eastAsia="tr-TR"/>
              </w:rPr>
            </w:pPr>
            <w:r>
              <w:rPr>
                <w:rFonts w:ascii="Calibri" w:hAnsi="Calibri" w:cs="Calibri"/>
                <w:color w:val="000000"/>
              </w:rPr>
              <w:t>0,03</w:t>
            </w:r>
          </w:p>
        </w:tc>
      </w:tr>
      <w:tr w:rsidR="00931DEA" w:rsidRPr="00AE0C4A" w:rsidTr="00551243">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rsidR="00931DEA" w:rsidRPr="00AE0C4A" w:rsidRDefault="00931DEA" w:rsidP="00931DEA">
            <w:pPr>
              <w:spacing w:after="0" w:line="240" w:lineRule="auto"/>
              <w:rPr>
                <w:rFonts w:ascii="Calibri" w:eastAsia="Times New Roman" w:hAnsi="Calibri"/>
                <w:color w:val="000000"/>
                <w:lang w:eastAsia="tr-TR"/>
              </w:rPr>
            </w:pPr>
            <w:r w:rsidRPr="00AE0C4A">
              <w:rPr>
                <w:rFonts w:ascii="Calibri" w:eastAsia="Times New Roman" w:hAnsi="Calibri"/>
                <w:color w:val="000000"/>
                <w:lang w:eastAsia="tr-TR"/>
              </w:rPr>
              <w:t>Kamulaştırma Dairesi Başkanlığı</w:t>
            </w:r>
          </w:p>
        </w:tc>
        <w:tc>
          <w:tcPr>
            <w:tcW w:w="780" w:type="pct"/>
            <w:tcBorders>
              <w:top w:val="nil"/>
              <w:left w:val="nil"/>
              <w:bottom w:val="single" w:sz="8" w:space="0" w:color="BFBFBF"/>
              <w:right w:val="single" w:sz="8" w:space="0" w:color="BFBFBF"/>
            </w:tcBorders>
            <w:shd w:val="clear" w:color="auto" w:fill="auto"/>
            <w:noWrap/>
            <w:vAlign w:val="center"/>
            <w:hideMark/>
          </w:tcPr>
          <w:p w:rsidR="00931DEA" w:rsidRPr="00AE0C4A" w:rsidRDefault="00931DEA" w:rsidP="00931DEA">
            <w:pPr>
              <w:spacing w:after="0" w:line="240" w:lineRule="auto"/>
              <w:jc w:val="right"/>
              <w:rPr>
                <w:rFonts w:ascii="Calibri" w:eastAsia="Times New Roman" w:hAnsi="Calibri"/>
                <w:color w:val="000000"/>
                <w:lang w:eastAsia="tr-TR"/>
              </w:rPr>
            </w:pPr>
            <w:r w:rsidRPr="00AE0C4A">
              <w:rPr>
                <w:rFonts w:ascii="Calibri" w:eastAsia="Times New Roman" w:hAnsi="Calibri"/>
                <w:color w:val="000000"/>
                <w:lang w:eastAsia="tr-TR"/>
              </w:rPr>
              <w:t xml:space="preserve">  </w:t>
            </w:r>
            <w:r>
              <w:rPr>
                <w:rFonts w:ascii="Calibri" w:eastAsia="Times New Roman" w:hAnsi="Calibri"/>
                <w:color w:val="000000"/>
                <w:lang w:eastAsia="tr-TR"/>
              </w:rPr>
              <w:t>39</w:t>
            </w:r>
            <w:r w:rsidRPr="00AE0C4A">
              <w:rPr>
                <w:rFonts w:ascii="Calibri" w:eastAsia="Times New Roman" w:hAnsi="Calibri"/>
                <w:color w:val="000000"/>
                <w:lang w:eastAsia="tr-TR"/>
              </w:rPr>
              <w:t xml:space="preserve"> </w:t>
            </w:r>
          </w:p>
        </w:tc>
        <w:tc>
          <w:tcPr>
            <w:tcW w:w="741" w:type="pct"/>
            <w:tcBorders>
              <w:top w:val="nil"/>
              <w:left w:val="nil"/>
              <w:bottom w:val="single" w:sz="8" w:space="0" w:color="BFBFBF"/>
              <w:right w:val="single" w:sz="8" w:space="0" w:color="BFBFBF"/>
            </w:tcBorders>
            <w:shd w:val="clear" w:color="auto" w:fill="auto"/>
            <w:noWrap/>
            <w:vAlign w:val="bottom"/>
            <w:hideMark/>
          </w:tcPr>
          <w:p w:rsidR="00931DEA" w:rsidRPr="00AE0C4A" w:rsidRDefault="00931DEA" w:rsidP="00931DEA">
            <w:pPr>
              <w:spacing w:after="0" w:line="240" w:lineRule="auto"/>
              <w:jc w:val="center"/>
              <w:rPr>
                <w:rFonts w:ascii="Calibri" w:eastAsia="Times New Roman" w:hAnsi="Calibri"/>
                <w:color w:val="000000"/>
                <w:lang w:eastAsia="tr-TR"/>
              </w:rPr>
            </w:pPr>
            <w:r>
              <w:rPr>
                <w:rFonts w:ascii="Calibri" w:hAnsi="Calibri" w:cs="Calibri"/>
                <w:color w:val="000000"/>
              </w:rPr>
              <w:t>1,21</w:t>
            </w:r>
          </w:p>
        </w:tc>
      </w:tr>
      <w:tr w:rsidR="00931DEA" w:rsidRPr="00AE0C4A" w:rsidTr="00551243">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rsidR="00931DEA" w:rsidRPr="00AE0C4A" w:rsidRDefault="00931DEA" w:rsidP="00931DEA">
            <w:pPr>
              <w:spacing w:after="0" w:line="240" w:lineRule="auto"/>
              <w:rPr>
                <w:rFonts w:ascii="Calibri" w:eastAsia="Times New Roman" w:hAnsi="Calibri"/>
                <w:color w:val="000000"/>
                <w:lang w:eastAsia="tr-TR"/>
              </w:rPr>
            </w:pPr>
            <w:r w:rsidRPr="00AE0C4A">
              <w:rPr>
                <w:rFonts w:ascii="Calibri" w:eastAsia="Times New Roman" w:hAnsi="Calibri"/>
                <w:color w:val="000000"/>
                <w:lang w:eastAsia="tr-TR"/>
              </w:rPr>
              <w:t>Denetim Dairesi Başkanlığı</w:t>
            </w:r>
          </w:p>
        </w:tc>
        <w:tc>
          <w:tcPr>
            <w:tcW w:w="780" w:type="pct"/>
            <w:tcBorders>
              <w:top w:val="nil"/>
              <w:left w:val="nil"/>
              <w:bottom w:val="single" w:sz="8" w:space="0" w:color="BFBFBF"/>
              <w:right w:val="single" w:sz="8" w:space="0" w:color="BFBFBF"/>
            </w:tcBorders>
            <w:shd w:val="clear" w:color="auto" w:fill="auto"/>
            <w:noWrap/>
            <w:vAlign w:val="center"/>
            <w:hideMark/>
          </w:tcPr>
          <w:p w:rsidR="00931DEA" w:rsidRPr="00AE0C4A" w:rsidRDefault="00931DEA" w:rsidP="00931DEA">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231</w:t>
            </w:r>
          </w:p>
        </w:tc>
        <w:tc>
          <w:tcPr>
            <w:tcW w:w="741" w:type="pct"/>
            <w:tcBorders>
              <w:top w:val="nil"/>
              <w:left w:val="nil"/>
              <w:bottom w:val="single" w:sz="8" w:space="0" w:color="BFBFBF"/>
              <w:right w:val="single" w:sz="8" w:space="0" w:color="BFBFBF"/>
            </w:tcBorders>
            <w:shd w:val="clear" w:color="auto" w:fill="auto"/>
            <w:noWrap/>
            <w:vAlign w:val="bottom"/>
            <w:hideMark/>
          </w:tcPr>
          <w:p w:rsidR="00931DEA" w:rsidRPr="00AE0C4A" w:rsidRDefault="00931DEA" w:rsidP="00931DEA">
            <w:pPr>
              <w:spacing w:after="0" w:line="240" w:lineRule="auto"/>
              <w:jc w:val="center"/>
              <w:rPr>
                <w:rFonts w:ascii="Calibri" w:eastAsia="Times New Roman" w:hAnsi="Calibri"/>
                <w:color w:val="000000"/>
                <w:lang w:eastAsia="tr-TR"/>
              </w:rPr>
            </w:pPr>
            <w:r>
              <w:rPr>
                <w:rFonts w:ascii="Calibri" w:hAnsi="Calibri" w:cs="Calibri"/>
                <w:color w:val="000000"/>
              </w:rPr>
              <w:t>7,19</w:t>
            </w:r>
          </w:p>
        </w:tc>
      </w:tr>
      <w:tr w:rsidR="00931DEA" w:rsidRPr="00AE0C4A" w:rsidTr="00551243">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rsidR="00931DEA" w:rsidRPr="00AE0C4A" w:rsidRDefault="00931DEA" w:rsidP="00931DEA">
            <w:pPr>
              <w:spacing w:after="0" w:line="240" w:lineRule="auto"/>
              <w:rPr>
                <w:rFonts w:ascii="Calibri" w:eastAsia="Times New Roman" w:hAnsi="Calibri"/>
                <w:color w:val="000000"/>
                <w:lang w:eastAsia="tr-TR"/>
              </w:rPr>
            </w:pPr>
            <w:r w:rsidRPr="00AE0C4A">
              <w:rPr>
                <w:rFonts w:ascii="Calibri" w:eastAsia="Times New Roman" w:hAnsi="Calibri"/>
                <w:color w:val="000000"/>
                <w:lang w:eastAsia="tr-TR"/>
              </w:rPr>
              <w:t>Tarifeler Dairesi Başkanlığı</w:t>
            </w:r>
          </w:p>
        </w:tc>
        <w:tc>
          <w:tcPr>
            <w:tcW w:w="780" w:type="pct"/>
            <w:tcBorders>
              <w:top w:val="nil"/>
              <w:left w:val="nil"/>
              <w:bottom w:val="single" w:sz="8" w:space="0" w:color="BFBFBF"/>
              <w:right w:val="single" w:sz="8" w:space="0" w:color="BFBFBF"/>
            </w:tcBorders>
            <w:shd w:val="clear" w:color="auto" w:fill="auto"/>
            <w:noWrap/>
            <w:vAlign w:val="center"/>
            <w:hideMark/>
          </w:tcPr>
          <w:p w:rsidR="00931DEA" w:rsidRPr="00AE0C4A" w:rsidRDefault="00931DEA" w:rsidP="00931DEA">
            <w:pPr>
              <w:spacing w:after="0" w:line="240" w:lineRule="auto"/>
              <w:jc w:val="right"/>
              <w:rPr>
                <w:rFonts w:ascii="Calibri" w:eastAsia="Times New Roman" w:hAnsi="Calibri"/>
                <w:color w:val="000000"/>
                <w:lang w:eastAsia="tr-TR"/>
              </w:rPr>
            </w:pPr>
            <w:r w:rsidRPr="00AE0C4A">
              <w:rPr>
                <w:rFonts w:ascii="Calibri" w:eastAsia="Times New Roman" w:hAnsi="Calibri"/>
                <w:color w:val="000000"/>
                <w:lang w:eastAsia="tr-TR"/>
              </w:rPr>
              <w:t xml:space="preserve"> </w:t>
            </w:r>
            <w:r>
              <w:rPr>
                <w:rFonts w:ascii="Calibri" w:eastAsia="Times New Roman" w:hAnsi="Calibri"/>
                <w:color w:val="000000"/>
                <w:lang w:eastAsia="tr-TR"/>
              </w:rPr>
              <w:t>102</w:t>
            </w:r>
            <w:r w:rsidRPr="00AE0C4A">
              <w:rPr>
                <w:rFonts w:ascii="Calibri" w:eastAsia="Times New Roman" w:hAnsi="Calibri"/>
                <w:color w:val="000000"/>
                <w:lang w:eastAsia="tr-TR"/>
              </w:rPr>
              <w:t xml:space="preserve"> </w:t>
            </w:r>
          </w:p>
        </w:tc>
        <w:tc>
          <w:tcPr>
            <w:tcW w:w="741" w:type="pct"/>
            <w:tcBorders>
              <w:top w:val="nil"/>
              <w:left w:val="nil"/>
              <w:bottom w:val="single" w:sz="8" w:space="0" w:color="BFBFBF"/>
              <w:right w:val="single" w:sz="8" w:space="0" w:color="BFBFBF"/>
            </w:tcBorders>
            <w:shd w:val="clear" w:color="auto" w:fill="auto"/>
            <w:noWrap/>
            <w:vAlign w:val="bottom"/>
            <w:hideMark/>
          </w:tcPr>
          <w:p w:rsidR="00931DEA" w:rsidRPr="00AE0C4A" w:rsidRDefault="00931DEA" w:rsidP="00931DEA">
            <w:pPr>
              <w:spacing w:after="0" w:line="240" w:lineRule="auto"/>
              <w:jc w:val="center"/>
              <w:rPr>
                <w:rFonts w:ascii="Calibri" w:eastAsia="Times New Roman" w:hAnsi="Calibri"/>
                <w:color w:val="000000"/>
                <w:lang w:eastAsia="tr-TR"/>
              </w:rPr>
            </w:pPr>
            <w:r>
              <w:rPr>
                <w:rFonts w:ascii="Calibri" w:hAnsi="Calibri" w:cs="Calibri"/>
                <w:color w:val="000000"/>
              </w:rPr>
              <w:t>3,17</w:t>
            </w:r>
          </w:p>
        </w:tc>
      </w:tr>
      <w:tr w:rsidR="00931DEA" w:rsidRPr="00AE0C4A" w:rsidTr="00551243">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rsidR="00931DEA" w:rsidRPr="00AE0C4A" w:rsidRDefault="00931DEA" w:rsidP="00931DEA">
            <w:pPr>
              <w:spacing w:after="0" w:line="240" w:lineRule="auto"/>
              <w:rPr>
                <w:rFonts w:ascii="Calibri" w:eastAsia="Times New Roman" w:hAnsi="Calibri"/>
                <w:color w:val="000000"/>
                <w:lang w:eastAsia="tr-TR"/>
              </w:rPr>
            </w:pPr>
            <w:r w:rsidRPr="00AE0C4A">
              <w:rPr>
                <w:rFonts w:ascii="Calibri" w:eastAsia="Times New Roman" w:hAnsi="Calibri"/>
                <w:color w:val="000000"/>
                <w:lang w:eastAsia="tr-TR"/>
              </w:rPr>
              <w:t>İnsan Kaynakları ve Destek Hizmetleri Dairesi Başkanlığı</w:t>
            </w:r>
          </w:p>
        </w:tc>
        <w:tc>
          <w:tcPr>
            <w:tcW w:w="780" w:type="pct"/>
            <w:tcBorders>
              <w:top w:val="nil"/>
              <w:left w:val="nil"/>
              <w:bottom w:val="single" w:sz="8" w:space="0" w:color="BFBFBF"/>
              <w:right w:val="single" w:sz="8" w:space="0" w:color="BFBFBF"/>
            </w:tcBorders>
            <w:shd w:val="clear" w:color="auto" w:fill="auto"/>
            <w:noWrap/>
            <w:vAlign w:val="center"/>
            <w:hideMark/>
          </w:tcPr>
          <w:p w:rsidR="00931DEA" w:rsidRPr="00AE0C4A" w:rsidRDefault="00931DEA" w:rsidP="00931DEA">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113</w:t>
            </w:r>
          </w:p>
        </w:tc>
        <w:tc>
          <w:tcPr>
            <w:tcW w:w="741" w:type="pct"/>
            <w:tcBorders>
              <w:top w:val="nil"/>
              <w:left w:val="nil"/>
              <w:bottom w:val="single" w:sz="8" w:space="0" w:color="BFBFBF"/>
              <w:right w:val="single" w:sz="8" w:space="0" w:color="BFBFBF"/>
            </w:tcBorders>
            <w:shd w:val="clear" w:color="auto" w:fill="auto"/>
            <w:noWrap/>
            <w:vAlign w:val="bottom"/>
            <w:hideMark/>
          </w:tcPr>
          <w:p w:rsidR="00931DEA" w:rsidRPr="00AE0C4A" w:rsidRDefault="00931DEA" w:rsidP="00931DEA">
            <w:pPr>
              <w:spacing w:after="0" w:line="240" w:lineRule="auto"/>
              <w:jc w:val="center"/>
              <w:rPr>
                <w:rFonts w:ascii="Calibri" w:eastAsia="Times New Roman" w:hAnsi="Calibri"/>
                <w:color w:val="000000"/>
                <w:lang w:eastAsia="tr-TR"/>
              </w:rPr>
            </w:pPr>
            <w:r>
              <w:rPr>
                <w:rFonts w:ascii="Calibri" w:hAnsi="Calibri" w:cs="Calibri"/>
                <w:color w:val="000000"/>
              </w:rPr>
              <w:t>3,52</w:t>
            </w:r>
          </w:p>
        </w:tc>
      </w:tr>
      <w:tr w:rsidR="00931DEA" w:rsidRPr="00AE0C4A" w:rsidTr="00551243">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rsidR="00931DEA" w:rsidRPr="00AE0C4A" w:rsidRDefault="00931DEA" w:rsidP="00931DEA">
            <w:pPr>
              <w:spacing w:after="0" w:line="240" w:lineRule="auto"/>
              <w:rPr>
                <w:rFonts w:ascii="Calibri" w:eastAsia="Times New Roman" w:hAnsi="Calibri"/>
                <w:color w:val="000000"/>
                <w:lang w:eastAsia="tr-TR"/>
              </w:rPr>
            </w:pPr>
            <w:r w:rsidRPr="00AE0C4A">
              <w:rPr>
                <w:rFonts w:ascii="Calibri" w:eastAsia="Times New Roman" w:hAnsi="Calibri"/>
                <w:color w:val="000000"/>
                <w:lang w:eastAsia="tr-TR"/>
              </w:rPr>
              <w:t>Strateji Geliştirme Dairesi Başkanlığı</w:t>
            </w:r>
          </w:p>
        </w:tc>
        <w:tc>
          <w:tcPr>
            <w:tcW w:w="780" w:type="pct"/>
            <w:tcBorders>
              <w:top w:val="nil"/>
              <w:left w:val="nil"/>
              <w:bottom w:val="single" w:sz="8" w:space="0" w:color="BFBFBF"/>
              <w:right w:val="single" w:sz="8" w:space="0" w:color="BFBFBF"/>
            </w:tcBorders>
            <w:shd w:val="clear" w:color="auto" w:fill="auto"/>
            <w:noWrap/>
            <w:vAlign w:val="center"/>
            <w:hideMark/>
          </w:tcPr>
          <w:p w:rsidR="00931DEA" w:rsidRPr="00AE0C4A" w:rsidRDefault="00931DEA" w:rsidP="00931DEA">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136</w:t>
            </w:r>
          </w:p>
        </w:tc>
        <w:tc>
          <w:tcPr>
            <w:tcW w:w="741" w:type="pct"/>
            <w:tcBorders>
              <w:top w:val="nil"/>
              <w:left w:val="nil"/>
              <w:bottom w:val="single" w:sz="8" w:space="0" w:color="BFBFBF"/>
              <w:right w:val="single" w:sz="8" w:space="0" w:color="BFBFBF"/>
            </w:tcBorders>
            <w:shd w:val="clear" w:color="auto" w:fill="auto"/>
            <w:noWrap/>
            <w:vAlign w:val="bottom"/>
            <w:hideMark/>
          </w:tcPr>
          <w:p w:rsidR="00931DEA" w:rsidRPr="00AE0C4A" w:rsidRDefault="00931DEA" w:rsidP="00931DEA">
            <w:pPr>
              <w:spacing w:after="0" w:line="240" w:lineRule="auto"/>
              <w:jc w:val="center"/>
              <w:rPr>
                <w:rFonts w:ascii="Calibri" w:eastAsia="Times New Roman" w:hAnsi="Calibri"/>
                <w:color w:val="000000"/>
                <w:lang w:eastAsia="tr-TR"/>
              </w:rPr>
            </w:pPr>
            <w:r>
              <w:rPr>
                <w:rFonts w:ascii="Calibri" w:hAnsi="Calibri" w:cs="Calibri"/>
                <w:color w:val="000000"/>
              </w:rPr>
              <w:t>4,23</w:t>
            </w:r>
          </w:p>
        </w:tc>
      </w:tr>
      <w:tr w:rsidR="00931DEA" w:rsidRPr="00AE0C4A" w:rsidTr="00551243">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tcPr>
          <w:p w:rsidR="00931DEA" w:rsidRPr="00AE0C4A" w:rsidRDefault="00931DEA" w:rsidP="00931DEA">
            <w:pPr>
              <w:spacing w:after="0" w:line="240" w:lineRule="auto"/>
              <w:rPr>
                <w:rFonts w:ascii="Calibri" w:eastAsia="Times New Roman" w:hAnsi="Calibri"/>
                <w:color w:val="000000"/>
                <w:lang w:eastAsia="tr-TR"/>
              </w:rPr>
            </w:pPr>
            <w:r w:rsidRPr="00AE0C4A">
              <w:rPr>
                <w:rFonts w:ascii="Calibri" w:eastAsia="Times New Roman" w:hAnsi="Calibri"/>
                <w:color w:val="000000"/>
                <w:lang w:eastAsia="tr-TR"/>
              </w:rPr>
              <w:t>Bilgi İşlem Dairesi Başkanlığı</w:t>
            </w:r>
          </w:p>
        </w:tc>
        <w:tc>
          <w:tcPr>
            <w:tcW w:w="780" w:type="pct"/>
            <w:tcBorders>
              <w:top w:val="nil"/>
              <w:left w:val="nil"/>
              <w:bottom w:val="single" w:sz="8" w:space="0" w:color="BFBFBF"/>
              <w:right w:val="single" w:sz="8" w:space="0" w:color="BFBFBF"/>
            </w:tcBorders>
            <w:shd w:val="clear" w:color="auto" w:fill="auto"/>
            <w:noWrap/>
            <w:vAlign w:val="center"/>
          </w:tcPr>
          <w:p w:rsidR="00931DEA" w:rsidRPr="00AE0C4A" w:rsidRDefault="00931DEA" w:rsidP="00931DEA">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6</w:t>
            </w:r>
          </w:p>
        </w:tc>
        <w:tc>
          <w:tcPr>
            <w:tcW w:w="741" w:type="pct"/>
            <w:tcBorders>
              <w:top w:val="nil"/>
              <w:left w:val="nil"/>
              <w:bottom w:val="single" w:sz="8" w:space="0" w:color="BFBFBF"/>
              <w:right w:val="single" w:sz="8" w:space="0" w:color="BFBFBF"/>
            </w:tcBorders>
            <w:shd w:val="clear" w:color="auto" w:fill="auto"/>
            <w:noWrap/>
            <w:vAlign w:val="bottom"/>
          </w:tcPr>
          <w:p w:rsidR="00931DEA" w:rsidRPr="00AE0C4A" w:rsidRDefault="00931DEA" w:rsidP="00931DEA">
            <w:pPr>
              <w:spacing w:after="0" w:line="240" w:lineRule="auto"/>
              <w:jc w:val="center"/>
              <w:rPr>
                <w:rFonts w:ascii="Calibri" w:eastAsia="Times New Roman" w:hAnsi="Calibri"/>
                <w:color w:val="000000"/>
                <w:lang w:eastAsia="tr-TR"/>
              </w:rPr>
            </w:pPr>
            <w:r>
              <w:rPr>
                <w:rFonts w:ascii="Calibri" w:hAnsi="Calibri" w:cs="Calibri"/>
                <w:color w:val="000000"/>
              </w:rPr>
              <w:t>0,19</w:t>
            </w:r>
          </w:p>
        </w:tc>
      </w:tr>
      <w:tr w:rsidR="00931DEA" w:rsidRPr="00AE0C4A" w:rsidTr="00551243">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rsidR="00931DEA" w:rsidRPr="00AE0C4A" w:rsidRDefault="00931DEA" w:rsidP="00931DEA">
            <w:pPr>
              <w:spacing w:after="0" w:line="240" w:lineRule="auto"/>
              <w:rPr>
                <w:rFonts w:ascii="Calibri" w:eastAsia="Times New Roman" w:hAnsi="Calibri"/>
                <w:color w:val="000000"/>
                <w:lang w:eastAsia="tr-TR"/>
              </w:rPr>
            </w:pPr>
            <w:r w:rsidRPr="00AE0C4A">
              <w:rPr>
                <w:rFonts w:ascii="Calibri" w:eastAsia="Times New Roman" w:hAnsi="Calibri"/>
                <w:color w:val="000000"/>
                <w:lang w:eastAsia="tr-TR"/>
              </w:rPr>
              <w:t>Kurul Hizmetleri Müdürlüğü</w:t>
            </w:r>
          </w:p>
        </w:tc>
        <w:tc>
          <w:tcPr>
            <w:tcW w:w="780" w:type="pct"/>
            <w:tcBorders>
              <w:top w:val="nil"/>
              <w:left w:val="nil"/>
              <w:bottom w:val="single" w:sz="8" w:space="0" w:color="BFBFBF"/>
              <w:right w:val="single" w:sz="8" w:space="0" w:color="BFBFBF"/>
            </w:tcBorders>
            <w:shd w:val="clear" w:color="auto" w:fill="auto"/>
            <w:noWrap/>
            <w:vAlign w:val="center"/>
            <w:hideMark/>
          </w:tcPr>
          <w:p w:rsidR="00931DEA" w:rsidRPr="00AE0C4A" w:rsidRDefault="00931DEA" w:rsidP="00931DEA">
            <w:pPr>
              <w:spacing w:after="0" w:line="240" w:lineRule="auto"/>
              <w:jc w:val="right"/>
              <w:rPr>
                <w:rFonts w:ascii="Calibri" w:eastAsia="Times New Roman" w:hAnsi="Calibri"/>
                <w:color w:val="000000"/>
                <w:lang w:eastAsia="tr-TR"/>
              </w:rPr>
            </w:pPr>
            <w:r w:rsidRPr="00AE0C4A">
              <w:rPr>
                <w:rFonts w:ascii="Calibri" w:eastAsia="Times New Roman" w:hAnsi="Calibri"/>
                <w:color w:val="000000"/>
                <w:lang w:eastAsia="tr-TR"/>
              </w:rPr>
              <w:t>4</w:t>
            </w:r>
          </w:p>
        </w:tc>
        <w:tc>
          <w:tcPr>
            <w:tcW w:w="741" w:type="pct"/>
            <w:tcBorders>
              <w:top w:val="nil"/>
              <w:left w:val="nil"/>
              <w:bottom w:val="single" w:sz="8" w:space="0" w:color="BFBFBF"/>
              <w:right w:val="single" w:sz="8" w:space="0" w:color="BFBFBF"/>
            </w:tcBorders>
            <w:shd w:val="clear" w:color="auto" w:fill="auto"/>
            <w:noWrap/>
            <w:vAlign w:val="bottom"/>
            <w:hideMark/>
          </w:tcPr>
          <w:p w:rsidR="00931DEA" w:rsidRPr="00AE0C4A" w:rsidRDefault="00931DEA" w:rsidP="00931DEA">
            <w:pPr>
              <w:spacing w:after="0" w:line="240" w:lineRule="auto"/>
              <w:jc w:val="center"/>
              <w:rPr>
                <w:rFonts w:ascii="Calibri" w:eastAsia="Times New Roman" w:hAnsi="Calibri"/>
                <w:color w:val="000000"/>
                <w:lang w:eastAsia="tr-TR"/>
              </w:rPr>
            </w:pPr>
            <w:r>
              <w:rPr>
                <w:rFonts w:ascii="Calibri" w:hAnsi="Calibri" w:cs="Calibri"/>
                <w:color w:val="000000"/>
              </w:rPr>
              <w:t>0,12</w:t>
            </w:r>
          </w:p>
        </w:tc>
      </w:tr>
      <w:tr w:rsidR="00931DEA" w:rsidRPr="00AE0C4A" w:rsidTr="00551243">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rsidR="00931DEA" w:rsidRPr="00AE0C4A" w:rsidRDefault="00931DEA" w:rsidP="00931DEA">
            <w:pPr>
              <w:spacing w:after="0" w:line="240" w:lineRule="auto"/>
              <w:rPr>
                <w:rFonts w:ascii="Calibri" w:eastAsia="Times New Roman" w:hAnsi="Calibri"/>
                <w:color w:val="000000"/>
                <w:lang w:eastAsia="tr-TR"/>
              </w:rPr>
            </w:pPr>
            <w:r w:rsidRPr="00AE0C4A">
              <w:rPr>
                <w:rFonts w:ascii="Calibri" w:eastAsia="Times New Roman" w:hAnsi="Calibri"/>
                <w:color w:val="000000"/>
                <w:lang w:eastAsia="tr-TR"/>
              </w:rPr>
              <w:t>Cumhurbaşkanlığı, Bakanlıklar ve Diğer Kamu Kurum ve Kuruluşları</w:t>
            </w:r>
          </w:p>
        </w:tc>
        <w:tc>
          <w:tcPr>
            <w:tcW w:w="780" w:type="pct"/>
            <w:tcBorders>
              <w:top w:val="nil"/>
              <w:left w:val="nil"/>
              <w:bottom w:val="single" w:sz="8" w:space="0" w:color="BFBFBF"/>
              <w:right w:val="single" w:sz="8" w:space="0" w:color="BFBFBF"/>
            </w:tcBorders>
            <w:shd w:val="clear" w:color="auto" w:fill="auto"/>
            <w:noWrap/>
            <w:vAlign w:val="center"/>
            <w:hideMark/>
          </w:tcPr>
          <w:p w:rsidR="00931DEA" w:rsidRPr="00AE0C4A" w:rsidRDefault="00931DEA" w:rsidP="00931DEA">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403</w:t>
            </w:r>
          </w:p>
        </w:tc>
        <w:tc>
          <w:tcPr>
            <w:tcW w:w="741" w:type="pct"/>
            <w:tcBorders>
              <w:top w:val="nil"/>
              <w:left w:val="nil"/>
              <w:bottom w:val="single" w:sz="8" w:space="0" w:color="BFBFBF"/>
              <w:right w:val="single" w:sz="8" w:space="0" w:color="BFBFBF"/>
            </w:tcBorders>
            <w:shd w:val="clear" w:color="auto" w:fill="auto"/>
            <w:noWrap/>
            <w:vAlign w:val="bottom"/>
            <w:hideMark/>
          </w:tcPr>
          <w:p w:rsidR="00931DEA" w:rsidRPr="00AE0C4A" w:rsidRDefault="00931DEA" w:rsidP="00931DEA">
            <w:pPr>
              <w:spacing w:after="0" w:line="240" w:lineRule="auto"/>
              <w:jc w:val="center"/>
              <w:rPr>
                <w:rFonts w:ascii="Calibri" w:eastAsia="Times New Roman" w:hAnsi="Calibri"/>
                <w:color w:val="000000"/>
                <w:lang w:eastAsia="tr-TR"/>
              </w:rPr>
            </w:pPr>
            <w:r>
              <w:rPr>
                <w:rFonts w:ascii="Calibri" w:hAnsi="Calibri" w:cs="Calibri"/>
                <w:color w:val="000000"/>
              </w:rPr>
              <w:t>12,54</w:t>
            </w:r>
          </w:p>
        </w:tc>
      </w:tr>
      <w:tr w:rsidR="00931DEA" w:rsidRPr="00AE0C4A" w:rsidTr="00551243">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rsidR="00931DEA" w:rsidRPr="00AE0C4A" w:rsidRDefault="00931DEA" w:rsidP="00931DEA">
            <w:pPr>
              <w:spacing w:after="0" w:line="240" w:lineRule="auto"/>
              <w:rPr>
                <w:rFonts w:ascii="Calibri" w:eastAsia="Times New Roman" w:hAnsi="Calibri"/>
                <w:b/>
                <w:bCs/>
                <w:color w:val="000000"/>
                <w:lang w:eastAsia="tr-TR"/>
              </w:rPr>
            </w:pPr>
            <w:r w:rsidRPr="00AE0C4A">
              <w:rPr>
                <w:rFonts w:ascii="Calibri" w:eastAsia="Times New Roman" w:hAnsi="Calibri"/>
                <w:b/>
                <w:bCs/>
                <w:color w:val="000000"/>
                <w:lang w:eastAsia="tr-TR"/>
              </w:rPr>
              <w:t>TOPLAM</w:t>
            </w:r>
          </w:p>
        </w:tc>
        <w:tc>
          <w:tcPr>
            <w:tcW w:w="780" w:type="pct"/>
            <w:tcBorders>
              <w:top w:val="nil"/>
              <w:left w:val="nil"/>
              <w:bottom w:val="single" w:sz="8" w:space="0" w:color="BFBFBF"/>
              <w:right w:val="single" w:sz="8" w:space="0" w:color="BFBFBF"/>
            </w:tcBorders>
            <w:shd w:val="clear" w:color="auto" w:fill="auto"/>
            <w:noWrap/>
            <w:vAlign w:val="center"/>
            <w:hideMark/>
          </w:tcPr>
          <w:p w:rsidR="00931DEA" w:rsidRPr="00AE0C4A" w:rsidRDefault="00931DEA" w:rsidP="00931DEA">
            <w:pPr>
              <w:spacing w:after="0" w:line="240" w:lineRule="auto"/>
              <w:jc w:val="right"/>
              <w:rPr>
                <w:rFonts w:ascii="Calibri" w:eastAsia="Times New Roman" w:hAnsi="Calibri"/>
                <w:b/>
                <w:bCs/>
                <w:color w:val="000000"/>
                <w:lang w:eastAsia="tr-TR"/>
              </w:rPr>
            </w:pPr>
            <w:r>
              <w:rPr>
                <w:rFonts w:ascii="Calibri" w:eastAsia="Times New Roman" w:hAnsi="Calibri"/>
                <w:b/>
                <w:bCs/>
                <w:color w:val="000000"/>
                <w:lang w:eastAsia="tr-TR"/>
              </w:rPr>
              <w:t>3.214</w:t>
            </w:r>
          </w:p>
        </w:tc>
        <w:tc>
          <w:tcPr>
            <w:tcW w:w="741" w:type="pct"/>
            <w:tcBorders>
              <w:top w:val="nil"/>
              <w:left w:val="nil"/>
              <w:bottom w:val="single" w:sz="8" w:space="0" w:color="BFBFBF"/>
              <w:right w:val="single" w:sz="8" w:space="0" w:color="BFBFBF"/>
            </w:tcBorders>
            <w:shd w:val="clear" w:color="auto" w:fill="auto"/>
            <w:vAlign w:val="center"/>
            <w:hideMark/>
          </w:tcPr>
          <w:p w:rsidR="00931DEA" w:rsidRPr="00AE0C4A" w:rsidRDefault="00931DEA" w:rsidP="00931DEA">
            <w:pPr>
              <w:spacing w:after="0" w:line="240" w:lineRule="auto"/>
              <w:jc w:val="center"/>
              <w:rPr>
                <w:rFonts w:ascii="Calibri" w:eastAsia="Times New Roman" w:hAnsi="Calibri"/>
                <w:b/>
                <w:bCs/>
                <w:color w:val="000000"/>
                <w:lang w:eastAsia="tr-TR"/>
              </w:rPr>
            </w:pPr>
            <w:r w:rsidRPr="00AE0C4A">
              <w:rPr>
                <w:rFonts w:ascii="Calibri" w:eastAsia="Times New Roman" w:hAnsi="Calibri"/>
                <w:b/>
                <w:bCs/>
                <w:color w:val="000000"/>
                <w:lang w:eastAsia="tr-TR"/>
              </w:rPr>
              <w:t>100</w:t>
            </w:r>
          </w:p>
        </w:tc>
      </w:tr>
    </w:tbl>
    <w:p w:rsidR="00F018C6" w:rsidRDefault="00F018C6" w:rsidP="00F018C6">
      <w:pPr>
        <w:rPr>
          <w:rFonts w:ascii="Calibri" w:hAnsi="Calibri"/>
          <w:sz w:val="18"/>
          <w:szCs w:val="18"/>
        </w:rPr>
      </w:pPr>
      <w:r w:rsidRPr="00551243">
        <w:rPr>
          <w:rFonts w:ascii="Calibri" w:hAnsi="Calibri"/>
          <w:sz w:val="18"/>
          <w:szCs w:val="18"/>
        </w:rPr>
        <w:t>* Kurumumuz Enerji Dönüşüm Dairesi Başkanlığı 2022 yılında kurulduğundan, ilgili Daire Başkanlığının talep ettiği görüşlerin sayısı bu yıldan itibaren gösterilmeye başlanmıştır.</w:t>
      </w:r>
    </w:p>
    <w:p w:rsidR="00551243" w:rsidRPr="00551243" w:rsidRDefault="00551243" w:rsidP="00F018C6">
      <w:pPr>
        <w:rPr>
          <w:rFonts w:ascii="Calibri" w:hAnsi="Calibri"/>
          <w:sz w:val="18"/>
          <w:szCs w:val="18"/>
        </w:rPr>
      </w:pPr>
    </w:p>
    <w:p w:rsidR="00F018C6" w:rsidRPr="008102B6" w:rsidRDefault="00F018C6" w:rsidP="008102B6">
      <w:pPr>
        <w:pStyle w:val="Balk5"/>
        <w:spacing w:after="240"/>
        <w:jc w:val="center"/>
        <w:rPr>
          <w:rStyle w:val="Gl"/>
          <w:bCs w:val="0"/>
          <w:color w:val="auto"/>
        </w:rPr>
      </w:pPr>
      <w:bookmarkStart w:id="408" w:name="_Toc94703947"/>
      <w:bookmarkStart w:id="409" w:name="_Toc132713955"/>
      <w:r w:rsidRPr="008102B6">
        <w:rPr>
          <w:rStyle w:val="Gl"/>
          <w:bCs w:val="0"/>
          <w:color w:val="auto"/>
        </w:rPr>
        <w:t>Tablo 8.10: Yıllar İtibariyle Hukuk Dairesi Başkanlığı Tarafından Verilen Görüşlerin Dağılımı</w:t>
      </w:r>
      <w:bookmarkEnd w:id="408"/>
      <w:bookmarkEnd w:id="409"/>
    </w:p>
    <w:tbl>
      <w:tblPr>
        <w:tblW w:w="5000" w:type="pct"/>
        <w:jc w:val="center"/>
        <w:tblCellMar>
          <w:left w:w="70" w:type="dxa"/>
          <w:right w:w="70" w:type="dxa"/>
        </w:tblCellMar>
        <w:tblLook w:val="04A0" w:firstRow="1" w:lastRow="0" w:firstColumn="1" w:lastColumn="0" w:noHBand="0" w:noVBand="1"/>
      </w:tblPr>
      <w:tblGrid>
        <w:gridCol w:w="3616"/>
        <w:gridCol w:w="1063"/>
        <w:gridCol w:w="1250"/>
        <w:gridCol w:w="996"/>
        <w:gridCol w:w="996"/>
        <w:gridCol w:w="996"/>
        <w:gridCol w:w="984"/>
      </w:tblGrid>
      <w:tr w:rsidR="00F018C6" w:rsidRPr="00AE0C4A" w:rsidTr="00F018C6">
        <w:trPr>
          <w:trHeight w:val="315"/>
          <w:jc w:val="center"/>
        </w:trPr>
        <w:tc>
          <w:tcPr>
            <w:tcW w:w="1826" w:type="pct"/>
            <w:vMerge w:val="restart"/>
            <w:tcBorders>
              <w:top w:val="single" w:sz="8" w:space="0" w:color="BFBFBF"/>
              <w:left w:val="single" w:sz="8" w:space="0" w:color="BFBFBF"/>
              <w:bottom w:val="single" w:sz="8" w:space="0" w:color="BFBFBF"/>
              <w:right w:val="single" w:sz="8" w:space="0" w:color="BFBFBF"/>
            </w:tcBorders>
            <w:shd w:val="clear" w:color="000000" w:fill="6E9ECA"/>
            <w:vAlign w:val="center"/>
            <w:hideMark/>
          </w:tcPr>
          <w:p w:rsidR="00F018C6" w:rsidRPr="00AE0C4A" w:rsidRDefault="00F018C6" w:rsidP="00F018C6">
            <w:pPr>
              <w:spacing w:after="0" w:line="240" w:lineRule="auto"/>
              <w:jc w:val="center"/>
              <w:rPr>
                <w:rFonts w:ascii="Calibri" w:eastAsia="Times New Roman" w:hAnsi="Calibri"/>
                <w:b/>
                <w:bCs/>
                <w:color w:val="FFFFFF"/>
                <w:lang w:eastAsia="tr-TR"/>
              </w:rPr>
            </w:pPr>
            <w:r w:rsidRPr="00AE0C4A">
              <w:rPr>
                <w:rFonts w:ascii="Calibri" w:eastAsia="Times New Roman" w:hAnsi="Calibri"/>
                <w:b/>
                <w:bCs/>
                <w:color w:val="FFFFFF"/>
                <w:lang w:eastAsia="tr-TR"/>
              </w:rPr>
              <w:t>Görüş Verilen Yerler</w:t>
            </w:r>
          </w:p>
        </w:tc>
        <w:tc>
          <w:tcPr>
            <w:tcW w:w="1168" w:type="pct"/>
            <w:gridSpan w:val="2"/>
            <w:tcBorders>
              <w:top w:val="single" w:sz="8" w:space="0" w:color="BFBFBF"/>
              <w:left w:val="nil"/>
              <w:bottom w:val="single" w:sz="8" w:space="0" w:color="BFBFBF"/>
              <w:right w:val="single" w:sz="8" w:space="0" w:color="BFBFBF"/>
            </w:tcBorders>
            <w:shd w:val="clear" w:color="000000" w:fill="6E9ECA"/>
            <w:vAlign w:val="center"/>
            <w:hideMark/>
          </w:tcPr>
          <w:p w:rsidR="00F018C6" w:rsidRPr="00AE0C4A" w:rsidRDefault="00F018C6" w:rsidP="00F018C6">
            <w:pPr>
              <w:spacing w:after="0" w:line="240" w:lineRule="auto"/>
              <w:jc w:val="center"/>
              <w:rPr>
                <w:rFonts w:ascii="Calibri" w:eastAsia="Times New Roman" w:hAnsi="Calibri"/>
                <w:b/>
                <w:bCs/>
                <w:color w:val="FFFFFF"/>
                <w:lang w:eastAsia="tr-TR"/>
              </w:rPr>
            </w:pPr>
            <w:r>
              <w:rPr>
                <w:rFonts w:ascii="Calibri" w:eastAsia="Times New Roman" w:hAnsi="Calibri"/>
                <w:b/>
                <w:bCs/>
                <w:color w:val="FFFFFF"/>
                <w:lang w:eastAsia="tr-TR"/>
              </w:rPr>
              <w:t>2020</w:t>
            </w:r>
            <w:r w:rsidRPr="00AE0C4A">
              <w:rPr>
                <w:rFonts w:ascii="Calibri" w:eastAsia="Times New Roman" w:hAnsi="Calibri"/>
                <w:b/>
                <w:bCs/>
                <w:color w:val="FFFFFF"/>
                <w:lang w:eastAsia="tr-TR"/>
              </w:rPr>
              <w:t xml:space="preserve"> Yılı</w:t>
            </w:r>
          </w:p>
        </w:tc>
        <w:tc>
          <w:tcPr>
            <w:tcW w:w="1006" w:type="pct"/>
            <w:gridSpan w:val="2"/>
            <w:tcBorders>
              <w:top w:val="single" w:sz="8" w:space="0" w:color="BFBFBF"/>
              <w:left w:val="nil"/>
              <w:bottom w:val="single" w:sz="8" w:space="0" w:color="BFBFBF"/>
              <w:right w:val="single" w:sz="8" w:space="0" w:color="BFBFBF"/>
            </w:tcBorders>
            <w:shd w:val="clear" w:color="000000" w:fill="6E9ECA"/>
            <w:vAlign w:val="center"/>
            <w:hideMark/>
          </w:tcPr>
          <w:p w:rsidR="00F018C6" w:rsidRPr="00AE0C4A" w:rsidRDefault="00F018C6" w:rsidP="00F018C6">
            <w:pPr>
              <w:spacing w:after="0" w:line="240" w:lineRule="auto"/>
              <w:jc w:val="center"/>
              <w:rPr>
                <w:rFonts w:ascii="Calibri" w:eastAsia="Times New Roman" w:hAnsi="Calibri"/>
                <w:b/>
                <w:bCs/>
                <w:color w:val="FFFFFF"/>
                <w:lang w:eastAsia="tr-TR"/>
              </w:rPr>
            </w:pPr>
            <w:r>
              <w:rPr>
                <w:rFonts w:ascii="Calibri" w:eastAsia="Times New Roman" w:hAnsi="Calibri"/>
                <w:b/>
                <w:bCs/>
                <w:color w:val="FFFFFF"/>
                <w:lang w:eastAsia="tr-TR"/>
              </w:rPr>
              <w:t>2021</w:t>
            </w:r>
            <w:r w:rsidRPr="00AE0C4A">
              <w:rPr>
                <w:rFonts w:ascii="Calibri" w:eastAsia="Times New Roman" w:hAnsi="Calibri"/>
                <w:b/>
                <w:bCs/>
                <w:color w:val="FFFFFF"/>
                <w:lang w:eastAsia="tr-TR"/>
              </w:rPr>
              <w:t xml:space="preserve"> Yılı</w:t>
            </w:r>
          </w:p>
        </w:tc>
        <w:tc>
          <w:tcPr>
            <w:tcW w:w="1000" w:type="pct"/>
            <w:gridSpan w:val="2"/>
            <w:tcBorders>
              <w:top w:val="single" w:sz="8" w:space="0" w:color="BFBFBF"/>
              <w:left w:val="nil"/>
              <w:bottom w:val="single" w:sz="8" w:space="0" w:color="BFBFBF"/>
              <w:right w:val="single" w:sz="8" w:space="0" w:color="BFBFBF"/>
            </w:tcBorders>
            <w:shd w:val="clear" w:color="000000" w:fill="6E9ECA"/>
            <w:vAlign w:val="center"/>
            <w:hideMark/>
          </w:tcPr>
          <w:p w:rsidR="00F018C6" w:rsidRPr="00AE0C4A" w:rsidRDefault="00F018C6" w:rsidP="00F018C6">
            <w:pPr>
              <w:spacing w:after="0" w:line="240" w:lineRule="auto"/>
              <w:jc w:val="center"/>
              <w:rPr>
                <w:rFonts w:ascii="Calibri" w:eastAsia="Times New Roman" w:hAnsi="Calibri"/>
                <w:b/>
                <w:bCs/>
                <w:color w:val="FFFFFF"/>
                <w:lang w:eastAsia="tr-TR"/>
              </w:rPr>
            </w:pPr>
            <w:r>
              <w:rPr>
                <w:rFonts w:ascii="Calibri" w:eastAsia="Times New Roman" w:hAnsi="Calibri"/>
                <w:b/>
                <w:bCs/>
                <w:color w:val="FFFFFF"/>
                <w:lang w:eastAsia="tr-TR"/>
              </w:rPr>
              <w:t>2022</w:t>
            </w:r>
            <w:r w:rsidRPr="00AE0C4A">
              <w:rPr>
                <w:rFonts w:ascii="Calibri" w:eastAsia="Times New Roman" w:hAnsi="Calibri"/>
                <w:b/>
                <w:bCs/>
                <w:color w:val="FFFFFF"/>
                <w:lang w:eastAsia="tr-TR"/>
              </w:rPr>
              <w:t xml:space="preserve"> Yılı</w:t>
            </w:r>
          </w:p>
        </w:tc>
      </w:tr>
      <w:tr w:rsidR="00F018C6" w:rsidRPr="00AE0C4A" w:rsidTr="00F018C6">
        <w:trPr>
          <w:trHeight w:val="615"/>
          <w:jc w:val="center"/>
        </w:trPr>
        <w:tc>
          <w:tcPr>
            <w:tcW w:w="1826" w:type="pct"/>
            <w:vMerge/>
            <w:tcBorders>
              <w:top w:val="single" w:sz="8" w:space="0" w:color="BFBFBF"/>
              <w:left w:val="single" w:sz="8" w:space="0" w:color="BFBFBF"/>
              <w:bottom w:val="single" w:sz="8" w:space="0" w:color="BFBFBF"/>
              <w:right w:val="single" w:sz="8" w:space="0" w:color="BFBFBF"/>
            </w:tcBorders>
            <w:vAlign w:val="center"/>
            <w:hideMark/>
          </w:tcPr>
          <w:p w:rsidR="00F018C6" w:rsidRPr="00AE0C4A" w:rsidRDefault="00F018C6" w:rsidP="00F018C6">
            <w:pPr>
              <w:spacing w:after="0" w:line="240" w:lineRule="auto"/>
              <w:rPr>
                <w:rFonts w:ascii="Calibri" w:eastAsia="Times New Roman" w:hAnsi="Calibri"/>
                <w:b/>
                <w:bCs/>
                <w:color w:val="FFFFFF"/>
                <w:lang w:eastAsia="tr-TR"/>
              </w:rPr>
            </w:pPr>
          </w:p>
        </w:tc>
        <w:tc>
          <w:tcPr>
            <w:tcW w:w="537" w:type="pct"/>
            <w:tcBorders>
              <w:top w:val="nil"/>
              <w:left w:val="nil"/>
              <w:bottom w:val="single" w:sz="8" w:space="0" w:color="BFBFBF"/>
              <w:right w:val="single" w:sz="8" w:space="0" w:color="BFBFBF"/>
            </w:tcBorders>
            <w:shd w:val="clear" w:color="000000" w:fill="6E9ECA"/>
            <w:vAlign w:val="center"/>
            <w:hideMark/>
          </w:tcPr>
          <w:p w:rsidR="00F018C6" w:rsidRPr="00AE0C4A" w:rsidRDefault="00F018C6" w:rsidP="00F018C6">
            <w:pPr>
              <w:spacing w:after="0" w:line="240" w:lineRule="auto"/>
              <w:jc w:val="center"/>
              <w:rPr>
                <w:rFonts w:ascii="Calibri" w:eastAsia="Times New Roman" w:hAnsi="Calibri"/>
                <w:b/>
                <w:bCs/>
                <w:color w:val="FFFFFF"/>
                <w:lang w:eastAsia="tr-TR"/>
              </w:rPr>
            </w:pPr>
            <w:r w:rsidRPr="00AE0C4A">
              <w:rPr>
                <w:rFonts w:ascii="Calibri" w:eastAsia="Times New Roman" w:hAnsi="Calibri"/>
                <w:b/>
                <w:bCs/>
                <w:color w:val="FFFFFF"/>
                <w:lang w:eastAsia="tr-TR"/>
              </w:rPr>
              <w:t>Görüş Sayısı</w:t>
            </w:r>
          </w:p>
        </w:tc>
        <w:tc>
          <w:tcPr>
            <w:tcW w:w="631" w:type="pct"/>
            <w:tcBorders>
              <w:top w:val="nil"/>
              <w:left w:val="nil"/>
              <w:bottom w:val="single" w:sz="8" w:space="0" w:color="BFBFBF"/>
              <w:right w:val="single" w:sz="8" w:space="0" w:color="BFBFBF"/>
            </w:tcBorders>
            <w:shd w:val="clear" w:color="000000" w:fill="6E9ECA"/>
            <w:vAlign w:val="center"/>
            <w:hideMark/>
          </w:tcPr>
          <w:p w:rsidR="00F018C6" w:rsidRPr="00AE0C4A" w:rsidRDefault="00F018C6" w:rsidP="00F018C6">
            <w:pPr>
              <w:spacing w:after="0" w:line="240" w:lineRule="auto"/>
              <w:jc w:val="center"/>
              <w:rPr>
                <w:rFonts w:ascii="Calibri" w:eastAsia="Times New Roman" w:hAnsi="Calibri"/>
                <w:b/>
                <w:bCs/>
                <w:color w:val="FFFFFF"/>
                <w:lang w:eastAsia="tr-TR"/>
              </w:rPr>
            </w:pPr>
            <w:r w:rsidRPr="00AE0C4A">
              <w:rPr>
                <w:rFonts w:ascii="Calibri" w:eastAsia="Times New Roman" w:hAnsi="Calibri"/>
                <w:b/>
                <w:bCs/>
                <w:color w:val="FFFFFF"/>
                <w:lang w:eastAsia="tr-TR"/>
              </w:rPr>
              <w:t>Oran (%)</w:t>
            </w:r>
          </w:p>
        </w:tc>
        <w:tc>
          <w:tcPr>
            <w:tcW w:w="503" w:type="pct"/>
            <w:tcBorders>
              <w:top w:val="nil"/>
              <w:left w:val="nil"/>
              <w:bottom w:val="single" w:sz="8" w:space="0" w:color="BFBFBF"/>
              <w:right w:val="single" w:sz="8" w:space="0" w:color="BFBFBF"/>
            </w:tcBorders>
            <w:shd w:val="clear" w:color="000000" w:fill="6E9ECA"/>
            <w:vAlign w:val="center"/>
            <w:hideMark/>
          </w:tcPr>
          <w:p w:rsidR="00F018C6" w:rsidRPr="00AE0C4A" w:rsidRDefault="00F018C6" w:rsidP="00F018C6">
            <w:pPr>
              <w:spacing w:after="0" w:line="240" w:lineRule="auto"/>
              <w:jc w:val="center"/>
              <w:rPr>
                <w:rFonts w:ascii="Calibri" w:eastAsia="Times New Roman" w:hAnsi="Calibri"/>
                <w:b/>
                <w:bCs/>
                <w:color w:val="FFFFFF"/>
                <w:lang w:eastAsia="tr-TR"/>
              </w:rPr>
            </w:pPr>
            <w:r w:rsidRPr="00AE0C4A">
              <w:rPr>
                <w:rFonts w:ascii="Calibri" w:eastAsia="Times New Roman" w:hAnsi="Calibri"/>
                <w:b/>
                <w:bCs/>
                <w:color w:val="FFFFFF"/>
                <w:lang w:eastAsia="tr-TR"/>
              </w:rPr>
              <w:t>Görüş Sayısı</w:t>
            </w:r>
          </w:p>
        </w:tc>
        <w:tc>
          <w:tcPr>
            <w:tcW w:w="503" w:type="pct"/>
            <w:tcBorders>
              <w:top w:val="nil"/>
              <w:left w:val="nil"/>
              <w:bottom w:val="single" w:sz="8" w:space="0" w:color="BFBFBF"/>
              <w:right w:val="single" w:sz="8" w:space="0" w:color="BFBFBF"/>
            </w:tcBorders>
            <w:shd w:val="clear" w:color="000000" w:fill="6E9ECA"/>
            <w:vAlign w:val="center"/>
            <w:hideMark/>
          </w:tcPr>
          <w:p w:rsidR="00F018C6" w:rsidRPr="00AE0C4A" w:rsidRDefault="00F018C6" w:rsidP="00F018C6">
            <w:pPr>
              <w:spacing w:after="0" w:line="240" w:lineRule="auto"/>
              <w:jc w:val="center"/>
              <w:rPr>
                <w:rFonts w:ascii="Calibri" w:eastAsia="Times New Roman" w:hAnsi="Calibri"/>
                <w:b/>
                <w:bCs/>
                <w:color w:val="FFFFFF"/>
                <w:lang w:eastAsia="tr-TR"/>
              </w:rPr>
            </w:pPr>
            <w:r w:rsidRPr="00AE0C4A">
              <w:rPr>
                <w:rFonts w:ascii="Calibri" w:eastAsia="Times New Roman" w:hAnsi="Calibri"/>
                <w:b/>
                <w:bCs/>
                <w:color w:val="FFFFFF"/>
                <w:lang w:eastAsia="tr-TR"/>
              </w:rPr>
              <w:t>Oran (%)</w:t>
            </w:r>
          </w:p>
        </w:tc>
        <w:tc>
          <w:tcPr>
            <w:tcW w:w="503" w:type="pct"/>
            <w:tcBorders>
              <w:top w:val="nil"/>
              <w:left w:val="nil"/>
              <w:bottom w:val="single" w:sz="8" w:space="0" w:color="BFBFBF"/>
              <w:right w:val="single" w:sz="8" w:space="0" w:color="BFBFBF"/>
            </w:tcBorders>
            <w:shd w:val="clear" w:color="000000" w:fill="6E9ECA"/>
            <w:vAlign w:val="center"/>
            <w:hideMark/>
          </w:tcPr>
          <w:p w:rsidR="00F018C6" w:rsidRPr="00AE0C4A" w:rsidRDefault="00F018C6" w:rsidP="00F018C6">
            <w:pPr>
              <w:spacing w:after="0" w:line="240" w:lineRule="auto"/>
              <w:jc w:val="center"/>
              <w:rPr>
                <w:rFonts w:ascii="Calibri" w:eastAsia="Times New Roman" w:hAnsi="Calibri"/>
                <w:b/>
                <w:bCs/>
                <w:color w:val="FFFFFF"/>
                <w:lang w:eastAsia="tr-TR"/>
              </w:rPr>
            </w:pPr>
            <w:r w:rsidRPr="00AE0C4A">
              <w:rPr>
                <w:rFonts w:ascii="Calibri" w:eastAsia="Times New Roman" w:hAnsi="Calibri"/>
                <w:b/>
                <w:bCs/>
                <w:color w:val="FFFFFF"/>
                <w:lang w:eastAsia="tr-TR"/>
              </w:rPr>
              <w:t>Görüş Sayısı</w:t>
            </w:r>
          </w:p>
        </w:tc>
        <w:tc>
          <w:tcPr>
            <w:tcW w:w="497" w:type="pct"/>
            <w:tcBorders>
              <w:top w:val="nil"/>
              <w:left w:val="nil"/>
              <w:bottom w:val="single" w:sz="8" w:space="0" w:color="BFBFBF"/>
              <w:right w:val="single" w:sz="8" w:space="0" w:color="BFBFBF"/>
            </w:tcBorders>
            <w:shd w:val="clear" w:color="000000" w:fill="6E9ECA"/>
            <w:vAlign w:val="center"/>
            <w:hideMark/>
          </w:tcPr>
          <w:p w:rsidR="00F018C6" w:rsidRPr="00AE0C4A" w:rsidRDefault="00F018C6" w:rsidP="00F018C6">
            <w:pPr>
              <w:spacing w:after="0" w:line="240" w:lineRule="auto"/>
              <w:jc w:val="center"/>
              <w:rPr>
                <w:rFonts w:ascii="Calibri" w:eastAsia="Times New Roman" w:hAnsi="Calibri"/>
                <w:b/>
                <w:bCs/>
                <w:color w:val="FFFFFF"/>
                <w:lang w:eastAsia="tr-TR"/>
              </w:rPr>
            </w:pPr>
            <w:r w:rsidRPr="00AE0C4A">
              <w:rPr>
                <w:rFonts w:ascii="Calibri" w:eastAsia="Times New Roman" w:hAnsi="Calibri"/>
                <w:b/>
                <w:bCs/>
                <w:color w:val="FFFFFF"/>
                <w:lang w:eastAsia="tr-TR"/>
              </w:rPr>
              <w:t>Oran (%)</w:t>
            </w:r>
          </w:p>
        </w:tc>
      </w:tr>
      <w:tr w:rsidR="00F018C6" w:rsidRPr="00AE0C4A" w:rsidTr="00F018C6">
        <w:trPr>
          <w:trHeight w:val="315"/>
          <w:jc w:val="center"/>
        </w:trPr>
        <w:tc>
          <w:tcPr>
            <w:tcW w:w="1826" w:type="pct"/>
            <w:tcBorders>
              <w:top w:val="nil"/>
              <w:left w:val="single" w:sz="8" w:space="0" w:color="BFBFBF"/>
              <w:bottom w:val="single" w:sz="8" w:space="0" w:color="BFBFBF"/>
              <w:right w:val="single" w:sz="8" w:space="0" w:color="BFBFBF"/>
            </w:tcBorders>
            <w:shd w:val="clear" w:color="auto" w:fill="auto"/>
            <w:vAlign w:val="center"/>
            <w:hideMark/>
          </w:tcPr>
          <w:p w:rsidR="00F018C6" w:rsidRPr="00AE0C4A" w:rsidRDefault="00F018C6" w:rsidP="00F018C6">
            <w:pPr>
              <w:spacing w:after="0" w:line="240" w:lineRule="auto"/>
              <w:rPr>
                <w:rFonts w:ascii="Calibri" w:eastAsia="Times New Roman" w:hAnsi="Calibri"/>
                <w:color w:val="000000"/>
                <w:lang w:eastAsia="tr-TR"/>
              </w:rPr>
            </w:pPr>
            <w:r w:rsidRPr="00AE0C4A">
              <w:rPr>
                <w:rFonts w:ascii="Calibri" w:eastAsia="Times New Roman" w:hAnsi="Calibri"/>
                <w:color w:val="000000"/>
                <w:lang w:eastAsia="tr-TR"/>
              </w:rPr>
              <w:t>Elektrik Piyasası Dairesi Başkanlığı</w:t>
            </w:r>
          </w:p>
        </w:tc>
        <w:tc>
          <w:tcPr>
            <w:tcW w:w="537" w:type="pct"/>
            <w:tcBorders>
              <w:top w:val="nil"/>
              <w:left w:val="nil"/>
              <w:bottom w:val="single" w:sz="8" w:space="0" w:color="BFBFBF"/>
              <w:right w:val="single" w:sz="8" w:space="0" w:color="BFBFBF"/>
            </w:tcBorders>
            <w:shd w:val="clear" w:color="auto" w:fill="auto"/>
            <w:noWrap/>
            <w:vAlign w:val="center"/>
            <w:hideMark/>
          </w:tcPr>
          <w:p w:rsidR="00F018C6" w:rsidRPr="00AE0C4A" w:rsidRDefault="00F018C6" w:rsidP="00F018C6">
            <w:pPr>
              <w:spacing w:after="0" w:line="240" w:lineRule="auto"/>
              <w:jc w:val="right"/>
              <w:rPr>
                <w:rFonts w:ascii="Calibri" w:eastAsia="Times New Roman" w:hAnsi="Calibri"/>
                <w:color w:val="000000"/>
                <w:lang w:eastAsia="tr-TR"/>
              </w:rPr>
            </w:pPr>
            <w:r w:rsidRPr="00AE0C4A">
              <w:rPr>
                <w:rFonts w:ascii="Calibri" w:eastAsia="Times New Roman" w:hAnsi="Calibri"/>
                <w:color w:val="000000"/>
                <w:lang w:eastAsia="tr-TR"/>
              </w:rPr>
              <w:t>14</w:t>
            </w:r>
          </w:p>
        </w:tc>
        <w:tc>
          <w:tcPr>
            <w:tcW w:w="631" w:type="pct"/>
            <w:tcBorders>
              <w:top w:val="nil"/>
              <w:left w:val="nil"/>
              <w:bottom w:val="single" w:sz="8" w:space="0" w:color="BFBFBF"/>
              <w:right w:val="single" w:sz="8" w:space="0" w:color="BFBFBF"/>
            </w:tcBorders>
            <w:shd w:val="clear" w:color="auto" w:fill="auto"/>
            <w:noWrap/>
            <w:vAlign w:val="center"/>
          </w:tcPr>
          <w:p w:rsidR="00F018C6" w:rsidRPr="00AE0C4A" w:rsidRDefault="00F018C6" w:rsidP="00F018C6">
            <w:pPr>
              <w:spacing w:after="0" w:line="240" w:lineRule="auto"/>
              <w:jc w:val="center"/>
              <w:rPr>
                <w:rFonts w:ascii="Calibri" w:eastAsia="Times New Roman" w:hAnsi="Calibri"/>
                <w:color w:val="000000"/>
                <w:lang w:eastAsia="tr-TR"/>
              </w:rPr>
            </w:pPr>
            <w:r w:rsidRPr="00AE0C4A">
              <w:rPr>
                <w:rFonts w:ascii="Calibri" w:eastAsia="Times New Roman" w:hAnsi="Calibri"/>
                <w:color w:val="000000"/>
                <w:lang w:eastAsia="tr-TR"/>
              </w:rPr>
              <w:t>8,81</w:t>
            </w:r>
          </w:p>
        </w:tc>
        <w:tc>
          <w:tcPr>
            <w:tcW w:w="503" w:type="pct"/>
            <w:tcBorders>
              <w:top w:val="nil"/>
              <w:left w:val="nil"/>
              <w:bottom w:val="single" w:sz="8" w:space="0" w:color="BFBFBF"/>
              <w:right w:val="single" w:sz="8" w:space="0" w:color="BFBFBF"/>
            </w:tcBorders>
            <w:shd w:val="clear" w:color="auto" w:fill="auto"/>
            <w:vAlign w:val="center"/>
            <w:hideMark/>
          </w:tcPr>
          <w:p w:rsidR="00F018C6" w:rsidRPr="00AE0C4A" w:rsidRDefault="00F018C6" w:rsidP="00F018C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22</w:t>
            </w:r>
            <w:r w:rsidRPr="00AE0C4A">
              <w:rPr>
                <w:rFonts w:ascii="Calibri" w:eastAsia="Times New Roman" w:hAnsi="Calibri"/>
                <w:color w:val="000000"/>
                <w:lang w:eastAsia="tr-TR"/>
              </w:rPr>
              <w:t xml:space="preserve"> </w:t>
            </w:r>
          </w:p>
        </w:tc>
        <w:tc>
          <w:tcPr>
            <w:tcW w:w="503" w:type="pct"/>
            <w:tcBorders>
              <w:top w:val="nil"/>
              <w:left w:val="nil"/>
              <w:bottom w:val="single" w:sz="8" w:space="0" w:color="BFBFBF"/>
              <w:right w:val="single" w:sz="8" w:space="0" w:color="BFBFBF"/>
            </w:tcBorders>
            <w:shd w:val="clear" w:color="auto" w:fill="auto"/>
            <w:noWrap/>
            <w:vAlign w:val="center"/>
          </w:tcPr>
          <w:p w:rsidR="00F018C6" w:rsidRPr="00AE0C4A" w:rsidRDefault="00F018C6" w:rsidP="00F018C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12,02</w:t>
            </w:r>
            <w:r w:rsidRPr="00AE0C4A">
              <w:rPr>
                <w:rFonts w:ascii="Calibri" w:eastAsia="Times New Roman" w:hAnsi="Calibri"/>
                <w:color w:val="000000"/>
                <w:lang w:eastAsia="tr-TR"/>
              </w:rPr>
              <w:t xml:space="preserve"> </w:t>
            </w:r>
          </w:p>
        </w:tc>
        <w:tc>
          <w:tcPr>
            <w:tcW w:w="503" w:type="pct"/>
            <w:tcBorders>
              <w:top w:val="nil"/>
              <w:left w:val="nil"/>
              <w:bottom w:val="single" w:sz="8" w:space="0" w:color="BFBFBF"/>
              <w:right w:val="single" w:sz="8" w:space="0" w:color="BFBFBF"/>
            </w:tcBorders>
            <w:shd w:val="clear" w:color="auto" w:fill="auto"/>
            <w:noWrap/>
            <w:vAlign w:val="center"/>
          </w:tcPr>
          <w:p w:rsidR="00F018C6" w:rsidRPr="00AE0C4A" w:rsidRDefault="00F018C6" w:rsidP="00F018C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5</w:t>
            </w:r>
            <w:r w:rsidRPr="00AE0C4A">
              <w:rPr>
                <w:rFonts w:ascii="Calibri" w:eastAsia="Times New Roman" w:hAnsi="Calibri"/>
                <w:color w:val="000000"/>
                <w:lang w:eastAsia="tr-TR"/>
              </w:rPr>
              <w:t xml:space="preserve"> </w:t>
            </w:r>
          </w:p>
        </w:tc>
        <w:tc>
          <w:tcPr>
            <w:tcW w:w="497" w:type="pct"/>
            <w:tcBorders>
              <w:top w:val="nil"/>
              <w:left w:val="nil"/>
              <w:bottom w:val="single" w:sz="8" w:space="0" w:color="BFBFBF"/>
              <w:right w:val="single" w:sz="8" w:space="0" w:color="BFBFBF"/>
            </w:tcBorders>
            <w:shd w:val="clear" w:color="auto" w:fill="auto"/>
            <w:vAlign w:val="center"/>
          </w:tcPr>
          <w:p w:rsidR="00F018C6" w:rsidRPr="00AE0C4A" w:rsidRDefault="00F018C6" w:rsidP="00F018C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3,82</w:t>
            </w:r>
            <w:r w:rsidRPr="00AE0C4A">
              <w:rPr>
                <w:rFonts w:ascii="Calibri" w:eastAsia="Times New Roman" w:hAnsi="Calibri"/>
                <w:color w:val="000000"/>
                <w:lang w:eastAsia="tr-TR"/>
              </w:rPr>
              <w:t xml:space="preserve"> </w:t>
            </w:r>
          </w:p>
        </w:tc>
      </w:tr>
      <w:tr w:rsidR="00F018C6" w:rsidRPr="00AE0C4A" w:rsidTr="00F018C6">
        <w:trPr>
          <w:trHeight w:val="315"/>
          <w:jc w:val="center"/>
        </w:trPr>
        <w:tc>
          <w:tcPr>
            <w:tcW w:w="1826" w:type="pct"/>
            <w:tcBorders>
              <w:top w:val="nil"/>
              <w:left w:val="single" w:sz="8" w:space="0" w:color="BFBFBF"/>
              <w:bottom w:val="single" w:sz="8" w:space="0" w:color="BFBFBF"/>
              <w:right w:val="single" w:sz="8" w:space="0" w:color="BFBFBF"/>
            </w:tcBorders>
            <w:shd w:val="clear" w:color="auto" w:fill="auto"/>
            <w:vAlign w:val="center"/>
            <w:hideMark/>
          </w:tcPr>
          <w:p w:rsidR="00F018C6" w:rsidRPr="00AE0C4A" w:rsidRDefault="00F018C6" w:rsidP="00F018C6">
            <w:pPr>
              <w:spacing w:after="0" w:line="240" w:lineRule="auto"/>
              <w:rPr>
                <w:rFonts w:ascii="Calibri" w:eastAsia="Times New Roman" w:hAnsi="Calibri"/>
                <w:color w:val="000000"/>
                <w:lang w:eastAsia="tr-TR"/>
              </w:rPr>
            </w:pPr>
            <w:r w:rsidRPr="00AE0C4A">
              <w:rPr>
                <w:rFonts w:ascii="Calibri" w:eastAsia="Times New Roman" w:hAnsi="Calibri"/>
                <w:color w:val="000000"/>
                <w:lang w:eastAsia="tr-TR"/>
              </w:rPr>
              <w:t>Doğal Gaz Piyasası Dairesi Başkanlığı</w:t>
            </w:r>
          </w:p>
        </w:tc>
        <w:tc>
          <w:tcPr>
            <w:tcW w:w="537" w:type="pct"/>
            <w:tcBorders>
              <w:top w:val="nil"/>
              <w:left w:val="nil"/>
              <w:bottom w:val="single" w:sz="8" w:space="0" w:color="BFBFBF"/>
              <w:right w:val="single" w:sz="8" w:space="0" w:color="BFBFBF"/>
            </w:tcBorders>
            <w:shd w:val="clear" w:color="auto" w:fill="auto"/>
            <w:noWrap/>
            <w:vAlign w:val="center"/>
            <w:hideMark/>
          </w:tcPr>
          <w:p w:rsidR="00F018C6" w:rsidRPr="00AE0C4A" w:rsidRDefault="00F018C6" w:rsidP="00F018C6">
            <w:pPr>
              <w:spacing w:after="0" w:line="240" w:lineRule="auto"/>
              <w:jc w:val="right"/>
              <w:rPr>
                <w:rFonts w:ascii="Calibri" w:eastAsia="Times New Roman" w:hAnsi="Calibri"/>
                <w:color w:val="000000"/>
                <w:lang w:eastAsia="tr-TR"/>
              </w:rPr>
            </w:pPr>
            <w:r w:rsidRPr="00AE0C4A">
              <w:rPr>
                <w:rFonts w:ascii="Calibri" w:eastAsia="Times New Roman" w:hAnsi="Calibri"/>
                <w:color w:val="000000"/>
                <w:lang w:eastAsia="tr-TR"/>
              </w:rPr>
              <w:t>14</w:t>
            </w:r>
          </w:p>
        </w:tc>
        <w:tc>
          <w:tcPr>
            <w:tcW w:w="631" w:type="pct"/>
            <w:tcBorders>
              <w:top w:val="nil"/>
              <w:left w:val="nil"/>
              <w:bottom w:val="single" w:sz="8" w:space="0" w:color="BFBFBF"/>
              <w:right w:val="single" w:sz="8" w:space="0" w:color="BFBFBF"/>
            </w:tcBorders>
            <w:shd w:val="clear" w:color="auto" w:fill="auto"/>
            <w:noWrap/>
            <w:vAlign w:val="center"/>
          </w:tcPr>
          <w:p w:rsidR="00F018C6" w:rsidRPr="00AE0C4A" w:rsidRDefault="00F018C6" w:rsidP="00F018C6">
            <w:pPr>
              <w:spacing w:after="0" w:line="240" w:lineRule="auto"/>
              <w:jc w:val="center"/>
              <w:rPr>
                <w:rFonts w:ascii="Calibri" w:eastAsia="Times New Roman" w:hAnsi="Calibri"/>
                <w:color w:val="000000"/>
                <w:lang w:eastAsia="tr-TR"/>
              </w:rPr>
            </w:pPr>
            <w:r w:rsidRPr="00AE0C4A">
              <w:rPr>
                <w:rFonts w:ascii="Calibri" w:eastAsia="Times New Roman" w:hAnsi="Calibri"/>
                <w:color w:val="000000"/>
                <w:lang w:eastAsia="tr-TR"/>
              </w:rPr>
              <w:t>8,81</w:t>
            </w:r>
          </w:p>
        </w:tc>
        <w:tc>
          <w:tcPr>
            <w:tcW w:w="503" w:type="pct"/>
            <w:tcBorders>
              <w:top w:val="nil"/>
              <w:left w:val="nil"/>
              <w:bottom w:val="single" w:sz="8" w:space="0" w:color="BFBFBF"/>
              <w:right w:val="single" w:sz="8" w:space="0" w:color="BFBFBF"/>
            </w:tcBorders>
            <w:shd w:val="clear" w:color="auto" w:fill="auto"/>
            <w:vAlign w:val="center"/>
            <w:hideMark/>
          </w:tcPr>
          <w:p w:rsidR="00F018C6" w:rsidRPr="00AE0C4A" w:rsidRDefault="00F018C6" w:rsidP="00F018C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5</w:t>
            </w:r>
            <w:r w:rsidRPr="00AE0C4A">
              <w:rPr>
                <w:rFonts w:ascii="Calibri" w:eastAsia="Times New Roman" w:hAnsi="Calibri"/>
                <w:color w:val="000000"/>
                <w:lang w:eastAsia="tr-TR"/>
              </w:rPr>
              <w:t xml:space="preserve"> </w:t>
            </w:r>
          </w:p>
        </w:tc>
        <w:tc>
          <w:tcPr>
            <w:tcW w:w="503" w:type="pct"/>
            <w:tcBorders>
              <w:top w:val="nil"/>
              <w:left w:val="nil"/>
              <w:bottom w:val="single" w:sz="8" w:space="0" w:color="BFBFBF"/>
              <w:right w:val="single" w:sz="8" w:space="0" w:color="BFBFBF"/>
            </w:tcBorders>
            <w:shd w:val="clear" w:color="auto" w:fill="auto"/>
            <w:noWrap/>
            <w:vAlign w:val="center"/>
          </w:tcPr>
          <w:p w:rsidR="00F018C6" w:rsidRPr="00AE0C4A" w:rsidRDefault="00F018C6" w:rsidP="00F018C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2,73</w:t>
            </w:r>
            <w:r w:rsidRPr="00AE0C4A">
              <w:rPr>
                <w:rFonts w:ascii="Calibri" w:eastAsia="Times New Roman" w:hAnsi="Calibri"/>
                <w:color w:val="000000"/>
                <w:lang w:eastAsia="tr-TR"/>
              </w:rPr>
              <w:t xml:space="preserve"> </w:t>
            </w:r>
          </w:p>
        </w:tc>
        <w:tc>
          <w:tcPr>
            <w:tcW w:w="503" w:type="pct"/>
            <w:tcBorders>
              <w:top w:val="nil"/>
              <w:left w:val="nil"/>
              <w:bottom w:val="single" w:sz="8" w:space="0" w:color="BFBFBF"/>
              <w:right w:val="single" w:sz="8" w:space="0" w:color="BFBFBF"/>
            </w:tcBorders>
            <w:shd w:val="clear" w:color="auto" w:fill="auto"/>
            <w:noWrap/>
            <w:vAlign w:val="center"/>
          </w:tcPr>
          <w:p w:rsidR="00F018C6" w:rsidRPr="00AE0C4A" w:rsidRDefault="00F018C6" w:rsidP="00F018C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7</w:t>
            </w:r>
            <w:r w:rsidRPr="00AE0C4A">
              <w:rPr>
                <w:rFonts w:ascii="Calibri" w:eastAsia="Times New Roman" w:hAnsi="Calibri"/>
                <w:color w:val="000000"/>
                <w:lang w:eastAsia="tr-TR"/>
              </w:rPr>
              <w:t xml:space="preserve"> </w:t>
            </w:r>
          </w:p>
        </w:tc>
        <w:tc>
          <w:tcPr>
            <w:tcW w:w="497" w:type="pct"/>
            <w:tcBorders>
              <w:top w:val="nil"/>
              <w:left w:val="nil"/>
              <w:bottom w:val="single" w:sz="8" w:space="0" w:color="BFBFBF"/>
              <w:right w:val="single" w:sz="8" w:space="0" w:color="BFBFBF"/>
            </w:tcBorders>
            <w:shd w:val="clear" w:color="auto" w:fill="auto"/>
            <w:vAlign w:val="center"/>
          </w:tcPr>
          <w:p w:rsidR="00F018C6" w:rsidRPr="00AE0C4A" w:rsidRDefault="00F018C6" w:rsidP="00F018C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5,34</w:t>
            </w:r>
            <w:r w:rsidRPr="00AE0C4A">
              <w:rPr>
                <w:rFonts w:ascii="Calibri" w:eastAsia="Times New Roman" w:hAnsi="Calibri"/>
                <w:color w:val="000000"/>
                <w:lang w:eastAsia="tr-TR"/>
              </w:rPr>
              <w:t xml:space="preserve"> </w:t>
            </w:r>
          </w:p>
        </w:tc>
      </w:tr>
      <w:tr w:rsidR="00F018C6" w:rsidRPr="00AE0C4A" w:rsidTr="00F018C6">
        <w:trPr>
          <w:trHeight w:val="315"/>
          <w:jc w:val="center"/>
        </w:trPr>
        <w:tc>
          <w:tcPr>
            <w:tcW w:w="1826" w:type="pct"/>
            <w:tcBorders>
              <w:top w:val="nil"/>
              <w:left w:val="single" w:sz="8" w:space="0" w:color="BFBFBF"/>
              <w:bottom w:val="single" w:sz="8" w:space="0" w:color="BFBFBF"/>
              <w:right w:val="single" w:sz="8" w:space="0" w:color="BFBFBF"/>
            </w:tcBorders>
            <w:shd w:val="clear" w:color="auto" w:fill="auto"/>
            <w:vAlign w:val="center"/>
            <w:hideMark/>
          </w:tcPr>
          <w:p w:rsidR="00F018C6" w:rsidRPr="00AE0C4A" w:rsidRDefault="00F018C6" w:rsidP="00F018C6">
            <w:pPr>
              <w:spacing w:after="0" w:line="240" w:lineRule="auto"/>
              <w:rPr>
                <w:rFonts w:ascii="Calibri" w:eastAsia="Times New Roman" w:hAnsi="Calibri"/>
                <w:color w:val="000000"/>
                <w:lang w:eastAsia="tr-TR"/>
              </w:rPr>
            </w:pPr>
            <w:r w:rsidRPr="00AE0C4A">
              <w:rPr>
                <w:rFonts w:ascii="Calibri" w:eastAsia="Times New Roman" w:hAnsi="Calibri"/>
                <w:color w:val="000000"/>
                <w:lang w:eastAsia="tr-TR"/>
              </w:rPr>
              <w:t>Petrol Piyasası Dairesi Başkanlığı</w:t>
            </w:r>
          </w:p>
        </w:tc>
        <w:tc>
          <w:tcPr>
            <w:tcW w:w="537" w:type="pct"/>
            <w:tcBorders>
              <w:top w:val="nil"/>
              <w:left w:val="nil"/>
              <w:bottom w:val="single" w:sz="8" w:space="0" w:color="BFBFBF"/>
              <w:right w:val="single" w:sz="8" w:space="0" w:color="BFBFBF"/>
            </w:tcBorders>
            <w:shd w:val="clear" w:color="auto" w:fill="auto"/>
            <w:noWrap/>
            <w:vAlign w:val="center"/>
            <w:hideMark/>
          </w:tcPr>
          <w:p w:rsidR="00F018C6" w:rsidRPr="00AE0C4A" w:rsidRDefault="00F018C6" w:rsidP="00F018C6">
            <w:pPr>
              <w:spacing w:after="0" w:line="240" w:lineRule="auto"/>
              <w:jc w:val="right"/>
              <w:rPr>
                <w:rFonts w:ascii="Calibri" w:eastAsia="Times New Roman" w:hAnsi="Calibri"/>
                <w:color w:val="000000"/>
                <w:lang w:eastAsia="tr-TR"/>
              </w:rPr>
            </w:pPr>
            <w:r w:rsidRPr="00AE0C4A">
              <w:rPr>
                <w:rFonts w:ascii="Calibri" w:eastAsia="Times New Roman" w:hAnsi="Calibri"/>
                <w:color w:val="000000"/>
                <w:lang w:eastAsia="tr-TR"/>
              </w:rPr>
              <w:t>30</w:t>
            </w:r>
          </w:p>
        </w:tc>
        <w:tc>
          <w:tcPr>
            <w:tcW w:w="631" w:type="pct"/>
            <w:tcBorders>
              <w:top w:val="nil"/>
              <w:left w:val="nil"/>
              <w:bottom w:val="single" w:sz="8" w:space="0" w:color="BFBFBF"/>
              <w:right w:val="single" w:sz="8" w:space="0" w:color="BFBFBF"/>
            </w:tcBorders>
            <w:shd w:val="clear" w:color="auto" w:fill="auto"/>
            <w:noWrap/>
            <w:vAlign w:val="center"/>
          </w:tcPr>
          <w:p w:rsidR="00F018C6" w:rsidRPr="00AE0C4A" w:rsidRDefault="00F018C6" w:rsidP="00F018C6">
            <w:pPr>
              <w:spacing w:after="0" w:line="240" w:lineRule="auto"/>
              <w:jc w:val="center"/>
              <w:rPr>
                <w:rFonts w:ascii="Calibri" w:eastAsia="Times New Roman" w:hAnsi="Calibri"/>
                <w:color w:val="000000"/>
                <w:lang w:eastAsia="tr-TR"/>
              </w:rPr>
            </w:pPr>
            <w:r w:rsidRPr="00AE0C4A">
              <w:rPr>
                <w:rFonts w:ascii="Calibri" w:eastAsia="Times New Roman" w:hAnsi="Calibri"/>
                <w:color w:val="000000"/>
                <w:lang w:eastAsia="tr-TR"/>
              </w:rPr>
              <w:t>18,87</w:t>
            </w:r>
          </w:p>
        </w:tc>
        <w:tc>
          <w:tcPr>
            <w:tcW w:w="503" w:type="pct"/>
            <w:tcBorders>
              <w:top w:val="nil"/>
              <w:left w:val="nil"/>
              <w:bottom w:val="single" w:sz="8" w:space="0" w:color="BFBFBF"/>
              <w:right w:val="single" w:sz="8" w:space="0" w:color="BFBFBF"/>
            </w:tcBorders>
            <w:shd w:val="clear" w:color="auto" w:fill="auto"/>
            <w:vAlign w:val="center"/>
            <w:hideMark/>
          </w:tcPr>
          <w:p w:rsidR="00F018C6" w:rsidRPr="00AE0C4A" w:rsidRDefault="00F018C6" w:rsidP="00F018C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36</w:t>
            </w:r>
            <w:r w:rsidRPr="00AE0C4A">
              <w:rPr>
                <w:rFonts w:ascii="Calibri" w:eastAsia="Times New Roman" w:hAnsi="Calibri"/>
                <w:color w:val="000000"/>
                <w:lang w:eastAsia="tr-TR"/>
              </w:rPr>
              <w:t xml:space="preserve"> </w:t>
            </w:r>
          </w:p>
        </w:tc>
        <w:tc>
          <w:tcPr>
            <w:tcW w:w="503" w:type="pct"/>
            <w:tcBorders>
              <w:top w:val="nil"/>
              <w:left w:val="nil"/>
              <w:bottom w:val="single" w:sz="8" w:space="0" w:color="BFBFBF"/>
              <w:right w:val="single" w:sz="8" w:space="0" w:color="BFBFBF"/>
            </w:tcBorders>
            <w:shd w:val="clear" w:color="auto" w:fill="auto"/>
            <w:noWrap/>
            <w:vAlign w:val="center"/>
          </w:tcPr>
          <w:p w:rsidR="00F018C6" w:rsidRPr="00AE0C4A" w:rsidRDefault="00F018C6" w:rsidP="00F018C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19,67</w:t>
            </w:r>
          </w:p>
        </w:tc>
        <w:tc>
          <w:tcPr>
            <w:tcW w:w="503" w:type="pct"/>
            <w:tcBorders>
              <w:top w:val="nil"/>
              <w:left w:val="nil"/>
              <w:bottom w:val="single" w:sz="8" w:space="0" w:color="BFBFBF"/>
              <w:right w:val="single" w:sz="8" w:space="0" w:color="BFBFBF"/>
            </w:tcBorders>
            <w:shd w:val="clear" w:color="auto" w:fill="auto"/>
            <w:noWrap/>
            <w:vAlign w:val="center"/>
          </w:tcPr>
          <w:p w:rsidR="00F018C6" w:rsidRPr="00AE0C4A" w:rsidRDefault="00F018C6" w:rsidP="00F018C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18</w:t>
            </w:r>
            <w:r w:rsidRPr="00AE0C4A">
              <w:rPr>
                <w:rFonts w:ascii="Calibri" w:eastAsia="Times New Roman" w:hAnsi="Calibri"/>
                <w:color w:val="000000"/>
                <w:lang w:eastAsia="tr-TR"/>
              </w:rPr>
              <w:t xml:space="preserve"> </w:t>
            </w:r>
          </w:p>
        </w:tc>
        <w:tc>
          <w:tcPr>
            <w:tcW w:w="497" w:type="pct"/>
            <w:tcBorders>
              <w:top w:val="nil"/>
              <w:left w:val="nil"/>
              <w:bottom w:val="single" w:sz="8" w:space="0" w:color="BFBFBF"/>
              <w:right w:val="single" w:sz="8" w:space="0" w:color="BFBFBF"/>
            </w:tcBorders>
            <w:shd w:val="clear" w:color="auto" w:fill="auto"/>
            <w:vAlign w:val="center"/>
          </w:tcPr>
          <w:p w:rsidR="00F018C6" w:rsidRPr="00AE0C4A" w:rsidRDefault="00F018C6" w:rsidP="00F018C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13,74</w:t>
            </w:r>
          </w:p>
        </w:tc>
      </w:tr>
      <w:tr w:rsidR="00F018C6" w:rsidRPr="00AE0C4A" w:rsidTr="00F018C6">
        <w:trPr>
          <w:trHeight w:val="315"/>
          <w:jc w:val="center"/>
        </w:trPr>
        <w:tc>
          <w:tcPr>
            <w:tcW w:w="1826" w:type="pct"/>
            <w:tcBorders>
              <w:top w:val="nil"/>
              <w:left w:val="single" w:sz="8" w:space="0" w:color="BFBFBF"/>
              <w:bottom w:val="single" w:sz="8" w:space="0" w:color="BFBFBF"/>
              <w:right w:val="single" w:sz="8" w:space="0" w:color="BFBFBF"/>
            </w:tcBorders>
            <w:shd w:val="clear" w:color="auto" w:fill="auto"/>
            <w:vAlign w:val="center"/>
            <w:hideMark/>
          </w:tcPr>
          <w:p w:rsidR="00F018C6" w:rsidRPr="00AE0C4A" w:rsidRDefault="00F018C6" w:rsidP="00F018C6">
            <w:pPr>
              <w:spacing w:after="0" w:line="240" w:lineRule="auto"/>
              <w:rPr>
                <w:rFonts w:ascii="Calibri" w:eastAsia="Times New Roman" w:hAnsi="Calibri"/>
                <w:color w:val="000000"/>
                <w:lang w:eastAsia="tr-TR"/>
              </w:rPr>
            </w:pPr>
            <w:r w:rsidRPr="00AE0C4A">
              <w:rPr>
                <w:rFonts w:ascii="Calibri" w:eastAsia="Times New Roman" w:hAnsi="Calibri"/>
                <w:color w:val="000000"/>
                <w:lang w:eastAsia="tr-TR"/>
              </w:rPr>
              <w:t>Sıvılaştırılmış Petrol Gazları Piyasası Dairesi Başkanlığı</w:t>
            </w:r>
          </w:p>
        </w:tc>
        <w:tc>
          <w:tcPr>
            <w:tcW w:w="537" w:type="pct"/>
            <w:tcBorders>
              <w:top w:val="nil"/>
              <w:left w:val="nil"/>
              <w:bottom w:val="single" w:sz="8" w:space="0" w:color="BFBFBF"/>
              <w:right w:val="single" w:sz="8" w:space="0" w:color="BFBFBF"/>
            </w:tcBorders>
            <w:shd w:val="clear" w:color="auto" w:fill="auto"/>
            <w:noWrap/>
            <w:vAlign w:val="center"/>
            <w:hideMark/>
          </w:tcPr>
          <w:p w:rsidR="00F018C6" w:rsidRPr="00AE0C4A" w:rsidRDefault="00F018C6" w:rsidP="00F018C6">
            <w:pPr>
              <w:spacing w:after="0" w:line="240" w:lineRule="auto"/>
              <w:jc w:val="right"/>
              <w:rPr>
                <w:rFonts w:ascii="Calibri" w:eastAsia="Times New Roman" w:hAnsi="Calibri"/>
                <w:color w:val="000000"/>
                <w:lang w:eastAsia="tr-TR"/>
              </w:rPr>
            </w:pPr>
            <w:r w:rsidRPr="00AE0C4A">
              <w:rPr>
                <w:rFonts w:ascii="Calibri" w:eastAsia="Times New Roman" w:hAnsi="Calibri"/>
                <w:color w:val="000000"/>
                <w:lang w:eastAsia="tr-TR"/>
              </w:rPr>
              <w:t>1</w:t>
            </w:r>
          </w:p>
        </w:tc>
        <w:tc>
          <w:tcPr>
            <w:tcW w:w="631" w:type="pct"/>
            <w:tcBorders>
              <w:top w:val="nil"/>
              <w:left w:val="nil"/>
              <w:bottom w:val="single" w:sz="8" w:space="0" w:color="BFBFBF"/>
              <w:right w:val="single" w:sz="8" w:space="0" w:color="BFBFBF"/>
            </w:tcBorders>
            <w:shd w:val="clear" w:color="auto" w:fill="auto"/>
            <w:noWrap/>
            <w:vAlign w:val="center"/>
          </w:tcPr>
          <w:p w:rsidR="00F018C6" w:rsidRPr="00AE0C4A" w:rsidRDefault="00F018C6" w:rsidP="00F018C6">
            <w:pPr>
              <w:spacing w:after="0" w:line="240" w:lineRule="auto"/>
              <w:jc w:val="center"/>
              <w:rPr>
                <w:rFonts w:ascii="Calibri" w:eastAsia="Times New Roman" w:hAnsi="Calibri"/>
                <w:color w:val="000000"/>
                <w:lang w:eastAsia="tr-TR"/>
              </w:rPr>
            </w:pPr>
            <w:r w:rsidRPr="00AE0C4A">
              <w:rPr>
                <w:rFonts w:ascii="Calibri" w:eastAsia="Times New Roman" w:hAnsi="Calibri"/>
                <w:color w:val="000000"/>
                <w:lang w:eastAsia="tr-TR"/>
              </w:rPr>
              <w:t>0,63</w:t>
            </w:r>
          </w:p>
        </w:tc>
        <w:tc>
          <w:tcPr>
            <w:tcW w:w="503" w:type="pct"/>
            <w:tcBorders>
              <w:top w:val="nil"/>
              <w:left w:val="nil"/>
              <w:bottom w:val="single" w:sz="8" w:space="0" w:color="BFBFBF"/>
              <w:right w:val="single" w:sz="8" w:space="0" w:color="BFBFBF"/>
            </w:tcBorders>
            <w:shd w:val="clear" w:color="auto" w:fill="auto"/>
            <w:vAlign w:val="center"/>
            <w:hideMark/>
          </w:tcPr>
          <w:p w:rsidR="00F018C6" w:rsidRPr="00AE0C4A" w:rsidRDefault="00F018C6" w:rsidP="00F018C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5</w:t>
            </w:r>
            <w:r w:rsidRPr="00AE0C4A">
              <w:rPr>
                <w:rFonts w:ascii="Calibri" w:eastAsia="Times New Roman" w:hAnsi="Calibri"/>
                <w:color w:val="000000"/>
                <w:lang w:eastAsia="tr-TR"/>
              </w:rPr>
              <w:t xml:space="preserve"> </w:t>
            </w:r>
          </w:p>
        </w:tc>
        <w:tc>
          <w:tcPr>
            <w:tcW w:w="503" w:type="pct"/>
            <w:tcBorders>
              <w:top w:val="nil"/>
              <w:left w:val="nil"/>
              <w:bottom w:val="single" w:sz="8" w:space="0" w:color="BFBFBF"/>
              <w:right w:val="single" w:sz="8" w:space="0" w:color="BFBFBF"/>
            </w:tcBorders>
            <w:shd w:val="clear" w:color="auto" w:fill="auto"/>
            <w:noWrap/>
            <w:vAlign w:val="center"/>
          </w:tcPr>
          <w:p w:rsidR="00F018C6" w:rsidRPr="00AE0C4A" w:rsidRDefault="00F018C6" w:rsidP="00F018C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2,73</w:t>
            </w:r>
            <w:r w:rsidRPr="00AE0C4A">
              <w:rPr>
                <w:rFonts w:ascii="Calibri" w:eastAsia="Times New Roman" w:hAnsi="Calibri"/>
                <w:color w:val="000000"/>
                <w:lang w:eastAsia="tr-TR"/>
              </w:rPr>
              <w:t xml:space="preserve"> </w:t>
            </w:r>
          </w:p>
        </w:tc>
        <w:tc>
          <w:tcPr>
            <w:tcW w:w="503" w:type="pct"/>
            <w:tcBorders>
              <w:top w:val="nil"/>
              <w:left w:val="nil"/>
              <w:bottom w:val="single" w:sz="8" w:space="0" w:color="BFBFBF"/>
              <w:right w:val="single" w:sz="8" w:space="0" w:color="BFBFBF"/>
            </w:tcBorders>
            <w:shd w:val="clear" w:color="auto" w:fill="auto"/>
            <w:noWrap/>
            <w:vAlign w:val="center"/>
          </w:tcPr>
          <w:p w:rsidR="00F018C6" w:rsidRPr="00AE0C4A" w:rsidRDefault="00F018C6" w:rsidP="00F018C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4</w:t>
            </w:r>
            <w:r w:rsidRPr="00AE0C4A">
              <w:rPr>
                <w:rFonts w:ascii="Calibri" w:eastAsia="Times New Roman" w:hAnsi="Calibri"/>
                <w:color w:val="000000"/>
                <w:lang w:eastAsia="tr-TR"/>
              </w:rPr>
              <w:t xml:space="preserve"> </w:t>
            </w:r>
          </w:p>
        </w:tc>
        <w:tc>
          <w:tcPr>
            <w:tcW w:w="497" w:type="pct"/>
            <w:tcBorders>
              <w:top w:val="nil"/>
              <w:left w:val="nil"/>
              <w:bottom w:val="single" w:sz="8" w:space="0" w:color="BFBFBF"/>
              <w:right w:val="single" w:sz="8" w:space="0" w:color="BFBFBF"/>
            </w:tcBorders>
            <w:shd w:val="clear" w:color="auto" w:fill="auto"/>
            <w:vAlign w:val="center"/>
          </w:tcPr>
          <w:p w:rsidR="00F018C6" w:rsidRPr="00AE0C4A" w:rsidRDefault="00F018C6" w:rsidP="00F018C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3,05</w:t>
            </w:r>
            <w:r w:rsidRPr="00AE0C4A">
              <w:rPr>
                <w:rFonts w:ascii="Calibri" w:eastAsia="Times New Roman" w:hAnsi="Calibri"/>
                <w:color w:val="000000"/>
                <w:lang w:eastAsia="tr-TR"/>
              </w:rPr>
              <w:t xml:space="preserve"> </w:t>
            </w:r>
          </w:p>
        </w:tc>
      </w:tr>
      <w:tr w:rsidR="00F018C6" w:rsidRPr="00AE0C4A" w:rsidTr="00F018C6">
        <w:trPr>
          <w:trHeight w:val="315"/>
          <w:jc w:val="center"/>
        </w:trPr>
        <w:tc>
          <w:tcPr>
            <w:tcW w:w="1826" w:type="pct"/>
            <w:tcBorders>
              <w:top w:val="nil"/>
              <w:left w:val="single" w:sz="8" w:space="0" w:color="BFBFBF"/>
              <w:bottom w:val="single" w:sz="8" w:space="0" w:color="BFBFBF"/>
              <w:right w:val="single" w:sz="8" w:space="0" w:color="BFBFBF"/>
            </w:tcBorders>
            <w:shd w:val="clear" w:color="auto" w:fill="auto"/>
            <w:vAlign w:val="center"/>
          </w:tcPr>
          <w:p w:rsidR="00F018C6" w:rsidRPr="00AE0C4A" w:rsidRDefault="00F018C6" w:rsidP="00F018C6">
            <w:pPr>
              <w:spacing w:after="0" w:line="240" w:lineRule="auto"/>
              <w:rPr>
                <w:rFonts w:ascii="Calibri" w:eastAsia="Times New Roman" w:hAnsi="Calibri"/>
                <w:color w:val="000000"/>
                <w:lang w:eastAsia="tr-TR"/>
              </w:rPr>
            </w:pPr>
            <w:r>
              <w:rPr>
                <w:rFonts w:ascii="Calibri" w:eastAsia="Times New Roman" w:hAnsi="Calibri"/>
                <w:color w:val="000000"/>
                <w:lang w:eastAsia="tr-TR"/>
              </w:rPr>
              <w:t>Enerji Dönüşüm Dairesi Başkanlığı</w:t>
            </w:r>
          </w:p>
        </w:tc>
        <w:tc>
          <w:tcPr>
            <w:tcW w:w="537" w:type="pct"/>
            <w:tcBorders>
              <w:top w:val="nil"/>
              <w:left w:val="nil"/>
              <w:bottom w:val="single" w:sz="8" w:space="0" w:color="BFBFBF"/>
              <w:right w:val="single" w:sz="8" w:space="0" w:color="BFBFBF"/>
            </w:tcBorders>
            <w:shd w:val="clear" w:color="auto" w:fill="auto"/>
            <w:noWrap/>
            <w:vAlign w:val="center"/>
          </w:tcPr>
          <w:p w:rsidR="00F018C6" w:rsidRPr="00AE0C4A" w:rsidRDefault="00F018C6" w:rsidP="00F018C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w:t>
            </w:r>
          </w:p>
        </w:tc>
        <w:tc>
          <w:tcPr>
            <w:tcW w:w="631" w:type="pct"/>
            <w:tcBorders>
              <w:top w:val="nil"/>
              <w:left w:val="nil"/>
              <w:bottom w:val="single" w:sz="8" w:space="0" w:color="BFBFBF"/>
              <w:right w:val="single" w:sz="8" w:space="0" w:color="BFBFBF"/>
            </w:tcBorders>
            <w:shd w:val="clear" w:color="auto" w:fill="auto"/>
            <w:noWrap/>
            <w:vAlign w:val="center"/>
          </w:tcPr>
          <w:p w:rsidR="00F018C6" w:rsidRPr="00AE0C4A" w:rsidRDefault="00F018C6" w:rsidP="00F018C6">
            <w:pPr>
              <w:spacing w:after="0" w:line="240" w:lineRule="auto"/>
              <w:jc w:val="center"/>
              <w:rPr>
                <w:rFonts w:ascii="Calibri" w:eastAsia="Times New Roman" w:hAnsi="Calibri"/>
                <w:color w:val="000000"/>
                <w:lang w:eastAsia="tr-TR"/>
              </w:rPr>
            </w:pPr>
          </w:p>
        </w:tc>
        <w:tc>
          <w:tcPr>
            <w:tcW w:w="503" w:type="pct"/>
            <w:tcBorders>
              <w:top w:val="nil"/>
              <w:left w:val="nil"/>
              <w:bottom w:val="single" w:sz="8" w:space="0" w:color="BFBFBF"/>
              <w:right w:val="single" w:sz="8" w:space="0" w:color="BFBFBF"/>
            </w:tcBorders>
            <w:shd w:val="clear" w:color="auto" w:fill="auto"/>
            <w:vAlign w:val="center"/>
          </w:tcPr>
          <w:p w:rsidR="00F018C6" w:rsidRDefault="00F018C6" w:rsidP="00F018C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w:t>
            </w:r>
          </w:p>
        </w:tc>
        <w:tc>
          <w:tcPr>
            <w:tcW w:w="503" w:type="pct"/>
            <w:tcBorders>
              <w:top w:val="nil"/>
              <w:left w:val="nil"/>
              <w:bottom w:val="single" w:sz="8" w:space="0" w:color="BFBFBF"/>
              <w:right w:val="single" w:sz="8" w:space="0" w:color="BFBFBF"/>
            </w:tcBorders>
            <w:shd w:val="clear" w:color="auto" w:fill="auto"/>
            <w:noWrap/>
            <w:vAlign w:val="center"/>
          </w:tcPr>
          <w:p w:rsidR="00F018C6" w:rsidRDefault="00F018C6" w:rsidP="00F018C6">
            <w:pPr>
              <w:spacing w:after="0" w:line="240" w:lineRule="auto"/>
              <w:jc w:val="center"/>
              <w:rPr>
                <w:rFonts w:ascii="Calibri" w:eastAsia="Times New Roman" w:hAnsi="Calibri"/>
                <w:color w:val="000000"/>
                <w:lang w:eastAsia="tr-TR"/>
              </w:rPr>
            </w:pPr>
          </w:p>
        </w:tc>
        <w:tc>
          <w:tcPr>
            <w:tcW w:w="503" w:type="pct"/>
            <w:tcBorders>
              <w:top w:val="nil"/>
              <w:left w:val="nil"/>
              <w:bottom w:val="single" w:sz="8" w:space="0" w:color="BFBFBF"/>
              <w:right w:val="single" w:sz="8" w:space="0" w:color="BFBFBF"/>
            </w:tcBorders>
            <w:shd w:val="clear" w:color="auto" w:fill="auto"/>
            <w:noWrap/>
            <w:vAlign w:val="center"/>
          </w:tcPr>
          <w:p w:rsidR="00F018C6" w:rsidRDefault="00F018C6" w:rsidP="00F018C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w:t>
            </w:r>
          </w:p>
        </w:tc>
        <w:tc>
          <w:tcPr>
            <w:tcW w:w="497" w:type="pct"/>
            <w:tcBorders>
              <w:top w:val="nil"/>
              <w:left w:val="nil"/>
              <w:bottom w:val="single" w:sz="8" w:space="0" w:color="BFBFBF"/>
              <w:right w:val="single" w:sz="8" w:space="0" w:color="BFBFBF"/>
            </w:tcBorders>
            <w:shd w:val="clear" w:color="auto" w:fill="auto"/>
            <w:vAlign w:val="center"/>
          </w:tcPr>
          <w:p w:rsidR="00F018C6" w:rsidRDefault="00F018C6" w:rsidP="00F018C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0,76</w:t>
            </w:r>
          </w:p>
        </w:tc>
      </w:tr>
      <w:tr w:rsidR="00F018C6" w:rsidRPr="00AE0C4A" w:rsidTr="00F018C6">
        <w:trPr>
          <w:trHeight w:val="315"/>
          <w:jc w:val="center"/>
        </w:trPr>
        <w:tc>
          <w:tcPr>
            <w:tcW w:w="1826" w:type="pct"/>
            <w:tcBorders>
              <w:top w:val="nil"/>
              <w:left w:val="single" w:sz="8" w:space="0" w:color="BFBFBF"/>
              <w:bottom w:val="single" w:sz="8" w:space="0" w:color="BFBFBF"/>
              <w:right w:val="single" w:sz="8" w:space="0" w:color="BFBFBF"/>
            </w:tcBorders>
            <w:shd w:val="clear" w:color="auto" w:fill="auto"/>
            <w:vAlign w:val="center"/>
            <w:hideMark/>
          </w:tcPr>
          <w:p w:rsidR="00F018C6" w:rsidRPr="00AE0C4A" w:rsidRDefault="00F018C6" w:rsidP="00F018C6">
            <w:pPr>
              <w:spacing w:after="0" w:line="240" w:lineRule="auto"/>
              <w:rPr>
                <w:rFonts w:ascii="Calibri" w:eastAsia="Times New Roman" w:hAnsi="Calibri"/>
                <w:color w:val="000000"/>
                <w:lang w:eastAsia="tr-TR"/>
              </w:rPr>
            </w:pPr>
            <w:r w:rsidRPr="00AE0C4A">
              <w:rPr>
                <w:rFonts w:ascii="Calibri" w:eastAsia="Times New Roman" w:hAnsi="Calibri"/>
                <w:color w:val="000000"/>
                <w:lang w:eastAsia="tr-TR"/>
              </w:rPr>
              <w:t>Kamulaştırma Dairesi Başkanlığı</w:t>
            </w:r>
          </w:p>
        </w:tc>
        <w:tc>
          <w:tcPr>
            <w:tcW w:w="537" w:type="pct"/>
            <w:tcBorders>
              <w:top w:val="nil"/>
              <w:left w:val="nil"/>
              <w:bottom w:val="single" w:sz="8" w:space="0" w:color="BFBFBF"/>
              <w:right w:val="single" w:sz="8" w:space="0" w:color="BFBFBF"/>
            </w:tcBorders>
            <w:shd w:val="clear" w:color="auto" w:fill="auto"/>
            <w:noWrap/>
            <w:vAlign w:val="center"/>
            <w:hideMark/>
          </w:tcPr>
          <w:p w:rsidR="00F018C6" w:rsidRPr="00AE0C4A" w:rsidRDefault="00F018C6" w:rsidP="00F018C6">
            <w:pPr>
              <w:spacing w:after="0" w:line="240" w:lineRule="auto"/>
              <w:jc w:val="right"/>
              <w:rPr>
                <w:rFonts w:ascii="Calibri" w:eastAsia="Times New Roman" w:hAnsi="Calibri"/>
                <w:color w:val="000000"/>
                <w:lang w:eastAsia="tr-TR"/>
              </w:rPr>
            </w:pPr>
            <w:r w:rsidRPr="00AE0C4A">
              <w:rPr>
                <w:rFonts w:ascii="Calibri" w:eastAsia="Times New Roman" w:hAnsi="Calibri"/>
                <w:color w:val="000000"/>
                <w:lang w:eastAsia="tr-TR"/>
              </w:rPr>
              <w:t>6</w:t>
            </w:r>
          </w:p>
        </w:tc>
        <w:tc>
          <w:tcPr>
            <w:tcW w:w="631" w:type="pct"/>
            <w:tcBorders>
              <w:top w:val="nil"/>
              <w:left w:val="nil"/>
              <w:bottom w:val="single" w:sz="8" w:space="0" w:color="BFBFBF"/>
              <w:right w:val="single" w:sz="8" w:space="0" w:color="BFBFBF"/>
            </w:tcBorders>
            <w:shd w:val="clear" w:color="auto" w:fill="auto"/>
            <w:noWrap/>
            <w:vAlign w:val="center"/>
          </w:tcPr>
          <w:p w:rsidR="00F018C6" w:rsidRPr="00AE0C4A" w:rsidRDefault="00F018C6" w:rsidP="00F018C6">
            <w:pPr>
              <w:spacing w:after="0" w:line="240" w:lineRule="auto"/>
              <w:jc w:val="center"/>
              <w:rPr>
                <w:rFonts w:ascii="Calibri" w:eastAsia="Times New Roman" w:hAnsi="Calibri"/>
                <w:color w:val="000000"/>
                <w:lang w:eastAsia="tr-TR"/>
              </w:rPr>
            </w:pPr>
            <w:r w:rsidRPr="00AE0C4A">
              <w:rPr>
                <w:rFonts w:ascii="Calibri" w:eastAsia="Times New Roman" w:hAnsi="Calibri"/>
                <w:color w:val="000000"/>
                <w:lang w:eastAsia="tr-TR"/>
              </w:rPr>
              <w:t>3,77</w:t>
            </w:r>
          </w:p>
        </w:tc>
        <w:tc>
          <w:tcPr>
            <w:tcW w:w="503" w:type="pct"/>
            <w:tcBorders>
              <w:top w:val="nil"/>
              <w:left w:val="nil"/>
              <w:bottom w:val="single" w:sz="8" w:space="0" w:color="BFBFBF"/>
              <w:right w:val="single" w:sz="8" w:space="0" w:color="BFBFBF"/>
            </w:tcBorders>
            <w:shd w:val="clear" w:color="auto" w:fill="auto"/>
            <w:vAlign w:val="center"/>
            <w:hideMark/>
          </w:tcPr>
          <w:p w:rsidR="00F018C6" w:rsidRPr="00AE0C4A" w:rsidRDefault="00F018C6" w:rsidP="00F018C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7</w:t>
            </w:r>
            <w:r w:rsidRPr="00AE0C4A">
              <w:rPr>
                <w:rFonts w:ascii="Calibri" w:eastAsia="Times New Roman" w:hAnsi="Calibri"/>
                <w:color w:val="000000"/>
                <w:lang w:eastAsia="tr-TR"/>
              </w:rPr>
              <w:t xml:space="preserve"> </w:t>
            </w:r>
          </w:p>
        </w:tc>
        <w:tc>
          <w:tcPr>
            <w:tcW w:w="503" w:type="pct"/>
            <w:tcBorders>
              <w:top w:val="nil"/>
              <w:left w:val="nil"/>
              <w:bottom w:val="single" w:sz="8" w:space="0" w:color="BFBFBF"/>
              <w:right w:val="single" w:sz="8" w:space="0" w:color="BFBFBF"/>
            </w:tcBorders>
            <w:shd w:val="clear" w:color="auto" w:fill="auto"/>
            <w:noWrap/>
            <w:vAlign w:val="center"/>
          </w:tcPr>
          <w:p w:rsidR="00F018C6" w:rsidRPr="00AE0C4A" w:rsidRDefault="00F018C6" w:rsidP="00F018C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3,83</w:t>
            </w:r>
            <w:r w:rsidRPr="00AE0C4A">
              <w:rPr>
                <w:rFonts w:ascii="Calibri" w:eastAsia="Times New Roman" w:hAnsi="Calibri"/>
                <w:color w:val="000000"/>
                <w:lang w:eastAsia="tr-TR"/>
              </w:rPr>
              <w:t xml:space="preserve"> </w:t>
            </w:r>
          </w:p>
        </w:tc>
        <w:tc>
          <w:tcPr>
            <w:tcW w:w="503" w:type="pct"/>
            <w:tcBorders>
              <w:top w:val="nil"/>
              <w:left w:val="nil"/>
              <w:bottom w:val="single" w:sz="8" w:space="0" w:color="BFBFBF"/>
              <w:right w:val="single" w:sz="8" w:space="0" w:color="BFBFBF"/>
            </w:tcBorders>
            <w:shd w:val="clear" w:color="auto" w:fill="auto"/>
            <w:noWrap/>
            <w:vAlign w:val="center"/>
          </w:tcPr>
          <w:p w:rsidR="00F018C6" w:rsidRPr="00AE0C4A" w:rsidRDefault="00F018C6" w:rsidP="00F018C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2</w:t>
            </w:r>
            <w:r w:rsidRPr="00AE0C4A">
              <w:rPr>
                <w:rFonts w:ascii="Calibri" w:eastAsia="Times New Roman" w:hAnsi="Calibri"/>
                <w:color w:val="000000"/>
                <w:lang w:eastAsia="tr-TR"/>
              </w:rPr>
              <w:t xml:space="preserve"> </w:t>
            </w:r>
          </w:p>
        </w:tc>
        <w:tc>
          <w:tcPr>
            <w:tcW w:w="497" w:type="pct"/>
            <w:tcBorders>
              <w:top w:val="nil"/>
              <w:left w:val="nil"/>
              <w:bottom w:val="single" w:sz="8" w:space="0" w:color="BFBFBF"/>
              <w:right w:val="single" w:sz="8" w:space="0" w:color="BFBFBF"/>
            </w:tcBorders>
            <w:shd w:val="clear" w:color="auto" w:fill="auto"/>
            <w:vAlign w:val="center"/>
          </w:tcPr>
          <w:p w:rsidR="00F018C6" w:rsidRPr="00AE0C4A" w:rsidRDefault="00F018C6" w:rsidP="00F018C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1,53</w:t>
            </w:r>
            <w:r w:rsidRPr="00AE0C4A">
              <w:rPr>
                <w:rFonts w:ascii="Calibri" w:eastAsia="Times New Roman" w:hAnsi="Calibri"/>
                <w:color w:val="000000"/>
                <w:lang w:eastAsia="tr-TR"/>
              </w:rPr>
              <w:t xml:space="preserve"> </w:t>
            </w:r>
          </w:p>
        </w:tc>
      </w:tr>
      <w:tr w:rsidR="00F018C6" w:rsidRPr="00AE0C4A" w:rsidTr="00F018C6">
        <w:trPr>
          <w:trHeight w:val="315"/>
          <w:jc w:val="center"/>
        </w:trPr>
        <w:tc>
          <w:tcPr>
            <w:tcW w:w="1826" w:type="pct"/>
            <w:tcBorders>
              <w:top w:val="nil"/>
              <w:left w:val="single" w:sz="8" w:space="0" w:color="BFBFBF"/>
              <w:bottom w:val="single" w:sz="8" w:space="0" w:color="BFBFBF"/>
              <w:right w:val="single" w:sz="8" w:space="0" w:color="BFBFBF"/>
            </w:tcBorders>
            <w:shd w:val="clear" w:color="auto" w:fill="auto"/>
            <w:vAlign w:val="center"/>
            <w:hideMark/>
          </w:tcPr>
          <w:p w:rsidR="00F018C6" w:rsidRPr="00AE0C4A" w:rsidRDefault="00F018C6" w:rsidP="00F018C6">
            <w:pPr>
              <w:spacing w:after="0" w:line="240" w:lineRule="auto"/>
              <w:rPr>
                <w:rFonts w:ascii="Calibri" w:eastAsia="Times New Roman" w:hAnsi="Calibri"/>
                <w:color w:val="000000"/>
                <w:lang w:eastAsia="tr-TR"/>
              </w:rPr>
            </w:pPr>
            <w:r w:rsidRPr="00AE0C4A">
              <w:rPr>
                <w:rFonts w:ascii="Calibri" w:eastAsia="Times New Roman" w:hAnsi="Calibri"/>
                <w:color w:val="000000"/>
                <w:lang w:eastAsia="tr-TR"/>
              </w:rPr>
              <w:t>Denetim Dairesi Başkanlığı</w:t>
            </w:r>
          </w:p>
        </w:tc>
        <w:tc>
          <w:tcPr>
            <w:tcW w:w="537" w:type="pct"/>
            <w:tcBorders>
              <w:top w:val="nil"/>
              <w:left w:val="nil"/>
              <w:bottom w:val="single" w:sz="8" w:space="0" w:color="BFBFBF"/>
              <w:right w:val="single" w:sz="8" w:space="0" w:color="BFBFBF"/>
            </w:tcBorders>
            <w:shd w:val="clear" w:color="auto" w:fill="auto"/>
            <w:noWrap/>
            <w:vAlign w:val="center"/>
            <w:hideMark/>
          </w:tcPr>
          <w:p w:rsidR="00F018C6" w:rsidRPr="00AE0C4A" w:rsidRDefault="00F018C6" w:rsidP="00F018C6">
            <w:pPr>
              <w:spacing w:after="0" w:line="240" w:lineRule="auto"/>
              <w:jc w:val="right"/>
              <w:rPr>
                <w:rFonts w:ascii="Calibri" w:eastAsia="Times New Roman" w:hAnsi="Calibri"/>
                <w:color w:val="000000"/>
                <w:lang w:eastAsia="tr-TR"/>
              </w:rPr>
            </w:pPr>
            <w:r w:rsidRPr="00AE0C4A">
              <w:rPr>
                <w:rFonts w:ascii="Calibri" w:eastAsia="Times New Roman" w:hAnsi="Calibri"/>
                <w:color w:val="000000"/>
                <w:lang w:eastAsia="tr-TR"/>
              </w:rPr>
              <w:t>9</w:t>
            </w:r>
          </w:p>
        </w:tc>
        <w:tc>
          <w:tcPr>
            <w:tcW w:w="631" w:type="pct"/>
            <w:tcBorders>
              <w:top w:val="nil"/>
              <w:left w:val="nil"/>
              <w:bottom w:val="single" w:sz="8" w:space="0" w:color="BFBFBF"/>
              <w:right w:val="single" w:sz="8" w:space="0" w:color="BFBFBF"/>
            </w:tcBorders>
            <w:shd w:val="clear" w:color="auto" w:fill="auto"/>
            <w:noWrap/>
            <w:vAlign w:val="center"/>
          </w:tcPr>
          <w:p w:rsidR="00F018C6" w:rsidRPr="00AE0C4A" w:rsidRDefault="00F018C6" w:rsidP="00F018C6">
            <w:pPr>
              <w:spacing w:after="0" w:line="240" w:lineRule="auto"/>
              <w:jc w:val="center"/>
              <w:rPr>
                <w:rFonts w:ascii="Calibri" w:eastAsia="Times New Roman" w:hAnsi="Calibri"/>
                <w:color w:val="000000"/>
                <w:lang w:eastAsia="tr-TR"/>
              </w:rPr>
            </w:pPr>
            <w:r w:rsidRPr="00AE0C4A">
              <w:rPr>
                <w:rFonts w:ascii="Calibri" w:eastAsia="Times New Roman" w:hAnsi="Calibri"/>
                <w:color w:val="000000"/>
                <w:lang w:eastAsia="tr-TR"/>
              </w:rPr>
              <w:t>5,66</w:t>
            </w:r>
          </w:p>
        </w:tc>
        <w:tc>
          <w:tcPr>
            <w:tcW w:w="503" w:type="pct"/>
            <w:tcBorders>
              <w:top w:val="nil"/>
              <w:left w:val="nil"/>
              <w:bottom w:val="single" w:sz="8" w:space="0" w:color="BFBFBF"/>
              <w:right w:val="single" w:sz="8" w:space="0" w:color="BFBFBF"/>
            </w:tcBorders>
            <w:shd w:val="clear" w:color="auto" w:fill="auto"/>
            <w:vAlign w:val="center"/>
            <w:hideMark/>
          </w:tcPr>
          <w:p w:rsidR="00F018C6" w:rsidRPr="00AE0C4A" w:rsidRDefault="00F018C6" w:rsidP="00F018C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9</w:t>
            </w:r>
            <w:r w:rsidRPr="00AE0C4A">
              <w:rPr>
                <w:rFonts w:ascii="Calibri" w:eastAsia="Times New Roman" w:hAnsi="Calibri"/>
                <w:color w:val="000000"/>
                <w:lang w:eastAsia="tr-TR"/>
              </w:rPr>
              <w:t xml:space="preserve"> </w:t>
            </w:r>
          </w:p>
        </w:tc>
        <w:tc>
          <w:tcPr>
            <w:tcW w:w="503" w:type="pct"/>
            <w:tcBorders>
              <w:top w:val="nil"/>
              <w:left w:val="nil"/>
              <w:bottom w:val="single" w:sz="8" w:space="0" w:color="BFBFBF"/>
              <w:right w:val="single" w:sz="8" w:space="0" w:color="BFBFBF"/>
            </w:tcBorders>
            <w:shd w:val="clear" w:color="auto" w:fill="auto"/>
            <w:noWrap/>
            <w:vAlign w:val="center"/>
          </w:tcPr>
          <w:p w:rsidR="00F018C6" w:rsidRPr="00AE0C4A" w:rsidRDefault="00F018C6" w:rsidP="00F018C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4,92</w:t>
            </w:r>
            <w:r w:rsidRPr="00AE0C4A">
              <w:rPr>
                <w:rFonts w:ascii="Calibri" w:eastAsia="Times New Roman" w:hAnsi="Calibri"/>
                <w:color w:val="000000"/>
                <w:lang w:eastAsia="tr-TR"/>
              </w:rPr>
              <w:t xml:space="preserve"> </w:t>
            </w:r>
          </w:p>
        </w:tc>
        <w:tc>
          <w:tcPr>
            <w:tcW w:w="503" w:type="pct"/>
            <w:tcBorders>
              <w:top w:val="nil"/>
              <w:left w:val="nil"/>
              <w:bottom w:val="single" w:sz="8" w:space="0" w:color="BFBFBF"/>
              <w:right w:val="single" w:sz="8" w:space="0" w:color="BFBFBF"/>
            </w:tcBorders>
            <w:shd w:val="clear" w:color="auto" w:fill="auto"/>
            <w:noWrap/>
            <w:vAlign w:val="center"/>
          </w:tcPr>
          <w:p w:rsidR="00F018C6" w:rsidRPr="00AE0C4A" w:rsidRDefault="00F018C6" w:rsidP="00F018C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3</w:t>
            </w:r>
            <w:r w:rsidRPr="00AE0C4A">
              <w:rPr>
                <w:rFonts w:ascii="Calibri" w:eastAsia="Times New Roman" w:hAnsi="Calibri"/>
                <w:color w:val="000000"/>
                <w:lang w:eastAsia="tr-TR"/>
              </w:rPr>
              <w:t xml:space="preserve"> </w:t>
            </w:r>
          </w:p>
        </w:tc>
        <w:tc>
          <w:tcPr>
            <w:tcW w:w="497" w:type="pct"/>
            <w:tcBorders>
              <w:top w:val="nil"/>
              <w:left w:val="nil"/>
              <w:bottom w:val="single" w:sz="8" w:space="0" w:color="BFBFBF"/>
              <w:right w:val="single" w:sz="8" w:space="0" w:color="BFBFBF"/>
            </w:tcBorders>
            <w:shd w:val="clear" w:color="auto" w:fill="auto"/>
            <w:vAlign w:val="center"/>
          </w:tcPr>
          <w:p w:rsidR="00F018C6" w:rsidRPr="00AE0C4A" w:rsidRDefault="00F018C6" w:rsidP="00F018C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2,29</w:t>
            </w:r>
            <w:r w:rsidRPr="00AE0C4A">
              <w:rPr>
                <w:rFonts w:ascii="Calibri" w:eastAsia="Times New Roman" w:hAnsi="Calibri"/>
                <w:color w:val="000000"/>
                <w:lang w:eastAsia="tr-TR"/>
              </w:rPr>
              <w:t xml:space="preserve"> </w:t>
            </w:r>
          </w:p>
        </w:tc>
      </w:tr>
      <w:tr w:rsidR="00F018C6" w:rsidRPr="00AE0C4A" w:rsidTr="00F018C6">
        <w:trPr>
          <w:trHeight w:val="315"/>
          <w:jc w:val="center"/>
        </w:trPr>
        <w:tc>
          <w:tcPr>
            <w:tcW w:w="1826" w:type="pct"/>
            <w:tcBorders>
              <w:top w:val="nil"/>
              <w:left w:val="single" w:sz="8" w:space="0" w:color="BFBFBF"/>
              <w:bottom w:val="single" w:sz="8" w:space="0" w:color="BFBFBF"/>
              <w:right w:val="single" w:sz="8" w:space="0" w:color="BFBFBF"/>
            </w:tcBorders>
            <w:shd w:val="clear" w:color="auto" w:fill="auto"/>
            <w:vAlign w:val="center"/>
            <w:hideMark/>
          </w:tcPr>
          <w:p w:rsidR="00F018C6" w:rsidRPr="00AE0C4A" w:rsidRDefault="00F018C6" w:rsidP="00F018C6">
            <w:pPr>
              <w:spacing w:after="0" w:line="240" w:lineRule="auto"/>
              <w:rPr>
                <w:rFonts w:ascii="Calibri" w:eastAsia="Times New Roman" w:hAnsi="Calibri"/>
                <w:color w:val="000000"/>
                <w:lang w:eastAsia="tr-TR"/>
              </w:rPr>
            </w:pPr>
            <w:r w:rsidRPr="00AE0C4A">
              <w:rPr>
                <w:rFonts w:ascii="Calibri" w:eastAsia="Times New Roman" w:hAnsi="Calibri"/>
                <w:color w:val="000000"/>
                <w:lang w:eastAsia="tr-TR"/>
              </w:rPr>
              <w:t>Tarifeler Dairesi Başkanlığı</w:t>
            </w:r>
          </w:p>
        </w:tc>
        <w:tc>
          <w:tcPr>
            <w:tcW w:w="537" w:type="pct"/>
            <w:tcBorders>
              <w:top w:val="nil"/>
              <w:left w:val="nil"/>
              <w:bottom w:val="single" w:sz="8" w:space="0" w:color="BFBFBF"/>
              <w:right w:val="single" w:sz="8" w:space="0" w:color="BFBFBF"/>
            </w:tcBorders>
            <w:shd w:val="clear" w:color="auto" w:fill="auto"/>
            <w:noWrap/>
            <w:vAlign w:val="center"/>
            <w:hideMark/>
          </w:tcPr>
          <w:p w:rsidR="00F018C6" w:rsidRPr="00AE0C4A" w:rsidRDefault="00F018C6" w:rsidP="00F018C6">
            <w:pPr>
              <w:spacing w:after="0" w:line="240" w:lineRule="auto"/>
              <w:jc w:val="right"/>
              <w:rPr>
                <w:rFonts w:ascii="Calibri" w:eastAsia="Times New Roman" w:hAnsi="Calibri"/>
                <w:color w:val="000000"/>
                <w:lang w:eastAsia="tr-TR"/>
              </w:rPr>
            </w:pPr>
            <w:r w:rsidRPr="00AE0C4A">
              <w:rPr>
                <w:rFonts w:ascii="Calibri" w:eastAsia="Times New Roman" w:hAnsi="Calibri"/>
                <w:color w:val="000000"/>
                <w:lang w:eastAsia="tr-TR"/>
              </w:rPr>
              <w:t>7</w:t>
            </w:r>
          </w:p>
        </w:tc>
        <w:tc>
          <w:tcPr>
            <w:tcW w:w="631" w:type="pct"/>
            <w:tcBorders>
              <w:top w:val="nil"/>
              <w:left w:val="nil"/>
              <w:bottom w:val="single" w:sz="8" w:space="0" w:color="BFBFBF"/>
              <w:right w:val="single" w:sz="8" w:space="0" w:color="BFBFBF"/>
            </w:tcBorders>
            <w:shd w:val="clear" w:color="auto" w:fill="auto"/>
            <w:noWrap/>
            <w:vAlign w:val="center"/>
          </w:tcPr>
          <w:p w:rsidR="00F018C6" w:rsidRPr="00AE0C4A" w:rsidRDefault="00F018C6" w:rsidP="00F018C6">
            <w:pPr>
              <w:spacing w:after="0" w:line="240" w:lineRule="auto"/>
              <w:jc w:val="center"/>
              <w:rPr>
                <w:rFonts w:ascii="Calibri" w:eastAsia="Times New Roman" w:hAnsi="Calibri"/>
                <w:color w:val="000000"/>
                <w:lang w:eastAsia="tr-TR"/>
              </w:rPr>
            </w:pPr>
            <w:r w:rsidRPr="00AE0C4A">
              <w:rPr>
                <w:rFonts w:ascii="Calibri" w:eastAsia="Times New Roman" w:hAnsi="Calibri"/>
                <w:color w:val="000000"/>
                <w:lang w:eastAsia="tr-TR"/>
              </w:rPr>
              <w:t>4,40</w:t>
            </w:r>
          </w:p>
        </w:tc>
        <w:tc>
          <w:tcPr>
            <w:tcW w:w="503" w:type="pct"/>
            <w:tcBorders>
              <w:top w:val="nil"/>
              <w:left w:val="nil"/>
              <w:bottom w:val="single" w:sz="8" w:space="0" w:color="BFBFBF"/>
              <w:right w:val="single" w:sz="8" w:space="0" w:color="BFBFBF"/>
            </w:tcBorders>
            <w:shd w:val="clear" w:color="auto" w:fill="auto"/>
            <w:vAlign w:val="center"/>
            <w:hideMark/>
          </w:tcPr>
          <w:p w:rsidR="00F018C6" w:rsidRPr="00AE0C4A" w:rsidRDefault="00F018C6" w:rsidP="00F018C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w:t>
            </w:r>
            <w:r w:rsidRPr="00AE0C4A">
              <w:rPr>
                <w:rFonts w:ascii="Calibri" w:eastAsia="Times New Roman" w:hAnsi="Calibri"/>
                <w:color w:val="000000"/>
                <w:lang w:eastAsia="tr-TR"/>
              </w:rPr>
              <w:t xml:space="preserve"> </w:t>
            </w:r>
          </w:p>
        </w:tc>
        <w:tc>
          <w:tcPr>
            <w:tcW w:w="503" w:type="pct"/>
            <w:tcBorders>
              <w:top w:val="nil"/>
              <w:left w:val="nil"/>
              <w:bottom w:val="single" w:sz="8" w:space="0" w:color="BFBFBF"/>
              <w:right w:val="single" w:sz="8" w:space="0" w:color="BFBFBF"/>
            </w:tcBorders>
            <w:shd w:val="clear" w:color="auto" w:fill="auto"/>
            <w:noWrap/>
            <w:vAlign w:val="center"/>
          </w:tcPr>
          <w:p w:rsidR="00F018C6" w:rsidRPr="00AE0C4A" w:rsidRDefault="00F018C6" w:rsidP="00F018C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0,55</w:t>
            </w:r>
            <w:r w:rsidRPr="00AE0C4A">
              <w:rPr>
                <w:rFonts w:ascii="Calibri" w:eastAsia="Times New Roman" w:hAnsi="Calibri"/>
                <w:color w:val="000000"/>
                <w:lang w:eastAsia="tr-TR"/>
              </w:rPr>
              <w:t xml:space="preserve"> </w:t>
            </w:r>
          </w:p>
        </w:tc>
        <w:tc>
          <w:tcPr>
            <w:tcW w:w="503" w:type="pct"/>
            <w:tcBorders>
              <w:top w:val="nil"/>
              <w:left w:val="nil"/>
              <w:bottom w:val="single" w:sz="8" w:space="0" w:color="BFBFBF"/>
              <w:right w:val="single" w:sz="8" w:space="0" w:color="BFBFBF"/>
            </w:tcBorders>
            <w:shd w:val="clear" w:color="auto" w:fill="auto"/>
            <w:noWrap/>
            <w:vAlign w:val="center"/>
          </w:tcPr>
          <w:p w:rsidR="00F018C6" w:rsidRPr="00AE0C4A" w:rsidRDefault="00F018C6" w:rsidP="00F018C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2</w:t>
            </w:r>
            <w:r w:rsidRPr="00AE0C4A">
              <w:rPr>
                <w:rFonts w:ascii="Calibri" w:eastAsia="Times New Roman" w:hAnsi="Calibri"/>
                <w:color w:val="000000"/>
                <w:lang w:eastAsia="tr-TR"/>
              </w:rPr>
              <w:t xml:space="preserve"> </w:t>
            </w:r>
          </w:p>
        </w:tc>
        <w:tc>
          <w:tcPr>
            <w:tcW w:w="497" w:type="pct"/>
            <w:tcBorders>
              <w:top w:val="nil"/>
              <w:left w:val="nil"/>
              <w:bottom w:val="single" w:sz="8" w:space="0" w:color="BFBFBF"/>
              <w:right w:val="single" w:sz="8" w:space="0" w:color="BFBFBF"/>
            </w:tcBorders>
            <w:shd w:val="clear" w:color="auto" w:fill="auto"/>
            <w:vAlign w:val="center"/>
          </w:tcPr>
          <w:p w:rsidR="00F018C6" w:rsidRPr="00AE0C4A" w:rsidRDefault="00F018C6" w:rsidP="00F018C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1,53</w:t>
            </w:r>
            <w:r w:rsidRPr="00AE0C4A">
              <w:rPr>
                <w:rFonts w:ascii="Calibri" w:eastAsia="Times New Roman" w:hAnsi="Calibri"/>
                <w:color w:val="000000"/>
                <w:lang w:eastAsia="tr-TR"/>
              </w:rPr>
              <w:t xml:space="preserve"> </w:t>
            </w:r>
          </w:p>
        </w:tc>
      </w:tr>
      <w:tr w:rsidR="00F018C6" w:rsidRPr="00AE0C4A" w:rsidTr="00F018C6">
        <w:trPr>
          <w:trHeight w:val="315"/>
          <w:jc w:val="center"/>
        </w:trPr>
        <w:tc>
          <w:tcPr>
            <w:tcW w:w="1826" w:type="pct"/>
            <w:tcBorders>
              <w:top w:val="nil"/>
              <w:left w:val="single" w:sz="8" w:space="0" w:color="BFBFBF"/>
              <w:bottom w:val="single" w:sz="8" w:space="0" w:color="BFBFBF"/>
              <w:right w:val="single" w:sz="8" w:space="0" w:color="BFBFBF"/>
            </w:tcBorders>
            <w:shd w:val="clear" w:color="auto" w:fill="auto"/>
            <w:vAlign w:val="center"/>
            <w:hideMark/>
          </w:tcPr>
          <w:p w:rsidR="00F018C6" w:rsidRPr="00AE0C4A" w:rsidRDefault="00F018C6" w:rsidP="00F018C6">
            <w:pPr>
              <w:spacing w:after="0" w:line="240" w:lineRule="auto"/>
              <w:rPr>
                <w:rFonts w:ascii="Calibri" w:eastAsia="Times New Roman" w:hAnsi="Calibri"/>
                <w:color w:val="000000"/>
                <w:lang w:eastAsia="tr-TR"/>
              </w:rPr>
            </w:pPr>
            <w:r w:rsidRPr="00AE0C4A">
              <w:rPr>
                <w:rFonts w:ascii="Calibri" w:eastAsia="Times New Roman" w:hAnsi="Calibri"/>
                <w:color w:val="000000"/>
                <w:lang w:eastAsia="tr-TR"/>
              </w:rPr>
              <w:t>İnsan Kaynakları ve Destek Hizmetleri Dairesi Başkanlığı</w:t>
            </w:r>
          </w:p>
        </w:tc>
        <w:tc>
          <w:tcPr>
            <w:tcW w:w="537" w:type="pct"/>
            <w:tcBorders>
              <w:top w:val="nil"/>
              <w:left w:val="nil"/>
              <w:bottom w:val="single" w:sz="8" w:space="0" w:color="BFBFBF"/>
              <w:right w:val="single" w:sz="8" w:space="0" w:color="BFBFBF"/>
            </w:tcBorders>
            <w:shd w:val="clear" w:color="auto" w:fill="auto"/>
            <w:noWrap/>
            <w:vAlign w:val="center"/>
            <w:hideMark/>
          </w:tcPr>
          <w:p w:rsidR="00F018C6" w:rsidRPr="00AE0C4A" w:rsidRDefault="00F018C6" w:rsidP="00F018C6">
            <w:pPr>
              <w:spacing w:after="0" w:line="240" w:lineRule="auto"/>
              <w:jc w:val="right"/>
              <w:rPr>
                <w:rFonts w:ascii="Calibri" w:eastAsia="Times New Roman" w:hAnsi="Calibri"/>
                <w:color w:val="000000"/>
                <w:lang w:eastAsia="tr-TR"/>
              </w:rPr>
            </w:pPr>
            <w:r w:rsidRPr="00AE0C4A">
              <w:rPr>
                <w:rFonts w:ascii="Calibri" w:eastAsia="Times New Roman" w:hAnsi="Calibri"/>
                <w:color w:val="000000"/>
                <w:lang w:eastAsia="tr-TR"/>
              </w:rPr>
              <w:t>1</w:t>
            </w:r>
          </w:p>
        </w:tc>
        <w:tc>
          <w:tcPr>
            <w:tcW w:w="631" w:type="pct"/>
            <w:tcBorders>
              <w:top w:val="nil"/>
              <w:left w:val="nil"/>
              <w:bottom w:val="single" w:sz="8" w:space="0" w:color="BFBFBF"/>
              <w:right w:val="single" w:sz="8" w:space="0" w:color="BFBFBF"/>
            </w:tcBorders>
            <w:shd w:val="clear" w:color="auto" w:fill="auto"/>
            <w:noWrap/>
            <w:vAlign w:val="center"/>
          </w:tcPr>
          <w:p w:rsidR="00F018C6" w:rsidRPr="00AE0C4A" w:rsidRDefault="00F018C6" w:rsidP="00F018C6">
            <w:pPr>
              <w:spacing w:after="0" w:line="240" w:lineRule="auto"/>
              <w:jc w:val="center"/>
              <w:rPr>
                <w:rFonts w:ascii="Calibri" w:eastAsia="Times New Roman" w:hAnsi="Calibri"/>
                <w:color w:val="000000"/>
                <w:lang w:eastAsia="tr-TR"/>
              </w:rPr>
            </w:pPr>
            <w:r w:rsidRPr="00AE0C4A">
              <w:rPr>
                <w:rFonts w:ascii="Calibri" w:eastAsia="Times New Roman" w:hAnsi="Calibri"/>
                <w:color w:val="000000"/>
                <w:lang w:eastAsia="tr-TR"/>
              </w:rPr>
              <w:t>0,63</w:t>
            </w:r>
          </w:p>
        </w:tc>
        <w:tc>
          <w:tcPr>
            <w:tcW w:w="503" w:type="pct"/>
            <w:tcBorders>
              <w:top w:val="nil"/>
              <w:left w:val="nil"/>
              <w:bottom w:val="single" w:sz="8" w:space="0" w:color="BFBFBF"/>
              <w:right w:val="single" w:sz="8" w:space="0" w:color="BFBFBF"/>
            </w:tcBorders>
            <w:shd w:val="clear" w:color="auto" w:fill="auto"/>
            <w:vAlign w:val="center"/>
            <w:hideMark/>
          </w:tcPr>
          <w:p w:rsidR="00F018C6" w:rsidRPr="00AE0C4A" w:rsidRDefault="00F018C6" w:rsidP="00F018C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2</w:t>
            </w:r>
            <w:r w:rsidRPr="00AE0C4A">
              <w:rPr>
                <w:rFonts w:ascii="Calibri" w:eastAsia="Times New Roman" w:hAnsi="Calibri"/>
                <w:color w:val="000000"/>
                <w:lang w:eastAsia="tr-TR"/>
              </w:rPr>
              <w:t xml:space="preserve"> </w:t>
            </w:r>
          </w:p>
        </w:tc>
        <w:tc>
          <w:tcPr>
            <w:tcW w:w="503" w:type="pct"/>
            <w:tcBorders>
              <w:top w:val="nil"/>
              <w:left w:val="nil"/>
              <w:bottom w:val="single" w:sz="8" w:space="0" w:color="BFBFBF"/>
              <w:right w:val="single" w:sz="8" w:space="0" w:color="BFBFBF"/>
            </w:tcBorders>
            <w:shd w:val="clear" w:color="auto" w:fill="auto"/>
            <w:noWrap/>
            <w:vAlign w:val="center"/>
          </w:tcPr>
          <w:p w:rsidR="00F018C6" w:rsidRPr="00AE0C4A" w:rsidRDefault="00F018C6" w:rsidP="00F018C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1,09</w:t>
            </w:r>
            <w:r w:rsidRPr="00AE0C4A">
              <w:rPr>
                <w:rFonts w:ascii="Calibri" w:eastAsia="Times New Roman" w:hAnsi="Calibri"/>
                <w:color w:val="000000"/>
                <w:lang w:eastAsia="tr-TR"/>
              </w:rPr>
              <w:t xml:space="preserve"> </w:t>
            </w:r>
          </w:p>
        </w:tc>
        <w:tc>
          <w:tcPr>
            <w:tcW w:w="503" w:type="pct"/>
            <w:tcBorders>
              <w:top w:val="nil"/>
              <w:left w:val="nil"/>
              <w:bottom w:val="single" w:sz="8" w:space="0" w:color="BFBFBF"/>
              <w:right w:val="single" w:sz="8" w:space="0" w:color="BFBFBF"/>
            </w:tcBorders>
            <w:shd w:val="clear" w:color="auto" w:fill="auto"/>
            <w:noWrap/>
            <w:vAlign w:val="center"/>
          </w:tcPr>
          <w:p w:rsidR="00F018C6" w:rsidRPr="00AE0C4A" w:rsidRDefault="00F018C6" w:rsidP="00F018C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3</w:t>
            </w:r>
            <w:r w:rsidRPr="00AE0C4A">
              <w:rPr>
                <w:rFonts w:ascii="Calibri" w:eastAsia="Times New Roman" w:hAnsi="Calibri"/>
                <w:color w:val="000000"/>
                <w:lang w:eastAsia="tr-TR"/>
              </w:rPr>
              <w:t xml:space="preserve"> </w:t>
            </w:r>
          </w:p>
        </w:tc>
        <w:tc>
          <w:tcPr>
            <w:tcW w:w="497" w:type="pct"/>
            <w:tcBorders>
              <w:top w:val="nil"/>
              <w:left w:val="nil"/>
              <w:bottom w:val="single" w:sz="8" w:space="0" w:color="BFBFBF"/>
              <w:right w:val="single" w:sz="8" w:space="0" w:color="BFBFBF"/>
            </w:tcBorders>
            <w:shd w:val="clear" w:color="auto" w:fill="auto"/>
            <w:vAlign w:val="center"/>
          </w:tcPr>
          <w:p w:rsidR="00F018C6" w:rsidRPr="00AE0C4A" w:rsidRDefault="00F018C6" w:rsidP="00F018C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2,29</w:t>
            </w:r>
            <w:r w:rsidRPr="00AE0C4A">
              <w:rPr>
                <w:rFonts w:ascii="Calibri" w:eastAsia="Times New Roman" w:hAnsi="Calibri"/>
                <w:color w:val="000000"/>
                <w:lang w:eastAsia="tr-TR"/>
              </w:rPr>
              <w:t xml:space="preserve"> </w:t>
            </w:r>
          </w:p>
        </w:tc>
      </w:tr>
      <w:tr w:rsidR="00F018C6" w:rsidRPr="00AE0C4A" w:rsidTr="00F018C6">
        <w:trPr>
          <w:trHeight w:val="315"/>
          <w:jc w:val="center"/>
        </w:trPr>
        <w:tc>
          <w:tcPr>
            <w:tcW w:w="1826" w:type="pct"/>
            <w:tcBorders>
              <w:top w:val="nil"/>
              <w:left w:val="single" w:sz="8" w:space="0" w:color="BFBFBF"/>
              <w:bottom w:val="single" w:sz="8" w:space="0" w:color="BFBFBF"/>
              <w:right w:val="single" w:sz="8" w:space="0" w:color="BFBFBF"/>
            </w:tcBorders>
            <w:shd w:val="clear" w:color="auto" w:fill="auto"/>
            <w:vAlign w:val="center"/>
            <w:hideMark/>
          </w:tcPr>
          <w:p w:rsidR="00F018C6" w:rsidRPr="00AE0C4A" w:rsidRDefault="00F018C6" w:rsidP="00F018C6">
            <w:pPr>
              <w:spacing w:after="0" w:line="240" w:lineRule="auto"/>
              <w:rPr>
                <w:rFonts w:ascii="Calibri" w:eastAsia="Times New Roman" w:hAnsi="Calibri"/>
                <w:color w:val="000000"/>
                <w:lang w:eastAsia="tr-TR"/>
              </w:rPr>
            </w:pPr>
            <w:r w:rsidRPr="00AE0C4A">
              <w:rPr>
                <w:rFonts w:ascii="Calibri" w:eastAsia="Times New Roman" w:hAnsi="Calibri"/>
                <w:color w:val="000000"/>
                <w:lang w:eastAsia="tr-TR"/>
              </w:rPr>
              <w:t>Strateji Geliştirme Dairesi Başkanlığı</w:t>
            </w:r>
          </w:p>
        </w:tc>
        <w:tc>
          <w:tcPr>
            <w:tcW w:w="537" w:type="pct"/>
            <w:tcBorders>
              <w:top w:val="nil"/>
              <w:left w:val="nil"/>
              <w:bottom w:val="single" w:sz="8" w:space="0" w:color="BFBFBF"/>
              <w:right w:val="single" w:sz="8" w:space="0" w:color="BFBFBF"/>
            </w:tcBorders>
            <w:shd w:val="clear" w:color="auto" w:fill="auto"/>
            <w:noWrap/>
            <w:vAlign w:val="center"/>
            <w:hideMark/>
          </w:tcPr>
          <w:p w:rsidR="00F018C6" w:rsidRPr="00AE0C4A" w:rsidRDefault="00F018C6" w:rsidP="00F018C6">
            <w:pPr>
              <w:spacing w:after="0" w:line="240" w:lineRule="auto"/>
              <w:jc w:val="right"/>
              <w:rPr>
                <w:rFonts w:ascii="Calibri" w:eastAsia="Times New Roman" w:hAnsi="Calibri"/>
                <w:color w:val="000000"/>
                <w:lang w:eastAsia="tr-TR"/>
              </w:rPr>
            </w:pPr>
            <w:r w:rsidRPr="00AE0C4A">
              <w:rPr>
                <w:rFonts w:ascii="Calibri" w:eastAsia="Times New Roman" w:hAnsi="Calibri"/>
                <w:color w:val="000000"/>
                <w:lang w:eastAsia="tr-TR"/>
              </w:rPr>
              <w:t>9</w:t>
            </w:r>
          </w:p>
        </w:tc>
        <w:tc>
          <w:tcPr>
            <w:tcW w:w="631" w:type="pct"/>
            <w:tcBorders>
              <w:top w:val="nil"/>
              <w:left w:val="nil"/>
              <w:bottom w:val="single" w:sz="8" w:space="0" w:color="BFBFBF"/>
              <w:right w:val="single" w:sz="8" w:space="0" w:color="BFBFBF"/>
            </w:tcBorders>
            <w:shd w:val="clear" w:color="auto" w:fill="auto"/>
            <w:noWrap/>
            <w:vAlign w:val="center"/>
          </w:tcPr>
          <w:p w:rsidR="00F018C6" w:rsidRPr="00AE0C4A" w:rsidRDefault="00F018C6" w:rsidP="00F018C6">
            <w:pPr>
              <w:spacing w:after="0" w:line="240" w:lineRule="auto"/>
              <w:jc w:val="center"/>
              <w:rPr>
                <w:rFonts w:ascii="Calibri" w:eastAsia="Times New Roman" w:hAnsi="Calibri"/>
                <w:color w:val="000000"/>
                <w:lang w:eastAsia="tr-TR"/>
              </w:rPr>
            </w:pPr>
            <w:r w:rsidRPr="00AE0C4A">
              <w:rPr>
                <w:rFonts w:ascii="Calibri" w:eastAsia="Times New Roman" w:hAnsi="Calibri"/>
                <w:color w:val="000000"/>
                <w:lang w:eastAsia="tr-TR"/>
              </w:rPr>
              <w:t>5,66</w:t>
            </w:r>
          </w:p>
        </w:tc>
        <w:tc>
          <w:tcPr>
            <w:tcW w:w="503" w:type="pct"/>
            <w:tcBorders>
              <w:top w:val="nil"/>
              <w:left w:val="nil"/>
              <w:bottom w:val="single" w:sz="8" w:space="0" w:color="BFBFBF"/>
              <w:right w:val="single" w:sz="8" w:space="0" w:color="BFBFBF"/>
            </w:tcBorders>
            <w:shd w:val="clear" w:color="auto" w:fill="auto"/>
            <w:vAlign w:val="center"/>
            <w:hideMark/>
          </w:tcPr>
          <w:p w:rsidR="00F018C6" w:rsidRPr="00AE0C4A" w:rsidRDefault="00F018C6" w:rsidP="00F018C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2</w:t>
            </w:r>
            <w:r w:rsidRPr="00AE0C4A">
              <w:rPr>
                <w:rFonts w:ascii="Calibri" w:eastAsia="Times New Roman" w:hAnsi="Calibri"/>
                <w:color w:val="000000"/>
                <w:lang w:eastAsia="tr-TR"/>
              </w:rPr>
              <w:t xml:space="preserve"> </w:t>
            </w:r>
          </w:p>
        </w:tc>
        <w:tc>
          <w:tcPr>
            <w:tcW w:w="503" w:type="pct"/>
            <w:tcBorders>
              <w:top w:val="nil"/>
              <w:left w:val="nil"/>
              <w:bottom w:val="single" w:sz="8" w:space="0" w:color="BFBFBF"/>
              <w:right w:val="single" w:sz="8" w:space="0" w:color="BFBFBF"/>
            </w:tcBorders>
            <w:shd w:val="clear" w:color="auto" w:fill="auto"/>
            <w:noWrap/>
            <w:vAlign w:val="center"/>
          </w:tcPr>
          <w:p w:rsidR="00F018C6" w:rsidRPr="00AE0C4A" w:rsidRDefault="00F018C6" w:rsidP="00F018C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1,09</w:t>
            </w:r>
            <w:r w:rsidRPr="00AE0C4A">
              <w:rPr>
                <w:rFonts w:ascii="Calibri" w:eastAsia="Times New Roman" w:hAnsi="Calibri"/>
                <w:color w:val="000000"/>
                <w:lang w:eastAsia="tr-TR"/>
              </w:rPr>
              <w:t xml:space="preserve"> </w:t>
            </w:r>
          </w:p>
        </w:tc>
        <w:tc>
          <w:tcPr>
            <w:tcW w:w="503" w:type="pct"/>
            <w:tcBorders>
              <w:top w:val="nil"/>
              <w:left w:val="nil"/>
              <w:bottom w:val="single" w:sz="8" w:space="0" w:color="BFBFBF"/>
              <w:right w:val="single" w:sz="8" w:space="0" w:color="BFBFBF"/>
            </w:tcBorders>
            <w:shd w:val="clear" w:color="auto" w:fill="auto"/>
            <w:noWrap/>
            <w:vAlign w:val="center"/>
          </w:tcPr>
          <w:p w:rsidR="00F018C6" w:rsidRPr="00AE0C4A" w:rsidRDefault="00F018C6" w:rsidP="00F018C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6</w:t>
            </w:r>
            <w:r w:rsidRPr="00AE0C4A">
              <w:rPr>
                <w:rFonts w:ascii="Calibri" w:eastAsia="Times New Roman" w:hAnsi="Calibri"/>
                <w:color w:val="000000"/>
                <w:lang w:eastAsia="tr-TR"/>
              </w:rPr>
              <w:t xml:space="preserve"> </w:t>
            </w:r>
          </w:p>
        </w:tc>
        <w:tc>
          <w:tcPr>
            <w:tcW w:w="497" w:type="pct"/>
            <w:tcBorders>
              <w:top w:val="nil"/>
              <w:left w:val="nil"/>
              <w:bottom w:val="single" w:sz="8" w:space="0" w:color="BFBFBF"/>
              <w:right w:val="single" w:sz="8" w:space="0" w:color="BFBFBF"/>
            </w:tcBorders>
            <w:shd w:val="clear" w:color="auto" w:fill="auto"/>
            <w:vAlign w:val="center"/>
          </w:tcPr>
          <w:p w:rsidR="00F018C6" w:rsidRPr="00AE0C4A" w:rsidRDefault="00F018C6" w:rsidP="00F018C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4,58</w:t>
            </w:r>
            <w:r w:rsidRPr="00AE0C4A">
              <w:rPr>
                <w:rFonts w:ascii="Calibri" w:eastAsia="Times New Roman" w:hAnsi="Calibri"/>
                <w:color w:val="000000"/>
                <w:lang w:eastAsia="tr-TR"/>
              </w:rPr>
              <w:t xml:space="preserve"> </w:t>
            </w:r>
          </w:p>
        </w:tc>
      </w:tr>
      <w:tr w:rsidR="00F018C6" w:rsidRPr="00AE0C4A" w:rsidTr="00F018C6">
        <w:trPr>
          <w:trHeight w:val="474"/>
          <w:jc w:val="center"/>
        </w:trPr>
        <w:tc>
          <w:tcPr>
            <w:tcW w:w="1826" w:type="pct"/>
            <w:tcBorders>
              <w:top w:val="nil"/>
              <w:left w:val="single" w:sz="8" w:space="0" w:color="BFBFBF"/>
              <w:bottom w:val="single" w:sz="8" w:space="0" w:color="BFBFBF"/>
              <w:right w:val="single" w:sz="8" w:space="0" w:color="BFBFBF"/>
            </w:tcBorders>
            <w:shd w:val="clear" w:color="auto" w:fill="auto"/>
            <w:vAlign w:val="center"/>
          </w:tcPr>
          <w:p w:rsidR="00F018C6" w:rsidRPr="00AE0C4A" w:rsidRDefault="00F018C6" w:rsidP="00F018C6">
            <w:pPr>
              <w:spacing w:after="0" w:line="240" w:lineRule="auto"/>
              <w:rPr>
                <w:rFonts w:ascii="Calibri" w:eastAsia="Times New Roman" w:hAnsi="Calibri"/>
                <w:color w:val="000000"/>
                <w:lang w:eastAsia="tr-TR"/>
              </w:rPr>
            </w:pPr>
            <w:r w:rsidRPr="00AE0C4A">
              <w:rPr>
                <w:rFonts w:ascii="Calibri" w:eastAsia="Times New Roman" w:hAnsi="Calibri"/>
                <w:color w:val="000000"/>
                <w:lang w:eastAsia="tr-TR"/>
              </w:rPr>
              <w:t>Bilgi İşlem Dairesi Başkanlığı</w:t>
            </w:r>
          </w:p>
        </w:tc>
        <w:tc>
          <w:tcPr>
            <w:tcW w:w="537" w:type="pct"/>
            <w:tcBorders>
              <w:top w:val="nil"/>
              <w:left w:val="nil"/>
              <w:bottom w:val="single" w:sz="8" w:space="0" w:color="BFBFBF"/>
              <w:right w:val="single" w:sz="8" w:space="0" w:color="BFBFBF"/>
            </w:tcBorders>
            <w:shd w:val="clear" w:color="auto" w:fill="auto"/>
            <w:noWrap/>
            <w:vAlign w:val="center"/>
          </w:tcPr>
          <w:p w:rsidR="00F018C6" w:rsidRPr="00AE0C4A" w:rsidRDefault="00F018C6" w:rsidP="00F018C6">
            <w:pPr>
              <w:spacing w:after="0" w:line="240" w:lineRule="auto"/>
              <w:ind w:left="360"/>
              <w:contextualSpacing/>
              <w:jc w:val="right"/>
              <w:rPr>
                <w:rFonts w:ascii="Calibri" w:eastAsia="Times New Roman" w:hAnsi="Calibri"/>
                <w:color w:val="000000"/>
                <w:lang w:eastAsia="tr-TR"/>
              </w:rPr>
            </w:pPr>
            <w:r w:rsidRPr="00AE0C4A">
              <w:rPr>
                <w:rFonts w:ascii="Calibri" w:eastAsia="Times New Roman" w:hAnsi="Calibri"/>
                <w:color w:val="000000"/>
                <w:lang w:eastAsia="tr-TR"/>
              </w:rPr>
              <w:t>3</w:t>
            </w:r>
          </w:p>
        </w:tc>
        <w:tc>
          <w:tcPr>
            <w:tcW w:w="631" w:type="pct"/>
            <w:tcBorders>
              <w:top w:val="nil"/>
              <w:left w:val="nil"/>
              <w:bottom w:val="single" w:sz="8" w:space="0" w:color="BFBFBF"/>
              <w:right w:val="single" w:sz="8" w:space="0" w:color="BFBFBF"/>
            </w:tcBorders>
            <w:shd w:val="clear" w:color="auto" w:fill="auto"/>
            <w:noWrap/>
            <w:vAlign w:val="center"/>
          </w:tcPr>
          <w:p w:rsidR="00F018C6" w:rsidRPr="00AE0C4A" w:rsidRDefault="00F018C6" w:rsidP="00F018C6">
            <w:pPr>
              <w:spacing w:after="0" w:line="240" w:lineRule="auto"/>
              <w:jc w:val="center"/>
              <w:rPr>
                <w:rFonts w:ascii="Calibri" w:eastAsia="Times New Roman" w:hAnsi="Calibri"/>
                <w:color w:val="000000"/>
                <w:lang w:eastAsia="tr-TR"/>
              </w:rPr>
            </w:pPr>
            <w:r w:rsidRPr="00AE0C4A">
              <w:rPr>
                <w:rFonts w:ascii="Calibri" w:eastAsia="Times New Roman" w:hAnsi="Calibri"/>
                <w:color w:val="000000"/>
                <w:lang w:eastAsia="tr-TR"/>
              </w:rPr>
              <w:t>1,89</w:t>
            </w:r>
          </w:p>
        </w:tc>
        <w:tc>
          <w:tcPr>
            <w:tcW w:w="503" w:type="pct"/>
            <w:tcBorders>
              <w:top w:val="nil"/>
              <w:left w:val="nil"/>
              <w:bottom w:val="single" w:sz="8" w:space="0" w:color="BFBFBF"/>
              <w:right w:val="single" w:sz="8" w:space="0" w:color="BFBFBF"/>
            </w:tcBorders>
            <w:shd w:val="clear" w:color="auto" w:fill="auto"/>
            <w:vAlign w:val="center"/>
          </w:tcPr>
          <w:p w:rsidR="00F018C6" w:rsidRPr="00AE0C4A" w:rsidRDefault="00F018C6" w:rsidP="00F018C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w:t>
            </w:r>
            <w:r w:rsidRPr="00AE0C4A">
              <w:rPr>
                <w:rFonts w:ascii="Calibri" w:eastAsia="Times New Roman" w:hAnsi="Calibri"/>
                <w:color w:val="000000"/>
                <w:lang w:eastAsia="tr-TR"/>
              </w:rPr>
              <w:t xml:space="preserve"> </w:t>
            </w:r>
          </w:p>
        </w:tc>
        <w:tc>
          <w:tcPr>
            <w:tcW w:w="503" w:type="pct"/>
            <w:tcBorders>
              <w:top w:val="nil"/>
              <w:left w:val="nil"/>
              <w:bottom w:val="single" w:sz="8" w:space="0" w:color="BFBFBF"/>
              <w:right w:val="single" w:sz="8" w:space="0" w:color="BFBFBF"/>
            </w:tcBorders>
            <w:shd w:val="clear" w:color="auto" w:fill="auto"/>
            <w:noWrap/>
            <w:vAlign w:val="center"/>
          </w:tcPr>
          <w:p w:rsidR="00F018C6" w:rsidRPr="00AE0C4A" w:rsidRDefault="00F018C6" w:rsidP="00F018C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0,55</w:t>
            </w:r>
            <w:r w:rsidRPr="00AE0C4A">
              <w:rPr>
                <w:rFonts w:ascii="Calibri" w:eastAsia="Times New Roman" w:hAnsi="Calibri"/>
                <w:color w:val="000000"/>
                <w:lang w:eastAsia="tr-TR"/>
              </w:rPr>
              <w:t xml:space="preserve"> </w:t>
            </w:r>
          </w:p>
        </w:tc>
        <w:tc>
          <w:tcPr>
            <w:tcW w:w="503" w:type="pct"/>
            <w:tcBorders>
              <w:top w:val="nil"/>
              <w:left w:val="nil"/>
              <w:bottom w:val="single" w:sz="8" w:space="0" w:color="BFBFBF"/>
              <w:right w:val="single" w:sz="8" w:space="0" w:color="BFBFBF"/>
            </w:tcBorders>
            <w:shd w:val="clear" w:color="auto" w:fill="auto"/>
            <w:noWrap/>
            <w:vAlign w:val="center"/>
          </w:tcPr>
          <w:p w:rsidR="00F018C6" w:rsidRPr="00AE0C4A" w:rsidDel="00D25A22" w:rsidRDefault="00F018C6" w:rsidP="00F018C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w:t>
            </w:r>
            <w:r w:rsidRPr="00AE0C4A">
              <w:rPr>
                <w:rFonts w:ascii="Calibri" w:eastAsia="Times New Roman" w:hAnsi="Calibri"/>
                <w:color w:val="000000"/>
                <w:lang w:eastAsia="tr-TR"/>
              </w:rPr>
              <w:t xml:space="preserve"> </w:t>
            </w:r>
          </w:p>
        </w:tc>
        <w:tc>
          <w:tcPr>
            <w:tcW w:w="497" w:type="pct"/>
            <w:tcBorders>
              <w:top w:val="nil"/>
              <w:left w:val="nil"/>
              <w:bottom w:val="single" w:sz="8" w:space="0" w:color="BFBFBF"/>
              <w:right w:val="single" w:sz="8" w:space="0" w:color="BFBFBF"/>
            </w:tcBorders>
            <w:shd w:val="clear" w:color="auto" w:fill="auto"/>
            <w:vAlign w:val="center"/>
          </w:tcPr>
          <w:p w:rsidR="00F018C6" w:rsidRPr="00AE0C4A" w:rsidRDefault="00F018C6" w:rsidP="00F018C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w:t>
            </w:r>
            <w:r w:rsidRPr="00AE0C4A">
              <w:rPr>
                <w:rFonts w:ascii="Calibri" w:eastAsia="Times New Roman" w:hAnsi="Calibri"/>
                <w:color w:val="000000"/>
                <w:lang w:eastAsia="tr-TR"/>
              </w:rPr>
              <w:t xml:space="preserve"> </w:t>
            </w:r>
          </w:p>
        </w:tc>
      </w:tr>
      <w:tr w:rsidR="00F018C6" w:rsidRPr="00AE0C4A" w:rsidTr="00F018C6">
        <w:trPr>
          <w:trHeight w:val="615"/>
          <w:jc w:val="center"/>
        </w:trPr>
        <w:tc>
          <w:tcPr>
            <w:tcW w:w="1826" w:type="pct"/>
            <w:tcBorders>
              <w:top w:val="nil"/>
              <w:left w:val="single" w:sz="8" w:space="0" w:color="BFBFBF"/>
              <w:bottom w:val="single" w:sz="8" w:space="0" w:color="BFBFBF"/>
              <w:right w:val="single" w:sz="8" w:space="0" w:color="BFBFBF"/>
            </w:tcBorders>
            <w:shd w:val="clear" w:color="auto" w:fill="auto"/>
            <w:vAlign w:val="center"/>
            <w:hideMark/>
          </w:tcPr>
          <w:p w:rsidR="00F018C6" w:rsidRPr="00AE0C4A" w:rsidRDefault="00F018C6" w:rsidP="00F018C6">
            <w:pPr>
              <w:spacing w:after="0" w:line="240" w:lineRule="auto"/>
              <w:rPr>
                <w:rFonts w:ascii="Calibri" w:eastAsia="Times New Roman" w:hAnsi="Calibri"/>
                <w:color w:val="000000"/>
                <w:lang w:eastAsia="tr-TR"/>
              </w:rPr>
            </w:pPr>
            <w:r w:rsidRPr="00AE0C4A">
              <w:rPr>
                <w:rFonts w:ascii="Calibri" w:eastAsia="Times New Roman" w:hAnsi="Calibri"/>
                <w:color w:val="000000"/>
                <w:lang w:eastAsia="tr-TR"/>
              </w:rPr>
              <w:t>Cumhurbaşkanlığı, Bakanlıklar ve Diğer Kamu Kurum ve Kuruluşları</w:t>
            </w:r>
          </w:p>
        </w:tc>
        <w:tc>
          <w:tcPr>
            <w:tcW w:w="537" w:type="pct"/>
            <w:tcBorders>
              <w:top w:val="nil"/>
              <w:left w:val="nil"/>
              <w:bottom w:val="single" w:sz="8" w:space="0" w:color="BFBFBF"/>
              <w:right w:val="single" w:sz="8" w:space="0" w:color="BFBFBF"/>
            </w:tcBorders>
            <w:shd w:val="clear" w:color="auto" w:fill="auto"/>
            <w:noWrap/>
            <w:vAlign w:val="center"/>
            <w:hideMark/>
          </w:tcPr>
          <w:p w:rsidR="00F018C6" w:rsidRPr="00AE0C4A" w:rsidRDefault="00F018C6" w:rsidP="00F018C6">
            <w:pPr>
              <w:spacing w:after="0" w:line="240" w:lineRule="auto"/>
              <w:jc w:val="right"/>
              <w:rPr>
                <w:rFonts w:ascii="Calibri" w:eastAsia="Times New Roman" w:hAnsi="Calibri"/>
                <w:color w:val="000000"/>
                <w:lang w:eastAsia="tr-TR"/>
              </w:rPr>
            </w:pPr>
            <w:r w:rsidRPr="00AE0C4A">
              <w:rPr>
                <w:rFonts w:ascii="Calibri" w:eastAsia="Times New Roman" w:hAnsi="Calibri"/>
                <w:color w:val="000000"/>
                <w:lang w:eastAsia="tr-TR"/>
              </w:rPr>
              <w:t>65</w:t>
            </w:r>
          </w:p>
        </w:tc>
        <w:tc>
          <w:tcPr>
            <w:tcW w:w="631" w:type="pct"/>
            <w:tcBorders>
              <w:top w:val="nil"/>
              <w:left w:val="nil"/>
              <w:bottom w:val="single" w:sz="8" w:space="0" w:color="BFBFBF"/>
              <w:right w:val="single" w:sz="8" w:space="0" w:color="BFBFBF"/>
            </w:tcBorders>
            <w:shd w:val="clear" w:color="auto" w:fill="auto"/>
            <w:noWrap/>
            <w:vAlign w:val="center"/>
          </w:tcPr>
          <w:p w:rsidR="00F018C6" w:rsidRPr="00AE0C4A" w:rsidRDefault="00F018C6" w:rsidP="00F018C6">
            <w:pPr>
              <w:spacing w:after="0" w:line="240" w:lineRule="auto"/>
              <w:jc w:val="center"/>
              <w:rPr>
                <w:rFonts w:ascii="Calibri" w:eastAsia="Times New Roman" w:hAnsi="Calibri"/>
                <w:color w:val="000000"/>
                <w:lang w:eastAsia="tr-TR"/>
              </w:rPr>
            </w:pPr>
            <w:r w:rsidRPr="00AE0C4A">
              <w:rPr>
                <w:rFonts w:ascii="Calibri" w:eastAsia="Times New Roman" w:hAnsi="Calibri"/>
                <w:color w:val="000000"/>
                <w:lang w:eastAsia="tr-TR"/>
              </w:rPr>
              <w:t>40,87</w:t>
            </w:r>
          </w:p>
        </w:tc>
        <w:tc>
          <w:tcPr>
            <w:tcW w:w="503" w:type="pct"/>
            <w:tcBorders>
              <w:top w:val="nil"/>
              <w:left w:val="nil"/>
              <w:bottom w:val="single" w:sz="8" w:space="0" w:color="BFBFBF"/>
              <w:right w:val="single" w:sz="8" w:space="0" w:color="BFBFBF"/>
            </w:tcBorders>
            <w:shd w:val="clear" w:color="auto" w:fill="auto"/>
            <w:vAlign w:val="center"/>
            <w:hideMark/>
          </w:tcPr>
          <w:p w:rsidR="00F018C6" w:rsidRPr="00AE0C4A" w:rsidRDefault="00F018C6" w:rsidP="00F018C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93</w:t>
            </w:r>
          </w:p>
        </w:tc>
        <w:tc>
          <w:tcPr>
            <w:tcW w:w="503" w:type="pct"/>
            <w:tcBorders>
              <w:top w:val="nil"/>
              <w:left w:val="nil"/>
              <w:bottom w:val="single" w:sz="8" w:space="0" w:color="BFBFBF"/>
              <w:right w:val="single" w:sz="8" w:space="0" w:color="BFBFBF"/>
            </w:tcBorders>
            <w:shd w:val="clear" w:color="auto" w:fill="auto"/>
            <w:noWrap/>
            <w:vAlign w:val="center"/>
          </w:tcPr>
          <w:p w:rsidR="00F018C6" w:rsidRPr="00AE0C4A" w:rsidRDefault="00F018C6" w:rsidP="00F018C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50,82</w:t>
            </w:r>
          </w:p>
        </w:tc>
        <w:tc>
          <w:tcPr>
            <w:tcW w:w="503" w:type="pct"/>
            <w:tcBorders>
              <w:top w:val="nil"/>
              <w:left w:val="nil"/>
              <w:bottom w:val="single" w:sz="8" w:space="0" w:color="BFBFBF"/>
              <w:right w:val="single" w:sz="8" w:space="0" w:color="BFBFBF"/>
            </w:tcBorders>
            <w:shd w:val="clear" w:color="auto" w:fill="auto"/>
            <w:noWrap/>
            <w:vAlign w:val="center"/>
          </w:tcPr>
          <w:p w:rsidR="00F018C6" w:rsidRPr="00AE0C4A" w:rsidRDefault="00F018C6" w:rsidP="00F018C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80</w:t>
            </w:r>
          </w:p>
        </w:tc>
        <w:tc>
          <w:tcPr>
            <w:tcW w:w="497" w:type="pct"/>
            <w:tcBorders>
              <w:top w:val="nil"/>
              <w:left w:val="nil"/>
              <w:bottom w:val="single" w:sz="8" w:space="0" w:color="BFBFBF"/>
              <w:right w:val="single" w:sz="8" w:space="0" w:color="BFBFBF"/>
            </w:tcBorders>
            <w:shd w:val="clear" w:color="auto" w:fill="auto"/>
            <w:vAlign w:val="center"/>
          </w:tcPr>
          <w:p w:rsidR="00F018C6" w:rsidRPr="00AE0C4A" w:rsidRDefault="00F018C6" w:rsidP="00F018C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61,07</w:t>
            </w:r>
          </w:p>
        </w:tc>
      </w:tr>
      <w:tr w:rsidR="00F018C6" w:rsidRPr="00AE0C4A" w:rsidTr="00F018C6">
        <w:trPr>
          <w:trHeight w:val="315"/>
          <w:jc w:val="center"/>
        </w:trPr>
        <w:tc>
          <w:tcPr>
            <w:tcW w:w="1826" w:type="pct"/>
            <w:tcBorders>
              <w:top w:val="nil"/>
              <w:left w:val="single" w:sz="8" w:space="0" w:color="BFBFBF"/>
              <w:bottom w:val="single" w:sz="8" w:space="0" w:color="BFBFBF"/>
              <w:right w:val="single" w:sz="8" w:space="0" w:color="BFBFBF"/>
            </w:tcBorders>
            <w:shd w:val="clear" w:color="auto" w:fill="auto"/>
            <w:vAlign w:val="center"/>
            <w:hideMark/>
          </w:tcPr>
          <w:p w:rsidR="00F018C6" w:rsidRPr="00AE0C4A" w:rsidRDefault="00F018C6" w:rsidP="00F018C6">
            <w:pPr>
              <w:spacing w:after="0" w:line="240" w:lineRule="auto"/>
              <w:rPr>
                <w:rFonts w:ascii="Calibri" w:eastAsia="Times New Roman" w:hAnsi="Calibri"/>
                <w:b/>
                <w:bCs/>
                <w:color w:val="000000"/>
                <w:lang w:eastAsia="tr-TR"/>
              </w:rPr>
            </w:pPr>
            <w:r w:rsidRPr="00AE0C4A">
              <w:rPr>
                <w:rFonts w:ascii="Calibri" w:eastAsia="Times New Roman" w:hAnsi="Calibri"/>
                <w:b/>
                <w:bCs/>
                <w:color w:val="000000"/>
                <w:lang w:eastAsia="tr-TR"/>
              </w:rPr>
              <w:t>TOPLAM</w:t>
            </w:r>
          </w:p>
        </w:tc>
        <w:tc>
          <w:tcPr>
            <w:tcW w:w="537" w:type="pct"/>
            <w:tcBorders>
              <w:top w:val="nil"/>
              <w:left w:val="nil"/>
              <w:bottom w:val="single" w:sz="8" w:space="0" w:color="BFBFBF"/>
              <w:right w:val="single" w:sz="8" w:space="0" w:color="BFBFBF"/>
            </w:tcBorders>
            <w:shd w:val="clear" w:color="auto" w:fill="auto"/>
            <w:noWrap/>
            <w:vAlign w:val="center"/>
            <w:hideMark/>
          </w:tcPr>
          <w:p w:rsidR="00F018C6" w:rsidRPr="00AE0C4A" w:rsidRDefault="00F018C6" w:rsidP="00F018C6">
            <w:pPr>
              <w:spacing w:after="0" w:line="240" w:lineRule="auto"/>
              <w:jc w:val="right"/>
              <w:rPr>
                <w:rFonts w:ascii="Calibri" w:eastAsia="Times New Roman" w:hAnsi="Calibri"/>
                <w:b/>
                <w:bCs/>
                <w:color w:val="000000"/>
                <w:lang w:eastAsia="tr-TR"/>
              </w:rPr>
            </w:pPr>
            <w:r>
              <w:rPr>
                <w:rFonts w:ascii="Calibri" w:eastAsia="Times New Roman" w:hAnsi="Calibri"/>
                <w:b/>
                <w:bCs/>
                <w:color w:val="000000"/>
                <w:lang w:eastAsia="tr-TR"/>
              </w:rPr>
              <w:t>159</w:t>
            </w:r>
          </w:p>
        </w:tc>
        <w:tc>
          <w:tcPr>
            <w:tcW w:w="631" w:type="pct"/>
            <w:tcBorders>
              <w:top w:val="nil"/>
              <w:left w:val="nil"/>
              <w:bottom w:val="single" w:sz="8" w:space="0" w:color="BFBFBF"/>
              <w:right w:val="single" w:sz="8" w:space="0" w:color="BFBFBF"/>
            </w:tcBorders>
            <w:shd w:val="clear" w:color="auto" w:fill="auto"/>
            <w:vAlign w:val="center"/>
            <w:hideMark/>
          </w:tcPr>
          <w:p w:rsidR="00F018C6" w:rsidRPr="00AE0C4A" w:rsidRDefault="00F018C6" w:rsidP="00F018C6">
            <w:pPr>
              <w:spacing w:after="0" w:line="240" w:lineRule="auto"/>
              <w:jc w:val="center"/>
              <w:rPr>
                <w:rFonts w:ascii="Calibri" w:eastAsia="Times New Roman" w:hAnsi="Calibri"/>
                <w:b/>
                <w:bCs/>
                <w:color w:val="000000"/>
                <w:lang w:eastAsia="tr-TR"/>
              </w:rPr>
            </w:pPr>
            <w:r w:rsidRPr="00AE0C4A">
              <w:rPr>
                <w:rFonts w:ascii="Calibri" w:eastAsia="Times New Roman" w:hAnsi="Calibri"/>
                <w:b/>
                <w:bCs/>
                <w:color w:val="000000"/>
                <w:lang w:eastAsia="tr-TR"/>
              </w:rPr>
              <w:t>100</w:t>
            </w:r>
          </w:p>
        </w:tc>
        <w:tc>
          <w:tcPr>
            <w:tcW w:w="503" w:type="pct"/>
            <w:tcBorders>
              <w:top w:val="nil"/>
              <w:left w:val="nil"/>
              <w:bottom w:val="single" w:sz="8" w:space="0" w:color="BFBFBF"/>
              <w:right w:val="single" w:sz="8" w:space="0" w:color="BFBFBF"/>
            </w:tcBorders>
            <w:shd w:val="clear" w:color="auto" w:fill="auto"/>
            <w:vAlign w:val="center"/>
            <w:hideMark/>
          </w:tcPr>
          <w:p w:rsidR="00F018C6" w:rsidRPr="00AE0C4A" w:rsidRDefault="00F018C6" w:rsidP="00F018C6">
            <w:pPr>
              <w:spacing w:after="0" w:line="240" w:lineRule="auto"/>
              <w:jc w:val="right"/>
              <w:rPr>
                <w:rFonts w:ascii="Calibri" w:eastAsia="Times New Roman" w:hAnsi="Calibri"/>
                <w:b/>
                <w:bCs/>
                <w:color w:val="000000"/>
                <w:lang w:eastAsia="tr-TR"/>
              </w:rPr>
            </w:pPr>
            <w:r>
              <w:rPr>
                <w:rFonts w:ascii="Calibri" w:eastAsia="Times New Roman" w:hAnsi="Calibri"/>
                <w:b/>
                <w:bCs/>
                <w:color w:val="000000"/>
                <w:lang w:eastAsia="tr-TR"/>
              </w:rPr>
              <w:t>183</w:t>
            </w:r>
          </w:p>
        </w:tc>
        <w:tc>
          <w:tcPr>
            <w:tcW w:w="503" w:type="pct"/>
            <w:tcBorders>
              <w:top w:val="nil"/>
              <w:left w:val="nil"/>
              <w:bottom w:val="single" w:sz="8" w:space="0" w:color="BFBFBF"/>
              <w:right w:val="single" w:sz="8" w:space="0" w:color="BFBFBF"/>
            </w:tcBorders>
            <w:shd w:val="clear" w:color="auto" w:fill="auto"/>
            <w:noWrap/>
            <w:vAlign w:val="center"/>
            <w:hideMark/>
          </w:tcPr>
          <w:p w:rsidR="00F018C6" w:rsidRPr="00AE0C4A" w:rsidRDefault="00F018C6" w:rsidP="00F018C6">
            <w:pPr>
              <w:spacing w:after="0" w:line="240" w:lineRule="auto"/>
              <w:jc w:val="center"/>
              <w:rPr>
                <w:rFonts w:ascii="Calibri" w:eastAsia="Times New Roman" w:hAnsi="Calibri"/>
                <w:b/>
                <w:bCs/>
                <w:color w:val="000000"/>
                <w:lang w:eastAsia="tr-TR"/>
              </w:rPr>
            </w:pPr>
            <w:r w:rsidRPr="00AE0C4A">
              <w:rPr>
                <w:rFonts w:ascii="Calibri" w:eastAsia="Times New Roman" w:hAnsi="Calibri"/>
                <w:b/>
                <w:bCs/>
                <w:color w:val="000000"/>
                <w:lang w:eastAsia="tr-TR"/>
              </w:rPr>
              <w:t>100</w:t>
            </w:r>
          </w:p>
        </w:tc>
        <w:tc>
          <w:tcPr>
            <w:tcW w:w="503" w:type="pct"/>
            <w:tcBorders>
              <w:top w:val="nil"/>
              <w:left w:val="nil"/>
              <w:bottom w:val="single" w:sz="8" w:space="0" w:color="BFBFBF"/>
              <w:right w:val="single" w:sz="8" w:space="0" w:color="BFBFBF"/>
            </w:tcBorders>
            <w:shd w:val="clear" w:color="auto" w:fill="auto"/>
            <w:vAlign w:val="center"/>
          </w:tcPr>
          <w:p w:rsidR="00F018C6" w:rsidRPr="00AE0C4A" w:rsidRDefault="00F018C6" w:rsidP="00F018C6">
            <w:pPr>
              <w:spacing w:after="0" w:line="240" w:lineRule="auto"/>
              <w:jc w:val="right"/>
              <w:rPr>
                <w:rFonts w:ascii="Calibri" w:eastAsia="Times New Roman" w:hAnsi="Calibri"/>
                <w:b/>
                <w:bCs/>
                <w:color w:val="000000"/>
                <w:lang w:eastAsia="tr-TR"/>
              </w:rPr>
            </w:pPr>
            <w:r>
              <w:rPr>
                <w:rFonts w:ascii="Calibri" w:eastAsia="Times New Roman" w:hAnsi="Calibri"/>
                <w:b/>
                <w:bCs/>
                <w:color w:val="000000"/>
                <w:lang w:eastAsia="tr-TR"/>
              </w:rPr>
              <w:t>131</w:t>
            </w:r>
          </w:p>
        </w:tc>
        <w:tc>
          <w:tcPr>
            <w:tcW w:w="497" w:type="pct"/>
            <w:tcBorders>
              <w:top w:val="nil"/>
              <w:left w:val="nil"/>
              <w:bottom w:val="single" w:sz="8" w:space="0" w:color="BFBFBF"/>
              <w:right w:val="single" w:sz="8" w:space="0" w:color="BFBFBF"/>
            </w:tcBorders>
            <w:shd w:val="clear" w:color="auto" w:fill="auto"/>
            <w:vAlign w:val="center"/>
            <w:hideMark/>
          </w:tcPr>
          <w:p w:rsidR="00F018C6" w:rsidRPr="00AE0C4A" w:rsidRDefault="00F018C6" w:rsidP="00F018C6">
            <w:pPr>
              <w:spacing w:after="0" w:line="240" w:lineRule="auto"/>
              <w:jc w:val="center"/>
              <w:rPr>
                <w:rFonts w:ascii="Calibri" w:eastAsia="Times New Roman" w:hAnsi="Calibri"/>
                <w:b/>
                <w:bCs/>
                <w:color w:val="000000"/>
                <w:lang w:eastAsia="tr-TR"/>
              </w:rPr>
            </w:pPr>
            <w:r w:rsidRPr="00AE0C4A">
              <w:rPr>
                <w:rFonts w:ascii="Calibri" w:eastAsia="Times New Roman" w:hAnsi="Calibri"/>
                <w:b/>
                <w:bCs/>
                <w:color w:val="000000"/>
                <w:lang w:eastAsia="tr-TR"/>
              </w:rPr>
              <w:t>100</w:t>
            </w:r>
          </w:p>
        </w:tc>
      </w:tr>
    </w:tbl>
    <w:p w:rsidR="00DB7855" w:rsidRDefault="00DB7855" w:rsidP="008102B6">
      <w:pPr>
        <w:pStyle w:val="Balk5"/>
        <w:spacing w:after="240"/>
        <w:jc w:val="center"/>
        <w:rPr>
          <w:rStyle w:val="Gl"/>
          <w:bCs w:val="0"/>
          <w:color w:val="auto"/>
        </w:rPr>
      </w:pPr>
      <w:bookmarkStart w:id="410" w:name="_Toc94703948"/>
    </w:p>
    <w:p w:rsidR="00DB7855" w:rsidRDefault="00DB7855">
      <w:pPr>
        <w:jc w:val="left"/>
        <w:rPr>
          <w:rStyle w:val="Gl"/>
          <w:rFonts w:eastAsiaTheme="majorEastAsia" w:cstheme="majorBidi"/>
          <w:bCs w:val="0"/>
        </w:rPr>
      </w:pPr>
      <w:r>
        <w:rPr>
          <w:rStyle w:val="Gl"/>
          <w:bCs w:val="0"/>
        </w:rPr>
        <w:br w:type="page"/>
      </w:r>
    </w:p>
    <w:p w:rsidR="00F018C6" w:rsidRPr="000A7861" w:rsidRDefault="007E5E11" w:rsidP="008102B6">
      <w:pPr>
        <w:pStyle w:val="Balk5"/>
        <w:spacing w:after="240"/>
        <w:jc w:val="center"/>
        <w:rPr>
          <w:rStyle w:val="Gl"/>
          <w:bCs w:val="0"/>
          <w:color w:val="auto"/>
        </w:rPr>
      </w:pPr>
      <w:bookmarkStart w:id="411" w:name="_Toc132713956"/>
      <w:r w:rsidRPr="008102B6">
        <w:rPr>
          <w:rStyle w:val="Gl"/>
          <w:bCs w:val="0"/>
          <w:color w:val="auto"/>
        </w:rPr>
        <w:lastRenderedPageBreak/>
        <w:t>Şekil 8.3</w:t>
      </w:r>
      <w:r w:rsidR="00F018C6" w:rsidRPr="000A7861">
        <w:rPr>
          <w:rStyle w:val="Gl"/>
          <w:bCs w:val="0"/>
          <w:color w:val="auto"/>
        </w:rPr>
        <w:t>: Yıllar İtibariyle Hukuk Dairesi Başkanlığı Tarafından Verilen Görüşlerin Dağılımı</w:t>
      </w:r>
      <w:bookmarkEnd w:id="410"/>
      <w:bookmarkEnd w:id="411"/>
    </w:p>
    <w:p w:rsidR="00561D09" w:rsidRDefault="00561D09" w:rsidP="0035089D">
      <w:pPr>
        <w:rPr>
          <w:b/>
        </w:rPr>
      </w:pPr>
      <w:bookmarkStart w:id="412" w:name="_Hlk130545639"/>
    </w:p>
    <w:p w:rsidR="0035089D" w:rsidRDefault="0035089D" w:rsidP="0035089D">
      <w:pPr>
        <w:rPr>
          <w:b/>
        </w:rPr>
      </w:pPr>
      <w:r>
        <w:rPr>
          <w:b/>
          <w:noProof/>
        </w:rPr>
        <w:drawing>
          <wp:inline distT="0" distB="0" distL="0" distR="0" wp14:anchorId="7AE252A6">
            <wp:extent cx="6297930" cy="3267710"/>
            <wp:effectExtent l="0" t="0" r="7620" b="889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297930" cy="3267710"/>
                    </a:xfrm>
                    <a:prstGeom prst="rect">
                      <a:avLst/>
                    </a:prstGeom>
                    <a:noFill/>
                  </pic:spPr>
                </pic:pic>
              </a:graphicData>
            </a:graphic>
          </wp:inline>
        </w:drawing>
      </w:r>
    </w:p>
    <w:p w:rsidR="00F018C6" w:rsidRPr="00604359" w:rsidRDefault="00F018C6" w:rsidP="00604359">
      <w:pPr>
        <w:pStyle w:val="Balk2"/>
        <w:spacing w:after="240"/>
        <w:rPr>
          <w:rFonts w:asciiTheme="minorHAnsi" w:hAnsiTheme="minorHAnsi"/>
          <w:color w:val="auto"/>
          <w:sz w:val="22"/>
          <w:szCs w:val="22"/>
        </w:rPr>
      </w:pPr>
      <w:bookmarkStart w:id="413" w:name="_Toc132713851"/>
      <w:r w:rsidRPr="00604359">
        <w:rPr>
          <w:rFonts w:asciiTheme="minorHAnsi" w:hAnsiTheme="minorHAnsi"/>
          <w:color w:val="auto"/>
          <w:sz w:val="22"/>
          <w:szCs w:val="22"/>
        </w:rPr>
        <w:t>8.4. İhale İşlemleri</w:t>
      </w:r>
      <w:bookmarkEnd w:id="413"/>
    </w:p>
    <w:p w:rsidR="00F018C6" w:rsidRDefault="00F018C6" w:rsidP="00F018C6">
      <w:r>
        <w:t>4734 sayılı Kamu İhale Kanunu kapsamında 2022 yılında Kurumumuzca gerçekleştirilen 8 adet ihaleye, ihale komisyon üyesi olarak katılım sağlanmıştır.</w:t>
      </w:r>
    </w:p>
    <w:p w:rsidR="00F018C6" w:rsidRPr="00604359" w:rsidRDefault="00F018C6" w:rsidP="00604359">
      <w:pPr>
        <w:pStyle w:val="Balk2"/>
        <w:spacing w:after="240"/>
        <w:rPr>
          <w:rFonts w:asciiTheme="minorHAnsi" w:hAnsiTheme="minorHAnsi"/>
          <w:color w:val="auto"/>
          <w:sz w:val="22"/>
          <w:szCs w:val="22"/>
        </w:rPr>
      </w:pPr>
      <w:bookmarkStart w:id="414" w:name="_Toc132713852"/>
      <w:r w:rsidRPr="00604359">
        <w:rPr>
          <w:rFonts w:asciiTheme="minorHAnsi" w:hAnsiTheme="minorHAnsi"/>
          <w:color w:val="auto"/>
          <w:sz w:val="22"/>
          <w:szCs w:val="22"/>
        </w:rPr>
        <w:t>8.5. Ödeme Emirleri</w:t>
      </w:r>
      <w:bookmarkEnd w:id="414"/>
    </w:p>
    <w:p w:rsidR="00F018C6" w:rsidRDefault="00F018C6" w:rsidP="00F018C6">
      <w:r>
        <w:t>Kurumumuzun takip ettiği davalar ile ilgili olarak 2022 yılında dava/icra yargılama giderlerine ilişkin 14 adet avans ödeme işlemleri ile, Mahkeme Kararları kapsamında talep edilen 426 adet yargılama gideri ve/veya vekalet ücreti ödeme işlemleri gerçekleştirilmiştir.</w:t>
      </w:r>
    </w:p>
    <w:p w:rsidR="00F018C6" w:rsidRPr="00604359" w:rsidRDefault="00F018C6" w:rsidP="00604359">
      <w:pPr>
        <w:pStyle w:val="Balk2"/>
        <w:spacing w:after="240"/>
        <w:rPr>
          <w:rFonts w:asciiTheme="minorHAnsi" w:hAnsiTheme="minorHAnsi"/>
          <w:color w:val="auto"/>
          <w:sz w:val="22"/>
          <w:szCs w:val="22"/>
        </w:rPr>
      </w:pPr>
      <w:bookmarkStart w:id="415" w:name="_Toc132713853"/>
      <w:r w:rsidRPr="00604359">
        <w:rPr>
          <w:rFonts w:asciiTheme="minorHAnsi" w:hAnsiTheme="minorHAnsi"/>
          <w:color w:val="auto"/>
          <w:sz w:val="22"/>
          <w:szCs w:val="22"/>
        </w:rPr>
        <w:t>8.6. Kamu Denetçiliği Kurumu Kararları</w:t>
      </w:r>
      <w:bookmarkEnd w:id="415"/>
    </w:p>
    <w:p w:rsidR="00F018C6" w:rsidRDefault="00F018C6" w:rsidP="00F018C6">
      <w:r>
        <w:t>2022 yılında Kamu Denetçiliği Kurumu (Ombudsmanlık) tarafından Kurumumuza gönderilen, gönderme kararı/bilgi-belge istemli yazılar ile ilgili olarak; ilgili Daire Başkanlıklarından temin edilen bilgi-belgeler kapsamında toplam 42 adet dosyadan süresi içinde ilgili Kuruma cevap verilmiştir.</w:t>
      </w:r>
    </w:p>
    <w:p w:rsidR="00F018C6" w:rsidRPr="00604359" w:rsidRDefault="00F018C6" w:rsidP="00604359">
      <w:pPr>
        <w:pStyle w:val="Balk2"/>
        <w:spacing w:after="240"/>
        <w:rPr>
          <w:rFonts w:asciiTheme="minorHAnsi" w:hAnsiTheme="minorHAnsi"/>
          <w:color w:val="auto"/>
          <w:sz w:val="22"/>
          <w:szCs w:val="22"/>
        </w:rPr>
      </w:pPr>
      <w:bookmarkStart w:id="416" w:name="_Toc132713854"/>
      <w:r w:rsidRPr="00604359">
        <w:rPr>
          <w:rFonts w:asciiTheme="minorHAnsi" w:hAnsiTheme="minorHAnsi"/>
          <w:color w:val="auto"/>
          <w:sz w:val="22"/>
          <w:szCs w:val="22"/>
        </w:rPr>
        <w:t>8.7. Elektrik Dağıtım Şirketlerinin Denetimi</w:t>
      </w:r>
      <w:bookmarkEnd w:id="416"/>
    </w:p>
    <w:bookmarkEnd w:id="412"/>
    <w:p w:rsidR="00F018C6" w:rsidRPr="00F018C6" w:rsidRDefault="00F018C6" w:rsidP="00F018C6">
      <w:r>
        <w:t xml:space="preserve">10.08.2022 tarihli ve 504452 sayılı Başkanlık Makamı Oluru ile; tüm elektrik dağıtım şirketlerinin </w:t>
      </w:r>
      <w:r w:rsidRPr="008C654E">
        <w:rPr>
          <w:i/>
        </w:rPr>
        <w:t>“Kullanıcılarla ilgili faaliyetler”</w:t>
      </w:r>
      <w:r>
        <w:t xml:space="preserve">, </w:t>
      </w:r>
      <w:r w:rsidRPr="008C654E">
        <w:rPr>
          <w:i/>
        </w:rPr>
        <w:t>“Mali konular”,</w:t>
      </w:r>
      <w:r>
        <w:t xml:space="preserve"> </w:t>
      </w:r>
      <w:r w:rsidRPr="008C654E">
        <w:rPr>
          <w:i/>
        </w:rPr>
        <w:t>“Satın alma ve satış işlemleri ile ilgili faaliyetler”, “Hukuki süreçler”</w:t>
      </w:r>
      <w:r>
        <w:t xml:space="preserve"> ve </w:t>
      </w:r>
      <w:r w:rsidRPr="008C654E">
        <w:rPr>
          <w:i/>
        </w:rPr>
        <w:t>“Gerekli görülmesi halinde ilgili mevzuat kapsamında incelenmesi gereken diğer hususlar”</w:t>
      </w:r>
      <w:r>
        <w:t xml:space="preserve"> konu başlıklarındaki 2021 yılı faaliyetlerine ilişkin periyodik denetimlerin Kurumumuzca yapılmasına karar verilmesi neticesinde </w:t>
      </w:r>
      <w:r w:rsidRPr="008C654E">
        <w:rPr>
          <w:i/>
        </w:rPr>
        <w:t>“Hukuki Süreçler”</w:t>
      </w:r>
      <w:r>
        <w:t xml:space="preserve">e ilişkin denetimi gerçekleştirmek üzere; Daire Başkanlığımızda görev yapan avukatlardan bir kısmı dağıtım şirketlerinin yerinde denetimi maksadı ile komisyon üyesi olarak ilgili bölgelere gitmiş, yapılan denetimler neticesinde </w:t>
      </w:r>
      <w:r w:rsidRPr="008C654E">
        <w:rPr>
          <w:i/>
        </w:rPr>
        <w:t>“Hukuki Süreçler”</w:t>
      </w:r>
      <w:r>
        <w:t>e ilişkin denetim inceleme formu ve raporları düzenlenmiştir.</w:t>
      </w:r>
      <w:bookmarkStart w:id="417" w:name="_Toc447286882"/>
    </w:p>
    <w:p w:rsidR="00D730CF" w:rsidRDefault="00864F04" w:rsidP="000A5A56">
      <w:pPr>
        <w:pStyle w:val="Balk1"/>
        <w:numPr>
          <w:ilvl w:val="0"/>
          <w:numId w:val="11"/>
        </w:numPr>
        <w:spacing w:before="0"/>
        <w:ind w:left="357" w:hanging="357"/>
        <w:rPr>
          <w:rFonts w:ascii="Calibri" w:eastAsia="Times New Roman" w:hAnsi="Calibri"/>
          <w:color w:val="000000"/>
          <w:sz w:val="22"/>
          <w:szCs w:val="22"/>
        </w:rPr>
      </w:pPr>
      <w:bookmarkStart w:id="418" w:name="_Toc132713855"/>
      <w:r w:rsidRPr="00145A74">
        <w:rPr>
          <w:rFonts w:ascii="Calibri" w:eastAsia="Times New Roman" w:hAnsi="Calibri"/>
          <w:color w:val="000000"/>
          <w:sz w:val="22"/>
          <w:szCs w:val="22"/>
        </w:rPr>
        <w:lastRenderedPageBreak/>
        <w:t>TÜKETİCİ HAKLARININ KORUNMASI</w:t>
      </w:r>
      <w:bookmarkEnd w:id="417"/>
      <w:bookmarkEnd w:id="418"/>
    </w:p>
    <w:p w:rsidR="00185636" w:rsidRDefault="00185636" w:rsidP="00185636">
      <w:pPr>
        <w:autoSpaceDE w:val="0"/>
        <w:autoSpaceDN w:val="0"/>
        <w:adjustRightInd w:val="0"/>
      </w:pPr>
      <w:r>
        <w:t>Tüketici haklarının korunmasını teminen; şikâyet ve başvuruları inceleyerek sonuçlandırma, piyasada faaliyet gösteren tüzel kişilerin tüketicilerine sundukları hizmetlerde uygulayacakları standart, usul ve esasları belirleme, enerji piyasasına ilişkin düzenlemeler ve uygulamalar konusunda kamuoyunu bilgilendirme ve tüketici bilinci oluşturmaya yönelik çalışmalar yürütülmektedir.</w:t>
      </w:r>
    </w:p>
    <w:p w:rsidR="00185636" w:rsidRDefault="00185636" w:rsidP="00185636">
      <w:pPr>
        <w:autoSpaceDE w:val="0"/>
        <w:autoSpaceDN w:val="0"/>
        <w:adjustRightInd w:val="0"/>
      </w:pPr>
      <w:r>
        <w:t>Kuruma gelen şikâyetlerin istatistiklerinin daha sağlıklı bir şekilde yapılabilmesi için EBYS’de bazı iyileştirmeler yapılmıştır. Böylelikle, Kuruma gelen şikâyetlere ilişkin çeşitli istatistiki veriler anlık olarak raporlanabilmektedir.</w:t>
      </w:r>
    </w:p>
    <w:p w:rsidR="00185636" w:rsidRDefault="00185636" w:rsidP="00185636">
      <w:pPr>
        <w:autoSpaceDE w:val="0"/>
        <w:autoSpaceDN w:val="0"/>
        <w:adjustRightInd w:val="0"/>
      </w:pPr>
      <w:r>
        <w:t>Kurum internet sayfasında sürekli güncellemeler yapılmakta olup, Tüketici Köşesine daha rahat erişim imkânı sağlanmıştır. Tüketici Köşesinde, elektrik dağıtım ve görevli tedarik şirketleri ile doğal</w:t>
      </w:r>
      <w:r w:rsidR="004A53A0">
        <w:t xml:space="preserve"> </w:t>
      </w:r>
      <w:r>
        <w:t xml:space="preserve">gaz dağıtım şirketlerine ait olan internet adresleri, çağrı merkezi telefonları gibi bilgilere daha hızlı ulaşım sağlanmıştır. </w:t>
      </w:r>
    </w:p>
    <w:p w:rsidR="00185636" w:rsidRDefault="00185636" w:rsidP="00AC30FD">
      <w:pPr>
        <w:autoSpaceDE w:val="0"/>
        <w:autoSpaceDN w:val="0"/>
        <w:adjustRightInd w:val="0"/>
      </w:pPr>
      <w:r>
        <w:t>Kuruma gelen şikayetlerin sayısının her geçen gün artması ve bu şikayetlerin muhatabı olan Elektrik Dağıtım ve Görevli Tedarik Şirketleri ve Doğal Gaz Dağıtım Şirketlerine şikayetlerin daha kolay ve hızlı iletilmesini sağlamak amacıyla muhatap şirketlere KEP adresi zorunluluğu getirilmiş, şikayetlerin bir Elektronik Yazışma Paketi (EYP) olarak lisans sahiplerine intikali sağlanmıştır. Böylelikle tüketici şikâyetlerinin daha hızlı bir şekilde çözüm adresine yönlendirilmesi ve müracaatçıya her aşamada SMS gönderilerek bilgilendirilmesi sağlanmış ve internet sayfası üzerinden T.C Kimlik numarası ile takip yapılabilmektedir. Dağıtım şirketlerinden gelen cevapların internet sayfasında müracaatçı tarafından görülmesi sağlanmıştır. Dağıtım şirketleri tarafından zamanında cevaplanmayan müracaatlar için şirketlere sistem üzerinden uyarı mesajı gönderilmektedir.</w:t>
      </w:r>
    </w:p>
    <w:p w:rsidR="00AC30FD" w:rsidRPr="0078671F" w:rsidRDefault="003100A3" w:rsidP="00D730CF">
      <w:pPr>
        <w:pStyle w:val="Balk2"/>
        <w:spacing w:after="240"/>
        <w:rPr>
          <w:rFonts w:asciiTheme="minorHAnsi" w:hAnsiTheme="minorHAnsi"/>
          <w:color w:val="auto"/>
          <w:sz w:val="22"/>
          <w:szCs w:val="22"/>
        </w:rPr>
      </w:pPr>
      <w:bookmarkStart w:id="419" w:name="_Toc447286883"/>
      <w:bookmarkStart w:id="420" w:name="_Toc132713856"/>
      <w:r w:rsidRPr="005A2C68">
        <w:rPr>
          <w:rFonts w:asciiTheme="minorHAnsi" w:hAnsiTheme="minorHAnsi"/>
          <w:color w:val="auto"/>
          <w:sz w:val="22"/>
          <w:szCs w:val="22"/>
        </w:rPr>
        <w:t>9.1.Tüketici Bilincinin Oluşturulması ve Geliştirilmesi</w:t>
      </w:r>
      <w:bookmarkEnd w:id="419"/>
      <w:bookmarkEnd w:id="420"/>
    </w:p>
    <w:p w:rsidR="00185636" w:rsidRPr="00185636" w:rsidRDefault="00185636" w:rsidP="00185636">
      <w:pPr>
        <w:spacing w:after="0"/>
        <w:rPr>
          <w:rFonts w:ascii="Calibri" w:hAnsi="Calibri"/>
        </w:rPr>
      </w:pPr>
      <w:bookmarkStart w:id="421" w:name="_Toc447286884"/>
      <w:r w:rsidRPr="00185636">
        <w:rPr>
          <w:rFonts w:ascii="Calibri" w:hAnsi="Calibri"/>
        </w:rPr>
        <w:t xml:space="preserve">Enerji piyasasına ilişkin düzenlemeler ve uygulamalar ile tüketicinin hak ve sorumlulukları konusunda tüketici bilinci oluşturmaya yönelik çalışmalar kapsamında; Kurumun internet sayfasında tüketici bölümüne yer verilmiştir. </w:t>
      </w:r>
    </w:p>
    <w:p w:rsidR="00185636" w:rsidRPr="00185636" w:rsidRDefault="00185636" w:rsidP="00185636">
      <w:pPr>
        <w:spacing w:after="0"/>
        <w:rPr>
          <w:rFonts w:ascii="Calibri" w:hAnsi="Calibri"/>
        </w:rPr>
      </w:pPr>
    </w:p>
    <w:p w:rsidR="00185636" w:rsidRPr="00185636" w:rsidRDefault="00185636" w:rsidP="00185636">
      <w:pPr>
        <w:spacing w:after="0"/>
        <w:rPr>
          <w:rFonts w:ascii="Calibri" w:hAnsi="Calibri"/>
        </w:rPr>
      </w:pPr>
      <w:r w:rsidRPr="00185636">
        <w:rPr>
          <w:rFonts w:ascii="Calibri" w:hAnsi="Calibri"/>
        </w:rPr>
        <w:t>Tüketici Köşesi, sektör bazında aşağıda belirtilen başlıkların tamamını ya da bir kısmını içerecek şekilde oluşturulmuştur:</w:t>
      </w:r>
    </w:p>
    <w:p w:rsidR="00185636" w:rsidRPr="00185636" w:rsidRDefault="00185636" w:rsidP="00185636">
      <w:pPr>
        <w:spacing w:after="0"/>
        <w:rPr>
          <w:rFonts w:ascii="Calibri" w:hAnsi="Calibri"/>
        </w:rPr>
      </w:pPr>
    </w:p>
    <w:p w:rsidR="00185636" w:rsidRPr="00185636" w:rsidRDefault="00185636" w:rsidP="000A5A56">
      <w:pPr>
        <w:numPr>
          <w:ilvl w:val="0"/>
          <w:numId w:val="5"/>
        </w:numPr>
        <w:spacing w:after="0"/>
        <w:contextualSpacing/>
        <w:jc w:val="left"/>
        <w:rPr>
          <w:rFonts w:ascii="Calibri" w:hAnsi="Calibri"/>
        </w:rPr>
      </w:pPr>
      <w:r w:rsidRPr="00185636">
        <w:rPr>
          <w:rFonts w:ascii="Calibri" w:hAnsi="Calibri"/>
        </w:rPr>
        <w:t>Mevzuat (İlgili piyasaya ilişkin tüketicileri doğrudan ilgilendiren mevzuata yer verilmiştir</w:t>
      </w:r>
      <w:r w:rsidR="009431EB">
        <w:rPr>
          <w:rFonts w:ascii="Calibri" w:hAnsi="Calibri"/>
        </w:rPr>
        <w:t>.</w:t>
      </w:r>
      <w:r w:rsidRPr="00185636">
        <w:rPr>
          <w:rFonts w:ascii="Calibri" w:hAnsi="Calibri"/>
        </w:rPr>
        <w:t>)</w:t>
      </w:r>
    </w:p>
    <w:p w:rsidR="00185636" w:rsidRPr="00185636" w:rsidRDefault="00185636" w:rsidP="000A5A56">
      <w:pPr>
        <w:numPr>
          <w:ilvl w:val="0"/>
          <w:numId w:val="5"/>
        </w:numPr>
        <w:spacing w:after="0"/>
        <w:contextualSpacing/>
        <w:jc w:val="left"/>
        <w:rPr>
          <w:rFonts w:ascii="Calibri" w:hAnsi="Calibri"/>
        </w:rPr>
      </w:pPr>
      <w:r w:rsidRPr="00185636">
        <w:rPr>
          <w:rFonts w:ascii="Calibri" w:hAnsi="Calibri"/>
        </w:rPr>
        <w:t>Piyasa ve Tüketici Hakları (Piyasa yapısı ve bu piyasada temel tüketici haklarının ne olduğuna ilişkin tanıtıma sunu şeklinde yer verilmiştir</w:t>
      </w:r>
      <w:r w:rsidR="009431EB">
        <w:rPr>
          <w:rFonts w:ascii="Calibri" w:hAnsi="Calibri"/>
        </w:rPr>
        <w:t>.</w:t>
      </w:r>
      <w:r w:rsidRPr="00185636">
        <w:rPr>
          <w:rFonts w:ascii="Calibri" w:hAnsi="Calibri"/>
        </w:rPr>
        <w:t>)</w:t>
      </w:r>
    </w:p>
    <w:p w:rsidR="00185636" w:rsidRPr="00185636" w:rsidRDefault="00185636" w:rsidP="000A5A56">
      <w:pPr>
        <w:numPr>
          <w:ilvl w:val="0"/>
          <w:numId w:val="5"/>
        </w:numPr>
        <w:spacing w:after="0"/>
        <w:contextualSpacing/>
        <w:jc w:val="left"/>
        <w:rPr>
          <w:rFonts w:ascii="Calibri" w:hAnsi="Calibri"/>
        </w:rPr>
      </w:pPr>
      <w:r w:rsidRPr="00185636">
        <w:rPr>
          <w:rFonts w:ascii="Calibri" w:hAnsi="Calibri"/>
        </w:rPr>
        <w:t>Tüketici Kılavuzu ve Sıkça Sorulan Sorular (Tüketicilerin sıkça sordukları sorulara ilişkin verilen yanıtlar ve tüketici haklarının kullanımına ilişkin açıklamaları içermektedir</w:t>
      </w:r>
      <w:r w:rsidR="009431EB">
        <w:rPr>
          <w:rFonts w:ascii="Calibri" w:hAnsi="Calibri"/>
        </w:rPr>
        <w:t>.</w:t>
      </w:r>
      <w:r w:rsidRPr="00185636">
        <w:rPr>
          <w:rFonts w:ascii="Calibri" w:hAnsi="Calibri"/>
        </w:rPr>
        <w:t>)</w:t>
      </w:r>
    </w:p>
    <w:p w:rsidR="00185636" w:rsidRPr="00185636" w:rsidRDefault="00185636" w:rsidP="000A5A56">
      <w:pPr>
        <w:numPr>
          <w:ilvl w:val="0"/>
          <w:numId w:val="5"/>
        </w:numPr>
        <w:spacing w:after="0"/>
        <w:contextualSpacing/>
        <w:jc w:val="left"/>
        <w:rPr>
          <w:rFonts w:ascii="Calibri" w:hAnsi="Calibri"/>
        </w:rPr>
      </w:pPr>
      <w:r w:rsidRPr="00185636">
        <w:rPr>
          <w:rFonts w:ascii="Calibri" w:hAnsi="Calibri"/>
        </w:rPr>
        <w:t>Geçmiş Dönem Uygulanan Ulusal Tarifeler ve Diğer Ülke Uygulamaları (Elektrik piyasasında serbest olamayan tüketicilere uygulanan fiyatlar ile diğer ülkelerde uygulan fiyatlar verilmiştir, doğal gaz dağıtım şirketlerinin uyguladıkları fiyatlara doğrudan erişim sağlanmıştır</w:t>
      </w:r>
      <w:r w:rsidR="009431EB">
        <w:rPr>
          <w:rFonts w:ascii="Calibri" w:hAnsi="Calibri"/>
        </w:rPr>
        <w:t>.</w:t>
      </w:r>
      <w:r w:rsidRPr="00185636">
        <w:rPr>
          <w:rFonts w:ascii="Calibri" w:hAnsi="Calibri"/>
        </w:rPr>
        <w:t>)</w:t>
      </w:r>
    </w:p>
    <w:p w:rsidR="00185636" w:rsidRPr="00185636" w:rsidRDefault="00185636" w:rsidP="000A5A56">
      <w:pPr>
        <w:numPr>
          <w:ilvl w:val="0"/>
          <w:numId w:val="5"/>
        </w:numPr>
        <w:spacing w:after="0"/>
        <w:contextualSpacing/>
        <w:jc w:val="left"/>
        <w:rPr>
          <w:rFonts w:ascii="Calibri" w:hAnsi="Calibri"/>
        </w:rPr>
      </w:pPr>
      <w:r w:rsidRPr="00185636">
        <w:rPr>
          <w:rFonts w:ascii="Calibri" w:hAnsi="Calibri"/>
        </w:rPr>
        <w:t>Fatura Hesaplama Modülü (Elektrik tüketicilerinin fatura kontrollerini yapmasına imkân tanıyan fiyat modülüne yer verilmiştir</w:t>
      </w:r>
      <w:r w:rsidR="009431EB">
        <w:rPr>
          <w:rFonts w:ascii="Calibri" w:hAnsi="Calibri"/>
        </w:rPr>
        <w:t>.</w:t>
      </w:r>
      <w:r w:rsidRPr="00185636">
        <w:rPr>
          <w:rFonts w:ascii="Calibri" w:hAnsi="Calibri"/>
        </w:rPr>
        <w:t>)</w:t>
      </w:r>
    </w:p>
    <w:p w:rsidR="00185636" w:rsidRPr="00185636" w:rsidRDefault="00185636" w:rsidP="000A5A56">
      <w:pPr>
        <w:numPr>
          <w:ilvl w:val="0"/>
          <w:numId w:val="5"/>
        </w:numPr>
        <w:spacing w:after="0"/>
        <w:contextualSpacing/>
        <w:jc w:val="left"/>
        <w:rPr>
          <w:rFonts w:ascii="Calibri" w:hAnsi="Calibri"/>
        </w:rPr>
      </w:pPr>
      <w:r w:rsidRPr="00185636">
        <w:rPr>
          <w:rFonts w:ascii="Calibri" w:hAnsi="Calibri"/>
        </w:rPr>
        <w:t>Dağıtım Şirketlerinin İletişim Adresleri (Elektrik ve Doğal Gaz Dağıtım Şirketlerinin Web Adresi, Çağrı Merkezi, İstek/Şikâyet ve e-posta adreslerini içermektedir</w:t>
      </w:r>
      <w:r w:rsidR="009431EB">
        <w:rPr>
          <w:rFonts w:ascii="Calibri" w:hAnsi="Calibri"/>
        </w:rPr>
        <w:t>.</w:t>
      </w:r>
      <w:r w:rsidRPr="00185636">
        <w:rPr>
          <w:rFonts w:ascii="Calibri" w:hAnsi="Calibri"/>
        </w:rPr>
        <w:t>)</w:t>
      </w:r>
    </w:p>
    <w:p w:rsidR="00185636" w:rsidRPr="00185636" w:rsidRDefault="00185636" w:rsidP="000A5A56">
      <w:pPr>
        <w:numPr>
          <w:ilvl w:val="0"/>
          <w:numId w:val="5"/>
        </w:numPr>
        <w:spacing w:after="0"/>
        <w:contextualSpacing/>
        <w:jc w:val="left"/>
        <w:rPr>
          <w:rFonts w:ascii="Calibri" w:hAnsi="Calibri"/>
        </w:rPr>
      </w:pPr>
      <w:r w:rsidRPr="00185636">
        <w:rPr>
          <w:rFonts w:ascii="Calibri" w:hAnsi="Calibri"/>
        </w:rPr>
        <w:t>Görevli Tedarik Şirketlerinin İletişim Adresleri (Elektrik Görevli Tedarik Şirketlerinin Web Adresi, Çağrı Merkezi, İstek/Şikâyet ve e-posta adresleri içermektedir</w:t>
      </w:r>
      <w:r w:rsidR="009431EB">
        <w:rPr>
          <w:rFonts w:ascii="Calibri" w:hAnsi="Calibri"/>
        </w:rPr>
        <w:t>.</w:t>
      </w:r>
      <w:r w:rsidRPr="00185636">
        <w:rPr>
          <w:rFonts w:ascii="Calibri" w:hAnsi="Calibri"/>
        </w:rPr>
        <w:t>)</w:t>
      </w:r>
    </w:p>
    <w:p w:rsidR="00185636" w:rsidRDefault="00185636" w:rsidP="000A5A56">
      <w:pPr>
        <w:numPr>
          <w:ilvl w:val="0"/>
          <w:numId w:val="5"/>
        </w:numPr>
        <w:spacing w:after="240"/>
        <w:ind w:left="1423" w:hanging="357"/>
        <w:contextualSpacing/>
        <w:jc w:val="left"/>
        <w:rPr>
          <w:rFonts w:ascii="Calibri" w:hAnsi="Calibri"/>
        </w:rPr>
      </w:pPr>
      <w:r w:rsidRPr="00185636">
        <w:rPr>
          <w:rFonts w:ascii="Calibri" w:hAnsi="Calibri"/>
        </w:rPr>
        <w:t>Şikâyet ve Bilgi Edinme (Tüketicilerin şikâyet ve bilgi edinme taleplerine yanıt verecek aktif bir modüle yer verilmiştir</w:t>
      </w:r>
      <w:r w:rsidR="009431EB">
        <w:rPr>
          <w:rFonts w:ascii="Calibri" w:hAnsi="Calibri"/>
        </w:rPr>
        <w:t>.</w:t>
      </w:r>
      <w:r w:rsidRPr="00185636">
        <w:rPr>
          <w:rFonts w:ascii="Calibri" w:hAnsi="Calibri"/>
        </w:rPr>
        <w:t>)</w:t>
      </w:r>
    </w:p>
    <w:p w:rsidR="00185636" w:rsidRPr="00185636" w:rsidRDefault="00185636" w:rsidP="00185636">
      <w:pPr>
        <w:spacing w:after="240"/>
        <w:ind w:left="1423"/>
        <w:contextualSpacing/>
        <w:jc w:val="left"/>
        <w:rPr>
          <w:rFonts w:ascii="Calibri" w:hAnsi="Calibri"/>
        </w:rPr>
      </w:pPr>
    </w:p>
    <w:p w:rsidR="00185636" w:rsidRPr="00185636" w:rsidRDefault="00185636" w:rsidP="00185636">
      <w:pPr>
        <w:spacing w:after="240"/>
        <w:rPr>
          <w:rFonts w:ascii="Calibri" w:hAnsi="Calibri"/>
        </w:rPr>
      </w:pPr>
      <w:r w:rsidRPr="00185636">
        <w:rPr>
          <w:rFonts w:ascii="Calibri" w:hAnsi="Calibri"/>
        </w:rPr>
        <w:t>Tüketici şikayetlerine ilişkin internet sayfası üzerinden müracaat modülü yenilenmiş, T.C kimlik üzerinden yapılan müracaatlarda, müracaatın alınması ve şirketlere gönderilmesi aşamalarında müracaatçıya SMS gönderilmesi ve müracaatçının internet sayfası üzerinden takibini yapabilmesi sağlanmıştır.</w:t>
      </w:r>
    </w:p>
    <w:p w:rsidR="000803DF" w:rsidRPr="0078671F" w:rsidRDefault="003100A3" w:rsidP="00D730CF">
      <w:pPr>
        <w:pStyle w:val="Balk2"/>
        <w:spacing w:after="240"/>
        <w:rPr>
          <w:rFonts w:asciiTheme="minorHAnsi" w:hAnsiTheme="minorHAnsi"/>
          <w:color w:val="auto"/>
          <w:sz w:val="22"/>
          <w:szCs w:val="22"/>
        </w:rPr>
      </w:pPr>
      <w:bookmarkStart w:id="422" w:name="_Toc132713857"/>
      <w:r w:rsidRPr="005A2C68">
        <w:rPr>
          <w:rFonts w:asciiTheme="minorHAnsi" w:hAnsiTheme="minorHAnsi"/>
          <w:color w:val="auto"/>
          <w:sz w:val="22"/>
          <w:szCs w:val="22"/>
        </w:rPr>
        <w:t>9.2.Tüketici Şikâyetlerinin Değerlendirilmesi</w:t>
      </w:r>
      <w:bookmarkEnd w:id="421"/>
      <w:bookmarkEnd w:id="422"/>
    </w:p>
    <w:p w:rsidR="00185636" w:rsidRPr="00185636" w:rsidRDefault="00185636" w:rsidP="00185636">
      <w:pPr>
        <w:spacing w:after="0"/>
      </w:pPr>
      <w:r w:rsidRPr="00185636">
        <w:t>Lisans sahibi tüzel kişiler, tüketiciler ve kullanıcılarla olan ilişkilerinde mevzuat çerçevesinde belirlenen yükümlülüklerini yerine getirirken faaliyet konularına ilişkin ihbar ve şikâyetleri hızlı bir şekilde değerlendirerek çözmek ve/veya çözüme yönelik düzenlemelerin yapılmasını sağlamak zorundadır.</w:t>
      </w:r>
    </w:p>
    <w:p w:rsidR="00185636" w:rsidRPr="00185636" w:rsidRDefault="00185636" w:rsidP="00185636">
      <w:pPr>
        <w:spacing w:after="0"/>
      </w:pPr>
    </w:p>
    <w:p w:rsidR="00185636" w:rsidRPr="00185636" w:rsidRDefault="00185636" w:rsidP="00185636">
      <w:pPr>
        <w:spacing w:after="0"/>
      </w:pPr>
      <w:r w:rsidRPr="00185636">
        <w:t xml:space="preserve">Tüketiciler, hizmet veren şirketlere yaptıkları başvurularda yeterli veya tatmin edici cevap alamadıkları takdirde Kuruma başvurma hakkına sahiptirler. Bu şekilde Kuruma ulaşan başvurular, konu ile ilgili tüzel kişi ile yapılan yazışmalar ile birlikte değerlendirmeye alınmakta ve mevzuat çerçevesinde incelenerek sonuçlandırılmaktadır. </w:t>
      </w:r>
    </w:p>
    <w:p w:rsidR="00185636" w:rsidRPr="00185636" w:rsidRDefault="00185636" w:rsidP="00185636">
      <w:pPr>
        <w:spacing w:after="0"/>
      </w:pPr>
    </w:p>
    <w:p w:rsidR="00185636" w:rsidRPr="00185636" w:rsidRDefault="00185636" w:rsidP="00185636">
      <w:pPr>
        <w:spacing w:after="0"/>
      </w:pPr>
      <w:r w:rsidRPr="00185636">
        <w:t xml:space="preserve">İlgili mevzuat çerçevesinde piyasalarda faaliyet gösteren lisans sahibi tüzel kişilerin yükümlülüklerinin izlenmesinde, gerekli düzenlemelerin hızlı yapılmasının sağlanmasında tüketici ve kullanıcıların istem ve şikâyette bulunması yollarının yeterli, açık ve kolay olması oldukça önemlidir. </w:t>
      </w:r>
    </w:p>
    <w:p w:rsidR="00185636" w:rsidRPr="00185636" w:rsidRDefault="00185636" w:rsidP="00185636">
      <w:pPr>
        <w:spacing w:after="0"/>
      </w:pPr>
      <w:r w:rsidRPr="00185636">
        <w:t xml:space="preserve"> </w:t>
      </w:r>
    </w:p>
    <w:p w:rsidR="003100A3" w:rsidRDefault="00185636" w:rsidP="00185636">
      <w:pPr>
        <w:spacing w:after="0"/>
      </w:pPr>
      <w:r w:rsidRPr="00185636">
        <w:t>Bu çerçevede, Kurum tarafından farklı kanallardan iletilen şikayetlerin ilgili tarafa hızlı bir şekilde iletilmesi, şikayetlerin çözümünün izlenmesi ve gerekmesi halinde denetiminin yapılmasına ilişkin çalışmalar devam etmektedir</w:t>
      </w:r>
      <w:r>
        <w:t>.</w:t>
      </w:r>
    </w:p>
    <w:p w:rsidR="000803DF" w:rsidRPr="0078671F" w:rsidRDefault="003100A3" w:rsidP="00D730CF">
      <w:pPr>
        <w:pStyle w:val="Balk3"/>
        <w:spacing w:after="240"/>
        <w:rPr>
          <w:rFonts w:asciiTheme="minorHAnsi" w:hAnsiTheme="minorHAnsi"/>
          <w:color w:val="auto"/>
        </w:rPr>
      </w:pPr>
      <w:bookmarkStart w:id="423" w:name="_Toc440363414"/>
      <w:bookmarkStart w:id="424" w:name="_Toc440363441"/>
      <w:bookmarkStart w:id="425" w:name="_Toc440364102"/>
      <w:bookmarkStart w:id="426" w:name="_Toc447286885"/>
      <w:bookmarkStart w:id="427" w:name="_Toc132713858"/>
      <w:r w:rsidRPr="005A2C68">
        <w:rPr>
          <w:rFonts w:asciiTheme="minorHAnsi" w:hAnsiTheme="minorHAnsi"/>
          <w:color w:val="auto"/>
        </w:rPr>
        <w:t>9.2.1</w:t>
      </w:r>
      <w:r w:rsidRPr="00FA1354">
        <w:rPr>
          <w:rFonts w:asciiTheme="minorHAnsi" w:hAnsiTheme="minorHAnsi"/>
          <w:color w:val="auto"/>
        </w:rPr>
        <w:t>. Bilgi Edinme Şikâyet Sayısı ve Kanalları</w:t>
      </w:r>
      <w:bookmarkEnd w:id="423"/>
      <w:bookmarkEnd w:id="424"/>
      <w:bookmarkEnd w:id="425"/>
      <w:bookmarkEnd w:id="426"/>
      <w:bookmarkEnd w:id="427"/>
    </w:p>
    <w:p w:rsidR="00585879" w:rsidRDefault="00585879" w:rsidP="00585879">
      <w:pPr>
        <w:spacing w:after="315" w:line="269" w:lineRule="auto"/>
        <w:ind w:hanging="9"/>
      </w:pPr>
      <w:r>
        <w:t xml:space="preserve">Kurum ilgili Dairelerince 2022 yılında Şikâyet başlığı altında 211.367 adet ve Bilgi Edinme başlığı altında 2139 adet olmak üzere toplam 213.506 adet bildirim işlem görmüştür. </w:t>
      </w:r>
    </w:p>
    <w:p w:rsidR="00585879" w:rsidRDefault="00585879" w:rsidP="00585879">
      <w:pPr>
        <w:spacing w:after="5" w:line="269" w:lineRule="auto"/>
        <w:ind w:hanging="9"/>
      </w:pPr>
      <w:r>
        <w:t>Şikâyet başlığı altında işlem gören bildirimlerin aylar itibarıyla yüzdesel dağılımı aşağıda verilmektedir.</w:t>
      </w:r>
    </w:p>
    <w:p w:rsidR="000C39D5" w:rsidRDefault="000C39D5" w:rsidP="000C39D5">
      <w:pPr>
        <w:pStyle w:val="Balk5"/>
        <w:spacing w:before="0"/>
        <w:jc w:val="center"/>
        <w:rPr>
          <w:rStyle w:val="Gl"/>
          <w:color w:val="auto"/>
        </w:rPr>
      </w:pPr>
    </w:p>
    <w:p w:rsidR="000C39D5" w:rsidRDefault="00585879" w:rsidP="000C39D5">
      <w:pPr>
        <w:pStyle w:val="Balk5"/>
        <w:spacing w:before="0"/>
        <w:jc w:val="center"/>
        <w:rPr>
          <w:rStyle w:val="Gl"/>
          <w:color w:val="auto"/>
        </w:rPr>
      </w:pPr>
      <w:bookmarkStart w:id="428" w:name="_Toc132713957"/>
      <w:r w:rsidRPr="00585879">
        <w:rPr>
          <w:rStyle w:val="Gl"/>
          <w:color w:val="auto"/>
        </w:rPr>
        <w:t>Şekil 9.1: Şikâyet Başlığı Altında İşlem Gören Bildirimlerin 202</w:t>
      </w:r>
      <w:r w:rsidR="00D3384C">
        <w:rPr>
          <w:rStyle w:val="Gl"/>
          <w:color w:val="auto"/>
        </w:rPr>
        <w:t>2</w:t>
      </w:r>
      <w:r w:rsidRPr="00585879">
        <w:rPr>
          <w:rStyle w:val="Gl"/>
          <w:color w:val="auto"/>
        </w:rPr>
        <w:t xml:space="preserve"> Yılı Aylar İtibarıyla Yüzdesel Dağılımı</w:t>
      </w:r>
      <w:bookmarkEnd w:id="428"/>
    </w:p>
    <w:p w:rsidR="000C39D5" w:rsidRPr="000C39D5" w:rsidRDefault="000C39D5" w:rsidP="000C39D5"/>
    <w:p w:rsidR="00585879" w:rsidRDefault="00585879" w:rsidP="00D3384C">
      <w:pPr>
        <w:spacing w:after="804"/>
        <w:jc w:val="center"/>
      </w:pPr>
      <w:r>
        <w:rPr>
          <w:noProof/>
          <w:lang w:eastAsia="tr-TR"/>
        </w:rPr>
        <w:drawing>
          <wp:inline distT="0" distB="0" distL="0" distR="0" wp14:anchorId="00C6EEE1" wp14:editId="0F576AA8">
            <wp:extent cx="5241851" cy="2349796"/>
            <wp:effectExtent l="0" t="0" r="16510" b="12700"/>
            <wp:docPr id="9" name="Grafik 9">
              <a:extLst xmlns:a="http://schemas.openxmlformats.org/drawingml/2006/main">
                <a:ext uri="{FF2B5EF4-FFF2-40B4-BE49-F238E27FC236}">
                  <a16:creationId xmlns:a16="http://schemas.microsoft.com/office/drawing/2014/main" id="{4A3D5C7C-78C6-4767-86F5-91009F1DA38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585879" w:rsidRDefault="00585879" w:rsidP="00585879">
      <w:pPr>
        <w:spacing w:after="305" w:line="268" w:lineRule="auto"/>
        <w:ind w:left="10" w:hanging="10"/>
      </w:pPr>
      <w:r>
        <w:lastRenderedPageBreak/>
        <w:t>Şikâyet başlığı altındaki bildirimlerin aylık gerçekleşmelerine bakıldığında en büyük payın %13 ile</w:t>
      </w:r>
      <w:r w:rsidR="000C39D5">
        <w:t xml:space="preserve"> </w:t>
      </w:r>
      <w:r>
        <w:t>Ocak ayına ait olduğu, bu ayı Mart ve Kasım aylarının izlediği görülmektedir.</w:t>
      </w:r>
    </w:p>
    <w:p w:rsidR="00585879" w:rsidRDefault="00585879" w:rsidP="00585879">
      <w:pPr>
        <w:spacing w:after="315" w:line="269" w:lineRule="auto"/>
        <w:ind w:hanging="9"/>
      </w:pPr>
      <w:r>
        <w:t xml:space="preserve">Bildirimlerin Kuruma iletilmesinde, CİMER, Bakanlık, Kurum web sayfası (Form) ve Kurum Genel Evrak kanalları kullanılmaktadır. </w:t>
      </w:r>
    </w:p>
    <w:p w:rsidR="00585879" w:rsidRDefault="00585879" w:rsidP="00585879">
      <w:pPr>
        <w:spacing w:after="315" w:line="269" w:lineRule="auto"/>
        <w:ind w:hanging="9"/>
      </w:pPr>
      <w:r>
        <w:t xml:space="preserve">2022 yılında toplam tüm kanallar kullanılmak suretiyle Şikâyet başlığı altında 211.367 adet müracaat Kuruma intikal etmiştir. CİMER müracaatı 183.879 adet (%87), Kurum web(form) sayfasından müracaat 26.787 adet (%12,7), ETKB kanalı ile müracaat 263 adet, Genel Evrak kanalı ile müracaat 364 adet ve diğer kanallar ile müracaat 74 adettir. </w:t>
      </w:r>
    </w:p>
    <w:p w:rsidR="00585879" w:rsidRDefault="00585879" w:rsidP="00585879">
      <w:pPr>
        <w:spacing w:after="315" w:line="269" w:lineRule="auto"/>
        <w:ind w:hanging="9"/>
      </w:pPr>
      <w:r>
        <w:t>2022 yılında Kuruma 2139 adet Bilgi Edinme müracaatı yapılmıştır. Şikâyet ve Bilgi Edinme müracaatı toplamı 2022 yılı sonu itibarıyla 21.506 adettir.</w:t>
      </w:r>
    </w:p>
    <w:p w:rsidR="00585879" w:rsidRDefault="00585879" w:rsidP="00585879">
      <w:pPr>
        <w:spacing w:after="305" w:line="268" w:lineRule="auto"/>
        <w:ind w:left="10" w:hanging="10"/>
      </w:pPr>
      <w:r>
        <w:t>2022 yılında 211.367 adet müracaat ilgili şirketlere değerlendirilmek ve gereği için gönderilmiştir. Şikâyet kanallarına göre gerçekleşmelerin yüzdesel dağılımı aşağıdaki grafikte verilmektedir.</w:t>
      </w:r>
    </w:p>
    <w:p w:rsidR="00585879" w:rsidRPr="00585879" w:rsidRDefault="00585879" w:rsidP="00DA36B3">
      <w:pPr>
        <w:pStyle w:val="Balk5"/>
        <w:spacing w:before="120" w:after="120" w:line="240" w:lineRule="auto"/>
        <w:jc w:val="center"/>
        <w:rPr>
          <w:rStyle w:val="Gl"/>
          <w:color w:val="auto"/>
        </w:rPr>
      </w:pPr>
      <w:bookmarkStart w:id="429" w:name="_Toc132713958"/>
      <w:r w:rsidRPr="00585879">
        <w:rPr>
          <w:rStyle w:val="Gl"/>
          <w:color w:val="auto"/>
        </w:rPr>
        <w:t>Şekil 9.2: Şikâyet Bildirimlerinin Şikâyet Kanallarına Göre Yüzdesel Dağılımı</w:t>
      </w:r>
      <w:bookmarkEnd w:id="429"/>
    </w:p>
    <w:p w:rsidR="00585879" w:rsidRDefault="00585879" w:rsidP="00DA36B3">
      <w:pPr>
        <w:spacing w:before="120" w:after="120"/>
        <w:jc w:val="center"/>
      </w:pPr>
      <w:r>
        <w:rPr>
          <w:noProof/>
          <w:lang w:eastAsia="tr-TR"/>
        </w:rPr>
        <w:drawing>
          <wp:inline distT="0" distB="0" distL="0" distR="0" wp14:anchorId="6BC060E2" wp14:editId="4E51ABB9">
            <wp:extent cx="5037128" cy="2637489"/>
            <wp:effectExtent l="0" t="0" r="11430" b="10795"/>
            <wp:docPr id="12" name="Grafik 12">
              <a:extLst xmlns:a="http://schemas.openxmlformats.org/drawingml/2006/main">
                <a:ext uri="{FF2B5EF4-FFF2-40B4-BE49-F238E27FC236}">
                  <a16:creationId xmlns:a16="http://schemas.microsoft.com/office/drawing/2014/main" id="{BBFA0620-010B-4D32-B4ED-FF641168957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0C39D5" w:rsidRDefault="000C39D5" w:rsidP="00DA36B3">
      <w:pPr>
        <w:spacing w:before="120" w:after="120" w:line="269" w:lineRule="auto"/>
        <w:ind w:hanging="9"/>
      </w:pPr>
    </w:p>
    <w:p w:rsidR="00585879" w:rsidRDefault="00585879" w:rsidP="00DA36B3">
      <w:pPr>
        <w:spacing w:before="120" w:after="120" w:line="269" w:lineRule="auto"/>
        <w:ind w:hanging="9"/>
      </w:pPr>
      <w:r>
        <w:t>Şikâyet Bildirimlerinin %87’i CİMER üzerinden yapılmıştır. CİMER’den sonra en fazla bildirim, %12</w:t>
      </w:r>
      <w:r w:rsidR="000C39D5">
        <w:t>,</w:t>
      </w:r>
      <w:r>
        <w:t>7 ile Kurum web sayfası (Form) kanalı ile gerçekleştirilmiştir. EPDK web sayfasını sırasıyla ETKB, EPDK Genel Evrak ve Diğer kanalları takip etmektedir.</w:t>
      </w:r>
    </w:p>
    <w:p w:rsidR="00585879" w:rsidRDefault="00585879" w:rsidP="00D3384C">
      <w:pPr>
        <w:pStyle w:val="Balk3"/>
        <w:spacing w:after="240"/>
      </w:pPr>
      <w:bookmarkStart w:id="430" w:name="_Toc132713859"/>
      <w:r w:rsidRPr="00D3384C">
        <w:rPr>
          <w:rFonts w:asciiTheme="minorHAnsi" w:hAnsiTheme="minorHAnsi"/>
          <w:color w:val="auto"/>
        </w:rPr>
        <w:t>9.2.2. Şikâyet Bildirimlerinin Sektörel Dağılımı</w:t>
      </w:r>
      <w:bookmarkEnd w:id="430"/>
    </w:p>
    <w:p w:rsidR="00585879" w:rsidRDefault="00585879" w:rsidP="00585879">
      <w:pPr>
        <w:spacing w:after="315" w:line="269" w:lineRule="auto"/>
        <w:ind w:hanging="9"/>
      </w:pPr>
      <w:r>
        <w:t>Şikâyet kategorisi altında iletilen bildirimler tüketici haklarının korunması ile tüketici şikâyetlerinin incelenmesi çerçevesinde Elektrik Piyasası, Doğal Gaz Piyasası, Petrol Piyasası ve Sıvılaştırılmış Petrol Gazları Piyasası (LPG) olarak ayrıştırılmıştır. Bu sektörlere ait şikâyet bildirimlerinin yüzdesel dağılımı aşağıdaki grafikte verilmektedir.</w:t>
      </w:r>
    </w:p>
    <w:p w:rsidR="00045A80" w:rsidRDefault="00045A80" w:rsidP="000C39D5">
      <w:pPr>
        <w:spacing w:after="315" w:line="269" w:lineRule="auto"/>
      </w:pPr>
    </w:p>
    <w:p w:rsidR="00585879" w:rsidRPr="008102B6" w:rsidRDefault="00585879" w:rsidP="008102B6">
      <w:pPr>
        <w:pStyle w:val="Balk5"/>
        <w:spacing w:before="120" w:after="120" w:line="240" w:lineRule="auto"/>
        <w:jc w:val="center"/>
        <w:rPr>
          <w:rStyle w:val="Gl"/>
          <w:color w:val="auto"/>
        </w:rPr>
      </w:pPr>
      <w:bookmarkStart w:id="431" w:name="_Toc132713959"/>
      <w:r w:rsidRPr="008102B6">
        <w:rPr>
          <w:rStyle w:val="Gl"/>
          <w:color w:val="auto"/>
        </w:rPr>
        <w:lastRenderedPageBreak/>
        <w:t>Şekil 9.3: Şikâyet Bildirimlerinin Sektörel Dağılımı</w:t>
      </w:r>
      <w:bookmarkEnd w:id="431"/>
    </w:p>
    <w:p w:rsidR="00585879" w:rsidRDefault="00585879" w:rsidP="00585879">
      <w:pPr>
        <w:spacing w:after="0"/>
        <w:ind w:left="1346"/>
      </w:pPr>
    </w:p>
    <w:p w:rsidR="00585879" w:rsidRDefault="00585879" w:rsidP="00585879">
      <w:pPr>
        <w:spacing w:after="0"/>
        <w:ind w:left="1346"/>
      </w:pPr>
      <w:r>
        <w:rPr>
          <w:noProof/>
          <w:lang w:eastAsia="tr-TR"/>
        </w:rPr>
        <w:drawing>
          <wp:inline distT="0" distB="0" distL="0" distR="0" wp14:anchorId="2E35A828" wp14:editId="5B80D91A">
            <wp:extent cx="4572000" cy="2743200"/>
            <wp:effectExtent l="0" t="0" r="0" b="0"/>
            <wp:docPr id="13" name="Grafik 13">
              <a:extLst xmlns:a="http://schemas.openxmlformats.org/drawingml/2006/main">
                <a:ext uri="{FF2B5EF4-FFF2-40B4-BE49-F238E27FC236}">
                  <a16:creationId xmlns:a16="http://schemas.microsoft.com/office/drawing/2014/main" id="{B887A6CC-24D5-46CF-8512-508B75E1AE4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0C39D5" w:rsidRDefault="000C39D5" w:rsidP="00045A80">
      <w:pPr>
        <w:spacing w:before="120" w:after="120" w:line="269" w:lineRule="auto"/>
        <w:ind w:hanging="11"/>
      </w:pPr>
    </w:p>
    <w:p w:rsidR="00585879" w:rsidRDefault="00585879" w:rsidP="00045A80">
      <w:pPr>
        <w:spacing w:before="120" w:after="120" w:line="269" w:lineRule="auto"/>
        <w:ind w:hanging="11"/>
      </w:pPr>
      <w:r>
        <w:t xml:space="preserve">Şikayetlerin sektörel dağılımında 151.943adet (%71,9) ile en fazla paya sahip olan sektör elektrik sektörüdür. Elektrik sektörünü 41.516 adet (%19,6) ile doğal gaz sektörü, 8.078 adet (%3,8) ile diğer, 8.988 adet (%4,3) ile petrol sektörü ve 843 adet (%0,4) ile sıvılaştırılmış petrol gazları sektörü izlemiştir. Özellikle elektrik ve doğal gaz sektörlerine ait bu oranlar yorumlandığında elektrik ve doğal gaz sektöründe 2022 yılında toplam 67 milyondan fazla tüketicinin/abonenin (serbest ve serbest olmayan) olduğu hususu dikkate alınmalıdır. </w:t>
      </w:r>
    </w:p>
    <w:p w:rsidR="00585879" w:rsidRDefault="00585879" w:rsidP="00585879">
      <w:pPr>
        <w:spacing w:after="305" w:line="268" w:lineRule="auto"/>
        <w:ind w:left="10" w:hanging="10"/>
      </w:pPr>
      <w:r>
        <w:t xml:space="preserve">Kurum yazışma sistemi içine alınan bildirimlerin tamamı sektör dairelerine gönderilmemektedir. Kurum tarafından doğrudan incelenmeye alınmayan ve şirketler tarafından cevaplanması ve değerlendirilmesi gereken şikayetler ilgili şirketlere yollanmaktadır. </w:t>
      </w:r>
    </w:p>
    <w:p w:rsidR="00585879" w:rsidRDefault="00585879" w:rsidP="00585879">
      <w:pPr>
        <w:spacing w:after="315" w:line="269" w:lineRule="auto"/>
        <w:ind w:hanging="9"/>
      </w:pPr>
      <w:r>
        <w:t>Aşağıdaki grafikte Kurum yazışma sistemi içine alınan ve doğrudan kurum dışına yönlendirilen şikâyetlerin oranları gösterilmektedir.</w:t>
      </w:r>
    </w:p>
    <w:p w:rsidR="00585879" w:rsidRPr="008102B6" w:rsidRDefault="00585879" w:rsidP="008102B6">
      <w:pPr>
        <w:pStyle w:val="Balk5"/>
        <w:spacing w:before="120" w:after="120" w:line="240" w:lineRule="auto"/>
        <w:jc w:val="center"/>
        <w:rPr>
          <w:rStyle w:val="Gl"/>
          <w:color w:val="auto"/>
        </w:rPr>
      </w:pPr>
      <w:r w:rsidRPr="008102B6">
        <w:rPr>
          <w:rStyle w:val="Gl"/>
          <w:color w:val="auto"/>
        </w:rPr>
        <w:t xml:space="preserve"> </w:t>
      </w:r>
      <w:bookmarkStart w:id="432" w:name="_Toc132713960"/>
      <w:r w:rsidRPr="008102B6">
        <w:rPr>
          <w:rStyle w:val="Gl"/>
          <w:color w:val="auto"/>
        </w:rPr>
        <w:t>Şekil 9.4: Şikâyet Bildirimlerinin Gönderildikleri Yerlere Göre Dağılımı</w:t>
      </w:r>
      <w:bookmarkEnd w:id="432"/>
    </w:p>
    <w:p w:rsidR="00585879" w:rsidRDefault="00585879" w:rsidP="00585879">
      <w:pPr>
        <w:spacing w:after="285"/>
        <w:ind w:left="1826"/>
      </w:pPr>
      <w:r>
        <w:rPr>
          <w:noProof/>
          <w:lang w:eastAsia="tr-TR"/>
        </w:rPr>
        <w:drawing>
          <wp:inline distT="0" distB="0" distL="0" distR="0" wp14:anchorId="79159ABA" wp14:editId="4CDDBB12">
            <wp:extent cx="4022303" cy="2632203"/>
            <wp:effectExtent l="0" t="0" r="16510" b="15875"/>
            <wp:docPr id="15" name="Grafik 15">
              <a:extLst xmlns:a="http://schemas.openxmlformats.org/drawingml/2006/main">
                <a:ext uri="{FF2B5EF4-FFF2-40B4-BE49-F238E27FC236}">
                  <a16:creationId xmlns:a16="http://schemas.microsoft.com/office/drawing/2014/main" id="{BBDC4004-FC50-4465-A137-A0F06EF6772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585879" w:rsidRDefault="00585879" w:rsidP="00045A80">
      <w:pPr>
        <w:spacing w:before="120" w:after="120" w:line="269" w:lineRule="auto"/>
        <w:ind w:hanging="9"/>
      </w:pPr>
      <w:r>
        <w:lastRenderedPageBreak/>
        <w:t>Kurum yazışma sistemi içine alınan şikâyetlerin en büyük kısmı %37’lik oranla elektrik dağıtım şirketlerine, %14’l</w:t>
      </w:r>
      <w:r w:rsidR="000C39D5">
        <w:t>ü</w:t>
      </w:r>
      <w:r>
        <w:t>k kısmı elektrik görevli tedarik şirketlerine, %17’l</w:t>
      </w:r>
      <w:r w:rsidR="000C39D5">
        <w:t>i</w:t>
      </w:r>
      <w:r>
        <w:t>k kısmı doğal gaz ve %32’l</w:t>
      </w:r>
      <w:r w:rsidR="000C39D5">
        <w:t>i</w:t>
      </w:r>
      <w:r>
        <w:t>k kısmı Kurum sektör dairelerine gönderilmiştir.</w:t>
      </w:r>
    </w:p>
    <w:p w:rsidR="00585879" w:rsidRPr="00D3384C" w:rsidRDefault="00585879" w:rsidP="00045A80">
      <w:pPr>
        <w:pStyle w:val="Balk3"/>
        <w:spacing w:before="120" w:after="120"/>
        <w:rPr>
          <w:rFonts w:asciiTheme="minorHAnsi" w:hAnsiTheme="minorHAnsi"/>
          <w:color w:val="auto"/>
        </w:rPr>
      </w:pPr>
      <w:bookmarkStart w:id="433" w:name="_Toc132713860"/>
      <w:r w:rsidRPr="00D3384C">
        <w:rPr>
          <w:rFonts w:asciiTheme="minorHAnsi" w:hAnsiTheme="minorHAnsi"/>
          <w:color w:val="auto"/>
        </w:rPr>
        <w:t>9.2.3. Elektrik Sektörüne Ait Şikâyetlerin Sınıflandırılması ve Gerçekleşmeler</w:t>
      </w:r>
      <w:bookmarkEnd w:id="433"/>
    </w:p>
    <w:p w:rsidR="00585879" w:rsidRDefault="00585879" w:rsidP="00585879">
      <w:pPr>
        <w:spacing w:after="5" w:line="269" w:lineRule="auto"/>
        <w:ind w:hanging="9"/>
      </w:pPr>
      <w:r>
        <w:t>Tüketici hakları ve tüketicilerin korunması çerçevesinde, şikâyet kategorisi altında elektrik sektörüne özgü alt sınıflandırmalar yapılmıştır. Bu döneme ilişkin şikâyet kategorisine tabi 151.943 adet bildirim işlem görmüş olup, alt sınıflandırmalar bazında dağıtım, tedarik ve özel tedarik şirketleri şikâyet kategorilerinin dağılımı aşağıda verilmektedir.</w:t>
      </w:r>
    </w:p>
    <w:p w:rsidR="00585879" w:rsidRPr="00433748" w:rsidRDefault="00585879" w:rsidP="00433748">
      <w:pPr>
        <w:pStyle w:val="Balk5"/>
        <w:spacing w:before="120" w:after="120" w:line="240" w:lineRule="auto"/>
        <w:jc w:val="center"/>
        <w:rPr>
          <w:rStyle w:val="Gl"/>
          <w:color w:val="auto"/>
        </w:rPr>
      </w:pPr>
      <w:bookmarkStart w:id="434" w:name="_Toc132713961"/>
      <w:r w:rsidRPr="00433748">
        <w:rPr>
          <w:rStyle w:val="Gl"/>
          <w:color w:val="auto"/>
        </w:rPr>
        <w:t>Şekil 9.5: Elektrik Sektörüne Ait Şikâyetlerin Alt Sınıflandırmasının Yüzdesel Dağılımı</w:t>
      </w:r>
      <w:bookmarkEnd w:id="434"/>
    </w:p>
    <w:p w:rsidR="00585879" w:rsidRDefault="003F03A6" w:rsidP="00585879">
      <w:pPr>
        <w:spacing w:after="51"/>
      </w:pPr>
      <w:r>
        <w:rPr>
          <w:noProof/>
        </w:rPr>
        <w:drawing>
          <wp:inline distT="0" distB="0" distL="0" distR="0" wp14:anchorId="47EAF856" wp14:editId="3BFE5B6F">
            <wp:extent cx="5760720" cy="3371850"/>
            <wp:effectExtent l="0" t="0" r="11430" b="0"/>
            <wp:docPr id="2" name="Grafik 2">
              <a:extLst xmlns:a="http://schemas.openxmlformats.org/drawingml/2006/main">
                <a:ext uri="{FF2B5EF4-FFF2-40B4-BE49-F238E27FC236}">
                  <a16:creationId xmlns:a16="http://schemas.microsoft.com/office/drawing/2014/main" id="{72024BAD-7B9A-41F1-AE35-86A2A78918A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585879" w:rsidRDefault="00585879" w:rsidP="00585879">
      <w:pPr>
        <w:spacing w:after="253"/>
      </w:pPr>
      <w:r>
        <w:rPr>
          <w:sz w:val="18"/>
        </w:rPr>
        <w:t>*Diğer kategorisi içerisinde birden fazla konuyu ilgilendiren muhtelif şikâyetler ve yüzdesi çok az olan şikâyetlerin toplamı yer almaktadır.</w:t>
      </w:r>
    </w:p>
    <w:p w:rsidR="00585879" w:rsidRDefault="00585879" w:rsidP="000C39D5">
      <w:pPr>
        <w:spacing w:after="206" w:line="269" w:lineRule="auto"/>
        <w:ind w:hanging="9"/>
      </w:pPr>
      <w:r>
        <w:t xml:space="preserve">Elektrik piyasasında dağıtım faaliyetleri ile ilgili şikâyetlerin en fazla yoğunlaştığı alanlar %20,3 ile Enerji Kesintisi, %13,6 ile Diğer, %10,8 ile Yatırım/İlk Bağlantı (Şebekeye Fiziki Bağlantı Tesisi) ve %24,2 ile Yüksek Fatura İtirazları olduğu görülmektedir. </w:t>
      </w:r>
    </w:p>
    <w:p w:rsidR="00585879" w:rsidRDefault="00585879" w:rsidP="000C39D5">
      <w:pPr>
        <w:spacing w:after="318" w:line="269" w:lineRule="auto"/>
        <w:ind w:hanging="9"/>
      </w:pPr>
      <w:r>
        <w:t>Elektrik sektörüne ait olup işlem gören bildirimlerin aylar itibarıyla sayısal dağılımı aşağıda verilmektedir.</w:t>
      </w:r>
    </w:p>
    <w:p w:rsidR="00045A80" w:rsidRDefault="00045A80" w:rsidP="00585879">
      <w:pPr>
        <w:spacing w:after="0"/>
        <w:ind w:left="10" w:right="1" w:hanging="10"/>
        <w:jc w:val="center"/>
        <w:rPr>
          <w:b/>
        </w:rPr>
      </w:pPr>
    </w:p>
    <w:p w:rsidR="00045A80" w:rsidRDefault="00045A80" w:rsidP="00585879">
      <w:pPr>
        <w:spacing w:after="0"/>
        <w:ind w:left="10" w:right="1" w:hanging="10"/>
        <w:jc w:val="center"/>
        <w:rPr>
          <w:b/>
        </w:rPr>
      </w:pPr>
    </w:p>
    <w:p w:rsidR="00045A80" w:rsidRDefault="00045A80" w:rsidP="00585879">
      <w:pPr>
        <w:spacing w:after="0"/>
        <w:ind w:left="10" w:right="1" w:hanging="10"/>
        <w:jc w:val="center"/>
        <w:rPr>
          <w:b/>
        </w:rPr>
      </w:pPr>
    </w:p>
    <w:p w:rsidR="00045A80" w:rsidRDefault="00045A80" w:rsidP="00585879">
      <w:pPr>
        <w:spacing w:after="0"/>
        <w:ind w:left="10" w:right="1" w:hanging="10"/>
        <w:jc w:val="center"/>
        <w:rPr>
          <w:b/>
        </w:rPr>
      </w:pPr>
    </w:p>
    <w:p w:rsidR="00045A80" w:rsidRDefault="00045A80" w:rsidP="00585879">
      <w:pPr>
        <w:spacing w:after="0"/>
        <w:ind w:left="10" w:right="1" w:hanging="10"/>
        <w:jc w:val="center"/>
        <w:rPr>
          <w:b/>
        </w:rPr>
      </w:pPr>
    </w:p>
    <w:p w:rsidR="00045A80" w:rsidRDefault="00045A80" w:rsidP="00585879">
      <w:pPr>
        <w:spacing w:after="0"/>
        <w:ind w:left="10" w:right="1" w:hanging="10"/>
        <w:jc w:val="center"/>
        <w:rPr>
          <w:b/>
        </w:rPr>
      </w:pPr>
    </w:p>
    <w:p w:rsidR="00045A80" w:rsidRDefault="00045A80" w:rsidP="00585879">
      <w:pPr>
        <w:spacing w:after="0"/>
        <w:ind w:left="10" w:right="1" w:hanging="10"/>
        <w:jc w:val="center"/>
        <w:rPr>
          <w:b/>
        </w:rPr>
      </w:pPr>
    </w:p>
    <w:p w:rsidR="00045A80" w:rsidRDefault="00045A80" w:rsidP="00585879">
      <w:pPr>
        <w:spacing w:after="0"/>
        <w:ind w:left="10" w:right="1" w:hanging="10"/>
        <w:jc w:val="center"/>
        <w:rPr>
          <w:b/>
        </w:rPr>
      </w:pPr>
    </w:p>
    <w:p w:rsidR="00045A80" w:rsidRDefault="00045A80" w:rsidP="00585879">
      <w:pPr>
        <w:spacing w:after="0"/>
        <w:ind w:left="10" w:right="1" w:hanging="10"/>
        <w:jc w:val="center"/>
        <w:rPr>
          <w:b/>
        </w:rPr>
      </w:pPr>
    </w:p>
    <w:p w:rsidR="00585879" w:rsidRPr="00433748" w:rsidRDefault="00585879" w:rsidP="00433748">
      <w:pPr>
        <w:pStyle w:val="Balk5"/>
        <w:spacing w:before="120" w:after="120" w:line="240" w:lineRule="auto"/>
        <w:jc w:val="center"/>
        <w:rPr>
          <w:rStyle w:val="Gl"/>
          <w:color w:val="auto"/>
        </w:rPr>
      </w:pPr>
      <w:bookmarkStart w:id="435" w:name="_Toc132713962"/>
      <w:r w:rsidRPr="00433748">
        <w:rPr>
          <w:rStyle w:val="Gl"/>
          <w:color w:val="auto"/>
        </w:rPr>
        <w:lastRenderedPageBreak/>
        <w:t>Şekil 9.6: Elektrik Sektöründe İşlem Gören Bildirimlerin Aylara Göre Yüzdesel Dağılımı</w:t>
      </w:r>
      <w:bookmarkEnd w:id="435"/>
    </w:p>
    <w:p w:rsidR="00585879" w:rsidRDefault="00585879" w:rsidP="00585879">
      <w:pPr>
        <w:spacing w:after="594"/>
        <w:ind w:left="414"/>
      </w:pPr>
      <w:r>
        <w:rPr>
          <w:noProof/>
          <w:lang w:eastAsia="tr-TR"/>
        </w:rPr>
        <w:drawing>
          <wp:inline distT="0" distB="0" distL="0" distR="0" wp14:anchorId="6944172D" wp14:editId="527BE130">
            <wp:extent cx="5740106" cy="3208328"/>
            <wp:effectExtent l="0" t="0" r="13335" b="11430"/>
            <wp:docPr id="19" name="Grafik 19">
              <a:extLst xmlns:a="http://schemas.openxmlformats.org/drawingml/2006/main">
                <a:ext uri="{FF2B5EF4-FFF2-40B4-BE49-F238E27FC236}">
                  <a16:creationId xmlns:a16="http://schemas.microsoft.com/office/drawing/2014/main" id="{ECF256AB-51DA-4B36-8693-EED9D67F924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585879" w:rsidRDefault="00585879" w:rsidP="00585879">
      <w:pPr>
        <w:spacing w:after="305" w:line="268" w:lineRule="auto"/>
        <w:ind w:left="10" w:hanging="10"/>
      </w:pPr>
      <w:r>
        <w:t>Bildirimlerin aylık gerçekleşmelerine bakıldığında en büyük payın %15 ile Ocak ayına ait olduğu, bu ayı %12 ile Mart ayının izlediği görülmektedir.</w:t>
      </w:r>
    </w:p>
    <w:p w:rsidR="00585879" w:rsidRPr="00D3384C" w:rsidRDefault="00585879" w:rsidP="00D3384C">
      <w:pPr>
        <w:pStyle w:val="Balk3"/>
        <w:spacing w:after="240"/>
        <w:rPr>
          <w:rFonts w:asciiTheme="minorHAnsi" w:hAnsiTheme="minorHAnsi"/>
          <w:color w:val="auto"/>
        </w:rPr>
      </w:pPr>
      <w:bookmarkStart w:id="436" w:name="_Toc132713861"/>
      <w:r w:rsidRPr="00D3384C">
        <w:rPr>
          <w:rFonts w:asciiTheme="minorHAnsi" w:hAnsiTheme="minorHAnsi"/>
          <w:color w:val="auto"/>
        </w:rPr>
        <w:t>9.2.4. Doğal Gaz Sektörüne Ait Şikâyetlerin Sınıflandırılması ve Gerçekleşmeler</w:t>
      </w:r>
      <w:bookmarkEnd w:id="436"/>
    </w:p>
    <w:p w:rsidR="00585879" w:rsidRDefault="00585879" w:rsidP="00585879">
      <w:pPr>
        <w:spacing w:after="5" w:line="269" w:lineRule="auto"/>
        <w:ind w:hanging="9"/>
      </w:pPr>
      <w:r>
        <w:t xml:space="preserve">Tüketici hakları ve tüketicilerin korunmasına yönelik gerekli işlemlerin tesis edilebilmesi için ilgili mevzuat da dikkate alınarak, şikâyet kategorisi altında sektöre özgü sınıflandırmalar yapılmıştır.  Doğal gaz ile ilgili Hatalı faturalandırma, Bağlantı/Servis hattı, Sayaç Okuma Süresi, Diğer, Fatura Kalemleri İtirazı, Zamanında Ödenmeyen Borç, Sayaç Okuma, Sayaç Bedeli, Sayaç Değişim ve Bakım Ücretleri, Fatura Dönemi/Son Ödeme Tarihi, Personel/Şirket İletişimi (Personel davranışları, Şirket Telefonlarına Ulaşılamama vs.), Hizmet Kesintisi, </w:t>
      </w:r>
    </w:p>
    <w:p w:rsidR="00585879" w:rsidRDefault="00585879" w:rsidP="00585879">
      <w:pPr>
        <w:spacing w:after="315" w:line="269" w:lineRule="auto"/>
        <w:ind w:hanging="9"/>
      </w:pPr>
      <w:r>
        <w:t>Servis Kutusu, İç Tesisat Firma İşlemleri, Kaçak/Usulsüz Kullanım Tahakkuku, Güvence Bedeli ve İadesi, Abonelik Sözleşmesi, Dağıtım Şirketinin Randevuya Gelmemesi/Gecikmesi, Limitli Satış, Başvuruların Süresi içinde Cevaplandırılmaması adı altında alt sınıflandırma yapılmıştır. Bu döneme ilişkin şikâyet kategorisine tabi 45.125 adet bildirim işlem görmüş olup, alt sınıflandırmalar bazında ilk 13 şikâyet kategorisinin dağılımı aşağıda verilmiştir.</w:t>
      </w:r>
    </w:p>
    <w:p w:rsidR="00045A80" w:rsidRDefault="00045A80" w:rsidP="00585879">
      <w:pPr>
        <w:spacing w:after="315" w:line="269" w:lineRule="auto"/>
        <w:ind w:hanging="9"/>
      </w:pPr>
    </w:p>
    <w:p w:rsidR="00045A80" w:rsidRDefault="00045A80" w:rsidP="00585879">
      <w:pPr>
        <w:spacing w:after="315" w:line="269" w:lineRule="auto"/>
        <w:ind w:hanging="9"/>
      </w:pPr>
    </w:p>
    <w:p w:rsidR="00045A80" w:rsidRDefault="00045A80" w:rsidP="00585879">
      <w:pPr>
        <w:spacing w:after="315" w:line="269" w:lineRule="auto"/>
        <w:ind w:hanging="9"/>
      </w:pPr>
    </w:p>
    <w:p w:rsidR="00045A80" w:rsidRDefault="00045A80" w:rsidP="00585879">
      <w:pPr>
        <w:spacing w:after="315" w:line="269" w:lineRule="auto"/>
        <w:ind w:hanging="9"/>
      </w:pPr>
    </w:p>
    <w:p w:rsidR="00045A80" w:rsidRDefault="00045A80" w:rsidP="00585879">
      <w:pPr>
        <w:spacing w:after="315" w:line="269" w:lineRule="auto"/>
        <w:ind w:hanging="9"/>
      </w:pPr>
    </w:p>
    <w:p w:rsidR="00585879" w:rsidRPr="00433748" w:rsidRDefault="00585879" w:rsidP="00433748">
      <w:pPr>
        <w:pStyle w:val="Balk5"/>
        <w:spacing w:before="120" w:after="120" w:line="240" w:lineRule="auto"/>
        <w:jc w:val="center"/>
        <w:rPr>
          <w:rStyle w:val="Gl"/>
          <w:color w:val="auto"/>
        </w:rPr>
      </w:pPr>
      <w:bookmarkStart w:id="437" w:name="_Toc132713963"/>
      <w:r w:rsidRPr="00433748">
        <w:rPr>
          <w:rStyle w:val="Gl"/>
          <w:color w:val="auto"/>
        </w:rPr>
        <w:lastRenderedPageBreak/>
        <w:t>Şekil 9.7: Doğal Gaz Sektörüne Ait Şikâyetlerin Alt Sınıflandırmasının Yüzdesel Dağılımı</w:t>
      </w:r>
      <w:bookmarkEnd w:id="437"/>
    </w:p>
    <w:p w:rsidR="00585879" w:rsidRDefault="00585879" w:rsidP="00585879">
      <w:pPr>
        <w:spacing w:after="41"/>
      </w:pPr>
      <w:r>
        <w:rPr>
          <w:noProof/>
          <w:lang w:eastAsia="tr-TR"/>
        </w:rPr>
        <w:drawing>
          <wp:inline distT="0" distB="0" distL="0" distR="0" wp14:anchorId="72DC3470" wp14:editId="39C6C00C">
            <wp:extent cx="6110095" cy="2859482"/>
            <wp:effectExtent l="0" t="0" r="5080" b="17145"/>
            <wp:docPr id="20" name="Grafik 20">
              <a:extLst xmlns:a="http://schemas.openxmlformats.org/drawingml/2006/main">
                <a:ext uri="{FF2B5EF4-FFF2-40B4-BE49-F238E27FC236}">
                  <a16:creationId xmlns:a16="http://schemas.microsoft.com/office/drawing/2014/main" id="{0150BAB4-F782-4250-A7E7-146774E8884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585879" w:rsidRDefault="00585879" w:rsidP="00585879">
      <w:pPr>
        <w:spacing w:after="41"/>
      </w:pPr>
    </w:p>
    <w:p w:rsidR="00585879" w:rsidRDefault="00585879" w:rsidP="00585879">
      <w:pPr>
        <w:spacing w:after="226" w:line="268" w:lineRule="auto"/>
        <w:ind w:left="-5" w:hanging="10"/>
      </w:pPr>
      <w:r>
        <w:rPr>
          <w:sz w:val="18"/>
        </w:rPr>
        <w:t>*</w:t>
      </w:r>
      <w:r>
        <w:rPr>
          <w:i/>
          <w:sz w:val="20"/>
        </w:rPr>
        <w:t>Diğer kategorisi içerisinde birden fazla konuyu ilgilendiren muhtelif şikâyetler ve yüzdesi çok az olan şikâyetlerin toplamı yer almaktadır</w:t>
      </w:r>
      <w:r>
        <w:rPr>
          <w:sz w:val="18"/>
        </w:rPr>
        <w:t>.</w:t>
      </w:r>
    </w:p>
    <w:p w:rsidR="00585879" w:rsidRDefault="00585879" w:rsidP="00585879">
      <w:pPr>
        <w:spacing w:after="315" w:line="269" w:lineRule="auto"/>
        <w:ind w:hanging="9"/>
      </w:pPr>
      <w:r>
        <w:t xml:space="preserve">Doğal gaz sektörüne ait olup en fazla şikâyet alan konu %61’lük oranıyla Bağlantı/Servis Hattı konusudur. Bunu diğer kategoriler takip etmektedir. </w:t>
      </w:r>
    </w:p>
    <w:p w:rsidR="00585879" w:rsidRDefault="00585879" w:rsidP="00585879">
      <w:pPr>
        <w:spacing w:after="5" w:line="269" w:lineRule="auto"/>
        <w:ind w:hanging="9"/>
      </w:pPr>
      <w:r>
        <w:t>Doğal gaz sektörüne ait olup işlem gören bildirimlerin aylar itibarıyla yüzdesel dağılımı aşağıda verilmektedir.</w:t>
      </w:r>
    </w:p>
    <w:p w:rsidR="000C39D5" w:rsidRDefault="000C39D5" w:rsidP="00585879">
      <w:pPr>
        <w:spacing w:after="5" w:line="269" w:lineRule="auto"/>
        <w:ind w:hanging="9"/>
      </w:pPr>
    </w:p>
    <w:p w:rsidR="00585879" w:rsidRDefault="00585879" w:rsidP="000C39D5">
      <w:pPr>
        <w:pStyle w:val="Balk5"/>
        <w:spacing w:before="120" w:line="240" w:lineRule="auto"/>
        <w:jc w:val="center"/>
        <w:rPr>
          <w:rStyle w:val="Gl"/>
          <w:color w:val="auto"/>
        </w:rPr>
      </w:pPr>
      <w:bookmarkStart w:id="438" w:name="_Toc132713964"/>
      <w:r w:rsidRPr="00433748">
        <w:rPr>
          <w:rStyle w:val="Gl"/>
          <w:color w:val="auto"/>
        </w:rPr>
        <w:t>Şekil 9.8: Doğal Gaz Sektöründe İşlem Gören Bildirimlerin Aylara Göre Yüzdesel Dağılımı</w:t>
      </w:r>
      <w:bookmarkEnd w:id="438"/>
    </w:p>
    <w:p w:rsidR="000C39D5" w:rsidRPr="000C39D5" w:rsidRDefault="000C39D5" w:rsidP="000C39D5"/>
    <w:p w:rsidR="00585879" w:rsidRDefault="00585879" w:rsidP="00585879">
      <w:pPr>
        <w:spacing w:after="285"/>
        <w:ind w:left="424"/>
      </w:pPr>
      <w:r>
        <w:rPr>
          <w:noProof/>
          <w:lang w:eastAsia="tr-TR"/>
        </w:rPr>
        <w:drawing>
          <wp:inline distT="0" distB="0" distL="0" distR="0" wp14:anchorId="6A955FA1" wp14:editId="7F8294C7">
            <wp:extent cx="5533970" cy="2732629"/>
            <wp:effectExtent l="0" t="0" r="10160" b="10795"/>
            <wp:docPr id="22" name="Grafik 22">
              <a:extLst xmlns:a="http://schemas.openxmlformats.org/drawingml/2006/main">
                <a:ext uri="{FF2B5EF4-FFF2-40B4-BE49-F238E27FC236}">
                  <a16:creationId xmlns:a16="http://schemas.microsoft.com/office/drawing/2014/main" id="{258BCE26-8E66-4109-92BF-CB9E6CF1CFC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585879" w:rsidRDefault="00585879" w:rsidP="00585879">
      <w:pPr>
        <w:spacing w:after="305" w:line="268" w:lineRule="auto"/>
        <w:ind w:left="10" w:hanging="10"/>
      </w:pPr>
      <w:r>
        <w:t>Bildirimlerin aylık gerçekleşmelerine bakıldığında en büyük payın %19 ile Kasım ayına ait olduğu, bu ayı Aralık ve Haziran aylarının izlediği görülmektedir.</w:t>
      </w:r>
    </w:p>
    <w:p w:rsidR="00585879" w:rsidRPr="00D3384C" w:rsidRDefault="00585879" w:rsidP="00D3384C">
      <w:pPr>
        <w:pStyle w:val="Balk3"/>
        <w:spacing w:after="240"/>
        <w:rPr>
          <w:rFonts w:asciiTheme="minorHAnsi" w:hAnsiTheme="minorHAnsi"/>
          <w:color w:val="auto"/>
        </w:rPr>
      </w:pPr>
      <w:bookmarkStart w:id="439" w:name="_Toc132713862"/>
      <w:r w:rsidRPr="00D3384C">
        <w:rPr>
          <w:rFonts w:asciiTheme="minorHAnsi" w:hAnsiTheme="minorHAnsi"/>
          <w:color w:val="auto"/>
        </w:rPr>
        <w:lastRenderedPageBreak/>
        <w:t>9.2.5. Petrol Sektörüne Ait Şikâyetlerin Sınıflandırılması ve Gerçekleşmeler</w:t>
      </w:r>
      <w:bookmarkEnd w:id="439"/>
    </w:p>
    <w:p w:rsidR="00585879" w:rsidRDefault="00585879" w:rsidP="00585879">
      <w:pPr>
        <w:spacing w:after="315" w:line="269" w:lineRule="auto"/>
        <w:ind w:hanging="9"/>
      </w:pPr>
      <w:r>
        <w:t>Şikâyet kategorisi altında, Akaryakıt Fiyatı ve Fiyat Artışları, Diğer, Teknik Düzenlemelere Aykırı Akaryakıt, Fiyat Artışlarının ve Düşüşlerinin Zamanında Uygulanmaması, Müşteri Hizmetleri ve Kalite, Eksik Akaryakıt İkmali, Tesis Güvenliği (GSM ruhsatı, lisansa esas belgeler, mesafe tahdidi, vs.), Mevzuat/Öneri, Konu Kurumun Görev Alanında Değil, Pompa ve Tabeladaki Fiyatların Farklı Olması, Rekabet İhlali, Araç Dışı Yakıt İkmali (Bidon vs.), Kaçak Akaryakıt İhbarı, Şirket Çalışanlarının Davranışları, Sadakat Kart Uygulamaları gibi alt kategorileri belirlenmiştir. Bu dönemde 9.191 adet şikâyet bildirimi işlem görmüştür. Petrol sektörü Kuruma intikal eden bildirimler içerisinde %4,3’lik paya sahiptir. Bu döneme ilişkin alt sınıflandırmalar bazında ilk 10 şikâyet kategorisinin dağılımı aşağıda verilmiştir.</w:t>
      </w:r>
    </w:p>
    <w:p w:rsidR="00585879" w:rsidRPr="00433748" w:rsidRDefault="00585879" w:rsidP="00433748">
      <w:pPr>
        <w:pStyle w:val="Balk5"/>
        <w:spacing w:before="120" w:after="120" w:line="240" w:lineRule="auto"/>
        <w:jc w:val="center"/>
        <w:rPr>
          <w:rStyle w:val="Gl"/>
          <w:color w:val="auto"/>
        </w:rPr>
      </w:pPr>
      <w:bookmarkStart w:id="440" w:name="_Toc132713965"/>
      <w:r w:rsidRPr="00433748">
        <w:rPr>
          <w:rStyle w:val="Gl"/>
          <w:color w:val="auto"/>
        </w:rPr>
        <w:t>Şekil 9.9: Petrol Sektörüne Ait Şikâyetlerin Alt Sınıflandırmasının Yüzdesel Dağılımı</w:t>
      </w:r>
      <w:bookmarkEnd w:id="440"/>
    </w:p>
    <w:p w:rsidR="00585879" w:rsidRDefault="00585879" w:rsidP="00680A47">
      <w:pPr>
        <w:spacing w:after="5" w:line="268" w:lineRule="auto"/>
        <w:ind w:left="-5" w:hanging="10"/>
        <w:jc w:val="center"/>
        <w:rPr>
          <w:sz w:val="18"/>
        </w:rPr>
      </w:pPr>
      <w:r>
        <w:rPr>
          <w:noProof/>
          <w:lang w:eastAsia="tr-TR"/>
        </w:rPr>
        <w:drawing>
          <wp:inline distT="0" distB="0" distL="0" distR="0" wp14:anchorId="4F9288B5" wp14:editId="43936FAE">
            <wp:extent cx="5686425" cy="2543175"/>
            <wp:effectExtent l="0" t="0" r="9525" b="9525"/>
            <wp:docPr id="23" name="Grafik 23">
              <a:extLst xmlns:a="http://schemas.openxmlformats.org/drawingml/2006/main">
                <a:ext uri="{FF2B5EF4-FFF2-40B4-BE49-F238E27FC236}">
                  <a16:creationId xmlns:a16="http://schemas.microsoft.com/office/drawing/2014/main" id="{4F5DD108-2D52-4FF6-B3B5-8E6BB98C11F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rsidR="00585879" w:rsidRDefault="00585879" w:rsidP="00585879">
      <w:pPr>
        <w:spacing w:after="5" w:line="268" w:lineRule="auto"/>
        <w:ind w:left="-5" w:hanging="10"/>
      </w:pPr>
      <w:r>
        <w:rPr>
          <w:sz w:val="18"/>
        </w:rPr>
        <w:t>*</w:t>
      </w:r>
      <w:r>
        <w:rPr>
          <w:i/>
          <w:sz w:val="20"/>
        </w:rPr>
        <w:t>Diğer kategorisi içerisinde birden fazla konuyu ilgilendiren muhtelif şikâyetler ve yüzdesi çok az olan şikâyetlerin toplamı yer almaktadır</w:t>
      </w:r>
      <w:r>
        <w:rPr>
          <w:sz w:val="18"/>
        </w:rPr>
        <w:t>.</w:t>
      </w:r>
    </w:p>
    <w:p w:rsidR="00585879" w:rsidRPr="00D3384C" w:rsidRDefault="00585879" w:rsidP="00D3384C">
      <w:pPr>
        <w:pStyle w:val="Balk3"/>
        <w:spacing w:after="240"/>
        <w:rPr>
          <w:rFonts w:asciiTheme="minorHAnsi" w:hAnsiTheme="minorHAnsi"/>
          <w:color w:val="auto"/>
        </w:rPr>
      </w:pPr>
      <w:bookmarkStart w:id="441" w:name="_Toc132713863"/>
      <w:r w:rsidRPr="00D3384C">
        <w:rPr>
          <w:rFonts w:asciiTheme="minorHAnsi" w:hAnsiTheme="minorHAnsi"/>
          <w:color w:val="auto"/>
        </w:rPr>
        <w:t>9.2.6. Sıvılaştırılmış Petrol Gazları Sektörüne Ait Şikâyetlerin Sınıflandırılması ve Gerçekleşmeler</w:t>
      </w:r>
      <w:bookmarkEnd w:id="441"/>
    </w:p>
    <w:p w:rsidR="00585879" w:rsidRDefault="00585879" w:rsidP="00585879">
      <w:pPr>
        <w:spacing w:after="315" w:line="269" w:lineRule="auto"/>
        <w:ind w:hanging="9"/>
      </w:pPr>
      <w:r>
        <w:t>İlgili mevzuat esas alınarak tüketici hakları ve tüketicilerin korunmasına hususları kapsamında Şikâyet kategorisi altında LPG Fiyatı ve Fiyat Artışları, Diğer, Fiyat artışlarının ve Düşüşlerinin zamanında uygulanmaması,  Teknik Düzenlemelere Aykırı LPG, Müşteri Hizmetleri ve Kalite, Konu Kurumun Görev alanında Değil, Rekabet ihlali,  Mevzuat/Öneri (GSM ruhsatı, lisansa esas belgeler, mesafe tahdidi, vs.), Kaçak LPG ihbarı, Tesis Güvenliği, Pompa ve Tabeladaki Fiyatların Farklı Olması gibi alt kategorileri belirlenmiştir. Bu dönemde 902 adet şikâyet bildirimi işlem görmüştür. LPG sektörü Kuruma intikal eden bildirimler içerisinde %0,4’luk paya sahiptir.</w:t>
      </w:r>
    </w:p>
    <w:p w:rsidR="00585879" w:rsidRDefault="00585879" w:rsidP="00585879">
      <w:pPr>
        <w:spacing w:after="315" w:line="269" w:lineRule="auto"/>
        <w:ind w:hanging="9"/>
      </w:pPr>
      <w:r>
        <w:t>Sıvılaştırılmış Petrol Gazları (LPG) sektörüne ait olup işlem gören bildirimlerin şikâyet kategorisine göre dağılımı aşağıda verilmektedir.</w:t>
      </w:r>
    </w:p>
    <w:p w:rsidR="00045A80" w:rsidRDefault="00045A80" w:rsidP="00585879">
      <w:pPr>
        <w:spacing w:after="315" w:line="269" w:lineRule="auto"/>
        <w:ind w:hanging="9"/>
      </w:pPr>
    </w:p>
    <w:p w:rsidR="00045A80" w:rsidRDefault="00045A80" w:rsidP="00585879">
      <w:pPr>
        <w:spacing w:after="315" w:line="269" w:lineRule="auto"/>
        <w:ind w:hanging="9"/>
      </w:pPr>
    </w:p>
    <w:p w:rsidR="00045A80" w:rsidRDefault="00045A80" w:rsidP="00585879">
      <w:pPr>
        <w:spacing w:after="315" w:line="269" w:lineRule="auto"/>
        <w:ind w:hanging="9"/>
      </w:pPr>
    </w:p>
    <w:p w:rsidR="00585879" w:rsidRPr="00433748" w:rsidRDefault="00585879" w:rsidP="00433748">
      <w:pPr>
        <w:pStyle w:val="Balk5"/>
        <w:spacing w:before="120" w:after="120" w:line="240" w:lineRule="auto"/>
        <w:jc w:val="center"/>
        <w:rPr>
          <w:rStyle w:val="Gl"/>
          <w:color w:val="auto"/>
        </w:rPr>
      </w:pPr>
      <w:bookmarkStart w:id="442" w:name="_Toc132713966"/>
      <w:r w:rsidRPr="00433748">
        <w:rPr>
          <w:rStyle w:val="Gl"/>
          <w:color w:val="auto"/>
        </w:rPr>
        <w:lastRenderedPageBreak/>
        <w:t>Şekil 9.10: LPG Sektörüne Ait Şikâyetlerin Alt Sınıflandırmasının Yüzdesel Dağılımı</w:t>
      </w:r>
      <w:bookmarkEnd w:id="442"/>
    </w:p>
    <w:p w:rsidR="00585879" w:rsidRDefault="00585879" w:rsidP="00585879">
      <w:pPr>
        <w:spacing w:after="54"/>
        <w:ind w:right="-130"/>
      </w:pPr>
      <w:r>
        <w:rPr>
          <w:noProof/>
          <w:lang w:eastAsia="tr-TR"/>
        </w:rPr>
        <w:drawing>
          <wp:inline distT="0" distB="0" distL="0" distR="0" wp14:anchorId="0A303D95" wp14:editId="77B728A9">
            <wp:extent cx="6057240" cy="2653346"/>
            <wp:effectExtent l="0" t="0" r="1270" b="13970"/>
            <wp:docPr id="24" name="Grafik 24">
              <a:extLst xmlns:a="http://schemas.openxmlformats.org/drawingml/2006/main">
                <a:ext uri="{FF2B5EF4-FFF2-40B4-BE49-F238E27FC236}">
                  <a16:creationId xmlns:a16="http://schemas.microsoft.com/office/drawing/2014/main" id="{4B4FB81B-63F3-43CD-AC96-A91FBCBEF8A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145A74" w:rsidRDefault="00585879" w:rsidP="002D1BFD">
      <w:pPr>
        <w:spacing w:after="0"/>
        <w:jc w:val="center"/>
      </w:pPr>
      <w:r>
        <w:rPr>
          <w:sz w:val="18"/>
        </w:rPr>
        <w:t>*</w:t>
      </w:r>
      <w:r>
        <w:rPr>
          <w:i/>
          <w:sz w:val="20"/>
        </w:rPr>
        <w:t>Diğer kategorisi içerisinde birden fazla konuyu ilgilendiren muhtelif şikâyetler ve yüzdesi çok az olan şikâyetlerin toplamı yer almaktadır</w:t>
      </w:r>
      <w:r>
        <w:rPr>
          <w:sz w:val="18"/>
        </w:rPr>
        <w:t>.</w:t>
      </w:r>
      <w:r w:rsidR="00145A74">
        <w:br w:type="page"/>
      </w:r>
    </w:p>
    <w:p w:rsidR="00C62DB3" w:rsidRPr="003026DF" w:rsidRDefault="00C62DB3" w:rsidP="000A5A56">
      <w:pPr>
        <w:pStyle w:val="Balk1"/>
        <w:numPr>
          <w:ilvl w:val="0"/>
          <w:numId w:val="11"/>
        </w:numPr>
        <w:spacing w:before="0" w:after="240"/>
        <w:rPr>
          <w:rFonts w:ascii="Calibri" w:eastAsia="Times New Roman" w:hAnsi="Calibri"/>
          <w:color w:val="000000"/>
          <w:sz w:val="22"/>
          <w:szCs w:val="22"/>
        </w:rPr>
      </w:pPr>
      <w:bookmarkStart w:id="443" w:name="_Toc132713864"/>
      <w:r>
        <w:rPr>
          <w:rFonts w:ascii="Calibri" w:eastAsia="Times New Roman" w:hAnsi="Calibri"/>
          <w:color w:val="000000"/>
          <w:sz w:val="22"/>
          <w:szCs w:val="22"/>
        </w:rPr>
        <w:lastRenderedPageBreak/>
        <w:t>BASIN VE HALKLA İLİŞKİLER</w:t>
      </w:r>
      <w:bookmarkEnd w:id="443"/>
      <w:r>
        <w:rPr>
          <w:rFonts w:ascii="Calibri" w:eastAsia="Times New Roman" w:hAnsi="Calibri"/>
          <w:color w:val="000000"/>
          <w:sz w:val="22"/>
          <w:szCs w:val="22"/>
        </w:rPr>
        <w:t xml:space="preserve"> </w:t>
      </w:r>
    </w:p>
    <w:p w:rsidR="002B737F" w:rsidRDefault="002B737F" w:rsidP="002B737F">
      <w:r>
        <w:t xml:space="preserve">2022 yılı içerisinde enerji sektörü ve Kurum faaliyetleri ile ilgili yayınların izlenmesi ve değerlendirilmesi, basın mensupları tarafından Kuruma yöneltilen yazılı ve sözlü soruların cevaplandırılmasının yanı sıra elektrik, doğal gaz, petrol ve LPG sektörleri ile ilgili kamuoyunun bilgilendirilmesi ve Kurum Başkanı tarafından verilen diğer organizasyon görevleri yerine getirilmiştir. Kurumun faaliyetlerine yönelik haber metinleri oluşturularak medya kuruluşları kanalıyla kamuoyu bilgilendirilmiş ve gerekli durumlarda basın açıklamaları yapılmıştır. </w:t>
      </w:r>
    </w:p>
    <w:p w:rsidR="002B737F" w:rsidRDefault="002B737F" w:rsidP="002B737F">
      <w:r>
        <w:t xml:space="preserve">Tüketici haklarına yönelik ve kamuoyunun bilgilendirilmesini gerektiren Kurul Kararları, haber haline dönüştürülerek basın yayın kuruluşları kanalıyla kamuoyu aydınlatılmıştır. </w:t>
      </w:r>
    </w:p>
    <w:p w:rsidR="002B737F" w:rsidRDefault="002B737F" w:rsidP="002B737F">
      <w:r>
        <w:t xml:space="preserve">Enerji sektöründe faaliyet gösteren dernekler ile Kurum Başkanı, Kurul Üyeleri ve ilgili hizmet birimleri personelinin katıldığı toplantıların organizasyonları gerçekleştirilmiştir. </w:t>
      </w:r>
    </w:p>
    <w:p w:rsidR="00030C2B" w:rsidRDefault="002B737F" w:rsidP="00AC45E8">
      <w:pPr>
        <w:rPr>
          <w:lang w:eastAsia="tr-TR"/>
        </w:rPr>
      </w:pPr>
      <w:r>
        <w:t>Basında 2022 yılında EPDK'ya yönelik yaklaşık 10134 yazılı basın haberi, 5608 TV haberi çıkmıştır. Kurum adına 11 basın açıklaması yayınlanmıştır. Kurum Başkanı, 10 basına açık programa (konferans, telekonferans toplantı, canlı TV yayını) konuşmacı olarak katılmıştır.</w:t>
      </w:r>
    </w:p>
    <w:p w:rsidR="00030C2B" w:rsidRDefault="00030C2B" w:rsidP="004945F0">
      <w:pPr>
        <w:rPr>
          <w:lang w:eastAsia="tr-TR"/>
        </w:rPr>
      </w:pPr>
    </w:p>
    <w:p w:rsidR="005B1782" w:rsidRDefault="005B1782" w:rsidP="004945F0">
      <w:pPr>
        <w:rPr>
          <w:lang w:eastAsia="tr-TR"/>
        </w:rPr>
      </w:pPr>
    </w:p>
    <w:p w:rsidR="005B1782" w:rsidRDefault="005B1782" w:rsidP="004945F0">
      <w:pPr>
        <w:rPr>
          <w:lang w:eastAsia="tr-TR"/>
        </w:rPr>
      </w:pPr>
    </w:p>
    <w:p w:rsidR="005B1782" w:rsidRDefault="005B1782" w:rsidP="004945F0">
      <w:pPr>
        <w:rPr>
          <w:lang w:eastAsia="tr-TR"/>
        </w:rPr>
      </w:pPr>
    </w:p>
    <w:p w:rsidR="005B1782" w:rsidRDefault="005B1782" w:rsidP="004945F0">
      <w:pPr>
        <w:rPr>
          <w:lang w:eastAsia="tr-TR"/>
        </w:rPr>
      </w:pPr>
    </w:p>
    <w:p w:rsidR="005B1782" w:rsidRDefault="005B1782" w:rsidP="004945F0">
      <w:pPr>
        <w:rPr>
          <w:lang w:eastAsia="tr-TR"/>
        </w:rPr>
      </w:pPr>
    </w:p>
    <w:p w:rsidR="005B1782" w:rsidRDefault="005B1782" w:rsidP="004945F0">
      <w:pPr>
        <w:rPr>
          <w:lang w:eastAsia="tr-TR"/>
        </w:rPr>
      </w:pPr>
    </w:p>
    <w:p w:rsidR="005B1782" w:rsidRDefault="005B1782" w:rsidP="004945F0">
      <w:pPr>
        <w:rPr>
          <w:lang w:eastAsia="tr-TR"/>
        </w:rPr>
      </w:pPr>
    </w:p>
    <w:p w:rsidR="005B1782" w:rsidRDefault="005B1782" w:rsidP="004945F0">
      <w:pPr>
        <w:rPr>
          <w:lang w:eastAsia="tr-TR"/>
        </w:rPr>
      </w:pPr>
    </w:p>
    <w:p w:rsidR="005B1782" w:rsidRDefault="005B1782" w:rsidP="004945F0">
      <w:pPr>
        <w:rPr>
          <w:lang w:eastAsia="tr-TR"/>
        </w:rPr>
      </w:pPr>
    </w:p>
    <w:p w:rsidR="005B1782" w:rsidRDefault="005B1782" w:rsidP="004945F0">
      <w:pPr>
        <w:rPr>
          <w:lang w:eastAsia="tr-TR"/>
        </w:rPr>
      </w:pPr>
    </w:p>
    <w:p w:rsidR="005B1782" w:rsidRDefault="005B1782" w:rsidP="004945F0">
      <w:pPr>
        <w:rPr>
          <w:lang w:eastAsia="tr-TR"/>
        </w:rPr>
      </w:pPr>
    </w:p>
    <w:p w:rsidR="005B1782" w:rsidRDefault="005B1782" w:rsidP="004945F0">
      <w:pPr>
        <w:rPr>
          <w:lang w:eastAsia="tr-TR"/>
        </w:rPr>
      </w:pPr>
    </w:p>
    <w:p w:rsidR="005B1782" w:rsidRDefault="005B1782" w:rsidP="004945F0">
      <w:pPr>
        <w:rPr>
          <w:lang w:eastAsia="tr-TR"/>
        </w:rPr>
      </w:pPr>
    </w:p>
    <w:p w:rsidR="005B1782" w:rsidRDefault="005B1782" w:rsidP="004945F0">
      <w:pPr>
        <w:rPr>
          <w:lang w:eastAsia="tr-TR"/>
        </w:rPr>
      </w:pPr>
    </w:p>
    <w:p w:rsidR="005B1782" w:rsidRPr="005B1782" w:rsidRDefault="005B1782" w:rsidP="000A5A56">
      <w:pPr>
        <w:keepNext/>
        <w:keepLines/>
        <w:numPr>
          <w:ilvl w:val="0"/>
          <w:numId w:val="11"/>
        </w:numPr>
        <w:spacing w:after="240"/>
        <w:outlineLvl w:val="0"/>
        <w:rPr>
          <w:rFonts w:eastAsiaTheme="majorEastAsia" w:cstheme="majorBidi"/>
          <w:b/>
          <w:bCs/>
        </w:rPr>
      </w:pPr>
      <w:bookmarkStart w:id="444" w:name="_Toc39153505"/>
      <w:bookmarkStart w:id="445" w:name="_Toc132713865"/>
      <w:r w:rsidRPr="005B1782">
        <w:rPr>
          <w:rFonts w:eastAsiaTheme="majorEastAsia" w:cstheme="majorBidi"/>
          <w:b/>
          <w:bCs/>
        </w:rPr>
        <w:lastRenderedPageBreak/>
        <w:t>DİĞER KURUMLARLA İLİŞKİLER</w:t>
      </w:r>
      <w:bookmarkEnd w:id="444"/>
      <w:bookmarkEnd w:id="445"/>
    </w:p>
    <w:p w:rsidR="005B1782" w:rsidRPr="001A3AD7" w:rsidRDefault="005B1782" w:rsidP="000A5A56">
      <w:pPr>
        <w:pStyle w:val="ListeParagraf"/>
        <w:keepNext/>
        <w:keepLines/>
        <w:numPr>
          <w:ilvl w:val="1"/>
          <w:numId w:val="11"/>
        </w:numPr>
        <w:spacing w:before="200" w:after="120"/>
        <w:outlineLvl w:val="1"/>
        <w:rPr>
          <w:rFonts w:eastAsiaTheme="majorEastAsia" w:cstheme="majorBidi"/>
          <w:b/>
          <w:bCs/>
          <w:color w:val="000000" w:themeColor="text1"/>
        </w:rPr>
      </w:pPr>
      <w:bookmarkStart w:id="446" w:name="_Toc39153506"/>
      <w:bookmarkStart w:id="447" w:name="_Toc132713866"/>
      <w:r w:rsidRPr="001A3AD7">
        <w:rPr>
          <w:rFonts w:eastAsiaTheme="majorEastAsia" w:cstheme="majorBidi"/>
          <w:b/>
          <w:bCs/>
          <w:color w:val="000000" w:themeColor="text1"/>
        </w:rPr>
        <w:t>Bakanlık Kanalıyla TBMM'den Gelen Soru Önergeleri</w:t>
      </w:r>
      <w:bookmarkEnd w:id="446"/>
      <w:bookmarkEnd w:id="447"/>
    </w:p>
    <w:p w:rsidR="000C2BB0" w:rsidRDefault="000C2BB0" w:rsidP="000C2BB0">
      <w:pPr>
        <w:pStyle w:val="ListeParagraf"/>
        <w:spacing w:after="0"/>
        <w:ind w:left="360"/>
      </w:pPr>
      <w:r w:rsidRPr="001C189C">
        <w:t>Bakanlık kanalıyla 20</w:t>
      </w:r>
      <w:r>
        <w:t>22 yılında TBMM’den gelen 3</w:t>
      </w:r>
      <w:r w:rsidR="000F37A6">
        <w:t>62</w:t>
      </w:r>
      <w:r w:rsidRPr="001C189C">
        <w:t xml:space="preserve"> adet soru önergesi talebi</w:t>
      </w:r>
      <w:r>
        <w:t xml:space="preserve"> için </w:t>
      </w:r>
      <w:r w:rsidRPr="001C189C">
        <w:t>cevap oluşturulmuştur. Söz konusu soru önergelerinin dağılımı Tablo 11.1’de gösterilmektedir.</w:t>
      </w:r>
    </w:p>
    <w:p w:rsidR="000C2BB0" w:rsidRPr="001C189C" w:rsidRDefault="000C2BB0" w:rsidP="000C2BB0">
      <w:pPr>
        <w:pStyle w:val="ListeParagraf"/>
        <w:spacing w:after="0"/>
        <w:ind w:left="360"/>
      </w:pPr>
    </w:p>
    <w:p w:rsidR="000C2BB0" w:rsidRPr="006E43C3" w:rsidRDefault="000C2BB0" w:rsidP="000C2BB0">
      <w:pPr>
        <w:pStyle w:val="Balk5"/>
        <w:spacing w:before="0"/>
        <w:ind w:left="360"/>
        <w:jc w:val="center"/>
        <w:rPr>
          <w:rFonts w:asciiTheme="minorHAnsi" w:hAnsiTheme="minorHAnsi"/>
          <w:b/>
          <w:bCs/>
          <w:color w:val="000000" w:themeColor="text1"/>
        </w:rPr>
      </w:pPr>
      <w:bookmarkStart w:id="448" w:name="_Toc39153598"/>
      <w:bookmarkStart w:id="449" w:name="_Toc132713967"/>
      <w:r>
        <w:rPr>
          <w:rStyle w:val="Gl"/>
          <w:color w:val="000000" w:themeColor="text1"/>
        </w:rPr>
        <w:t>Tablo 11.1</w:t>
      </w:r>
      <w:r w:rsidRPr="00E9291A">
        <w:rPr>
          <w:rStyle w:val="Gl"/>
          <w:color w:val="000000" w:themeColor="text1"/>
        </w:rPr>
        <w:t xml:space="preserve">: </w:t>
      </w:r>
      <w:r>
        <w:rPr>
          <w:rStyle w:val="Gl"/>
          <w:color w:val="000000" w:themeColor="text1"/>
        </w:rPr>
        <w:t>2022 Yılında Gelen Soru Önergelerinin Konu Bazında Dağılımı</w:t>
      </w:r>
      <w:bookmarkEnd w:id="448"/>
      <w:bookmarkEnd w:id="449"/>
    </w:p>
    <w:tbl>
      <w:tblPr>
        <w:tblW w:w="4670" w:type="pct"/>
        <w:tblLayout w:type="fixed"/>
        <w:tblCellMar>
          <w:left w:w="70" w:type="dxa"/>
          <w:right w:w="70" w:type="dxa"/>
        </w:tblCellMar>
        <w:tblLook w:val="04A0" w:firstRow="1" w:lastRow="0" w:firstColumn="1" w:lastColumn="0" w:noHBand="0" w:noVBand="1"/>
      </w:tblPr>
      <w:tblGrid>
        <w:gridCol w:w="8146"/>
        <w:gridCol w:w="1102"/>
      </w:tblGrid>
      <w:tr w:rsidR="000C2BB0" w:rsidRPr="006373A5" w:rsidTr="00220C2A">
        <w:trPr>
          <w:trHeight w:val="25"/>
        </w:trPr>
        <w:tc>
          <w:tcPr>
            <w:tcW w:w="4404" w:type="pct"/>
            <w:tcBorders>
              <w:top w:val="single" w:sz="8" w:space="0" w:color="BFBFBF"/>
              <w:left w:val="single" w:sz="8" w:space="0" w:color="BFBFBF"/>
              <w:bottom w:val="single" w:sz="8" w:space="0" w:color="BFBFBF"/>
              <w:right w:val="single" w:sz="8" w:space="0" w:color="BFBFBF"/>
            </w:tcBorders>
            <w:shd w:val="clear" w:color="000000" w:fill="6E9ECA"/>
            <w:noWrap/>
            <w:vAlign w:val="center"/>
            <w:hideMark/>
          </w:tcPr>
          <w:p w:rsidR="000C2BB0" w:rsidRPr="006373A5" w:rsidRDefault="000C2BB0" w:rsidP="00CD0F84">
            <w:pPr>
              <w:spacing w:after="0" w:line="240" w:lineRule="auto"/>
              <w:jc w:val="center"/>
              <w:rPr>
                <w:rFonts w:ascii="Calibri" w:eastAsia="Times New Roman" w:hAnsi="Calibri" w:cs="Calibri"/>
                <w:b/>
                <w:bCs/>
                <w:color w:val="FFFFFF"/>
                <w:lang w:eastAsia="tr-TR"/>
              </w:rPr>
            </w:pPr>
            <w:r w:rsidRPr="006373A5">
              <w:rPr>
                <w:rFonts w:ascii="Calibri" w:eastAsia="Times New Roman" w:hAnsi="Calibri" w:cs="Calibri"/>
                <w:b/>
                <w:bCs/>
                <w:color w:val="FFFFFF"/>
                <w:lang w:eastAsia="tr-TR"/>
              </w:rPr>
              <w:t>Soru Önergesi İçeriği</w:t>
            </w:r>
          </w:p>
        </w:tc>
        <w:tc>
          <w:tcPr>
            <w:tcW w:w="596" w:type="pct"/>
            <w:tcBorders>
              <w:top w:val="single" w:sz="8" w:space="0" w:color="BFBFBF"/>
              <w:left w:val="nil"/>
              <w:bottom w:val="single" w:sz="8" w:space="0" w:color="BFBFBF"/>
              <w:right w:val="single" w:sz="8" w:space="0" w:color="BFBFBF"/>
            </w:tcBorders>
            <w:shd w:val="clear" w:color="000000" w:fill="6E9ECA"/>
            <w:noWrap/>
            <w:vAlign w:val="center"/>
            <w:hideMark/>
          </w:tcPr>
          <w:p w:rsidR="000C2BB0" w:rsidRPr="006373A5" w:rsidRDefault="000C2BB0" w:rsidP="00CD0F84">
            <w:pPr>
              <w:spacing w:after="0" w:line="240" w:lineRule="auto"/>
              <w:jc w:val="center"/>
              <w:rPr>
                <w:rFonts w:ascii="Calibri" w:eastAsia="Times New Roman" w:hAnsi="Calibri" w:cs="Calibri"/>
                <w:b/>
                <w:bCs/>
                <w:color w:val="FFFFFF"/>
                <w:lang w:eastAsia="tr-TR"/>
              </w:rPr>
            </w:pPr>
            <w:r w:rsidRPr="006373A5">
              <w:rPr>
                <w:rFonts w:ascii="Calibri" w:eastAsia="Times New Roman" w:hAnsi="Calibri" w:cs="Calibri"/>
                <w:b/>
                <w:bCs/>
                <w:color w:val="FFFFFF"/>
                <w:lang w:eastAsia="tr-TR"/>
              </w:rPr>
              <w:t>Adet</w:t>
            </w:r>
          </w:p>
        </w:tc>
      </w:tr>
      <w:tr w:rsidR="000C2BB0" w:rsidRPr="006373A5" w:rsidTr="00220C2A">
        <w:trPr>
          <w:trHeight w:val="537"/>
        </w:trPr>
        <w:tc>
          <w:tcPr>
            <w:tcW w:w="4404" w:type="pct"/>
            <w:tcBorders>
              <w:top w:val="nil"/>
              <w:left w:val="single" w:sz="8" w:space="0" w:color="BFBFBF"/>
              <w:bottom w:val="single" w:sz="8" w:space="0" w:color="BFBFBF"/>
              <w:right w:val="single" w:sz="8" w:space="0" w:color="BFBFBF"/>
            </w:tcBorders>
            <w:shd w:val="clear" w:color="000000" w:fill="FFFFFF"/>
            <w:noWrap/>
            <w:vAlign w:val="center"/>
            <w:hideMark/>
          </w:tcPr>
          <w:p w:rsidR="000C2BB0" w:rsidRPr="006373A5" w:rsidRDefault="006E52CA" w:rsidP="00CD0F8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Zamanında Ödenmeyen Faturalar Sebebiyle Elektriği</w:t>
            </w:r>
            <w:r w:rsidRPr="006373A5">
              <w:rPr>
                <w:rFonts w:ascii="Calibri" w:eastAsia="Times New Roman" w:hAnsi="Calibri" w:cs="Calibri"/>
                <w:color w:val="000000"/>
                <w:lang w:eastAsia="tr-TR"/>
              </w:rPr>
              <w:t xml:space="preserve"> </w:t>
            </w:r>
            <w:r>
              <w:rPr>
                <w:rFonts w:ascii="Calibri" w:eastAsia="Times New Roman" w:hAnsi="Calibri" w:cs="Calibri"/>
                <w:color w:val="000000"/>
                <w:lang w:eastAsia="tr-TR"/>
              </w:rPr>
              <w:t>/ Doğalgazı Kesilen Tüketiciler</w:t>
            </w:r>
          </w:p>
        </w:tc>
        <w:tc>
          <w:tcPr>
            <w:tcW w:w="596" w:type="pct"/>
            <w:tcBorders>
              <w:top w:val="nil"/>
              <w:left w:val="nil"/>
              <w:bottom w:val="single" w:sz="8" w:space="0" w:color="BFBFBF"/>
              <w:right w:val="single" w:sz="8" w:space="0" w:color="BFBFBF"/>
            </w:tcBorders>
            <w:shd w:val="clear" w:color="000000" w:fill="FFFFFF"/>
            <w:noWrap/>
            <w:vAlign w:val="center"/>
            <w:hideMark/>
          </w:tcPr>
          <w:p w:rsidR="000C2BB0" w:rsidRPr="00076782" w:rsidRDefault="000C2BB0" w:rsidP="00CD0F84">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10</w:t>
            </w:r>
            <w:r w:rsidR="000F37A6">
              <w:rPr>
                <w:rFonts w:ascii="Calibri" w:eastAsia="Times New Roman" w:hAnsi="Calibri" w:cs="Calibri"/>
                <w:color w:val="000000"/>
                <w:lang w:eastAsia="tr-TR"/>
              </w:rPr>
              <w:t>8</w:t>
            </w:r>
          </w:p>
        </w:tc>
      </w:tr>
      <w:tr w:rsidR="000C2BB0" w:rsidRPr="006373A5" w:rsidTr="00220C2A">
        <w:trPr>
          <w:trHeight w:val="537"/>
        </w:trPr>
        <w:tc>
          <w:tcPr>
            <w:tcW w:w="4404" w:type="pct"/>
            <w:tcBorders>
              <w:top w:val="nil"/>
              <w:left w:val="single" w:sz="8" w:space="0" w:color="BFBFBF"/>
              <w:bottom w:val="single" w:sz="8" w:space="0" w:color="BFBFBF"/>
              <w:right w:val="single" w:sz="8" w:space="0" w:color="BFBFBF"/>
            </w:tcBorders>
            <w:shd w:val="clear" w:color="000000" w:fill="FFFFFF"/>
            <w:noWrap/>
            <w:vAlign w:val="center"/>
          </w:tcPr>
          <w:p w:rsidR="000C2BB0" w:rsidRPr="006373A5" w:rsidRDefault="000C2BB0" w:rsidP="00CD0F8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 xml:space="preserve">Elektrik </w:t>
            </w:r>
            <w:r w:rsidR="006E52CA">
              <w:rPr>
                <w:rFonts w:ascii="Calibri" w:eastAsia="Times New Roman" w:hAnsi="Calibri" w:cs="Calibri"/>
                <w:color w:val="000000"/>
                <w:lang w:eastAsia="tr-TR"/>
              </w:rPr>
              <w:t xml:space="preserve">ve </w:t>
            </w:r>
            <w:r>
              <w:rPr>
                <w:rFonts w:ascii="Calibri" w:eastAsia="Times New Roman" w:hAnsi="Calibri" w:cs="Calibri"/>
                <w:color w:val="000000"/>
                <w:lang w:eastAsia="tr-TR"/>
              </w:rPr>
              <w:t>Doğalgaz Kesintileri</w:t>
            </w:r>
            <w:r w:rsidR="006E52CA">
              <w:rPr>
                <w:rFonts w:ascii="Calibri" w:eastAsia="Times New Roman" w:hAnsi="Calibri" w:cs="Calibri"/>
                <w:color w:val="000000"/>
                <w:lang w:eastAsia="tr-TR"/>
              </w:rPr>
              <w:t xml:space="preserve"> (</w:t>
            </w:r>
            <w:r>
              <w:rPr>
                <w:rFonts w:ascii="Calibri" w:eastAsia="Times New Roman" w:hAnsi="Calibri" w:cs="Calibri"/>
                <w:color w:val="000000"/>
                <w:lang w:eastAsia="tr-TR"/>
              </w:rPr>
              <w:t>Teknik</w:t>
            </w:r>
            <w:r w:rsidR="006E52CA">
              <w:rPr>
                <w:rFonts w:ascii="Calibri" w:eastAsia="Times New Roman" w:hAnsi="Calibri" w:cs="Calibri"/>
                <w:color w:val="000000"/>
                <w:lang w:eastAsia="tr-TR"/>
              </w:rPr>
              <w:t xml:space="preserve">) </w:t>
            </w:r>
            <w:r>
              <w:rPr>
                <w:rFonts w:ascii="Calibri" w:eastAsia="Times New Roman" w:hAnsi="Calibri" w:cs="Calibri"/>
                <w:color w:val="000000"/>
                <w:lang w:eastAsia="tr-TR"/>
              </w:rPr>
              <w:t>Sebebiyle Dağıtım Şirketleri Hakkında Gelen Şikâyetler</w:t>
            </w:r>
          </w:p>
        </w:tc>
        <w:tc>
          <w:tcPr>
            <w:tcW w:w="596" w:type="pct"/>
            <w:tcBorders>
              <w:top w:val="nil"/>
              <w:left w:val="nil"/>
              <w:bottom w:val="single" w:sz="8" w:space="0" w:color="BFBFBF"/>
              <w:right w:val="single" w:sz="8" w:space="0" w:color="BFBFBF"/>
            </w:tcBorders>
            <w:shd w:val="clear" w:color="000000" w:fill="FFFFFF"/>
            <w:noWrap/>
            <w:vAlign w:val="center"/>
          </w:tcPr>
          <w:p w:rsidR="000C2BB0" w:rsidRPr="00076782" w:rsidRDefault="000C2BB0" w:rsidP="00CD0F84">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5</w:t>
            </w:r>
            <w:r w:rsidR="000F37A6">
              <w:rPr>
                <w:rFonts w:ascii="Calibri" w:eastAsia="Times New Roman" w:hAnsi="Calibri" w:cs="Calibri"/>
                <w:color w:val="000000"/>
                <w:lang w:eastAsia="tr-TR"/>
              </w:rPr>
              <w:t>2</w:t>
            </w:r>
          </w:p>
        </w:tc>
      </w:tr>
      <w:tr w:rsidR="000C2BB0" w:rsidRPr="006373A5" w:rsidTr="00220C2A">
        <w:trPr>
          <w:trHeight w:val="537"/>
        </w:trPr>
        <w:tc>
          <w:tcPr>
            <w:tcW w:w="4404" w:type="pct"/>
            <w:tcBorders>
              <w:top w:val="nil"/>
              <w:left w:val="single" w:sz="8" w:space="0" w:color="BFBFBF"/>
              <w:bottom w:val="single" w:sz="8" w:space="0" w:color="BFBFBF"/>
              <w:right w:val="single" w:sz="8" w:space="0" w:color="BFBFBF"/>
            </w:tcBorders>
            <w:shd w:val="clear" w:color="000000" w:fill="FFFFFF"/>
            <w:noWrap/>
            <w:vAlign w:val="center"/>
          </w:tcPr>
          <w:p w:rsidR="000C2BB0" w:rsidRDefault="000C2BB0" w:rsidP="00CD0F8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Dağıtım Şirketlerinin Denetlenmesi</w:t>
            </w:r>
            <w:r w:rsidR="006E52CA">
              <w:rPr>
                <w:rFonts w:ascii="Calibri" w:eastAsia="Times New Roman" w:hAnsi="Calibri" w:cs="Calibri"/>
                <w:color w:val="000000"/>
                <w:lang w:eastAsia="tr-TR"/>
              </w:rPr>
              <w:t>/</w:t>
            </w:r>
            <w:r>
              <w:rPr>
                <w:rFonts w:ascii="Calibri" w:eastAsia="Times New Roman" w:hAnsi="Calibri" w:cs="Calibri"/>
                <w:color w:val="000000"/>
                <w:lang w:eastAsia="tr-TR"/>
              </w:rPr>
              <w:t xml:space="preserve">Dağıtım </w:t>
            </w:r>
            <w:r w:rsidR="006E52CA">
              <w:rPr>
                <w:rFonts w:ascii="Calibri" w:eastAsia="Times New Roman" w:hAnsi="Calibri" w:cs="Calibri"/>
                <w:color w:val="000000"/>
                <w:lang w:eastAsia="tr-TR"/>
              </w:rPr>
              <w:t>Şirketlerince Yapılan Yatırımlar/</w:t>
            </w:r>
            <w:r>
              <w:rPr>
                <w:rFonts w:ascii="Calibri" w:eastAsia="Times New Roman" w:hAnsi="Calibri" w:cs="Calibri"/>
                <w:color w:val="000000"/>
                <w:lang w:eastAsia="tr-TR"/>
              </w:rPr>
              <w:t xml:space="preserve">Bakım </w:t>
            </w:r>
            <w:r w:rsidR="006E52CA">
              <w:rPr>
                <w:rFonts w:ascii="Calibri" w:eastAsia="Times New Roman" w:hAnsi="Calibri" w:cs="Calibri"/>
                <w:color w:val="000000"/>
                <w:lang w:eastAsia="tr-TR"/>
              </w:rPr>
              <w:t>Onarım Çalışmaları/</w:t>
            </w:r>
            <w:r>
              <w:rPr>
                <w:rFonts w:ascii="Calibri" w:eastAsia="Times New Roman" w:hAnsi="Calibri" w:cs="Calibri"/>
                <w:color w:val="000000"/>
                <w:lang w:eastAsia="tr-TR"/>
              </w:rPr>
              <w:t xml:space="preserve">Elektrik Dağıtım Şirketlerinin </w:t>
            </w:r>
            <w:r w:rsidR="006E52CA">
              <w:rPr>
                <w:rFonts w:ascii="Calibri" w:eastAsia="Times New Roman" w:hAnsi="Calibri" w:cs="Calibri"/>
                <w:color w:val="000000"/>
                <w:lang w:eastAsia="tr-TR"/>
              </w:rPr>
              <w:t>Kar Marjı</w:t>
            </w:r>
          </w:p>
        </w:tc>
        <w:tc>
          <w:tcPr>
            <w:tcW w:w="596" w:type="pct"/>
            <w:tcBorders>
              <w:top w:val="nil"/>
              <w:left w:val="nil"/>
              <w:bottom w:val="single" w:sz="8" w:space="0" w:color="BFBFBF"/>
              <w:right w:val="single" w:sz="8" w:space="0" w:color="BFBFBF"/>
            </w:tcBorders>
            <w:shd w:val="clear" w:color="000000" w:fill="FFFFFF"/>
            <w:noWrap/>
            <w:vAlign w:val="center"/>
          </w:tcPr>
          <w:p w:rsidR="000C2BB0" w:rsidRPr="00076782" w:rsidRDefault="000C2BB0" w:rsidP="00CD0F84">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47</w:t>
            </w:r>
          </w:p>
        </w:tc>
      </w:tr>
      <w:tr w:rsidR="000C2BB0" w:rsidRPr="006373A5" w:rsidTr="00220C2A">
        <w:trPr>
          <w:trHeight w:val="537"/>
        </w:trPr>
        <w:tc>
          <w:tcPr>
            <w:tcW w:w="4404" w:type="pct"/>
            <w:tcBorders>
              <w:top w:val="nil"/>
              <w:left w:val="single" w:sz="8" w:space="0" w:color="BFBFBF"/>
              <w:bottom w:val="single" w:sz="8" w:space="0" w:color="BFBFBF"/>
              <w:right w:val="single" w:sz="8" w:space="0" w:color="BFBFBF"/>
            </w:tcBorders>
            <w:shd w:val="clear" w:color="000000" w:fill="FFFFFF"/>
            <w:noWrap/>
            <w:vAlign w:val="center"/>
          </w:tcPr>
          <w:p w:rsidR="000C2BB0" w:rsidRDefault="000C2BB0" w:rsidP="00CD0F8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Elektrik</w:t>
            </w:r>
            <w:r w:rsidR="006E52CA">
              <w:rPr>
                <w:rFonts w:ascii="Calibri" w:eastAsia="Times New Roman" w:hAnsi="Calibri" w:cs="Calibri"/>
                <w:color w:val="000000"/>
                <w:lang w:eastAsia="tr-TR"/>
              </w:rPr>
              <w:t>/</w:t>
            </w:r>
            <w:r>
              <w:rPr>
                <w:rFonts w:ascii="Calibri" w:eastAsia="Times New Roman" w:hAnsi="Calibri" w:cs="Calibri"/>
                <w:color w:val="000000"/>
                <w:lang w:eastAsia="tr-TR"/>
              </w:rPr>
              <w:t xml:space="preserve">Doğalgaz </w:t>
            </w:r>
            <w:r w:rsidR="006E52CA">
              <w:rPr>
                <w:rFonts w:ascii="Calibri" w:eastAsia="Times New Roman" w:hAnsi="Calibri" w:cs="Calibri"/>
                <w:color w:val="000000"/>
                <w:lang w:eastAsia="tr-TR"/>
              </w:rPr>
              <w:t xml:space="preserve">Ve </w:t>
            </w:r>
            <w:r>
              <w:rPr>
                <w:rFonts w:ascii="Calibri" w:eastAsia="Times New Roman" w:hAnsi="Calibri" w:cs="Calibri"/>
                <w:color w:val="000000"/>
                <w:lang w:eastAsia="tr-TR"/>
              </w:rPr>
              <w:t xml:space="preserve">Akaryakıta </w:t>
            </w:r>
            <w:r w:rsidR="006E52CA">
              <w:rPr>
                <w:rFonts w:ascii="Calibri" w:eastAsia="Times New Roman" w:hAnsi="Calibri" w:cs="Calibri"/>
                <w:color w:val="000000"/>
                <w:lang w:eastAsia="tr-TR"/>
              </w:rPr>
              <w:t>Gelen Zamlara İlişkin Şikayetler</w:t>
            </w:r>
          </w:p>
        </w:tc>
        <w:tc>
          <w:tcPr>
            <w:tcW w:w="596" w:type="pct"/>
            <w:tcBorders>
              <w:top w:val="nil"/>
              <w:left w:val="nil"/>
              <w:bottom w:val="single" w:sz="8" w:space="0" w:color="BFBFBF"/>
              <w:right w:val="single" w:sz="8" w:space="0" w:color="BFBFBF"/>
            </w:tcBorders>
            <w:shd w:val="clear" w:color="000000" w:fill="FFFFFF"/>
            <w:noWrap/>
            <w:vAlign w:val="center"/>
          </w:tcPr>
          <w:p w:rsidR="000C2BB0" w:rsidRPr="00076782" w:rsidRDefault="000C2BB0" w:rsidP="00CD0F84">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30</w:t>
            </w:r>
          </w:p>
        </w:tc>
      </w:tr>
      <w:tr w:rsidR="000C2BB0" w:rsidRPr="006373A5" w:rsidTr="00220C2A">
        <w:trPr>
          <w:trHeight w:val="537"/>
        </w:trPr>
        <w:tc>
          <w:tcPr>
            <w:tcW w:w="4404" w:type="pct"/>
            <w:tcBorders>
              <w:top w:val="nil"/>
              <w:left w:val="single" w:sz="8" w:space="0" w:color="BFBFBF"/>
              <w:bottom w:val="single" w:sz="8" w:space="0" w:color="BFBFBF"/>
              <w:right w:val="single" w:sz="8" w:space="0" w:color="BFBFBF"/>
            </w:tcBorders>
            <w:shd w:val="clear" w:color="000000" w:fill="FFFFFF"/>
            <w:noWrap/>
            <w:vAlign w:val="center"/>
          </w:tcPr>
          <w:p w:rsidR="000C2BB0" w:rsidRDefault="000C2BB0" w:rsidP="00CD0F8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 xml:space="preserve">Elektrik </w:t>
            </w:r>
            <w:r w:rsidR="006E52CA">
              <w:rPr>
                <w:rFonts w:ascii="Calibri" w:eastAsia="Times New Roman" w:hAnsi="Calibri" w:cs="Calibri"/>
                <w:color w:val="000000"/>
                <w:lang w:eastAsia="tr-TR"/>
              </w:rPr>
              <w:t xml:space="preserve">ve </w:t>
            </w:r>
            <w:r>
              <w:rPr>
                <w:rFonts w:ascii="Calibri" w:eastAsia="Times New Roman" w:hAnsi="Calibri" w:cs="Calibri"/>
                <w:color w:val="000000"/>
                <w:lang w:eastAsia="tr-TR"/>
              </w:rPr>
              <w:t>Doğalgaz Hatları Bulunmayan Bölgeler</w:t>
            </w:r>
          </w:p>
        </w:tc>
        <w:tc>
          <w:tcPr>
            <w:tcW w:w="596" w:type="pct"/>
            <w:tcBorders>
              <w:top w:val="nil"/>
              <w:left w:val="nil"/>
              <w:bottom w:val="single" w:sz="8" w:space="0" w:color="BFBFBF"/>
              <w:right w:val="single" w:sz="8" w:space="0" w:color="BFBFBF"/>
            </w:tcBorders>
            <w:shd w:val="clear" w:color="000000" w:fill="FFFFFF"/>
            <w:noWrap/>
            <w:vAlign w:val="center"/>
          </w:tcPr>
          <w:p w:rsidR="000C2BB0" w:rsidRPr="00076782" w:rsidRDefault="000C2BB0" w:rsidP="00CD0F84">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25</w:t>
            </w:r>
          </w:p>
        </w:tc>
      </w:tr>
      <w:tr w:rsidR="000C2BB0" w:rsidRPr="000A57C3" w:rsidTr="00220C2A">
        <w:trPr>
          <w:trHeight w:val="537"/>
        </w:trPr>
        <w:tc>
          <w:tcPr>
            <w:tcW w:w="4404" w:type="pct"/>
            <w:tcBorders>
              <w:top w:val="nil"/>
              <w:left w:val="single" w:sz="8" w:space="0" w:color="BFBFBF"/>
              <w:bottom w:val="single" w:sz="8" w:space="0" w:color="BFBFBF"/>
              <w:right w:val="single" w:sz="8" w:space="0" w:color="BFBFBF"/>
            </w:tcBorders>
            <w:shd w:val="clear" w:color="000000" w:fill="FFFFFF"/>
            <w:noWrap/>
            <w:vAlign w:val="center"/>
          </w:tcPr>
          <w:p w:rsidR="000C2BB0" w:rsidRDefault="000C2BB0" w:rsidP="00CD0F8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 xml:space="preserve">Elektrik Tarife Düzenlemeleri </w:t>
            </w:r>
            <w:r w:rsidR="006E52CA">
              <w:rPr>
                <w:rFonts w:ascii="Calibri" w:eastAsia="Times New Roman" w:hAnsi="Calibri" w:cs="Calibri"/>
                <w:color w:val="000000"/>
                <w:lang w:eastAsia="tr-TR"/>
              </w:rPr>
              <w:t>(</w:t>
            </w:r>
            <w:r>
              <w:rPr>
                <w:rFonts w:ascii="Calibri" w:eastAsia="Times New Roman" w:hAnsi="Calibri" w:cs="Calibri"/>
                <w:color w:val="000000"/>
                <w:lang w:eastAsia="tr-TR"/>
              </w:rPr>
              <w:t>Kayıp</w:t>
            </w:r>
            <w:r w:rsidR="006E52CA">
              <w:rPr>
                <w:rFonts w:ascii="Calibri" w:eastAsia="Times New Roman" w:hAnsi="Calibri" w:cs="Calibri"/>
                <w:color w:val="000000"/>
                <w:lang w:eastAsia="tr-TR"/>
              </w:rPr>
              <w:t>-Kaçak Oranlar/</w:t>
            </w:r>
            <w:r>
              <w:rPr>
                <w:rFonts w:ascii="Calibri" w:eastAsia="Times New Roman" w:hAnsi="Calibri" w:cs="Calibri"/>
                <w:color w:val="000000"/>
                <w:lang w:eastAsia="tr-TR"/>
              </w:rPr>
              <w:t>Enerji Fonu</w:t>
            </w:r>
            <w:r w:rsidR="006E52CA">
              <w:rPr>
                <w:rFonts w:ascii="Calibri" w:eastAsia="Times New Roman" w:hAnsi="Calibri" w:cs="Calibri"/>
                <w:color w:val="000000"/>
                <w:lang w:eastAsia="tr-TR"/>
              </w:rPr>
              <w:t>/</w:t>
            </w:r>
            <w:r>
              <w:rPr>
                <w:rFonts w:ascii="Calibri" w:eastAsia="Times New Roman" w:hAnsi="Calibri" w:cs="Calibri"/>
                <w:color w:val="000000"/>
                <w:lang w:eastAsia="tr-TR"/>
              </w:rPr>
              <w:t>TRT Payı</w:t>
            </w:r>
            <w:r w:rsidR="006E52CA">
              <w:rPr>
                <w:rFonts w:ascii="Calibri" w:eastAsia="Times New Roman" w:hAnsi="Calibri" w:cs="Calibri"/>
                <w:color w:val="000000"/>
                <w:lang w:eastAsia="tr-TR"/>
              </w:rPr>
              <w:t>/</w:t>
            </w:r>
            <w:r>
              <w:rPr>
                <w:rFonts w:ascii="Calibri" w:eastAsia="Times New Roman" w:hAnsi="Calibri" w:cs="Calibri"/>
                <w:color w:val="000000"/>
                <w:lang w:eastAsia="tr-TR"/>
              </w:rPr>
              <w:t xml:space="preserve">KDV </w:t>
            </w:r>
            <w:r w:rsidR="006E52CA">
              <w:rPr>
                <w:rFonts w:ascii="Calibri" w:eastAsia="Times New Roman" w:hAnsi="Calibri" w:cs="Calibri"/>
                <w:color w:val="000000"/>
                <w:lang w:eastAsia="tr-TR"/>
              </w:rPr>
              <w:t>/</w:t>
            </w:r>
            <w:r>
              <w:rPr>
                <w:rFonts w:ascii="Calibri" w:eastAsia="Times New Roman" w:hAnsi="Calibri" w:cs="Calibri"/>
                <w:color w:val="000000"/>
                <w:lang w:eastAsia="tr-TR"/>
              </w:rPr>
              <w:t>Güvence Bedeli</w:t>
            </w:r>
            <w:r w:rsidR="006E52CA">
              <w:rPr>
                <w:rFonts w:ascii="Calibri" w:eastAsia="Times New Roman" w:hAnsi="Calibri" w:cs="Calibri"/>
                <w:color w:val="000000"/>
                <w:lang w:eastAsia="tr-TR"/>
              </w:rPr>
              <w:t>/</w:t>
            </w:r>
            <w:r>
              <w:rPr>
                <w:rFonts w:ascii="Calibri" w:eastAsia="Times New Roman" w:hAnsi="Calibri" w:cs="Calibri"/>
                <w:color w:val="000000"/>
                <w:lang w:eastAsia="tr-TR"/>
              </w:rPr>
              <w:t>Tüfe Oranı</w:t>
            </w:r>
            <w:r w:rsidR="006E52CA">
              <w:rPr>
                <w:rFonts w:ascii="Calibri" w:eastAsia="Times New Roman" w:hAnsi="Calibri" w:cs="Calibri"/>
                <w:color w:val="000000"/>
                <w:lang w:eastAsia="tr-TR"/>
              </w:rPr>
              <w:t>)</w:t>
            </w:r>
          </w:p>
        </w:tc>
        <w:tc>
          <w:tcPr>
            <w:tcW w:w="596" w:type="pct"/>
            <w:tcBorders>
              <w:top w:val="nil"/>
              <w:left w:val="nil"/>
              <w:bottom w:val="single" w:sz="8" w:space="0" w:color="BFBFBF"/>
              <w:right w:val="single" w:sz="8" w:space="0" w:color="BFBFBF"/>
            </w:tcBorders>
            <w:shd w:val="clear" w:color="000000" w:fill="FFFFFF"/>
            <w:noWrap/>
            <w:vAlign w:val="center"/>
          </w:tcPr>
          <w:p w:rsidR="000C2BB0" w:rsidRPr="00076782" w:rsidRDefault="000C2BB0" w:rsidP="00CD0F84">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26</w:t>
            </w:r>
          </w:p>
        </w:tc>
      </w:tr>
      <w:tr w:rsidR="000C2BB0" w:rsidRPr="006373A5" w:rsidTr="00220C2A">
        <w:trPr>
          <w:trHeight w:val="537"/>
        </w:trPr>
        <w:tc>
          <w:tcPr>
            <w:tcW w:w="4404" w:type="pct"/>
            <w:tcBorders>
              <w:top w:val="nil"/>
              <w:left w:val="single" w:sz="8" w:space="0" w:color="BFBFBF"/>
              <w:bottom w:val="single" w:sz="8" w:space="0" w:color="BFBFBF"/>
              <w:right w:val="single" w:sz="8" w:space="0" w:color="BFBFBF"/>
            </w:tcBorders>
            <w:shd w:val="clear" w:color="000000" w:fill="FFFFFF"/>
            <w:noWrap/>
            <w:vAlign w:val="center"/>
          </w:tcPr>
          <w:p w:rsidR="000C2BB0" w:rsidRDefault="000C2BB0" w:rsidP="00CD0F8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 xml:space="preserve">Kademeli Tarifeye </w:t>
            </w:r>
            <w:r w:rsidR="006E52CA">
              <w:rPr>
                <w:rFonts w:ascii="Calibri" w:eastAsia="Times New Roman" w:hAnsi="Calibri" w:cs="Calibri"/>
                <w:color w:val="000000"/>
                <w:lang w:eastAsia="tr-TR"/>
              </w:rPr>
              <w:t>Geçiş Uygulaması/</w:t>
            </w:r>
            <w:r>
              <w:rPr>
                <w:rFonts w:ascii="Calibri" w:eastAsia="Times New Roman" w:hAnsi="Calibri" w:cs="Calibri"/>
                <w:color w:val="000000"/>
                <w:lang w:eastAsia="tr-TR"/>
              </w:rPr>
              <w:t xml:space="preserve">Abone </w:t>
            </w:r>
            <w:r w:rsidR="006E52CA">
              <w:rPr>
                <w:rFonts w:ascii="Calibri" w:eastAsia="Times New Roman" w:hAnsi="Calibri" w:cs="Calibri"/>
                <w:color w:val="000000"/>
                <w:lang w:eastAsia="tr-TR"/>
              </w:rPr>
              <w:t>Gruplarına Verilecek Destekler</w:t>
            </w:r>
          </w:p>
        </w:tc>
        <w:tc>
          <w:tcPr>
            <w:tcW w:w="596" w:type="pct"/>
            <w:tcBorders>
              <w:top w:val="nil"/>
              <w:left w:val="nil"/>
              <w:bottom w:val="single" w:sz="8" w:space="0" w:color="BFBFBF"/>
              <w:right w:val="single" w:sz="8" w:space="0" w:color="BFBFBF"/>
            </w:tcBorders>
            <w:shd w:val="clear" w:color="000000" w:fill="FFFFFF"/>
            <w:noWrap/>
            <w:vAlign w:val="center"/>
          </w:tcPr>
          <w:p w:rsidR="000C2BB0" w:rsidRPr="00076782" w:rsidRDefault="000C2BB0" w:rsidP="00CD0F84">
            <w:pPr>
              <w:spacing w:after="0" w:line="240" w:lineRule="auto"/>
              <w:jc w:val="right"/>
              <w:rPr>
                <w:rFonts w:ascii="Calibri" w:eastAsia="Times New Roman" w:hAnsi="Calibri" w:cs="Calibri"/>
                <w:color w:val="000000"/>
                <w:lang w:eastAsia="tr-TR"/>
              </w:rPr>
            </w:pPr>
            <w:r w:rsidRPr="00076782">
              <w:rPr>
                <w:rFonts w:ascii="Calibri" w:eastAsia="Times New Roman" w:hAnsi="Calibri" w:cs="Calibri"/>
                <w:color w:val="000000"/>
                <w:lang w:eastAsia="tr-TR"/>
              </w:rPr>
              <w:t>1</w:t>
            </w:r>
            <w:r>
              <w:rPr>
                <w:rFonts w:ascii="Calibri" w:eastAsia="Times New Roman" w:hAnsi="Calibri" w:cs="Calibri"/>
                <w:color w:val="000000"/>
                <w:lang w:eastAsia="tr-TR"/>
              </w:rPr>
              <w:t>9</w:t>
            </w:r>
          </w:p>
        </w:tc>
      </w:tr>
      <w:tr w:rsidR="000C2BB0" w:rsidRPr="006373A5" w:rsidTr="00220C2A">
        <w:trPr>
          <w:trHeight w:val="537"/>
        </w:trPr>
        <w:tc>
          <w:tcPr>
            <w:tcW w:w="4404" w:type="pct"/>
            <w:tcBorders>
              <w:top w:val="nil"/>
              <w:left w:val="single" w:sz="8" w:space="0" w:color="BFBFBF"/>
              <w:bottom w:val="single" w:sz="8" w:space="0" w:color="BFBFBF"/>
              <w:right w:val="single" w:sz="8" w:space="0" w:color="BFBFBF"/>
            </w:tcBorders>
            <w:shd w:val="clear" w:color="000000" w:fill="FFFFFF"/>
            <w:noWrap/>
            <w:vAlign w:val="center"/>
            <w:hideMark/>
          </w:tcPr>
          <w:p w:rsidR="000C2BB0" w:rsidRPr="006373A5" w:rsidRDefault="000C2BB0" w:rsidP="00CD0F8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 xml:space="preserve">Elektrik Piyasası Lisanssız Elektrik Üretim Yönetmeliğinde </w:t>
            </w:r>
            <w:r w:rsidR="006E52CA">
              <w:rPr>
                <w:rFonts w:ascii="Calibri" w:eastAsia="Times New Roman" w:hAnsi="Calibri" w:cs="Calibri"/>
                <w:color w:val="000000"/>
                <w:lang w:eastAsia="tr-TR"/>
              </w:rPr>
              <w:t>Yapılan Değişiklik</w:t>
            </w:r>
          </w:p>
        </w:tc>
        <w:tc>
          <w:tcPr>
            <w:tcW w:w="596" w:type="pct"/>
            <w:tcBorders>
              <w:top w:val="nil"/>
              <w:left w:val="nil"/>
              <w:bottom w:val="single" w:sz="8" w:space="0" w:color="BFBFBF"/>
              <w:right w:val="single" w:sz="8" w:space="0" w:color="BFBFBF"/>
            </w:tcBorders>
            <w:shd w:val="clear" w:color="000000" w:fill="FFFFFF"/>
            <w:noWrap/>
            <w:vAlign w:val="center"/>
            <w:hideMark/>
          </w:tcPr>
          <w:p w:rsidR="000C2BB0" w:rsidRPr="00076782" w:rsidRDefault="000C2BB0" w:rsidP="00CD0F84">
            <w:pPr>
              <w:spacing w:after="0" w:line="240" w:lineRule="auto"/>
              <w:jc w:val="right"/>
              <w:rPr>
                <w:rFonts w:ascii="Calibri" w:eastAsia="Times New Roman" w:hAnsi="Calibri" w:cs="Calibri"/>
                <w:color w:val="000000"/>
                <w:lang w:eastAsia="tr-TR"/>
              </w:rPr>
            </w:pPr>
            <w:r w:rsidRPr="00076782">
              <w:rPr>
                <w:rFonts w:ascii="Calibri" w:eastAsia="Times New Roman" w:hAnsi="Calibri" w:cs="Calibri"/>
                <w:color w:val="000000"/>
                <w:lang w:eastAsia="tr-TR"/>
              </w:rPr>
              <w:t>1</w:t>
            </w:r>
            <w:r>
              <w:rPr>
                <w:rFonts w:ascii="Calibri" w:eastAsia="Times New Roman" w:hAnsi="Calibri" w:cs="Calibri"/>
                <w:color w:val="000000"/>
                <w:lang w:eastAsia="tr-TR"/>
              </w:rPr>
              <w:t>5</w:t>
            </w:r>
          </w:p>
          <w:p w:rsidR="000C2BB0" w:rsidRPr="00076782" w:rsidRDefault="000C2BB0" w:rsidP="00CD0F84">
            <w:pPr>
              <w:spacing w:after="0" w:line="240" w:lineRule="auto"/>
              <w:jc w:val="right"/>
              <w:rPr>
                <w:rFonts w:ascii="Calibri" w:eastAsia="Times New Roman" w:hAnsi="Calibri" w:cs="Calibri"/>
                <w:color w:val="000000"/>
                <w:lang w:eastAsia="tr-TR"/>
              </w:rPr>
            </w:pPr>
          </w:p>
        </w:tc>
      </w:tr>
      <w:tr w:rsidR="000C2BB0" w:rsidRPr="006373A5" w:rsidTr="00220C2A">
        <w:trPr>
          <w:trHeight w:val="537"/>
        </w:trPr>
        <w:tc>
          <w:tcPr>
            <w:tcW w:w="4404" w:type="pct"/>
            <w:tcBorders>
              <w:top w:val="nil"/>
              <w:left w:val="single" w:sz="8" w:space="0" w:color="BFBFBF"/>
              <w:bottom w:val="single" w:sz="8" w:space="0" w:color="BFBFBF"/>
              <w:right w:val="single" w:sz="8" w:space="0" w:color="BFBFBF"/>
            </w:tcBorders>
            <w:shd w:val="clear" w:color="000000" w:fill="FFFFFF"/>
            <w:noWrap/>
            <w:vAlign w:val="center"/>
          </w:tcPr>
          <w:p w:rsidR="000C2BB0" w:rsidRDefault="000C2BB0" w:rsidP="00CD0F8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Yerli Kömür</w:t>
            </w:r>
            <w:r w:rsidR="006E52CA">
              <w:rPr>
                <w:rFonts w:ascii="Calibri" w:eastAsia="Times New Roman" w:hAnsi="Calibri" w:cs="Calibri"/>
                <w:color w:val="000000"/>
                <w:lang w:eastAsia="tr-TR"/>
              </w:rPr>
              <w:t>/</w:t>
            </w:r>
            <w:r>
              <w:rPr>
                <w:rFonts w:ascii="Calibri" w:eastAsia="Times New Roman" w:hAnsi="Calibri" w:cs="Calibri"/>
                <w:color w:val="000000"/>
                <w:lang w:eastAsia="tr-TR"/>
              </w:rPr>
              <w:t xml:space="preserve">İthal Kömür </w:t>
            </w:r>
            <w:r w:rsidR="006E52CA">
              <w:rPr>
                <w:rFonts w:ascii="Calibri" w:eastAsia="Times New Roman" w:hAnsi="Calibri" w:cs="Calibri"/>
                <w:color w:val="000000"/>
                <w:lang w:eastAsia="tr-TR"/>
              </w:rPr>
              <w:t>İle Üretilen Elektrikte İthal Kömüre Daha Çok Ayrıcalık Tanınması ve Oluşan Maliyetler ve ‘’Yerli ve Milli’’ Kaynaklarımıza Öncelik Verilmesi</w:t>
            </w:r>
          </w:p>
        </w:tc>
        <w:tc>
          <w:tcPr>
            <w:tcW w:w="596" w:type="pct"/>
            <w:tcBorders>
              <w:top w:val="nil"/>
              <w:left w:val="nil"/>
              <w:bottom w:val="single" w:sz="8" w:space="0" w:color="BFBFBF"/>
              <w:right w:val="single" w:sz="8" w:space="0" w:color="BFBFBF"/>
            </w:tcBorders>
            <w:shd w:val="clear" w:color="000000" w:fill="FFFFFF"/>
            <w:noWrap/>
            <w:vAlign w:val="center"/>
          </w:tcPr>
          <w:p w:rsidR="000C2BB0" w:rsidRPr="00076782" w:rsidRDefault="000C2BB0" w:rsidP="00CD0F84">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4</w:t>
            </w:r>
          </w:p>
        </w:tc>
      </w:tr>
      <w:tr w:rsidR="000C2BB0" w:rsidRPr="006373A5" w:rsidTr="00220C2A">
        <w:trPr>
          <w:trHeight w:val="537"/>
        </w:trPr>
        <w:tc>
          <w:tcPr>
            <w:tcW w:w="4404" w:type="pct"/>
            <w:tcBorders>
              <w:top w:val="nil"/>
              <w:left w:val="single" w:sz="8" w:space="0" w:color="BFBFBF"/>
              <w:bottom w:val="single" w:sz="8" w:space="0" w:color="BFBFBF"/>
              <w:right w:val="single" w:sz="8" w:space="0" w:color="BFBFBF"/>
            </w:tcBorders>
            <w:shd w:val="clear" w:color="000000" w:fill="FFFFFF"/>
            <w:noWrap/>
            <w:vAlign w:val="center"/>
          </w:tcPr>
          <w:p w:rsidR="000C2BB0" w:rsidRDefault="000C2BB0" w:rsidP="00CD0F8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 xml:space="preserve">Tarımsal Sulama Abonelerine </w:t>
            </w:r>
            <w:r w:rsidR="006E52CA">
              <w:rPr>
                <w:rFonts w:ascii="Calibri" w:eastAsia="Times New Roman" w:hAnsi="Calibri" w:cs="Calibri"/>
                <w:color w:val="000000"/>
                <w:lang w:eastAsia="tr-TR"/>
              </w:rPr>
              <w:t xml:space="preserve">Destek Verilip Verilemeyeceği </w:t>
            </w:r>
          </w:p>
        </w:tc>
        <w:tc>
          <w:tcPr>
            <w:tcW w:w="596" w:type="pct"/>
            <w:tcBorders>
              <w:top w:val="nil"/>
              <w:left w:val="nil"/>
              <w:bottom w:val="single" w:sz="8" w:space="0" w:color="BFBFBF"/>
              <w:right w:val="single" w:sz="8" w:space="0" w:color="BFBFBF"/>
            </w:tcBorders>
            <w:shd w:val="clear" w:color="000000" w:fill="FFFFFF"/>
            <w:noWrap/>
            <w:vAlign w:val="center"/>
          </w:tcPr>
          <w:p w:rsidR="000C2BB0" w:rsidRDefault="000C2BB0" w:rsidP="00CD0F84">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2</w:t>
            </w:r>
          </w:p>
        </w:tc>
      </w:tr>
      <w:tr w:rsidR="000C2BB0" w:rsidRPr="006373A5" w:rsidTr="00220C2A">
        <w:trPr>
          <w:trHeight w:val="537"/>
        </w:trPr>
        <w:tc>
          <w:tcPr>
            <w:tcW w:w="4404" w:type="pct"/>
            <w:tcBorders>
              <w:top w:val="nil"/>
              <w:left w:val="single" w:sz="8" w:space="0" w:color="BFBFBF"/>
              <w:bottom w:val="single" w:sz="8" w:space="0" w:color="BFBFBF"/>
              <w:right w:val="single" w:sz="8" w:space="0" w:color="BFBFBF"/>
            </w:tcBorders>
            <w:shd w:val="clear" w:color="000000" w:fill="FFFFFF"/>
            <w:noWrap/>
            <w:vAlign w:val="center"/>
          </w:tcPr>
          <w:p w:rsidR="000C2BB0" w:rsidRDefault="000C2BB0" w:rsidP="00CD0F84">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 xml:space="preserve">Ülkemiz </w:t>
            </w:r>
            <w:r w:rsidR="006E52CA">
              <w:rPr>
                <w:rFonts w:ascii="Calibri" w:eastAsia="Times New Roman" w:hAnsi="Calibri" w:cs="Calibri"/>
                <w:color w:val="000000"/>
                <w:lang w:eastAsia="tr-TR"/>
              </w:rPr>
              <w:t>Yer Altı Doğalgaz Depoları</w:t>
            </w:r>
          </w:p>
        </w:tc>
        <w:tc>
          <w:tcPr>
            <w:tcW w:w="596" w:type="pct"/>
            <w:tcBorders>
              <w:top w:val="nil"/>
              <w:left w:val="nil"/>
              <w:bottom w:val="single" w:sz="8" w:space="0" w:color="BFBFBF"/>
              <w:right w:val="single" w:sz="8" w:space="0" w:color="BFBFBF"/>
            </w:tcBorders>
            <w:shd w:val="clear" w:color="000000" w:fill="FFFFFF"/>
            <w:noWrap/>
            <w:vAlign w:val="center"/>
          </w:tcPr>
          <w:p w:rsidR="000C2BB0" w:rsidRDefault="000C2BB0" w:rsidP="00CD0F84">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2</w:t>
            </w:r>
          </w:p>
        </w:tc>
      </w:tr>
      <w:tr w:rsidR="009F0562" w:rsidRPr="006373A5" w:rsidTr="00220C2A">
        <w:trPr>
          <w:trHeight w:val="537"/>
        </w:trPr>
        <w:tc>
          <w:tcPr>
            <w:tcW w:w="4404" w:type="pct"/>
            <w:tcBorders>
              <w:top w:val="nil"/>
              <w:left w:val="single" w:sz="8" w:space="0" w:color="BFBFBF"/>
              <w:bottom w:val="single" w:sz="8" w:space="0" w:color="BFBFBF"/>
              <w:right w:val="single" w:sz="8" w:space="0" w:color="BFBFBF"/>
            </w:tcBorders>
            <w:shd w:val="clear" w:color="000000" w:fill="FFFFFF"/>
            <w:noWrap/>
            <w:vAlign w:val="center"/>
          </w:tcPr>
          <w:p w:rsidR="009F0562" w:rsidRPr="006373A5" w:rsidRDefault="009F0562" w:rsidP="009F0562">
            <w:pPr>
              <w:spacing w:after="0" w:line="240" w:lineRule="auto"/>
              <w:rPr>
                <w:rFonts w:ascii="Calibri" w:eastAsia="Times New Roman" w:hAnsi="Calibri" w:cs="Calibri"/>
                <w:color w:val="000000"/>
                <w:lang w:eastAsia="tr-TR"/>
              </w:rPr>
            </w:pPr>
            <w:r w:rsidRPr="009F0562">
              <w:rPr>
                <w:rFonts w:ascii="Calibri" w:eastAsia="Times New Roman" w:hAnsi="Calibri" w:cs="Calibri"/>
                <w:color w:val="000000"/>
                <w:lang w:eastAsia="tr-TR"/>
              </w:rPr>
              <w:t>Petrol Piyasası</w:t>
            </w:r>
          </w:p>
        </w:tc>
        <w:tc>
          <w:tcPr>
            <w:tcW w:w="596" w:type="pct"/>
            <w:tcBorders>
              <w:top w:val="nil"/>
              <w:left w:val="nil"/>
              <w:bottom w:val="single" w:sz="8" w:space="0" w:color="BFBFBF"/>
              <w:right w:val="single" w:sz="8" w:space="0" w:color="BFBFBF"/>
            </w:tcBorders>
            <w:shd w:val="clear" w:color="000000" w:fill="FFFFFF"/>
            <w:noWrap/>
            <w:vAlign w:val="center"/>
          </w:tcPr>
          <w:p w:rsidR="009F0562" w:rsidRDefault="006E52CA" w:rsidP="009F0562">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3</w:t>
            </w:r>
          </w:p>
        </w:tc>
      </w:tr>
      <w:tr w:rsidR="009F0562" w:rsidRPr="006373A5" w:rsidTr="00220C2A">
        <w:trPr>
          <w:trHeight w:val="537"/>
        </w:trPr>
        <w:tc>
          <w:tcPr>
            <w:tcW w:w="4404" w:type="pct"/>
            <w:tcBorders>
              <w:top w:val="nil"/>
              <w:left w:val="single" w:sz="8" w:space="0" w:color="BFBFBF"/>
              <w:bottom w:val="single" w:sz="8" w:space="0" w:color="BFBFBF"/>
              <w:right w:val="single" w:sz="8" w:space="0" w:color="BFBFBF"/>
            </w:tcBorders>
            <w:shd w:val="clear" w:color="000000" w:fill="FFFFFF"/>
            <w:noWrap/>
            <w:vAlign w:val="center"/>
          </w:tcPr>
          <w:p w:rsidR="009F0562" w:rsidRDefault="009F0562" w:rsidP="009F0562">
            <w:pPr>
              <w:spacing w:after="0" w:line="240" w:lineRule="auto"/>
              <w:rPr>
                <w:rFonts w:ascii="Calibri" w:eastAsia="Times New Roman" w:hAnsi="Calibri" w:cs="Calibri"/>
                <w:color w:val="000000"/>
                <w:lang w:eastAsia="tr-TR"/>
              </w:rPr>
            </w:pPr>
            <w:r w:rsidRPr="006373A5">
              <w:rPr>
                <w:rFonts w:ascii="Calibri" w:eastAsia="Times New Roman" w:hAnsi="Calibri" w:cs="Calibri"/>
                <w:color w:val="000000"/>
                <w:lang w:eastAsia="tr-TR"/>
              </w:rPr>
              <w:t xml:space="preserve">EPDK İş </w:t>
            </w:r>
            <w:r w:rsidR="006E52CA">
              <w:rPr>
                <w:rFonts w:ascii="Calibri" w:eastAsia="Times New Roman" w:hAnsi="Calibri" w:cs="Calibri"/>
                <w:color w:val="000000"/>
                <w:lang w:eastAsia="tr-TR"/>
              </w:rPr>
              <w:t>v</w:t>
            </w:r>
            <w:r w:rsidR="006E52CA" w:rsidRPr="006373A5">
              <w:rPr>
                <w:rFonts w:ascii="Calibri" w:eastAsia="Times New Roman" w:hAnsi="Calibri" w:cs="Calibri"/>
                <w:color w:val="000000"/>
                <w:lang w:eastAsia="tr-TR"/>
              </w:rPr>
              <w:t xml:space="preserve">e </w:t>
            </w:r>
            <w:r w:rsidRPr="006373A5">
              <w:rPr>
                <w:rFonts w:ascii="Calibri" w:eastAsia="Times New Roman" w:hAnsi="Calibri" w:cs="Calibri"/>
                <w:color w:val="000000"/>
                <w:lang w:eastAsia="tr-TR"/>
              </w:rPr>
              <w:t>İşlemleri</w:t>
            </w:r>
          </w:p>
        </w:tc>
        <w:tc>
          <w:tcPr>
            <w:tcW w:w="596" w:type="pct"/>
            <w:tcBorders>
              <w:top w:val="nil"/>
              <w:left w:val="nil"/>
              <w:bottom w:val="single" w:sz="8" w:space="0" w:color="BFBFBF"/>
              <w:right w:val="single" w:sz="8" w:space="0" w:color="BFBFBF"/>
            </w:tcBorders>
            <w:shd w:val="clear" w:color="000000" w:fill="FFFFFF"/>
            <w:noWrap/>
            <w:vAlign w:val="center"/>
          </w:tcPr>
          <w:p w:rsidR="009F0562" w:rsidRDefault="009F0562" w:rsidP="009F0562">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16</w:t>
            </w:r>
          </w:p>
        </w:tc>
      </w:tr>
      <w:tr w:rsidR="009F0562" w:rsidRPr="006373A5" w:rsidTr="00220C2A">
        <w:trPr>
          <w:trHeight w:val="537"/>
        </w:trPr>
        <w:tc>
          <w:tcPr>
            <w:tcW w:w="4404" w:type="pct"/>
            <w:tcBorders>
              <w:top w:val="nil"/>
              <w:left w:val="single" w:sz="8" w:space="0" w:color="BFBFBF"/>
              <w:bottom w:val="single" w:sz="8" w:space="0" w:color="BFBFBF"/>
              <w:right w:val="single" w:sz="8" w:space="0" w:color="BFBFBF"/>
            </w:tcBorders>
            <w:shd w:val="clear" w:color="000000" w:fill="FFFFFF"/>
            <w:noWrap/>
            <w:vAlign w:val="center"/>
          </w:tcPr>
          <w:p w:rsidR="009F0562" w:rsidRPr="006373A5" w:rsidRDefault="009F0562" w:rsidP="009F0562">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 xml:space="preserve">Kurum </w:t>
            </w:r>
            <w:r w:rsidR="006E52CA">
              <w:rPr>
                <w:rFonts w:ascii="Calibri" w:eastAsia="Times New Roman" w:hAnsi="Calibri" w:cs="Calibri"/>
                <w:color w:val="000000"/>
                <w:lang w:eastAsia="tr-TR"/>
              </w:rPr>
              <w:t>Görev Alanı İçerisinde Yer Almayan Konular</w:t>
            </w:r>
          </w:p>
        </w:tc>
        <w:tc>
          <w:tcPr>
            <w:tcW w:w="596" w:type="pct"/>
            <w:tcBorders>
              <w:top w:val="nil"/>
              <w:left w:val="nil"/>
              <w:bottom w:val="single" w:sz="8" w:space="0" w:color="BFBFBF"/>
              <w:right w:val="single" w:sz="8" w:space="0" w:color="BFBFBF"/>
            </w:tcBorders>
            <w:shd w:val="clear" w:color="000000" w:fill="FFFFFF"/>
            <w:noWrap/>
            <w:vAlign w:val="center"/>
          </w:tcPr>
          <w:p w:rsidR="009F0562" w:rsidRPr="00076782" w:rsidRDefault="009F0562" w:rsidP="009F0562">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13</w:t>
            </w:r>
          </w:p>
        </w:tc>
      </w:tr>
      <w:tr w:rsidR="009F0562" w:rsidRPr="006373A5" w:rsidTr="00220C2A">
        <w:trPr>
          <w:trHeight w:val="537"/>
        </w:trPr>
        <w:tc>
          <w:tcPr>
            <w:tcW w:w="4404" w:type="pct"/>
            <w:tcBorders>
              <w:top w:val="nil"/>
              <w:left w:val="single" w:sz="8" w:space="0" w:color="BFBFBF"/>
              <w:bottom w:val="single" w:sz="8" w:space="0" w:color="BFBFBF"/>
              <w:right w:val="single" w:sz="8" w:space="0" w:color="BFBFBF"/>
            </w:tcBorders>
            <w:shd w:val="clear" w:color="000000" w:fill="FFFFFF"/>
            <w:noWrap/>
            <w:vAlign w:val="center"/>
          </w:tcPr>
          <w:p w:rsidR="009F0562" w:rsidRDefault="009F0562" w:rsidP="009F0562">
            <w:pPr>
              <w:spacing w:after="0" w:line="240" w:lineRule="auto"/>
              <w:rPr>
                <w:rFonts w:ascii="Calibri" w:eastAsia="Times New Roman" w:hAnsi="Calibri" w:cs="Calibri"/>
                <w:color w:val="000000"/>
                <w:lang w:eastAsia="tr-TR"/>
              </w:rPr>
            </w:pPr>
            <w:r w:rsidRPr="006373A5">
              <w:rPr>
                <w:rFonts w:ascii="Calibri" w:eastAsia="Times New Roman" w:hAnsi="Calibri" w:cs="Calibri"/>
                <w:b/>
                <w:bCs/>
                <w:color w:val="000000"/>
                <w:lang w:eastAsia="tr-TR"/>
              </w:rPr>
              <w:t>Toplam</w:t>
            </w:r>
          </w:p>
        </w:tc>
        <w:tc>
          <w:tcPr>
            <w:tcW w:w="596" w:type="pct"/>
            <w:tcBorders>
              <w:top w:val="nil"/>
              <w:left w:val="nil"/>
              <w:bottom w:val="single" w:sz="8" w:space="0" w:color="BFBFBF"/>
              <w:right w:val="single" w:sz="8" w:space="0" w:color="BFBFBF"/>
            </w:tcBorders>
            <w:shd w:val="clear" w:color="000000" w:fill="FFFFFF"/>
            <w:noWrap/>
            <w:vAlign w:val="center"/>
          </w:tcPr>
          <w:p w:rsidR="009F0562" w:rsidRDefault="009F0562" w:rsidP="009F0562">
            <w:pPr>
              <w:spacing w:after="0" w:line="240" w:lineRule="auto"/>
              <w:jc w:val="right"/>
              <w:rPr>
                <w:rFonts w:ascii="Calibri" w:eastAsia="Times New Roman" w:hAnsi="Calibri" w:cs="Calibri"/>
                <w:color w:val="000000"/>
                <w:lang w:eastAsia="tr-TR"/>
              </w:rPr>
            </w:pPr>
            <w:r>
              <w:rPr>
                <w:rFonts w:ascii="Calibri" w:eastAsia="Times New Roman" w:hAnsi="Calibri" w:cs="Calibri"/>
                <w:b/>
                <w:bCs/>
                <w:color w:val="000000"/>
                <w:lang w:eastAsia="tr-TR"/>
              </w:rPr>
              <w:t>362</w:t>
            </w:r>
          </w:p>
        </w:tc>
      </w:tr>
    </w:tbl>
    <w:p w:rsidR="00934D54" w:rsidRDefault="00934D54" w:rsidP="005B1782">
      <w:pPr>
        <w:spacing w:after="0"/>
        <w:jc w:val="center"/>
      </w:pPr>
    </w:p>
    <w:p w:rsidR="00220C2A" w:rsidRDefault="00220C2A" w:rsidP="005B1782">
      <w:pPr>
        <w:spacing w:after="0"/>
        <w:jc w:val="center"/>
      </w:pPr>
    </w:p>
    <w:p w:rsidR="00220C2A" w:rsidRDefault="00220C2A" w:rsidP="005B1782">
      <w:pPr>
        <w:spacing w:after="0"/>
        <w:jc w:val="center"/>
      </w:pPr>
    </w:p>
    <w:p w:rsidR="00220C2A" w:rsidRDefault="00220C2A" w:rsidP="005B1782">
      <w:pPr>
        <w:spacing w:after="0"/>
        <w:jc w:val="center"/>
      </w:pPr>
    </w:p>
    <w:p w:rsidR="00220C2A" w:rsidRDefault="00220C2A" w:rsidP="005B1782">
      <w:pPr>
        <w:spacing w:after="0"/>
        <w:jc w:val="center"/>
      </w:pPr>
    </w:p>
    <w:p w:rsidR="00220C2A" w:rsidRDefault="00220C2A" w:rsidP="005B1782">
      <w:pPr>
        <w:spacing w:after="0"/>
        <w:jc w:val="center"/>
      </w:pPr>
    </w:p>
    <w:p w:rsidR="00220C2A" w:rsidRDefault="00220C2A" w:rsidP="005B1782">
      <w:pPr>
        <w:spacing w:after="0"/>
        <w:jc w:val="center"/>
      </w:pPr>
    </w:p>
    <w:p w:rsidR="00220C2A" w:rsidRDefault="00220C2A" w:rsidP="005B1782">
      <w:pPr>
        <w:spacing w:after="0"/>
        <w:jc w:val="center"/>
      </w:pPr>
    </w:p>
    <w:p w:rsidR="00220C2A" w:rsidRDefault="00220C2A" w:rsidP="005B1782">
      <w:pPr>
        <w:spacing w:after="0"/>
        <w:jc w:val="center"/>
      </w:pPr>
    </w:p>
    <w:p w:rsidR="00220C2A" w:rsidRDefault="00220C2A" w:rsidP="005B1782">
      <w:pPr>
        <w:spacing w:after="0"/>
        <w:jc w:val="center"/>
      </w:pPr>
    </w:p>
    <w:p w:rsidR="005B1782" w:rsidRDefault="005B1782" w:rsidP="00220C2A">
      <w:pPr>
        <w:pStyle w:val="Balk5"/>
        <w:spacing w:before="0"/>
        <w:jc w:val="center"/>
        <w:rPr>
          <w:rStyle w:val="Gl"/>
          <w:color w:val="auto"/>
        </w:rPr>
      </w:pPr>
      <w:bookmarkStart w:id="450" w:name="_Toc39153599"/>
      <w:bookmarkStart w:id="451" w:name="_Toc132713968"/>
      <w:r w:rsidRPr="00934D54">
        <w:rPr>
          <w:rStyle w:val="Gl"/>
          <w:color w:val="auto"/>
        </w:rPr>
        <w:lastRenderedPageBreak/>
        <w:t>Şekil 11.1: 202</w:t>
      </w:r>
      <w:r w:rsidR="000C2BB0">
        <w:rPr>
          <w:rStyle w:val="Gl"/>
          <w:color w:val="auto"/>
        </w:rPr>
        <w:t>2</w:t>
      </w:r>
      <w:r w:rsidRPr="00934D54">
        <w:rPr>
          <w:rStyle w:val="Gl"/>
          <w:color w:val="auto"/>
        </w:rPr>
        <w:t xml:space="preserve"> Yılında Gelen Soru Önergelerinin Konu Bazında Yüzdesel Dağılımı</w:t>
      </w:r>
      <w:bookmarkEnd w:id="450"/>
      <w:bookmarkEnd w:id="451"/>
    </w:p>
    <w:p w:rsidR="00220C2A" w:rsidRPr="00220C2A" w:rsidRDefault="00220C2A" w:rsidP="00220C2A"/>
    <w:p w:rsidR="00220C2A" w:rsidRPr="005B1782" w:rsidRDefault="00220C2A" w:rsidP="00220C2A">
      <w:pPr>
        <w:rPr>
          <w:lang w:eastAsia="tr-TR"/>
        </w:rPr>
      </w:pPr>
      <w:r>
        <w:rPr>
          <w:noProof/>
          <w:lang w:eastAsia="tr-TR"/>
        </w:rPr>
        <w:drawing>
          <wp:inline distT="0" distB="0" distL="0" distR="0" wp14:anchorId="58F2FC12">
            <wp:extent cx="5986131" cy="4401464"/>
            <wp:effectExtent l="0" t="0" r="0" b="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029079" cy="4433043"/>
                    </a:xfrm>
                    <a:prstGeom prst="rect">
                      <a:avLst/>
                    </a:prstGeom>
                    <a:noFill/>
                  </pic:spPr>
                </pic:pic>
              </a:graphicData>
            </a:graphic>
          </wp:inline>
        </w:drawing>
      </w:r>
    </w:p>
    <w:p w:rsidR="005B1782" w:rsidRPr="005B1782" w:rsidRDefault="005B1782" w:rsidP="005B1782">
      <w:pPr>
        <w:rPr>
          <w:rFonts w:eastAsiaTheme="majorEastAsia" w:cstheme="majorBidi"/>
          <w:b/>
          <w:bCs/>
        </w:rPr>
      </w:pPr>
    </w:p>
    <w:p w:rsidR="00030C2B" w:rsidRDefault="00030C2B" w:rsidP="004945F0">
      <w:pPr>
        <w:rPr>
          <w:lang w:eastAsia="tr-TR"/>
        </w:rPr>
      </w:pPr>
    </w:p>
    <w:p w:rsidR="000276C9" w:rsidRPr="001C5F6B" w:rsidRDefault="000276C9" w:rsidP="001C5F6B">
      <w:pPr>
        <w:spacing w:after="0"/>
        <w:rPr>
          <w:lang w:eastAsia="tr-TR"/>
        </w:rPr>
      </w:pPr>
    </w:p>
    <w:p w:rsidR="00382EB1" w:rsidRPr="00E9291A" w:rsidRDefault="00382EB1" w:rsidP="00A02EDE">
      <w:pPr>
        <w:spacing w:after="240"/>
        <w:rPr>
          <w:rFonts w:eastAsia="Times New Roman" w:cs="Arial"/>
          <w:b/>
          <w:lang w:eastAsia="tr-TR"/>
        </w:rPr>
      </w:pPr>
    </w:p>
    <w:p w:rsidR="00382EB1" w:rsidRPr="00E9291A" w:rsidRDefault="00382EB1" w:rsidP="00A02EDE">
      <w:pPr>
        <w:spacing w:after="240"/>
        <w:rPr>
          <w:rFonts w:eastAsia="Times New Roman" w:cs="Arial"/>
          <w:b/>
          <w:lang w:eastAsia="tr-TR"/>
        </w:rPr>
      </w:pPr>
    </w:p>
    <w:p w:rsidR="00382EB1" w:rsidRPr="00E9291A" w:rsidRDefault="00382EB1" w:rsidP="00A02EDE">
      <w:pPr>
        <w:spacing w:after="240"/>
        <w:rPr>
          <w:rFonts w:eastAsia="Times New Roman" w:cs="Arial"/>
          <w:b/>
          <w:lang w:eastAsia="tr-TR"/>
        </w:rPr>
      </w:pPr>
    </w:p>
    <w:p w:rsidR="00382EB1" w:rsidRPr="00E9291A" w:rsidRDefault="00382EB1" w:rsidP="00A02EDE">
      <w:pPr>
        <w:spacing w:after="240"/>
        <w:rPr>
          <w:rFonts w:eastAsia="Times New Roman" w:cs="Arial"/>
          <w:b/>
          <w:lang w:eastAsia="tr-TR"/>
        </w:rPr>
      </w:pPr>
    </w:p>
    <w:p w:rsidR="00382EB1" w:rsidRPr="00E9291A" w:rsidRDefault="00382EB1" w:rsidP="00A02EDE">
      <w:pPr>
        <w:spacing w:after="240"/>
        <w:rPr>
          <w:rFonts w:eastAsia="Times New Roman" w:cs="Arial"/>
          <w:b/>
          <w:lang w:eastAsia="tr-TR"/>
        </w:rPr>
      </w:pPr>
    </w:p>
    <w:p w:rsidR="001C5F6B" w:rsidRDefault="001C5F6B">
      <w:pPr>
        <w:rPr>
          <w:rFonts w:eastAsiaTheme="majorEastAsia" w:cstheme="majorBidi"/>
          <w:b/>
          <w:bCs/>
        </w:rPr>
      </w:pPr>
      <w:r>
        <w:br w:type="page"/>
      </w:r>
    </w:p>
    <w:p w:rsidR="003863AF" w:rsidRPr="00D730CF" w:rsidRDefault="001C350A" w:rsidP="000A5A56">
      <w:pPr>
        <w:pStyle w:val="Balk1"/>
        <w:numPr>
          <w:ilvl w:val="0"/>
          <w:numId w:val="11"/>
        </w:numPr>
        <w:spacing w:before="0" w:after="240"/>
        <w:rPr>
          <w:rFonts w:asciiTheme="minorHAnsi" w:hAnsiTheme="minorHAnsi"/>
          <w:color w:val="auto"/>
          <w:sz w:val="22"/>
          <w:szCs w:val="22"/>
        </w:rPr>
      </w:pPr>
      <w:bookmarkStart w:id="452" w:name="_Toc132713867"/>
      <w:r w:rsidRPr="00FA1354">
        <w:rPr>
          <w:rFonts w:asciiTheme="minorHAnsi" w:hAnsiTheme="minorHAnsi"/>
          <w:color w:val="auto"/>
          <w:sz w:val="22"/>
          <w:szCs w:val="22"/>
        </w:rPr>
        <w:lastRenderedPageBreak/>
        <w:t>DIŞ İLİŞKİLER</w:t>
      </w:r>
      <w:bookmarkEnd w:id="452"/>
    </w:p>
    <w:p w:rsidR="006C670B" w:rsidRDefault="006C670B" w:rsidP="006C670B">
      <w:pPr>
        <w:spacing w:before="120" w:after="120"/>
      </w:pPr>
      <w:r>
        <w:t xml:space="preserve">Kurumun dış ilişkilere yönelik faaliyetleri “Bölgesel ve uluslararası enerji piyasalarında uzmanlığı ile ön plana çıkmak ve değer yaratan bir kurum olmak” vizyonu kapsamında benimsenen </w:t>
      </w:r>
      <w:r w:rsidRPr="00052B53">
        <w:rPr>
          <w:i/>
        </w:rPr>
        <w:t>“EPDK Dış İlişkiler Stratejisi”</w:t>
      </w:r>
      <w:r>
        <w:t xml:space="preserve"> belgesi çerçevesinde sürdürülmektedir. 2022 yılında üyesi olunan uluslararası birlikler tarafından</w:t>
      </w:r>
      <w:r w:rsidRPr="004F6D23">
        <w:t xml:space="preserve"> </w:t>
      </w:r>
      <w:r>
        <w:t>çevrimiçi</w:t>
      </w:r>
      <w:r w:rsidRPr="004F6D23">
        <w:t xml:space="preserve"> </w:t>
      </w:r>
      <w:r>
        <w:t xml:space="preserve">ve fiziki </w:t>
      </w:r>
      <w:r w:rsidRPr="004F6D23">
        <w:t xml:space="preserve">olarak </w:t>
      </w:r>
      <w:r>
        <w:t>gerçekleştirilen</w:t>
      </w:r>
      <w:r w:rsidRPr="004F6D23">
        <w:t xml:space="preserve"> tüm </w:t>
      </w:r>
      <w:r>
        <w:t>etkinlik</w:t>
      </w:r>
      <w:r w:rsidRPr="004F6D23">
        <w:t xml:space="preserve">lere </w:t>
      </w:r>
      <w:r>
        <w:t>katılım sağlanmış,</w:t>
      </w:r>
      <w:r w:rsidRPr="004F6D23">
        <w:t xml:space="preserve"> enerji ve enerji düzenlemesine ilişkin bilgi, uzmanlık ve deneyimlerimizin paylaşılmasının yanı sıra enerji piyasamızın tanıtılmasına da önem verilmiştir</w:t>
      </w:r>
      <w:r>
        <w:t xml:space="preserve">. </w:t>
      </w:r>
    </w:p>
    <w:p w:rsidR="006C670B" w:rsidRPr="00E9291A" w:rsidRDefault="006C670B" w:rsidP="006C670B">
      <w:pPr>
        <w:spacing w:before="120" w:after="120"/>
      </w:pPr>
      <w:r w:rsidRPr="00E9291A">
        <w:t>Kurum, dış ilişkiler bağlamındaki faaliyetlerini 20</w:t>
      </w:r>
      <w:r>
        <w:t>22</w:t>
      </w:r>
      <w:r w:rsidRPr="00E9291A">
        <w:t xml:space="preserve"> yılında </w:t>
      </w:r>
      <w:r>
        <w:t xml:space="preserve">da </w:t>
      </w:r>
      <w:r w:rsidRPr="00E9291A">
        <w:t>5 ana eksende sürdürmüştür:</w:t>
      </w:r>
    </w:p>
    <w:p w:rsidR="006C670B" w:rsidRPr="00E9291A" w:rsidRDefault="006C670B" w:rsidP="006C670B">
      <w:pPr>
        <w:pStyle w:val="ListeParagraf"/>
        <w:numPr>
          <w:ilvl w:val="0"/>
          <w:numId w:val="7"/>
        </w:numPr>
        <w:spacing w:before="120" w:after="120"/>
      </w:pPr>
      <w:r w:rsidRPr="00E9291A">
        <w:t>Üyesi olunan uluslararası birliklerle ilişkiler,</w:t>
      </w:r>
    </w:p>
    <w:p w:rsidR="006C670B" w:rsidRPr="00E9291A" w:rsidRDefault="006C670B" w:rsidP="006C670B">
      <w:pPr>
        <w:pStyle w:val="ListeParagraf"/>
        <w:numPr>
          <w:ilvl w:val="0"/>
          <w:numId w:val="7"/>
        </w:numPr>
        <w:spacing w:before="120" w:after="120"/>
      </w:pPr>
      <w:r w:rsidRPr="00E9291A">
        <w:t>İkili ilişkiler,</w:t>
      </w:r>
    </w:p>
    <w:p w:rsidR="006C670B" w:rsidRPr="00E9291A" w:rsidRDefault="006C670B" w:rsidP="006C670B">
      <w:pPr>
        <w:pStyle w:val="ListeParagraf"/>
        <w:numPr>
          <w:ilvl w:val="0"/>
          <w:numId w:val="7"/>
        </w:numPr>
        <w:spacing w:before="120" w:after="120"/>
      </w:pPr>
      <w:r>
        <w:t>AB</w:t>
      </w:r>
      <w:r w:rsidRPr="00E9291A">
        <w:t xml:space="preserve"> müktesebatı</w:t>
      </w:r>
      <w:r>
        <w:t>na</w:t>
      </w:r>
      <w:r w:rsidRPr="00E9291A">
        <w:t xml:space="preserve"> uyum süreci kapsamındaki faaliyetler, </w:t>
      </w:r>
    </w:p>
    <w:p w:rsidR="006C670B" w:rsidRPr="00E9291A" w:rsidRDefault="006C670B" w:rsidP="006C670B">
      <w:pPr>
        <w:pStyle w:val="ListeParagraf"/>
        <w:numPr>
          <w:ilvl w:val="0"/>
          <w:numId w:val="7"/>
        </w:numPr>
        <w:spacing w:before="120" w:after="120"/>
      </w:pPr>
      <w:r w:rsidRPr="00E9291A">
        <w:t xml:space="preserve">Ülkemizin taraf olduğu </w:t>
      </w:r>
      <w:r>
        <w:t xml:space="preserve">uluslararası anlaşmalar gereği ilişki içerisinde bulunulan organizasyonlar kapsamında </w:t>
      </w:r>
      <w:r w:rsidRPr="00E9291A">
        <w:t>Kurumun görev alanına giren alanlarda yapılan çalışmalar,</w:t>
      </w:r>
    </w:p>
    <w:p w:rsidR="006C670B" w:rsidRDefault="006C670B" w:rsidP="006C670B">
      <w:pPr>
        <w:pStyle w:val="ListeParagraf"/>
        <w:numPr>
          <w:ilvl w:val="0"/>
          <w:numId w:val="7"/>
        </w:numPr>
        <w:spacing w:before="120" w:after="120"/>
      </w:pPr>
      <w:r w:rsidRPr="00E9291A">
        <w:t>Uluslararası enerji piyasalarındaki gelişmelerin izlenmesi ve raporlanması.</w:t>
      </w:r>
    </w:p>
    <w:p w:rsidR="006C670B" w:rsidRPr="00E9291A" w:rsidRDefault="006C670B" w:rsidP="006C670B">
      <w:pPr>
        <w:pStyle w:val="ListeParagraf"/>
        <w:spacing w:before="120" w:after="120"/>
        <w:ind w:left="1068"/>
      </w:pPr>
    </w:p>
    <w:p w:rsidR="006C670B" w:rsidRPr="00D730CF" w:rsidRDefault="006C670B" w:rsidP="006C670B">
      <w:pPr>
        <w:pStyle w:val="Balk2"/>
        <w:numPr>
          <w:ilvl w:val="1"/>
          <w:numId w:val="11"/>
        </w:numPr>
        <w:spacing w:after="240"/>
        <w:rPr>
          <w:rFonts w:asciiTheme="minorHAnsi" w:hAnsiTheme="minorHAnsi"/>
          <w:color w:val="000000" w:themeColor="text1"/>
          <w:sz w:val="22"/>
          <w:szCs w:val="22"/>
        </w:rPr>
      </w:pPr>
      <w:bookmarkStart w:id="453" w:name="_Toc132713868"/>
      <w:r w:rsidRPr="000A02FC">
        <w:rPr>
          <w:rFonts w:asciiTheme="minorHAnsi" w:hAnsiTheme="minorHAnsi"/>
          <w:color w:val="000000" w:themeColor="text1"/>
          <w:sz w:val="22"/>
          <w:szCs w:val="22"/>
        </w:rPr>
        <w:t>Üyesi Olunan Uluslararası Birliklerle İlişkiler</w:t>
      </w:r>
      <w:bookmarkEnd w:id="453"/>
    </w:p>
    <w:p w:rsidR="006C670B" w:rsidRDefault="006C670B" w:rsidP="006C670B">
      <w:pPr>
        <w:spacing w:before="120" w:after="120"/>
      </w:pPr>
      <w:r w:rsidRPr="00E9291A">
        <w:t xml:space="preserve">Kurum, </w:t>
      </w:r>
      <w:r>
        <w:t>Enerji Düzenleyicileri Bölgesel Birliği (</w:t>
      </w:r>
      <w:r w:rsidRPr="00E9291A">
        <w:t>ERRA</w:t>
      </w:r>
      <w:r>
        <w:t>) ve Akdeniz Elektrik ve Gaz Düzenleyicileri Birliği (</w:t>
      </w:r>
      <w:r w:rsidRPr="00E9291A">
        <w:t>MEDRE</w:t>
      </w:r>
      <w:r>
        <w:t xml:space="preserve">G)’in </w:t>
      </w:r>
      <w:r w:rsidRPr="00E9291A">
        <w:t xml:space="preserve">üyesi, </w:t>
      </w:r>
      <w:r>
        <w:rPr>
          <w:rFonts w:eastAsiaTheme="minorHAnsi" w:cstheme="minorBidi"/>
        </w:rPr>
        <w:t>Enerji Topluluğu Düzenleme Kurulu</w:t>
      </w:r>
      <w:r w:rsidRPr="00E9291A">
        <w:t xml:space="preserve"> </w:t>
      </w:r>
      <w:r>
        <w:t>(</w:t>
      </w:r>
      <w:r w:rsidRPr="00E9291A">
        <w:t>ECRB</w:t>
      </w:r>
      <w:r>
        <w:t>)</w:t>
      </w:r>
      <w:r w:rsidRPr="00E9291A">
        <w:t>’</w:t>
      </w:r>
      <w:r>
        <w:t>nin</w:t>
      </w:r>
      <w:r w:rsidRPr="00E9291A">
        <w:t xml:space="preserve"> d</w:t>
      </w:r>
      <w:r>
        <w:t>e</w:t>
      </w:r>
      <w:r w:rsidRPr="00E9291A">
        <w:t xml:space="preserve"> gözlemci üyesidir. Aynı zamanda </w:t>
      </w:r>
      <w:r>
        <w:t>Kurumun</w:t>
      </w:r>
      <w:r w:rsidRPr="00E9291A">
        <w:t xml:space="preserve"> </w:t>
      </w:r>
      <w:r w:rsidRPr="00E377DE">
        <w:t>ilgili olduğu Uluslararası Enerji Düzenleyicileri Konfederasyonu (ICER), Karadeniz Ekonomik İşbirliği Teşkilatı (KEİ) ve OECD Ekonomik Düzenleyiciler Ağı (OECD-NER) bünyesinde oluşturulmuş bulunan çalışma gruplarına, görevlendirilen personel vasıtasıyla katkıda bulunulmaktadır.</w:t>
      </w:r>
    </w:p>
    <w:p w:rsidR="006C670B" w:rsidRPr="007C12F6" w:rsidRDefault="006C670B" w:rsidP="006C670B">
      <w:pPr>
        <w:spacing w:before="120" w:after="120"/>
        <w:rPr>
          <w:rFonts w:ascii="Calibri" w:hAnsi="Calibri"/>
        </w:rPr>
      </w:pPr>
      <w:r>
        <w:t>ERRA’nın 13 Nisan 2022’de yapılan genel kurulunda Ahmet Çağrı ÇİÇEK ERRA Yönetim Kurulu üyeliğine ikinci kez seçilmiştir.</w:t>
      </w:r>
      <w:r w:rsidR="000C39D5">
        <w:t xml:space="preserve"> </w:t>
      </w:r>
      <w:r>
        <w:t xml:space="preserve">Diğer yandan, </w:t>
      </w:r>
      <w:r w:rsidRPr="007C12F6">
        <w:rPr>
          <w:rFonts w:ascii="Calibri" w:hAnsi="Calibri"/>
        </w:rPr>
        <w:t>ERRA’nın Doğal Gaz Piyasaları ve Ekonomik Düzenleme Komitesi Başkanlığı ile Yenilenebilir Enerji Komitesi Başkan Yardımcılığını da Kurum personeli</w:t>
      </w:r>
      <w:r>
        <w:rPr>
          <w:rFonts w:ascii="Calibri" w:hAnsi="Calibri"/>
        </w:rPr>
        <w:t xml:space="preserve"> tarafından 2022 yılı boyunca</w:t>
      </w:r>
      <w:r w:rsidRPr="007C12F6">
        <w:rPr>
          <w:rFonts w:ascii="Calibri" w:hAnsi="Calibri"/>
        </w:rPr>
        <w:t xml:space="preserve"> yürüt</w:t>
      </w:r>
      <w:r>
        <w:rPr>
          <w:rFonts w:ascii="Calibri" w:hAnsi="Calibri"/>
        </w:rPr>
        <w:t>ülme</w:t>
      </w:r>
      <w:r w:rsidRPr="007C12F6">
        <w:rPr>
          <w:rFonts w:ascii="Calibri" w:hAnsi="Calibri"/>
        </w:rPr>
        <w:t xml:space="preserve">meye devam </w:t>
      </w:r>
      <w:r>
        <w:rPr>
          <w:rFonts w:ascii="Calibri" w:hAnsi="Calibri"/>
        </w:rPr>
        <w:t>etmiştir.</w:t>
      </w:r>
    </w:p>
    <w:p w:rsidR="006C670B" w:rsidRDefault="006C670B" w:rsidP="006C670B">
      <w:pPr>
        <w:spacing w:before="120" w:after="120"/>
        <w:rPr>
          <w:rFonts w:ascii="Calibri" w:hAnsi="Calibri"/>
        </w:rPr>
      </w:pPr>
      <w:r w:rsidRPr="007C12F6">
        <w:rPr>
          <w:rFonts w:ascii="Calibri" w:hAnsi="Calibri"/>
        </w:rPr>
        <w:t>Komite faaliyetlerinin yanı sıra ERRA tarafından,</w:t>
      </w:r>
    </w:p>
    <w:p w:rsidR="006C670B" w:rsidRPr="00C549C1" w:rsidRDefault="006C670B" w:rsidP="006C670B">
      <w:pPr>
        <w:pStyle w:val="ListeParagraf"/>
        <w:numPr>
          <w:ilvl w:val="0"/>
          <w:numId w:val="72"/>
        </w:numPr>
        <w:spacing w:before="120" w:after="120"/>
        <w:rPr>
          <w:rFonts w:ascii="Calibri" w:hAnsi="Calibri"/>
        </w:rPr>
      </w:pPr>
      <w:r>
        <w:t>27 Haziran-1 Temmuz 2022 tarihlerinde Macaristan'ın Budapeşte şehrinde "Introduction To Energy Regulation (Summer School)" konulu eğitim programına Kurum personelince katılım sağlanmıştır.</w:t>
      </w:r>
    </w:p>
    <w:p w:rsidR="006C670B" w:rsidRPr="00C549C1" w:rsidRDefault="006C670B" w:rsidP="006C670B">
      <w:pPr>
        <w:pStyle w:val="ListeParagraf"/>
        <w:numPr>
          <w:ilvl w:val="0"/>
          <w:numId w:val="72"/>
        </w:numPr>
        <w:spacing w:before="120" w:after="120"/>
        <w:rPr>
          <w:rFonts w:ascii="Calibri" w:hAnsi="Calibri"/>
        </w:rPr>
      </w:pPr>
      <w:r>
        <w:t>Gürcistan’ın Tiflis şehrinde 26-28 Ekim 2022 tarihlerinde gerçekleştirilen ERRA Yenilenebilir Enerji Yatırım Konferansı’na Kurum personeli tarafından katılım sağlanmıştır.</w:t>
      </w:r>
    </w:p>
    <w:p w:rsidR="006C670B" w:rsidRDefault="006C670B" w:rsidP="006C670B">
      <w:pPr>
        <w:pStyle w:val="ListeParagraf"/>
        <w:numPr>
          <w:ilvl w:val="0"/>
          <w:numId w:val="72"/>
        </w:numPr>
        <w:spacing w:before="120" w:after="120"/>
        <w:rPr>
          <w:rFonts w:ascii="Calibri" w:hAnsi="Calibri"/>
        </w:rPr>
      </w:pPr>
      <w:r>
        <w:rPr>
          <w:rFonts w:ascii="Calibri" w:hAnsi="Calibri"/>
        </w:rPr>
        <w:t>6 Aralık 2022 tarihinde İstanbul’da gerçekleştirilen ERRA-MEDREG Ortak Atölye Çalışmasına Kurum personelince katılım sağlanmıştır.</w:t>
      </w:r>
    </w:p>
    <w:p w:rsidR="006C670B" w:rsidRPr="00C549C1" w:rsidRDefault="006C670B" w:rsidP="006C670B">
      <w:pPr>
        <w:pStyle w:val="ListeParagraf"/>
        <w:numPr>
          <w:ilvl w:val="0"/>
          <w:numId w:val="72"/>
        </w:numPr>
        <w:spacing w:before="120" w:after="120"/>
        <w:rPr>
          <w:rFonts w:ascii="Calibri" w:hAnsi="Calibri"/>
        </w:rPr>
      </w:pPr>
      <w:r>
        <w:rPr>
          <w:rFonts w:ascii="Calibri" w:hAnsi="Calibri"/>
        </w:rPr>
        <w:t>Tayland Enerji Düzenleme Kurumu’na yönelik düzenlenen eğitim programına Kurum personeli tarafından eğitici olarak katılım sağlanmıştır.</w:t>
      </w:r>
    </w:p>
    <w:p w:rsidR="006C670B" w:rsidRDefault="006C670B" w:rsidP="006C670B">
      <w:pPr>
        <w:spacing w:before="120" w:after="120"/>
      </w:pPr>
      <w:r>
        <w:t>Kurumun tam üyesi olduğu bir diğer birlik olan MEDREG’in de kuruluşundan itibaren tüm organlarına aktif olarak katılım sağlanmakta, çalışmalarına katkı sunulmaktadır.</w:t>
      </w:r>
    </w:p>
    <w:p w:rsidR="006C670B" w:rsidRDefault="006C670B" w:rsidP="006C670B">
      <w:pPr>
        <w:spacing w:before="120" w:after="120"/>
        <w:rPr>
          <w:rFonts w:ascii="Calibri" w:hAnsi="Calibri"/>
        </w:rPr>
      </w:pPr>
      <w:r w:rsidRPr="007C12F6">
        <w:rPr>
          <w:rFonts w:ascii="Calibri" w:hAnsi="Calibri"/>
        </w:rPr>
        <w:t>MEDREG Elektrik Çalışma Grubunun 3</w:t>
      </w:r>
      <w:r>
        <w:rPr>
          <w:rFonts w:ascii="Calibri" w:hAnsi="Calibri"/>
        </w:rPr>
        <w:t>2</w:t>
      </w:r>
      <w:r w:rsidRPr="007C12F6">
        <w:rPr>
          <w:rFonts w:ascii="Calibri" w:hAnsi="Calibri"/>
        </w:rPr>
        <w:t xml:space="preserve">. Toplantısı </w:t>
      </w:r>
      <w:r>
        <w:rPr>
          <w:rFonts w:ascii="Calibri" w:hAnsi="Calibri"/>
        </w:rPr>
        <w:t>22 Mart 2022</w:t>
      </w:r>
      <w:r w:rsidRPr="007C12F6">
        <w:rPr>
          <w:rFonts w:ascii="Calibri" w:hAnsi="Calibri"/>
        </w:rPr>
        <w:t xml:space="preserve"> tarihinde ve Kurumsal İşler Çalışma Grubu’nun 3</w:t>
      </w:r>
      <w:r>
        <w:rPr>
          <w:rFonts w:ascii="Calibri" w:hAnsi="Calibri"/>
        </w:rPr>
        <w:t>2</w:t>
      </w:r>
      <w:r w:rsidRPr="007C12F6">
        <w:rPr>
          <w:rFonts w:ascii="Calibri" w:hAnsi="Calibri"/>
        </w:rPr>
        <w:t>.Toplantısı 2</w:t>
      </w:r>
      <w:r>
        <w:rPr>
          <w:rFonts w:ascii="Calibri" w:hAnsi="Calibri"/>
        </w:rPr>
        <w:t>3</w:t>
      </w:r>
      <w:r w:rsidRPr="007C12F6">
        <w:rPr>
          <w:rFonts w:ascii="Calibri" w:hAnsi="Calibri"/>
        </w:rPr>
        <w:t xml:space="preserve"> </w:t>
      </w:r>
      <w:r>
        <w:rPr>
          <w:rFonts w:ascii="Calibri" w:hAnsi="Calibri"/>
        </w:rPr>
        <w:t>Mart 2022</w:t>
      </w:r>
      <w:r w:rsidRPr="007C12F6">
        <w:rPr>
          <w:rFonts w:ascii="Calibri" w:hAnsi="Calibri"/>
        </w:rPr>
        <w:t xml:space="preserve"> tarihinde, Kurum ev sahipliğinde İstanbul’da gerçekleştirilmiştir. Toplantılara üye ülkelerin temsilcileri ve MEDREG Sekretaryasında görevli uzmanlar katılım sağlamıştır.</w:t>
      </w:r>
    </w:p>
    <w:p w:rsidR="006C670B" w:rsidRPr="007C12F6" w:rsidRDefault="006C670B" w:rsidP="006C670B">
      <w:pPr>
        <w:spacing w:before="120" w:after="120"/>
        <w:rPr>
          <w:rFonts w:ascii="Calibri" w:hAnsi="Calibri"/>
        </w:rPr>
      </w:pPr>
      <w:r>
        <w:rPr>
          <w:rFonts w:ascii="Calibri" w:hAnsi="Calibri"/>
        </w:rPr>
        <w:lastRenderedPageBreak/>
        <w:t>22 Nisan 2022 tarihinde MEDREG ve ERRA tarafından organize edilen Gelişen Piyasalar Bölgesel Birlikleri Üst Düzey Toplantısı Kurum ev sahipliğinde İstanbul’da gerçekleştirilmiştir. Toplantıya Kurum Başkanı Mustafa YILMAZ, MEDREG Başkanı Petrit AHMETİ ve ERRA Başkanı Maia MELİKİDZE ile üst düzey yetkililer katılmıştır.</w:t>
      </w:r>
    </w:p>
    <w:p w:rsidR="006C670B" w:rsidRDefault="006C670B" w:rsidP="006C670B">
      <w:pPr>
        <w:spacing w:before="120" w:after="120"/>
        <w:rPr>
          <w:rFonts w:ascii="Calibri" w:hAnsi="Calibri"/>
        </w:rPr>
      </w:pPr>
      <w:r w:rsidRPr="007C12F6">
        <w:rPr>
          <w:rFonts w:ascii="Calibri" w:hAnsi="Calibri"/>
        </w:rPr>
        <w:t xml:space="preserve">MEDREG tarafından </w:t>
      </w:r>
      <w:r>
        <w:rPr>
          <w:rFonts w:ascii="Calibri" w:hAnsi="Calibri"/>
        </w:rPr>
        <w:t>17-19 Mayıs 2022</w:t>
      </w:r>
      <w:r w:rsidRPr="007C12F6">
        <w:rPr>
          <w:rFonts w:ascii="Calibri" w:hAnsi="Calibri"/>
        </w:rPr>
        <w:t xml:space="preserve"> tarihinde </w:t>
      </w:r>
      <w:r>
        <w:rPr>
          <w:rFonts w:ascii="Calibri" w:hAnsi="Calibri"/>
        </w:rPr>
        <w:t xml:space="preserve">Arnavutluk’un Tiran şehrinde </w:t>
      </w:r>
      <w:r w:rsidRPr="007C12F6">
        <w:rPr>
          <w:rFonts w:ascii="Calibri" w:hAnsi="Calibri"/>
        </w:rPr>
        <w:t>düzenlenen “</w:t>
      </w:r>
      <w:r w:rsidRPr="00052267">
        <w:rPr>
          <w:rFonts w:ascii="Calibri" w:hAnsi="Calibri"/>
        </w:rPr>
        <w:t>İklim yükümlülükleri, Çevre standartları ve</w:t>
      </w:r>
      <w:r>
        <w:rPr>
          <w:rFonts w:ascii="Calibri" w:hAnsi="Calibri"/>
        </w:rPr>
        <w:t xml:space="preserve"> Düzenleme”</w:t>
      </w:r>
      <w:r w:rsidRPr="007C12F6">
        <w:rPr>
          <w:rFonts w:ascii="Calibri" w:hAnsi="Calibri"/>
        </w:rPr>
        <w:t xml:space="preserve">” konulu </w:t>
      </w:r>
      <w:r>
        <w:rPr>
          <w:rFonts w:ascii="Calibri" w:hAnsi="Calibri"/>
        </w:rPr>
        <w:t>eğitime</w:t>
      </w:r>
      <w:r w:rsidRPr="007C12F6">
        <w:rPr>
          <w:rFonts w:ascii="Calibri" w:hAnsi="Calibri"/>
        </w:rPr>
        <w:t xml:space="preserve"> Kurum personeli</w:t>
      </w:r>
      <w:r>
        <w:rPr>
          <w:rFonts w:ascii="Calibri" w:hAnsi="Calibri"/>
        </w:rPr>
        <w:t>n</w:t>
      </w:r>
      <w:r w:rsidRPr="007C12F6">
        <w:rPr>
          <w:rFonts w:ascii="Calibri" w:hAnsi="Calibri"/>
        </w:rPr>
        <w:t>ce kat</w:t>
      </w:r>
      <w:r>
        <w:rPr>
          <w:rFonts w:ascii="Calibri" w:hAnsi="Calibri"/>
        </w:rPr>
        <w:t xml:space="preserve">ılım </w:t>
      </w:r>
      <w:r w:rsidRPr="007C12F6">
        <w:rPr>
          <w:rFonts w:ascii="Calibri" w:hAnsi="Calibri"/>
        </w:rPr>
        <w:t>sağlanmıştır.</w:t>
      </w:r>
    </w:p>
    <w:p w:rsidR="006C670B" w:rsidRPr="007C12F6" w:rsidRDefault="006C670B" w:rsidP="006C670B">
      <w:pPr>
        <w:spacing w:before="120" w:after="120"/>
        <w:rPr>
          <w:rFonts w:ascii="Calibri" w:hAnsi="Calibri"/>
        </w:rPr>
      </w:pPr>
      <w:r>
        <w:rPr>
          <w:rFonts w:ascii="Calibri" w:hAnsi="Calibri"/>
        </w:rPr>
        <w:t>MEDREG tarafından organize edilen, Portekiz Enerji Düzenleme Kurumu ev sahipliğinde Portekiz’in Lizbon şehrinde 4-5 Temmuz 2022 tarihinde düzenlenen Enerji Depolama ve Talep Yönetimi konulu çalışma ziyaretine Kurum personeli tarafından katılım sağlanmıştır.</w:t>
      </w:r>
    </w:p>
    <w:p w:rsidR="006C670B" w:rsidRDefault="006C670B" w:rsidP="006C670B">
      <w:pPr>
        <w:spacing w:before="120" w:after="120"/>
        <w:rPr>
          <w:rFonts w:ascii="Calibri" w:hAnsi="Calibri"/>
        </w:rPr>
      </w:pPr>
      <w:r>
        <w:rPr>
          <w:rFonts w:ascii="Calibri" w:hAnsi="Calibri"/>
        </w:rPr>
        <w:t xml:space="preserve">MEDREG tarafından 19-20 Temmuz 2022 tarihinde Mısır’ın Kahire şehrinde Mısır Elektrik Düzenleme Kurumu’na yönelik gerçekleştirilen eğitim programına Kurum personeli tarafından eğitici olarak katkı sağlanmıştır. </w:t>
      </w:r>
    </w:p>
    <w:p w:rsidR="006C670B" w:rsidRDefault="006C670B" w:rsidP="006C670B">
      <w:pPr>
        <w:spacing w:before="120" w:after="120"/>
        <w:rPr>
          <w:rFonts w:ascii="Calibri" w:hAnsi="Calibri"/>
        </w:rPr>
      </w:pPr>
      <w:r>
        <w:rPr>
          <w:rFonts w:ascii="Calibri" w:hAnsi="Calibri"/>
        </w:rPr>
        <w:t>18-20 Ekim 2022 tarihinde İtalya’nın Milano şehrinde düzenlenen “</w:t>
      </w:r>
      <w:r w:rsidRPr="00367FDC">
        <w:rPr>
          <w:rFonts w:ascii="Calibri" w:hAnsi="Calibri"/>
        </w:rPr>
        <w:t xml:space="preserve">Altyapı Yatırımları, Şebeke </w:t>
      </w:r>
      <w:r>
        <w:rPr>
          <w:rFonts w:ascii="Calibri" w:hAnsi="Calibri"/>
        </w:rPr>
        <w:t>Fiyatlandırma</w:t>
      </w:r>
      <w:r w:rsidRPr="00367FDC">
        <w:rPr>
          <w:rFonts w:ascii="Calibri" w:hAnsi="Calibri"/>
        </w:rPr>
        <w:t xml:space="preserve"> ve Tarife Eğitimi</w:t>
      </w:r>
      <w:r>
        <w:rPr>
          <w:rFonts w:ascii="Calibri" w:hAnsi="Calibri"/>
        </w:rPr>
        <w:t>”ne ise hem Kurum personeli tarafından katılım sağlanmış hem de Kurum personelince eğitici olarak katkı sağlanmıştır.</w:t>
      </w:r>
    </w:p>
    <w:p w:rsidR="006C670B" w:rsidRDefault="006C670B" w:rsidP="006C670B">
      <w:pPr>
        <w:spacing w:before="120" w:after="120"/>
        <w:rPr>
          <w:rFonts w:ascii="Calibri" w:hAnsi="Calibri"/>
        </w:rPr>
      </w:pPr>
      <w:r>
        <w:rPr>
          <w:rFonts w:ascii="Calibri" w:hAnsi="Calibri"/>
        </w:rPr>
        <w:t>1 Aralık 2022 tarihinde Mısır’ın Kahire şehrinde düzenlenen 34 üncü Genel Kurul’da Kurum personeli Doğal Gaz Çalışma Grubu Başkan Yardımcılığı’na ve Enerji Fiyat Artışı Görev Gücü Başkanlığı’na seçilmişlerdir.</w:t>
      </w:r>
    </w:p>
    <w:p w:rsidR="006C670B" w:rsidRDefault="006C670B" w:rsidP="006C670B">
      <w:pPr>
        <w:spacing w:before="120" w:after="120"/>
        <w:rPr>
          <w:rFonts w:ascii="Calibri" w:hAnsi="Calibri"/>
        </w:rPr>
      </w:pPr>
      <w:r>
        <w:rPr>
          <w:rFonts w:ascii="Calibri" w:hAnsi="Calibri"/>
        </w:rPr>
        <w:t>5-6 Aralık 2022 tarihinde Gelişen Piyasalar Bölgesel Birlikleri Üst Düzey Toplantısı Kurum ev sahipliğinde İstanbul’da gerçekleştirilmiştir. Toplantıya Bakan Yardımcısı Alparslan BAYRAKTAR, Kurum Başkanı Mustafa YILMAZ, ERRA Başkanı Maia MELİKİDZE ve MEDREG Direktörü Hasan ÖZKOÇ katılmıştır.</w:t>
      </w:r>
    </w:p>
    <w:p w:rsidR="006C670B" w:rsidRPr="007C12F6" w:rsidRDefault="006C670B" w:rsidP="006C670B">
      <w:pPr>
        <w:spacing w:before="120" w:after="120"/>
        <w:rPr>
          <w:rFonts w:ascii="Calibri" w:hAnsi="Calibri"/>
        </w:rPr>
      </w:pPr>
      <w:r w:rsidRPr="007C12F6">
        <w:rPr>
          <w:rFonts w:ascii="Calibri" w:hAnsi="Calibri"/>
        </w:rPr>
        <w:t>Bununla birlikte, Kurumun gözlemci üyesi olduğu ECRB’nin çalışmaları, ECRB çalışma gruplarında görevli Kurum personeli vasıtasıyla takip edilmiştir.</w:t>
      </w:r>
    </w:p>
    <w:p w:rsidR="006C670B" w:rsidRPr="0078671F" w:rsidRDefault="006C670B" w:rsidP="006C670B">
      <w:pPr>
        <w:pStyle w:val="Balk2"/>
        <w:numPr>
          <w:ilvl w:val="1"/>
          <w:numId w:val="11"/>
        </w:numPr>
        <w:spacing w:after="240"/>
        <w:rPr>
          <w:rFonts w:asciiTheme="minorHAnsi" w:hAnsiTheme="minorHAnsi"/>
          <w:color w:val="000000" w:themeColor="text1"/>
          <w:sz w:val="22"/>
          <w:szCs w:val="22"/>
        </w:rPr>
      </w:pPr>
      <w:bookmarkStart w:id="454" w:name="_Toc132713869"/>
      <w:r w:rsidRPr="001C350A">
        <w:rPr>
          <w:rFonts w:asciiTheme="minorHAnsi" w:hAnsiTheme="minorHAnsi"/>
          <w:color w:val="000000" w:themeColor="text1"/>
          <w:sz w:val="22"/>
          <w:szCs w:val="22"/>
        </w:rPr>
        <w:t>İkili İlişkiler</w:t>
      </w:r>
      <w:bookmarkEnd w:id="454"/>
      <w:r w:rsidRPr="001C350A">
        <w:rPr>
          <w:rFonts w:asciiTheme="minorHAnsi" w:hAnsiTheme="minorHAnsi"/>
          <w:color w:val="000000" w:themeColor="text1"/>
          <w:sz w:val="22"/>
          <w:szCs w:val="22"/>
        </w:rPr>
        <w:t xml:space="preserve"> </w:t>
      </w:r>
    </w:p>
    <w:p w:rsidR="006C670B" w:rsidRDefault="006C670B" w:rsidP="006C670B">
      <w:pPr>
        <w:spacing w:after="150" w:line="240" w:lineRule="auto"/>
      </w:pPr>
      <w:r>
        <w:t>Cezayir</w:t>
      </w:r>
      <w:r w:rsidRPr="00B36621">
        <w:t xml:space="preserve"> </w:t>
      </w:r>
      <w:r>
        <w:t xml:space="preserve">Hidrokarbon </w:t>
      </w:r>
      <w:r w:rsidRPr="00B36621">
        <w:t xml:space="preserve">Düzenleme Kurumu Başkanı </w:t>
      </w:r>
      <w:r>
        <w:t>Nadil Rachid</w:t>
      </w:r>
      <w:r w:rsidRPr="00B36621">
        <w:t xml:space="preserve"> başkanlığındaki heyet, 1</w:t>
      </w:r>
      <w:r>
        <w:t>4</w:t>
      </w:r>
      <w:r w:rsidRPr="00B36621">
        <w:t xml:space="preserve"> </w:t>
      </w:r>
      <w:r>
        <w:t>Kasım 2022</w:t>
      </w:r>
      <w:r w:rsidRPr="00B36621">
        <w:t xml:space="preserve"> tarihinde Kurum Başkanımız tarafından kabul edilmiştir. Doğal gaz dağıtımı konusunda Türkiye’nin deneyimlerinden faydalanmak üzere ülkemize gelen heyete toplantıda </w:t>
      </w:r>
      <w:r>
        <w:t xml:space="preserve">Kurumun </w:t>
      </w:r>
      <w:r w:rsidRPr="00B53F21">
        <w:t xml:space="preserve">yapısı, görevleri ve Türkiye'de </w:t>
      </w:r>
      <w:r>
        <w:t xml:space="preserve">doğal </w:t>
      </w:r>
      <w:r w:rsidRPr="00B53F21">
        <w:t>gaz piyasasının serbestleştirilmesi</w:t>
      </w:r>
      <w:r>
        <w:t xml:space="preserve">, </w:t>
      </w:r>
      <w:r w:rsidRPr="00B53F21">
        <w:t>Türkiye'deki gaz, petrol ve LPG piyasalarına ilişkin düzenleyici çerçeve</w:t>
      </w:r>
      <w:r>
        <w:t xml:space="preserve"> hakkında</w:t>
      </w:r>
      <w:r w:rsidRPr="00B53F21">
        <w:t xml:space="preserve"> bilg</w:t>
      </w:r>
      <w:r>
        <w:t>ilendirme yapılmıştır</w:t>
      </w:r>
      <w:r w:rsidRPr="00B53F21">
        <w:t>. Ayrıca, izleme ve otomasyon sistemleri ile petrol ve gaz piyasalarında uygulanan tarifeler</w:t>
      </w:r>
      <w:r>
        <w:t xml:space="preserve"> </w:t>
      </w:r>
      <w:r w:rsidRPr="00B36621">
        <w:t xml:space="preserve">konularında </w:t>
      </w:r>
      <w:r>
        <w:t xml:space="preserve">Kurum uzman personeli tarafından </w:t>
      </w:r>
      <w:r w:rsidRPr="00B36621">
        <w:t>sunumlar yapılmıştır.</w:t>
      </w:r>
    </w:p>
    <w:p w:rsidR="006C670B" w:rsidRPr="00B36621" w:rsidRDefault="006C670B" w:rsidP="006C670B">
      <w:pPr>
        <w:spacing w:after="150" w:line="240" w:lineRule="auto"/>
      </w:pPr>
      <w:r>
        <w:t>Malezya Elektrik İletim Şirketi Tenega Nasional Berhad Yönetim Kurulu üyelerinden oluşan heyet 16 Ağustos 2022 tarihinde Kurumumuza bir çalışma ziyareti gerçekleştirmiştir. Kurum Başkan Yardımcısı tarafından kabul edilen heyete ülkemiz elektrik piyasasının işleyişi hakkında bilgilendirici sunumlar yapılmıştır.</w:t>
      </w:r>
    </w:p>
    <w:p w:rsidR="006C670B" w:rsidRPr="00B36621" w:rsidRDefault="006C670B" w:rsidP="006C670B">
      <w:r w:rsidRPr="00B36621">
        <w:t xml:space="preserve">Enerji ve Tabii Kaynaklar Bakanlığı koordinasyonunda kurulan Türkiye-Azerbaycan Enerji Forumu’nun </w:t>
      </w:r>
      <w:r>
        <w:t>ikinci</w:t>
      </w:r>
      <w:r w:rsidRPr="00B36621">
        <w:t xml:space="preserve"> toplantısı </w:t>
      </w:r>
      <w:r>
        <w:t>5-6</w:t>
      </w:r>
      <w:r w:rsidRPr="00B36621">
        <w:t xml:space="preserve"> </w:t>
      </w:r>
      <w:r>
        <w:t>Ekim</w:t>
      </w:r>
      <w:r w:rsidRPr="00B36621">
        <w:t xml:space="preserve"> tarihlerinde </w:t>
      </w:r>
      <w:r>
        <w:t>İstanbul’da</w:t>
      </w:r>
      <w:r w:rsidRPr="00B36621">
        <w:t xml:space="preserve"> düzenlenmiştir. Forum kapsamında oluşturulan çalışma gruplarından Kurum temsilcilerinin eş başkanlığında yürütülen Regülasyon Çalışma Grubu ile Elektrik Piyasası, İletim ve Dağıtım Çalışma Grubu toplantılarına Kurum personeli tarafından katılım sağlanmış ve sunumlar yapılmıştır.</w:t>
      </w:r>
      <w:r>
        <w:t xml:space="preserve"> Yıl boyunca düzenlenen çevrimiçi toplantılarda Kurumumuz uzmanları tarafından Azerbaycan Enerji Düzenleme Kurumu (AERA) personeline, ülkemiz elektrik piyasasına ilişkin mevzuat ve uygulamalar hakkında çeşitli sunumlar yapılmış ve düzenli bilgi aktarımında bulunulmuştur.</w:t>
      </w:r>
    </w:p>
    <w:p w:rsidR="006C670B" w:rsidRPr="00760BA0" w:rsidRDefault="006C670B" w:rsidP="006C670B">
      <w:pPr>
        <w:pStyle w:val="Balk2"/>
        <w:numPr>
          <w:ilvl w:val="1"/>
          <w:numId w:val="11"/>
        </w:numPr>
        <w:spacing w:after="240"/>
        <w:rPr>
          <w:rFonts w:asciiTheme="minorHAnsi" w:hAnsiTheme="minorHAnsi"/>
          <w:color w:val="000000" w:themeColor="text1"/>
          <w:sz w:val="22"/>
          <w:szCs w:val="22"/>
        </w:rPr>
      </w:pPr>
      <w:bookmarkStart w:id="455" w:name="_Toc132713870"/>
      <w:r w:rsidRPr="00BF388A">
        <w:rPr>
          <w:rFonts w:asciiTheme="minorHAnsi" w:hAnsiTheme="minorHAnsi"/>
          <w:color w:val="000000" w:themeColor="text1"/>
          <w:sz w:val="22"/>
          <w:szCs w:val="22"/>
        </w:rPr>
        <w:t>Avrupa Birliği Müktesebatı İle Uyum Süreci Kapsamındaki Faaliyetler</w:t>
      </w:r>
      <w:bookmarkEnd w:id="455"/>
    </w:p>
    <w:p w:rsidR="006C670B" w:rsidRPr="00BF19B0" w:rsidRDefault="006C670B" w:rsidP="006C670B">
      <w:pPr>
        <w:spacing w:before="120" w:after="120"/>
        <w:rPr>
          <w:rFonts w:ascii="Calibri" w:hAnsi="Calibri" w:cs="Calibri"/>
        </w:rPr>
      </w:pPr>
      <w:r w:rsidRPr="00BF19B0">
        <w:rPr>
          <w:rFonts w:ascii="Calibri" w:hAnsi="Calibri" w:cs="Calibri"/>
        </w:rPr>
        <w:t>Ülkemizin AB’ye katılım yolunda kaydettiği gelişmelerin değerlendirildiği, Avrupa Komisyonu tarafından hazırlanan 202</w:t>
      </w:r>
      <w:r w:rsidRPr="00C549C1">
        <w:rPr>
          <w:rFonts w:ascii="Calibri" w:hAnsi="Calibri" w:cs="Calibri"/>
        </w:rPr>
        <w:t>2</w:t>
      </w:r>
      <w:r w:rsidRPr="00BF19B0">
        <w:rPr>
          <w:rFonts w:ascii="Calibri" w:hAnsi="Calibri" w:cs="Calibri"/>
        </w:rPr>
        <w:t xml:space="preserve"> Türkiye İlerleme Raporunun Kurum görev alanı ile ilgili kısımlarına katkı sağlanmıştır.</w:t>
      </w:r>
    </w:p>
    <w:p w:rsidR="006C670B" w:rsidRPr="00BF19B0" w:rsidRDefault="006C670B" w:rsidP="006C670B">
      <w:pPr>
        <w:spacing w:before="120" w:after="120"/>
        <w:rPr>
          <w:rFonts w:ascii="Calibri" w:hAnsi="Calibri" w:cs="Calibri"/>
        </w:rPr>
      </w:pPr>
      <w:r w:rsidRPr="00BF19B0">
        <w:rPr>
          <w:rFonts w:ascii="Calibri" w:hAnsi="Calibri" w:cs="Calibri"/>
        </w:rPr>
        <w:lastRenderedPageBreak/>
        <w:t>AB’ye tam üyelik için aday ülke statüsü çerçevesinde her yıl Cumhurbaşkanlığı Strateji ve Bütçe Başkanlığı'nın koordinasyonunda hazırlanan ve Avrupa Komisyonu’na iletilen Katılım Öncesi Ekonomik Reform Programı’nın (ERP) 202</w:t>
      </w:r>
      <w:r w:rsidRPr="00C549C1">
        <w:rPr>
          <w:rFonts w:ascii="Calibri" w:hAnsi="Calibri" w:cs="Calibri"/>
        </w:rPr>
        <w:t>3</w:t>
      </w:r>
      <w:r w:rsidRPr="00BF19B0">
        <w:rPr>
          <w:rFonts w:ascii="Calibri" w:hAnsi="Calibri" w:cs="Calibri"/>
        </w:rPr>
        <w:t>-202</w:t>
      </w:r>
      <w:r w:rsidRPr="00C549C1">
        <w:rPr>
          <w:rFonts w:ascii="Calibri" w:hAnsi="Calibri" w:cs="Calibri"/>
        </w:rPr>
        <w:t>5</w:t>
      </w:r>
      <w:r w:rsidRPr="00BF19B0">
        <w:rPr>
          <w:rFonts w:ascii="Calibri" w:hAnsi="Calibri" w:cs="Calibri"/>
        </w:rPr>
        <w:t xml:space="preserve"> yılları hazırlık çalışmaları kapsamında, enerji piyasalarındaki tedbirlere ilişkin bilgi notları hazırlanmış ve hazırlık toplantılarına katılım sağlanmıştır. </w:t>
      </w:r>
    </w:p>
    <w:p w:rsidR="006C670B" w:rsidRDefault="006C670B" w:rsidP="006C670B">
      <w:pPr>
        <w:spacing w:before="120" w:after="120"/>
      </w:pPr>
      <w:r>
        <w:t>Tüm müzakere fasıllarında ilerleme kaydetmek, AB müktesebatına uyum sağlamak, her alanda standartlarımızı yükseltmek ve siyasi engeller kalktığında fasılları hızla açabilmek amacıyla 2021-2023 yıllarını kapsayan</w:t>
      </w:r>
      <w:r w:rsidRPr="002627D5">
        <w:t xml:space="preserve"> </w:t>
      </w:r>
      <w:r>
        <w:t xml:space="preserve">AB'ye Katılım için Ulusal Eylem Planının izlenmesi faaliyetlerine katkıda bulunulmuştur. </w:t>
      </w:r>
    </w:p>
    <w:p w:rsidR="006C670B" w:rsidRDefault="006C670B" w:rsidP="006C670B">
      <w:pPr>
        <w:spacing w:before="120" w:after="120"/>
      </w:pPr>
      <w:r>
        <w:t xml:space="preserve">16 Temmuz 2021 tarihinde </w:t>
      </w:r>
      <w:r w:rsidR="00DC783D">
        <w:t>Resmî</w:t>
      </w:r>
      <w:r>
        <w:t xml:space="preserve"> </w:t>
      </w:r>
      <w:r w:rsidR="00274939">
        <w:t>Gazetede</w:t>
      </w:r>
      <w:r>
        <w:t xml:space="preserve"> yayımlanan Yeşil Mutabakat Eylem Planı’nın (YMEP) “Yeşil Finansman” ana başlığı altında belirlenen eylemler arasında mevcut finansman imkanları konusunda, koordinatör kurum olan Ticaret Bakanlığı’nın çalışmalarına katkıda bulunulmuştur. Ayrıca, Temiz Erji İhtisas Çalışma Grubu’nun toplantılarına katılınmış ve “Enerji Depolama Teknolojileri” ve “Elektrikli Araç Altyapısı” konularında sunumlar yapılmıştır. </w:t>
      </w:r>
    </w:p>
    <w:p w:rsidR="006C670B" w:rsidRDefault="006C670B" w:rsidP="006C670B">
      <w:pPr>
        <w:spacing w:before="120" w:after="120"/>
      </w:pPr>
      <w:r>
        <w:t xml:space="preserve">Ülkemiz ve Avrupa Birliği (AB) arasında 27/10/2021 tarihinde Brüksel'de imzalanan ve 15 Kasım 2021 tarih ve 4804 sayılı Cumhurbaşkanı Kararı ile onaylanan "Türkiye Cumhuriyeti'nin Birlik Programı Ufuk Avrupa-Araştırma ve Yenilik Çerçeve Programına Katılımı Konusunda Uluslararası Anlaşma" kapsamında Enerji ve Tabii Kaynaklar Bakanlığı ile koordinasyon içerisinde gerekli çalışmalar yapılmıştır. </w:t>
      </w:r>
    </w:p>
    <w:p w:rsidR="006C670B" w:rsidRPr="00992142" w:rsidRDefault="006C670B" w:rsidP="006C670B">
      <w:pPr>
        <w:spacing w:before="120" w:after="120"/>
        <w:rPr>
          <w:rFonts w:ascii="Calibri" w:hAnsi="Calibri"/>
        </w:rPr>
      </w:pPr>
      <w:r w:rsidRPr="00BF19B0">
        <w:rPr>
          <w:rFonts w:ascii="Calibri" w:hAnsi="Calibri"/>
        </w:rPr>
        <w:t>Ayrıca, AB müktesebatındaki değişiklikler ve yeniliklerle ilgili çalışmalar izlenmiş ve raporlanmıştır.</w:t>
      </w:r>
    </w:p>
    <w:p w:rsidR="006C670B" w:rsidRPr="00760BA0" w:rsidRDefault="006C670B" w:rsidP="006C670B">
      <w:pPr>
        <w:pStyle w:val="Balk2"/>
        <w:numPr>
          <w:ilvl w:val="1"/>
          <w:numId w:val="11"/>
        </w:numPr>
        <w:spacing w:after="240"/>
        <w:ind w:left="567" w:hanging="567"/>
        <w:rPr>
          <w:rFonts w:asciiTheme="minorHAnsi" w:hAnsiTheme="minorHAnsi"/>
          <w:color w:val="000000" w:themeColor="text1"/>
          <w:sz w:val="22"/>
          <w:szCs w:val="22"/>
        </w:rPr>
      </w:pPr>
      <w:bookmarkStart w:id="456" w:name="_Toc132713871"/>
      <w:r w:rsidRPr="00AB0646">
        <w:rPr>
          <w:rFonts w:asciiTheme="minorHAnsi" w:hAnsiTheme="minorHAnsi"/>
          <w:color w:val="000000" w:themeColor="text1"/>
          <w:sz w:val="22"/>
          <w:szCs w:val="22"/>
        </w:rPr>
        <w:t>Ülkemizin Taraf Olduğu Uluslararası Anlaşmalar Gereği İlişki İçerisinde Bulunulan Organizasyonlar Kapsamında Kurumun Görev Alanına Giren Alanlarda Yapılan Çalışmalar</w:t>
      </w:r>
      <w:bookmarkEnd w:id="456"/>
    </w:p>
    <w:p w:rsidR="006C670B" w:rsidRPr="003C3FA1" w:rsidRDefault="006C670B" w:rsidP="006C670B">
      <w:pPr>
        <w:spacing w:before="120" w:after="120"/>
        <w:rPr>
          <w:rFonts w:ascii="Calibri" w:hAnsi="Calibri"/>
        </w:rPr>
      </w:pPr>
      <w:r w:rsidRPr="003C3FA1">
        <w:rPr>
          <w:rFonts w:ascii="Calibri" w:hAnsi="Calibri"/>
        </w:rPr>
        <w:t>KEİ, OECD, UEA, DTÖ ve EİT bünyesindeki çalışma grubu, görev gücü vb. oluşumlarda Kurumu temsil etmek üzere Kurum personeli görevlendirilerek adı geçen kuruluşların çalışmaları takip edilmektedir.</w:t>
      </w:r>
    </w:p>
    <w:p w:rsidR="006C670B" w:rsidRPr="003C3FA1" w:rsidRDefault="006C670B" w:rsidP="006C670B">
      <w:pPr>
        <w:spacing w:before="120" w:after="120"/>
        <w:rPr>
          <w:rFonts w:ascii="Calibri" w:hAnsi="Calibri"/>
        </w:rPr>
      </w:pPr>
      <w:r w:rsidRPr="003C3FA1">
        <w:rPr>
          <w:rFonts w:ascii="Calibri" w:hAnsi="Calibri"/>
        </w:rPr>
        <w:t xml:space="preserve">Türkiye’nin OECD Daimî Temsilciliği tarafından iletilen raporlar ve bilgi notları değerlendirilerek, ilgili birimlerle paylaşılmıştır. </w:t>
      </w:r>
    </w:p>
    <w:p w:rsidR="006C670B" w:rsidRPr="00760BA0" w:rsidRDefault="006C670B" w:rsidP="006C670B">
      <w:pPr>
        <w:pStyle w:val="Balk2"/>
        <w:numPr>
          <w:ilvl w:val="1"/>
          <w:numId w:val="11"/>
        </w:numPr>
        <w:spacing w:after="240"/>
        <w:rPr>
          <w:rFonts w:asciiTheme="minorHAnsi" w:hAnsiTheme="minorHAnsi"/>
          <w:color w:val="000000" w:themeColor="text1"/>
          <w:sz w:val="22"/>
          <w:szCs w:val="22"/>
        </w:rPr>
      </w:pPr>
      <w:bookmarkStart w:id="457" w:name="_Toc132713872"/>
      <w:r w:rsidRPr="00BF388A">
        <w:rPr>
          <w:rFonts w:asciiTheme="minorHAnsi" w:hAnsiTheme="minorHAnsi"/>
          <w:color w:val="000000" w:themeColor="text1"/>
          <w:sz w:val="22"/>
          <w:szCs w:val="22"/>
        </w:rPr>
        <w:t>Uluslararası Enerji Piyasalarındaki Gelişmelerin İzlenmesi ve Raporlanması</w:t>
      </w:r>
      <w:bookmarkEnd w:id="457"/>
    </w:p>
    <w:p w:rsidR="006C670B" w:rsidRPr="003C3FA1" w:rsidRDefault="006C670B" w:rsidP="006C670B">
      <w:pPr>
        <w:rPr>
          <w:rFonts w:ascii="Calibri" w:hAnsi="Calibri"/>
        </w:rPr>
      </w:pPr>
      <w:r w:rsidRPr="003C3FA1">
        <w:rPr>
          <w:rFonts w:ascii="Calibri" w:hAnsi="Calibri"/>
        </w:rPr>
        <w:t>2015 yılında başlanarak dış basında çıkan önemli haberler ile uluslararası kuruluşların önemli görülen raporlarının derlendiği “Dünya Enerji Gündemi” bültenlerinin hazırlanmasına 202</w:t>
      </w:r>
      <w:r>
        <w:rPr>
          <w:rFonts w:ascii="Calibri" w:hAnsi="Calibri"/>
        </w:rPr>
        <w:t>2</w:t>
      </w:r>
      <w:r w:rsidRPr="003C3FA1">
        <w:rPr>
          <w:rFonts w:ascii="Calibri" w:hAnsi="Calibri"/>
        </w:rPr>
        <w:t xml:space="preserve"> yılında da devam edilmiştir. 202</w:t>
      </w:r>
      <w:r>
        <w:rPr>
          <w:rFonts w:ascii="Calibri" w:hAnsi="Calibri"/>
        </w:rPr>
        <w:t>2</w:t>
      </w:r>
      <w:r w:rsidRPr="003C3FA1">
        <w:rPr>
          <w:rFonts w:ascii="Calibri" w:hAnsi="Calibri"/>
        </w:rPr>
        <w:t xml:space="preserve"> yılında 1</w:t>
      </w:r>
      <w:r>
        <w:rPr>
          <w:rFonts w:ascii="Calibri" w:hAnsi="Calibri"/>
        </w:rPr>
        <w:t>2</w:t>
      </w:r>
      <w:r w:rsidRPr="003C3FA1">
        <w:rPr>
          <w:rFonts w:ascii="Calibri" w:hAnsi="Calibri"/>
        </w:rPr>
        <w:t xml:space="preserve"> adet dış basın bülteni hazırlanmıştır. Haberler derlenirken tematik sınıflandırma yapılmasına özen gösterilmiştir. Yıl içerisinde derlenen haberler, konularına göre ayrıca sınıflandırılmıştır. Diğer yandan, uluslararası kuruluşlarca yayımlanan ve </w:t>
      </w:r>
      <w:r>
        <w:rPr>
          <w:rFonts w:ascii="Calibri" w:hAnsi="Calibri"/>
        </w:rPr>
        <w:t>K</w:t>
      </w:r>
      <w:r w:rsidRPr="003C3FA1">
        <w:rPr>
          <w:rFonts w:ascii="Calibri" w:hAnsi="Calibri"/>
        </w:rPr>
        <w:t xml:space="preserve">uruma intikal eden raporlar ile Dışişleri Bakanlığı tarafından iletilen uluslararası gelişmeler ilgili birimlerle paylaşılmıştır.   </w:t>
      </w:r>
    </w:p>
    <w:p w:rsidR="006C670B" w:rsidRPr="003C3FA1" w:rsidRDefault="006C670B" w:rsidP="006C670B">
      <w:pPr>
        <w:spacing w:before="120" w:after="120"/>
        <w:rPr>
          <w:rFonts w:ascii="Calibri" w:hAnsi="Calibri"/>
        </w:rPr>
      </w:pPr>
      <w:r w:rsidRPr="003C3FA1">
        <w:rPr>
          <w:rFonts w:ascii="Calibri" w:hAnsi="Calibri"/>
        </w:rPr>
        <w:t>Diğer taraftan 202</w:t>
      </w:r>
      <w:r>
        <w:rPr>
          <w:rFonts w:ascii="Calibri" w:hAnsi="Calibri"/>
        </w:rPr>
        <w:t xml:space="preserve">2 </w:t>
      </w:r>
      <w:r w:rsidRPr="003C3FA1">
        <w:rPr>
          <w:rFonts w:ascii="Calibri" w:hAnsi="Calibri"/>
        </w:rPr>
        <w:t>yılı içerisinde;</w:t>
      </w:r>
    </w:p>
    <w:p w:rsidR="006C670B" w:rsidRPr="00C549C1" w:rsidRDefault="006C670B" w:rsidP="006C670B">
      <w:pPr>
        <w:numPr>
          <w:ilvl w:val="0"/>
          <w:numId w:val="45"/>
        </w:numPr>
        <w:spacing w:before="120" w:after="120"/>
        <w:contextualSpacing/>
        <w:rPr>
          <w:rFonts w:ascii="Calibri" w:hAnsi="Calibri"/>
        </w:rPr>
      </w:pPr>
      <w:r w:rsidRPr="00C549C1">
        <w:rPr>
          <w:rFonts w:ascii="Calibri" w:hAnsi="Calibri"/>
        </w:rPr>
        <w:t>11. LNG Üretici Tüketici Konferansı hazırlık çalışmalarına,</w:t>
      </w:r>
    </w:p>
    <w:p w:rsidR="006C670B" w:rsidRPr="00BF19B0" w:rsidRDefault="006C670B" w:rsidP="006C670B">
      <w:pPr>
        <w:numPr>
          <w:ilvl w:val="0"/>
          <w:numId w:val="45"/>
        </w:numPr>
        <w:spacing w:before="120" w:after="120"/>
        <w:contextualSpacing/>
        <w:rPr>
          <w:rFonts w:ascii="Calibri" w:hAnsi="Calibri"/>
        </w:rPr>
      </w:pPr>
      <w:r w:rsidRPr="00BF19B0">
        <w:rPr>
          <w:rFonts w:ascii="Calibri" w:hAnsi="Calibri"/>
        </w:rPr>
        <w:t xml:space="preserve">AB Delegasyonu Başkanı Büyükelçi Sn. Nikolaus Meyer Landrut ile AB Yeşil Mutabakatı kapsamında yapılan toplantının hazırlık çalışmalarına, </w:t>
      </w:r>
    </w:p>
    <w:p w:rsidR="006C670B" w:rsidRPr="00BF19B0" w:rsidRDefault="006C670B" w:rsidP="006C670B">
      <w:pPr>
        <w:numPr>
          <w:ilvl w:val="0"/>
          <w:numId w:val="45"/>
        </w:numPr>
        <w:spacing w:before="120" w:after="120"/>
        <w:contextualSpacing/>
        <w:rPr>
          <w:rFonts w:ascii="Calibri" w:hAnsi="Calibri"/>
        </w:rPr>
      </w:pPr>
      <w:r w:rsidRPr="00BF19B0">
        <w:rPr>
          <w:rFonts w:ascii="Calibri" w:hAnsi="Calibri"/>
        </w:rPr>
        <w:t>AB Komisyonu tarafından yayımlanan "2022 Türkiye Raporu"nda yer alan maddi hataların tespiti çalışmalarına,</w:t>
      </w:r>
    </w:p>
    <w:p w:rsidR="006C670B" w:rsidRPr="00BF19B0" w:rsidRDefault="006C670B" w:rsidP="006C670B">
      <w:pPr>
        <w:numPr>
          <w:ilvl w:val="0"/>
          <w:numId w:val="45"/>
        </w:numPr>
        <w:spacing w:before="120" w:after="120"/>
        <w:contextualSpacing/>
        <w:rPr>
          <w:rFonts w:ascii="Calibri" w:hAnsi="Calibri"/>
        </w:rPr>
      </w:pPr>
      <w:r w:rsidRPr="00BF19B0">
        <w:rPr>
          <w:rFonts w:ascii="Calibri" w:hAnsi="Calibri"/>
        </w:rPr>
        <w:t>"AB Sınırda Karbon Düzenlemesinin Etki Değerlendirmesi Projesi" final raporuna ilişkin çalışmalara,</w:t>
      </w:r>
    </w:p>
    <w:p w:rsidR="006C670B" w:rsidRPr="00C549C1" w:rsidRDefault="006C670B" w:rsidP="006C670B">
      <w:pPr>
        <w:numPr>
          <w:ilvl w:val="0"/>
          <w:numId w:val="45"/>
        </w:numPr>
        <w:spacing w:before="120" w:after="120"/>
        <w:contextualSpacing/>
        <w:rPr>
          <w:rFonts w:ascii="Calibri" w:hAnsi="Calibri"/>
        </w:rPr>
      </w:pPr>
      <w:r w:rsidRPr="00BF19B0">
        <w:rPr>
          <w:rFonts w:ascii="Calibri" w:hAnsi="Calibri"/>
        </w:rPr>
        <w:t xml:space="preserve">Akdeniz İçin Birlik Gaz Platformu’nun çeşitli konularda hazırladığı raporlara ilişkin çalışmalara, </w:t>
      </w:r>
    </w:p>
    <w:p w:rsidR="006C670B" w:rsidRPr="00BF19B0" w:rsidRDefault="006C670B" w:rsidP="006C670B">
      <w:pPr>
        <w:numPr>
          <w:ilvl w:val="0"/>
          <w:numId w:val="45"/>
        </w:numPr>
        <w:spacing w:before="120" w:after="120"/>
        <w:contextualSpacing/>
        <w:rPr>
          <w:rFonts w:ascii="Calibri" w:hAnsi="Calibri"/>
        </w:rPr>
      </w:pPr>
      <w:r w:rsidRPr="00BF19B0">
        <w:rPr>
          <w:rFonts w:ascii="Calibri" w:hAnsi="Calibri"/>
        </w:rPr>
        <w:t>"CERAWeek" konferansına katılım için hazırlık çalışmalarına,</w:t>
      </w:r>
    </w:p>
    <w:p w:rsidR="006C670B" w:rsidRPr="00BF19B0" w:rsidRDefault="006C670B" w:rsidP="006C670B">
      <w:pPr>
        <w:numPr>
          <w:ilvl w:val="0"/>
          <w:numId w:val="45"/>
        </w:numPr>
        <w:spacing w:before="120" w:after="120"/>
        <w:contextualSpacing/>
        <w:rPr>
          <w:rFonts w:ascii="Calibri" w:hAnsi="Calibri"/>
        </w:rPr>
      </w:pPr>
      <w:r w:rsidRPr="00BF19B0">
        <w:rPr>
          <w:rFonts w:ascii="Calibri" w:hAnsi="Calibri"/>
        </w:rPr>
        <w:lastRenderedPageBreak/>
        <w:t>Birleşmiş Milletler İklim Değişikliği Çerçeve Sözleşmesi 27. Taraflar Konferansı (COP27) kapsamında yer alan "sıfır emisyonlu araçlar, şarj altyapısı, sıfır emisyonlu araçlara ait bataryaların tedarik zinciri" eylemlerine ilişkin çalışmalara,</w:t>
      </w:r>
    </w:p>
    <w:p w:rsidR="006C670B" w:rsidRPr="00BF19B0" w:rsidRDefault="006C670B" w:rsidP="006C670B">
      <w:pPr>
        <w:numPr>
          <w:ilvl w:val="0"/>
          <w:numId w:val="45"/>
        </w:numPr>
        <w:spacing w:before="120" w:after="120"/>
        <w:contextualSpacing/>
        <w:rPr>
          <w:rFonts w:ascii="Calibri" w:hAnsi="Calibri"/>
        </w:rPr>
      </w:pPr>
      <w:r w:rsidRPr="00BF19B0">
        <w:rPr>
          <w:rFonts w:ascii="Calibri" w:hAnsi="Calibri"/>
        </w:rPr>
        <w:t>D-8 Proje Destek Fonu çalışmalarına,</w:t>
      </w:r>
    </w:p>
    <w:p w:rsidR="006C670B" w:rsidRPr="00BF19B0" w:rsidRDefault="006C670B" w:rsidP="006C670B">
      <w:pPr>
        <w:numPr>
          <w:ilvl w:val="0"/>
          <w:numId w:val="45"/>
        </w:numPr>
        <w:spacing w:before="120" w:after="120"/>
        <w:contextualSpacing/>
        <w:rPr>
          <w:rFonts w:ascii="Calibri" w:hAnsi="Calibri"/>
        </w:rPr>
      </w:pPr>
      <w:r w:rsidRPr="00BF19B0">
        <w:rPr>
          <w:rFonts w:ascii="Calibri" w:hAnsi="Calibri"/>
        </w:rPr>
        <w:t>Doğal Gaz Yatırım Rehberi güncelleme çalışmalarına,</w:t>
      </w:r>
    </w:p>
    <w:p w:rsidR="006C670B" w:rsidRPr="00BF19B0" w:rsidRDefault="006C670B" w:rsidP="006C670B">
      <w:pPr>
        <w:numPr>
          <w:ilvl w:val="0"/>
          <w:numId w:val="45"/>
        </w:numPr>
        <w:spacing w:before="120" w:after="120"/>
        <w:contextualSpacing/>
        <w:rPr>
          <w:rFonts w:ascii="Calibri" w:hAnsi="Calibri"/>
        </w:rPr>
      </w:pPr>
      <w:r w:rsidRPr="00BF19B0">
        <w:rPr>
          <w:rFonts w:ascii="Calibri" w:hAnsi="Calibri"/>
        </w:rPr>
        <w:t>Dünya Ticaret Örgütü Türkiye'nin Ticaret Politikalarını Gözden Geçirme Raporu hazırlık çalışmalarına,</w:t>
      </w:r>
    </w:p>
    <w:p w:rsidR="006C670B" w:rsidRPr="00BF19B0" w:rsidRDefault="006C670B" w:rsidP="006C670B">
      <w:pPr>
        <w:numPr>
          <w:ilvl w:val="0"/>
          <w:numId w:val="45"/>
        </w:numPr>
        <w:spacing w:before="120" w:after="120"/>
        <w:contextualSpacing/>
        <w:rPr>
          <w:rFonts w:ascii="Calibri" w:hAnsi="Calibri"/>
        </w:rPr>
      </w:pPr>
      <w:r w:rsidRPr="00BF19B0">
        <w:rPr>
          <w:rFonts w:ascii="Calibri" w:hAnsi="Calibri"/>
        </w:rPr>
        <w:t>G20 Kaliteli Altyapı Yatırımları Prensipleri ve Göstergeleri çalışmalarına,</w:t>
      </w:r>
    </w:p>
    <w:p w:rsidR="006C670B" w:rsidRPr="00BF19B0" w:rsidRDefault="006C670B" w:rsidP="006C670B">
      <w:pPr>
        <w:numPr>
          <w:ilvl w:val="0"/>
          <w:numId w:val="45"/>
        </w:numPr>
        <w:spacing w:before="120" w:after="120"/>
        <w:contextualSpacing/>
        <w:rPr>
          <w:rFonts w:ascii="Calibri" w:hAnsi="Calibri"/>
        </w:rPr>
      </w:pPr>
      <w:r w:rsidRPr="00BF19B0">
        <w:rPr>
          <w:rFonts w:ascii="Calibri" w:hAnsi="Calibri"/>
        </w:rPr>
        <w:t>"Enerji Sektöründe G20 Bali Net Sıfır Emisyon Yol Haritası" ve "G20 Enerji Dönüşümleri Bakanlar Tebliği"ne ilişkin çalışmalara,</w:t>
      </w:r>
    </w:p>
    <w:p w:rsidR="006C670B" w:rsidRPr="00BF19B0" w:rsidRDefault="006C670B" w:rsidP="006C670B">
      <w:pPr>
        <w:numPr>
          <w:ilvl w:val="0"/>
          <w:numId w:val="45"/>
        </w:numPr>
        <w:spacing w:before="120" w:after="120"/>
        <w:contextualSpacing/>
        <w:rPr>
          <w:rFonts w:ascii="Calibri" w:hAnsi="Calibri"/>
        </w:rPr>
      </w:pPr>
      <w:r w:rsidRPr="00BF19B0">
        <w:rPr>
          <w:rFonts w:ascii="Calibri" w:hAnsi="Calibri"/>
        </w:rPr>
        <w:t>G-20 Dışişleri Bakanları Toplantısı hazırlık çalışmalarına,</w:t>
      </w:r>
    </w:p>
    <w:p w:rsidR="006C670B" w:rsidRPr="00BF19B0" w:rsidRDefault="006C670B" w:rsidP="006C670B">
      <w:pPr>
        <w:numPr>
          <w:ilvl w:val="0"/>
          <w:numId w:val="45"/>
        </w:numPr>
        <w:spacing w:before="120" w:after="120"/>
        <w:contextualSpacing/>
        <w:rPr>
          <w:rFonts w:ascii="Calibri" w:hAnsi="Calibri"/>
        </w:rPr>
      </w:pPr>
      <w:r w:rsidRPr="00BF19B0">
        <w:rPr>
          <w:rFonts w:ascii="Calibri" w:hAnsi="Calibri"/>
        </w:rPr>
        <w:t>G-20 Ticaret, Yatırım ve Sanayi Çalışma Grubu çalışmalarına,</w:t>
      </w:r>
    </w:p>
    <w:p w:rsidR="006C670B" w:rsidRPr="00BF19B0" w:rsidRDefault="006C670B" w:rsidP="006C670B">
      <w:pPr>
        <w:numPr>
          <w:ilvl w:val="0"/>
          <w:numId w:val="45"/>
        </w:numPr>
        <w:spacing w:before="120" w:after="120"/>
        <w:contextualSpacing/>
        <w:rPr>
          <w:rFonts w:ascii="Calibri" w:hAnsi="Calibri"/>
        </w:rPr>
      </w:pPr>
      <w:r w:rsidRPr="00BF19B0">
        <w:rPr>
          <w:rFonts w:ascii="Calibri" w:hAnsi="Calibri"/>
        </w:rPr>
        <w:t>Güney Gaz Koridoru’na dair çalışmalara,</w:t>
      </w:r>
    </w:p>
    <w:p w:rsidR="006C670B" w:rsidRPr="00BF19B0" w:rsidRDefault="006C670B" w:rsidP="006C670B">
      <w:pPr>
        <w:numPr>
          <w:ilvl w:val="0"/>
          <w:numId w:val="45"/>
        </w:numPr>
        <w:spacing w:before="120" w:after="120"/>
        <w:contextualSpacing/>
        <w:rPr>
          <w:rFonts w:ascii="Calibri" w:hAnsi="Calibri"/>
        </w:rPr>
      </w:pPr>
      <w:r w:rsidRPr="00BF19B0">
        <w:rPr>
          <w:rFonts w:ascii="Calibri" w:hAnsi="Calibri"/>
        </w:rPr>
        <w:t>IEA'in Enerji Verimliliği Raporu'na dair çalışmalara,</w:t>
      </w:r>
    </w:p>
    <w:p w:rsidR="006C670B" w:rsidRPr="00BF19B0" w:rsidRDefault="006C670B" w:rsidP="006C670B">
      <w:pPr>
        <w:numPr>
          <w:ilvl w:val="0"/>
          <w:numId w:val="45"/>
        </w:numPr>
        <w:spacing w:before="120" w:after="120"/>
        <w:contextualSpacing/>
        <w:rPr>
          <w:rFonts w:ascii="Calibri" w:hAnsi="Calibri"/>
        </w:rPr>
      </w:pPr>
      <w:r w:rsidRPr="00BF19B0">
        <w:rPr>
          <w:rFonts w:ascii="Calibri" w:hAnsi="Calibri"/>
        </w:rPr>
        <w:t>OECD "Net Sıfır+ Direnç" Raporu çalışmalarına,</w:t>
      </w:r>
    </w:p>
    <w:p w:rsidR="006C670B" w:rsidRPr="00BF19B0" w:rsidRDefault="006C670B" w:rsidP="006C670B">
      <w:pPr>
        <w:numPr>
          <w:ilvl w:val="0"/>
          <w:numId w:val="45"/>
        </w:numPr>
        <w:spacing w:before="120" w:after="120"/>
        <w:contextualSpacing/>
        <w:rPr>
          <w:rFonts w:ascii="Calibri" w:hAnsi="Calibri"/>
        </w:rPr>
      </w:pPr>
      <w:r w:rsidRPr="00BF19B0">
        <w:rPr>
          <w:rFonts w:ascii="Calibri" w:hAnsi="Calibri"/>
        </w:rPr>
        <w:t>Uluslararası Yenilenebilir Enerji Ajansı (IRENA) 12. Genel Kurul Toplantısı çalışmalarına,</w:t>
      </w:r>
    </w:p>
    <w:p w:rsidR="006C670B" w:rsidRPr="00BF19B0" w:rsidRDefault="006C670B" w:rsidP="006C670B">
      <w:pPr>
        <w:numPr>
          <w:ilvl w:val="0"/>
          <w:numId w:val="45"/>
        </w:numPr>
        <w:spacing w:before="120" w:after="120"/>
        <w:contextualSpacing/>
        <w:rPr>
          <w:rFonts w:ascii="Calibri" w:hAnsi="Calibri"/>
        </w:rPr>
      </w:pPr>
      <w:r w:rsidRPr="00BF19B0">
        <w:rPr>
          <w:rFonts w:ascii="Calibri" w:hAnsi="Calibri"/>
        </w:rPr>
        <w:t>"Küresel Metan Taahhüdü Girişimi"ne dair faaliyetlere,</w:t>
      </w:r>
    </w:p>
    <w:p w:rsidR="006C670B" w:rsidRPr="00BF19B0" w:rsidRDefault="006C670B" w:rsidP="006C670B">
      <w:pPr>
        <w:numPr>
          <w:ilvl w:val="0"/>
          <w:numId w:val="45"/>
        </w:numPr>
        <w:spacing w:before="120" w:after="120"/>
        <w:contextualSpacing/>
        <w:rPr>
          <w:rFonts w:ascii="Calibri" w:hAnsi="Calibri"/>
        </w:rPr>
      </w:pPr>
      <w:r w:rsidRPr="00BF19B0">
        <w:rPr>
          <w:rFonts w:ascii="Calibri" w:hAnsi="Calibri"/>
        </w:rPr>
        <w:t>NATO Savunma Planlama çalışmalarına,</w:t>
      </w:r>
    </w:p>
    <w:p w:rsidR="006C670B" w:rsidRPr="00BF19B0" w:rsidRDefault="006C670B" w:rsidP="006C670B">
      <w:pPr>
        <w:numPr>
          <w:ilvl w:val="0"/>
          <w:numId w:val="45"/>
        </w:numPr>
        <w:spacing w:before="120" w:after="120"/>
        <w:contextualSpacing/>
        <w:rPr>
          <w:rFonts w:ascii="Calibri" w:hAnsi="Calibri"/>
        </w:rPr>
      </w:pPr>
      <w:r w:rsidRPr="00BF19B0">
        <w:rPr>
          <w:rFonts w:ascii="Calibri" w:hAnsi="Calibri"/>
        </w:rPr>
        <w:t>OECD Bakanlar Konseyi Toplantısı hazırlık çalışmalarına,</w:t>
      </w:r>
    </w:p>
    <w:p w:rsidR="006C670B" w:rsidRPr="00BF19B0" w:rsidRDefault="006C670B" w:rsidP="006C670B">
      <w:pPr>
        <w:numPr>
          <w:ilvl w:val="0"/>
          <w:numId w:val="45"/>
        </w:numPr>
        <w:spacing w:before="120" w:after="120"/>
        <w:contextualSpacing/>
        <w:rPr>
          <w:rFonts w:ascii="Calibri" w:hAnsi="Calibri"/>
        </w:rPr>
      </w:pPr>
      <w:r w:rsidRPr="00BF19B0">
        <w:rPr>
          <w:rFonts w:ascii="Calibri" w:hAnsi="Calibri"/>
        </w:rPr>
        <w:t>OECD Dijital Ekonomi Politikaları Komitesi Veri Yönetimi ve Gizlilik Çalışma Grubu (WPDGP) faaliyetlerine,</w:t>
      </w:r>
    </w:p>
    <w:p w:rsidR="006C670B" w:rsidRPr="00BF19B0" w:rsidRDefault="006C670B" w:rsidP="006C670B">
      <w:pPr>
        <w:numPr>
          <w:ilvl w:val="0"/>
          <w:numId w:val="45"/>
        </w:numPr>
        <w:spacing w:before="120" w:after="120"/>
        <w:contextualSpacing/>
        <w:rPr>
          <w:rFonts w:ascii="Calibri" w:hAnsi="Calibri"/>
        </w:rPr>
      </w:pPr>
      <w:r w:rsidRPr="00BF19B0">
        <w:rPr>
          <w:rFonts w:ascii="Calibri" w:hAnsi="Calibri"/>
        </w:rPr>
        <w:t>OECD "Endüstrinin Net Sıfır Dönüşümü İçin Çerçeve: Yükselen ve Kalkınmakta Olan Ekonomilerde Endüstrinin Net Sıfır Dönüşümünün Hızlandırılması İçin Mali Çözümleri Geliştirmek" raporu çalışmalarına,</w:t>
      </w:r>
    </w:p>
    <w:p w:rsidR="006C670B" w:rsidRPr="00BF19B0" w:rsidRDefault="006C670B" w:rsidP="006C670B">
      <w:pPr>
        <w:numPr>
          <w:ilvl w:val="0"/>
          <w:numId w:val="45"/>
        </w:numPr>
        <w:spacing w:before="120" w:after="120"/>
        <w:contextualSpacing/>
        <w:rPr>
          <w:rFonts w:ascii="Calibri" w:hAnsi="Calibri"/>
        </w:rPr>
      </w:pPr>
      <w:r w:rsidRPr="00BF19B0">
        <w:rPr>
          <w:rFonts w:ascii="Calibri" w:hAnsi="Calibri"/>
        </w:rPr>
        <w:t>OECD-EDRC 2022 Yılı Türkiye İnceleme Raporu'na dair çalışmalara,</w:t>
      </w:r>
    </w:p>
    <w:p w:rsidR="006C670B" w:rsidRPr="00BF19B0" w:rsidRDefault="006C670B" w:rsidP="006C670B">
      <w:pPr>
        <w:numPr>
          <w:ilvl w:val="0"/>
          <w:numId w:val="45"/>
        </w:numPr>
        <w:spacing w:before="120" w:after="120"/>
        <w:contextualSpacing/>
        <w:rPr>
          <w:rFonts w:ascii="Calibri" w:hAnsi="Calibri"/>
        </w:rPr>
      </w:pPr>
      <w:r w:rsidRPr="00BF19B0">
        <w:rPr>
          <w:rFonts w:ascii="Calibri" w:hAnsi="Calibri"/>
        </w:rPr>
        <w:t>Türkiye'nin ABD Menkul Kıymetler ve Borsa Komisyonu (SEC) nezdindeki kaydının yenilenmesi çalışmalarına,</w:t>
      </w:r>
    </w:p>
    <w:p w:rsidR="006C670B" w:rsidRPr="00BF19B0" w:rsidRDefault="006C670B" w:rsidP="006C670B">
      <w:pPr>
        <w:numPr>
          <w:ilvl w:val="0"/>
          <w:numId w:val="45"/>
        </w:numPr>
        <w:spacing w:before="120" w:after="120"/>
        <w:contextualSpacing/>
        <w:rPr>
          <w:rFonts w:ascii="Calibri" w:hAnsi="Calibri"/>
        </w:rPr>
      </w:pPr>
      <w:r w:rsidRPr="00BF19B0">
        <w:rPr>
          <w:rFonts w:ascii="Calibri" w:hAnsi="Calibri"/>
        </w:rPr>
        <w:t>Türkiye'nin Niyet Edilmiş Ulusal Katkı Beyanı'nın (NDC) hazırlanması çalışmalarına,</w:t>
      </w:r>
    </w:p>
    <w:p w:rsidR="006C670B" w:rsidRPr="00BF19B0" w:rsidRDefault="006C670B" w:rsidP="006C670B">
      <w:pPr>
        <w:numPr>
          <w:ilvl w:val="0"/>
          <w:numId w:val="45"/>
        </w:numPr>
        <w:spacing w:before="120" w:after="120"/>
        <w:contextualSpacing/>
        <w:rPr>
          <w:rFonts w:ascii="Calibri" w:hAnsi="Calibri"/>
        </w:rPr>
      </w:pPr>
      <w:r w:rsidRPr="00BF19B0">
        <w:rPr>
          <w:rFonts w:ascii="Calibri" w:hAnsi="Calibri"/>
        </w:rPr>
        <w:t>Dünya Rekabetçilik Yıllığı, Küresel Rekabet Endeksi ve Lojistik Performans Endeksi’ne dair çalışmalara,</w:t>
      </w:r>
    </w:p>
    <w:p w:rsidR="006C670B" w:rsidRPr="00BF19B0" w:rsidRDefault="006C670B" w:rsidP="006C670B">
      <w:pPr>
        <w:numPr>
          <w:ilvl w:val="0"/>
          <w:numId w:val="45"/>
        </w:numPr>
        <w:spacing w:before="120" w:after="120"/>
        <w:contextualSpacing/>
        <w:rPr>
          <w:rFonts w:ascii="Calibri" w:hAnsi="Calibri"/>
        </w:rPr>
      </w:pPr>
      <w:r w:rsidRPr="00BF19B0">
        <w:rPr>
          <w:rFonts w:ascii="Calibri" w:hAnsi="Calibri"/>
        </w:rPr>
        <w:t>Eurelectric "Overview of National Situations" dokümanının güncellenmesi çalışmalarına,</w:t>
      </w:r>
    </w:p>
    <w:p w:rsidR="006C670B" w:rsidRPr="00BF19B0" w:rsidRDefault="006C670B" w:rsidP="006C670B">
      <w:pPr>
        <w:numPr>
          <w:ilvl w:val="0"/>
          <w:numId w:val="45"/>
        </w:numPr>
        <w:spacing w:before="120" w:after="120"/>
        <w:contextualSpacing/>
        <w:rPr>
          <w:rFonts w:ascii="Calibri" w:hAnsi="Calibri"/>
        </w:rPr>
      </w:pPr>
      <w:r w:rsidRPr="00BF19B0">
        <w:rPr>
          <w:rFonts w:ascii="Calibri" w:hAnsi="Calibri"/>
        </w:rPr>
        <w:t>OECD Çevre Politikaları Komitesi (EPOC) bünyesinde hazırlanan "Covid-19 Sonrası Sürdürülebilir İyileşmede Karbon Fiyatlandırılmasının Rolü" başlıklı taslak raporlara dair çalışmalara,</w:t>
      </w:r>
    </w:p>
    <w:p w:rsidR="006C670B" w:rsidRPr="00BF19B0" w:rsidRDefault="006C670B" w:rsidP="006C670B">
      <w:pPr>
        <w:numPr>
          <w:ilvl w:val="0"/>
          <w:numId w:val="45"/>
        </w:numPr>
        <w:spacing w:before="120" w:after="120"/>
        <w:contextualSpacing/>
        <w:rPr>
          <w:rFonts w:ascii="Calibri" w:hAnsi="Calibri"/>
        </w:rPr>
      </w:pPr>
      <w:r w:rsidRPr="00C549C1">
        <w:rPr>
          <w:rFonts w:ascii="Calibri" w:hAnsi="Calibri"/>
        </w:rPr>
        <w:t xml:space="preserve">OECD bünyesinde </w:t>
      </w:r>
      <w:r w:rsidRPr="00BF19B0">
        <w:rPr>
          <w:rFonts w:ascii="Calibri" w:hAnsi="Calibri"/>
        </w:rPr>
        <w:t>Covid-19 krizi kapsamında alınan ekonomik önlemlerin çevresel etkilerinin değerlendirilmesi amacıyla "yeşil iyileşme veri bankası" oluşturma çalışmalarına,</w:t>
      </w:r>
    </w:p>
    <w:p w:rsidR="006C670B" w:rsidRPr="00BF19B0" w:rsidRDefault="006C670B" w:rsidP="006C670B">
      <w:pPr>
        <w:numPr>
          <w:ilvl w:val="0"/>
          <w:numId w:val="45"/>
        </w:numPr>
        <w:spacing w:before="120" w:after="120"/>
        <w:contextualSpacing/>
        <w:rPr>
          <w:rFonts w:ascii="Calibri" w:hAnsi="Calibri"/>
        </w:rPr>
      </w:pPr>
      <w:r w:rsidRPr="00BF19B0">
        <w:rPr>
          <w:rFonts w:ascii="Calibri" w:hAnsi="Calibri"/>
        </w:rPr>
        <w:t>Yeşil Mutabakat Eylem Planı kapsamındaki çalışmalara,</w:t>
      </w:r>
    </w:p>
    <w:p w:rsidR="006C670B" w:rsidRPr="003C3FA1" w:rsidRDefault="006C670B" w:rsidP="006C670B">
      <w:pPr>
        <w:spacing w:before="120" w:after="120"/>
        <w:rPr>
          <w:rFonts w:ascii="Calibri" w:hAnsi="Calibri"/>
        </w:rPr>
      </w:pPr>
      <w:r w:rsidRPr="003C3FA1">
        <w:rPr>
          <w:rFonts w:ascii="Calibri" w:hAnsi="Calibri"/>
        </w:rPr>
        <w:t>görüş vermek suretiyle katkı sağlanmıştır.</w:t>
      </w:r>
    </w:p>
    <w:p w:rsidR="003C3FA1" w:rsidRPr="003C3FA1" w:rsidRDefault="003C3FA1" w:rsidP="003C3FA1">
      <w:pPr>
        <w:spacing w:before="120" w:after="120"/>
        <w:rPr>
          <w:rFonts w:ascii="Calibri" w:hAnsi="Calibri"/>
        </w:rPr>
      </w:pPr>
    </w:p>
    <w:p w:rsidR="006C56FF" w:rsidRDefault="006C56FF" w:rsidP="002D7BD5"/>
    <w:p w:rsidR="006C56FF" w:rsidRDefault="006C56FF" w:rsidP="002D7BD5"/>
    <w:p w:rsidR="006C56FF" w:rsidRDefault="006C56FF" w:rsidP="002D7BD5"/>
    <w:p w:rsidR="005F64DA" w:rsidRPr="00E9291A" w:rsidRDefault="00BA0C97" w:rsidP="000A5A56">
      <w:pPr>
        <w:pStyle w:val="Balk1"/>
        <w:numPr>
          <w:ilvl w:val="0"/>
          <w:numId w:val="11"/>
        </w:numPr>
        <w:spacing w:before="0" w:after="240"/>
        <w:rPr>
          <w:rFonts w:asciiTheme="minorHAnsi" w:hAnsiTheme="minorHAnsi"/>
          <w:color w:val="000000" w:themeColor="text1"/>
          <w:sz w:val="22"/>
          <w:szCs w:val="22"/>
        </w:rPr>
      </w:pPr>
      <w:bookmarkStart w:id="458" w:name="_Toc132713873"/>
      <w:r w:rsidRPr="00E9291A">
        <w:rPr>
          <w:rFonts w:asciiTheme="minorHAnsi" w:hAnsiTheme="minorHAnsi"/>
          <w:color w:val="000000" w:themeColor="text1"/>
          <w:sz w:val="22"/>
          <w:szCs w:val="22"/>
        </w:rPr>
        <w:lastRenderedPageBreak/>
        <w:t>İNSAN KAYNAKLARI</w:t>
      </w:r>
      <w:r w:rsidR="00737643" w:rsidRPr="00E9291A">
        <w:rPr>
          <w:rFonts w:asciiTheme="minorHAnsi" w:hAnsiTheme="minorHAnsi"/>
          <w:color w:val="000000" w:themeColor="text1"/>
          <w:sz w:val="22"/>
          <w:szCs w:val="22"/>
        </w:rPr>
        <w:t xml:space="preserve"> VE EĞİTİM FAALİYETLERİ</w:t>
      </w:r>
      <w:bookmarkEnd w:id="458"/>
    </w:p>
    <w:p w:rsidR="006C56FF" w:rsidRPr="00760BA0" w:rsidRDefault="005747D2" w:rsidP="000A5A56">
      <w:pPr>
        <w:pStyle w:val="Balk2"/>
        <w:numPr>
          <w:ilvl w:val="1"/>
          <w:numId w:val="11"/>
        </w:numPr>
        <w:spacing w:after="240"/>
        <w:rPr>
          <w:rFonts w:asciiTheme="minorHAnsi" w:hAnsiTheme="minorHAnsi"/>
          <w:color w:val="000000" w:themeColor="text1"/>
          <w:sz w:val="22"/>
          <w:szCs w:val="22"/>
        </w:rPr>
      </w:pPr>
      <w:bookmarkStart w:id="459" w:name="_Toc442431326"/>
      <w:bookmarkStart w:id="460" w:name="_Toc132713874"/>
      <w:r w:rsidRPr="00E9291A">
        <w:rPr>
          <w:rFonts w:asciiTheme="minorHAnsi" w:hAnsiTheme="minorHAnsi"/>
          <w:color w:val="000000" w:themeColor="text1"/>
          <w:sz w:val="22"/>
          <w:szCs w:val="22"/>
        </w:rPr>
        <w:t>Kurum Personeli</w:t>
      </w:r>
      <w:bookmarkEnd w:id="459"/>
      <w:bookmarkEnd w:id="460"/>
    </w:p>
    <w:p w:rsidR="00FF24CA" w:rsidRPr="00FA1354" w:rsidRDefault="00FF24CA" w:rsidP="00FF24CA">
      <w:bookmarkStart w:id="461" w:name="_Toc416447624"/>
      <w:bookmarkStart w:id="462" w:name="_Toc442441775"/>
      <w:r w:rsidRPr="000F0D68">
        <w:t xml:space="preserve">Kurum hizmetlerinin gerektirdiği görevler, idari hizmet sözleşmesi ile sözleşmeli olarak istihdam edilen personel eliyle yürütülmektedir. Kurum personeli 4628 sayılı Kanun ile düzenlenen hususlar dışında 657 sayılı Devlet Memurları Kanununa tabidir. Kurul Başkanı ve Kurul üyeleri ile idari hizmet sözleşmesi ile istihdam edilen Kurum personeli, sosyal güvenlik açısından 31.05.2006 tarihli ve 5510 sayılı Sosyal Sigortalar </w:t>
      </w:r>
      <w:r>
        <w:t>v</w:t>
      </w:r>
      <w:r w:rsidRPr="000F0D68">
        <w:t xml:space="preserve">e Genel Sağlık Sigortası Kanununun 4 üncü maddesinin birinci fıkrasının (c) bendi kapsamında sigortalı sayılmaktadır. Kurumda, Kurul Başkan ve Kurul üyesi ile idari hizmet sözleşmesi ile istihdam edilen personelin sosyal güvenlik hak ve yükümlülükleri 5510 sayılı Kanunun Geçici 4 üncü maddesi saklı kalmak kaydıyla anılan Kanun hükümlerine göre düzenlenmektedir. 02.11.2011 tarihli ve 28103 (Mükerrer) sayılı Resmî </w:t>
      </w:r>
      <w:r w:rsidR="00274939">
        <w:t>Gazetede</w:t>
      </w:r>
      <w:r w:rsidRPr="000F0D68">
        <w:t xml:space="preserve"> yayımlanan 666 sayılı KHK ile 375 sayılı KHK’ye eklenen Ek 11 inci madde gereğince Kurum personelinin, ücret ve mali hakları hususunda emsali unvan ve ücret eşitlemesine tabi olması sağlanmış olup 15.01.2012 tarihinden sonra Kurum kadrolarına atanan personel, diğer kamu kurum ve kuruluşlarında görev yapan emsali personelin tabi olduğu ücret ve mali haklar rejimine </w:t>
      </w:r>
      <w:r w:rsidRPr="00FA1354">
        <w:t>tabi olmuştur.</w:t>
      </w:r>
    </w:p>
    <w:p w:rsidR="00FF24CA" w:rsidRDefault="00FF24CA" w:rsidP="00FF24CA">
      <w:pPr>
        <w:pStyle w:val="Balk5"/>
        <w:jc w:val="center"/>
        <w:rPr>
          <w:rFonts w:asciiTheme="minorHAnsi" w:hAnsiTheme="minorHAnsi"/>
          <w:b/>
          <w:color w:val="auto"/>
        </w:rPr>
      </w:pPr>
      <w:bookmarkStart w:id="463" w:name="_Toc132713969"/>
      <w:r w:rsidRPr="00FA1354">
        <w:rPr>
          <w:rFonts w:asciiTheme="minorHAnsi" w:hAnsiTheme="minorHAnsi"/>
          <w:b/>
          <w:color w:val="auto"/>
        </w:rPr>
        <w:t>Tablo 1</w:t>
      </w:r>
      <w:r>
        <w:rPr>
          <w:rFonts w:asciiTheme="minorHAnsi" w:hAnsiTheme="minorHAnsi"/>
          <w:b/>
          <w:color w:val="auto"/>
        </w:rPr>
        <w:t>3.1: 2022</w:t>
      </w:r>
      <w:r w:rsidRPr="00FA1354">
        <w:rPr>
          <w:rFonts w:asciiTheme="minorHAnsi" w:hAnsiTheme="minorHAnsi"/>
          <w:b/>
          <w:color w:val="auto"/>
        </w:rPr>
        <w:t xml:space="preserve"> Yılında Kurumda Göreve Başlayan Personele İlişkin Bilgiler</w:t>
      </w:r>
      <w:bookmarkEnd w:id="463"/>
    </w:p>
    <w:tbl>
      <w:tblPr>
        <w:tblW w:w="5000"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70" w:type="dxa"/>
          <w:right w:w="70" w:type="dxa"/>
        </w:tblCellMar>
        <w:tblLook w:val="0000" w:firstRow="0" w:lastRow="0" w:firstColumn="0" w:lastColumn="0" w:noHBand="0" w:noVBand="0"/>
      </w:tblPr>
      <w:tblGrid>
        <w:gridCol w:w="2841"/>
        <w:gridCol w:w="823"/>
        <w:gridCol w:w="599"/>
        <w:gridCol w:w="599"/>
        <w:gridCol w:w="694"/>
        <w:gridCol w:w="599"/>
        <w:gridCol w:w="611"/>
        <w:gridCol w:w="749"/>
        <w:gridCol w:w="749"/>
        <w:gridCol w:w="749"/>
        <w:gridCol w:w="898"/>
      </w:tblGrid>
      <w:tr w:rsidR="00FF24CA" w:rsidRPr="000C601F" w:rsidTr="00FF24CA">
        <w:trPr>
          <w:trHeight w:val="454"/>
          <w:jc w:val="center"/>
        </w:trPr>
        <w:tc>
          <w:tcPr>
            <w:tcW w:w="1434" w:type="pct"/>
            <w:vMerge w:val="restart"/>
            <w:shd w:val="clear" w:color="auto" w:fill="6E9ECA"/>
            <w:noWrap/>
            <w:vAlign w:val="center"/>
          </w:tcPr>
          <w:p w:rsidR="00FF24CA" w:rsidRPr="000C601F" w:rsidRDefault="00FF24CA" w:rsidP="00FF24CA">
            <w:pPr>
              <w:spacing w:after="0"/>
              <w:rPr>
                <w:rFonts w:ascii="Calibri" w:hAnsi="Calibri" w:cs="Calibri"/>
                <w:b/>
                <w:bCs/>
                <w:color w:val="FFFFFF"/>
              </w:rPr>
            </w:pPr>
            <w:r w:rsidRPr="000C601F">
              <w:rPr>
                <w:rFonts w:ascii="Calibri" w:hAnsi="Calibri" w:cs="Calibri"/>
                <w:b/>
                <w:bCs/>
                <w:color w:val="FFFFFF"/>
              </w:rPr>
              <w:t>KADRO UNVANLARI</w:t>
            </w:r>
          </w:p>
        </w:tc>
        <w:tc>
          <w:tcPr>
            <w:tcW w:w="415" w:type="pct"/>
            <w:vMerge w:val="restart"/>
            <w:shd w:val="clear" w:color="auto" w:fill="6E9ECA"/>
            <w:vAlign w:val="center"/>
          </w:tcPr>
          <w:p w:rsidR="00FF24CA" w:rsidRPr="000C601F" w:rsidRDefault="00FF24CA" w:rsidP="00FF24CA">
            <w:pPr>
              <w:spacing w:after="0"/>
              <w:jc w:val="center"/>
              <w:rPr>
                <w:rFonts w:ascii="Calibri" w:hAnsi="Calibri" w:cs="Calibri"/>
                <w:b/>
                <w:bCs/>
                <w:color w:val="FFFFFF"/>
              </w:rPr>
            </w:pPr>
            <w:r w:rsidRPr="000C601F">
              <w:rPr>
                <w:rFonts w:ascii="Calibri" w:hAnsi="Calibri" w:cs="Calibri"/>
                <w:b/>
                <w:bCs/>
                <w:color w:val="FFFFFF"/>
              </w:rPr>
              <w:br/>
              <w:t>SAYI</w:t>
            </w:r>
          </w:p>
        </w:tc>
        <w:tc>
          <w:tcPr>
            <w:tcW w:w="1564" w:type="pct"/>
            <w:gridSpan w:val="5"/>
            <w:shd w:val="clear" w:color="auto" w:fill="6E9ECA"/>
            <w:noWrap/>
            <w:vAlign w:val="center"/>
          </w:tcPr>
          <w:p w:rsidR="00FF24CA" w:rsidRPr="000C601F" w:rsidRDefault="00FF24CA" w:rsidP="00FF24CA">
            <w:pPr>
              <w:spacing w:after="0"/>
              <w:jc w:val="center"/>
              <w:rPr>
                <w:rFonts w:ascii="Calibri" w:hAnsi="Calibri" w:cs="Calibri"/>
                <w:b/>
                <w:bCs/>
                <w:color w:val="FFFFFF"/>
              </w:rPr>
            </w:pPr>
            <w:r w:rsidRPr="000C601F">
              <w:rPr>
                <w:rFonts w:ascii="Calibri" w:hAnsi="Calibri" w:cs="Calibri"/>
                <w:b/>
                <w:bCs/>
                <w:color w:val="FFFFFF"/>
              </w:rPr>
              <w:t>ÖĞRENİM DURUMU</w:t>
            </w:r>
          </w:p>
        </w:tc>
        <w:tc>
          <w:tcPr>
            <w:tcW w:w="756" w:type="pct"/>
            <w:gridSpan w:val="2"/>
            <w:shd w:val="clear" w:color="auto" w:fill="6E9ECA"/>
            <w:noWrap/>
            <w:vAlign w:val="center"/>
          </w:tcPr>
          <w:p w:rsidR="00FF24CA" w:rsidRPr="000C601F" w:rsidRDefault="00FF24CA" w:rsidP="00FF24CA">
            <w:pPr>
              <w:spacing w:after="0"/>
              <w:ind w:right="-157"/>
              <w:jc w:val="center"/>
              <w:rPr>
                <w:rFonts w:ascii="Calibri" w:hAnsi="Calibri" w:cs="Calibri"/>
                <w:b/>
                <w:bCs/>
                <w:color w:val="FFFFFF"/>
              </w:rPr>
            </w:pPr>
            <w:r w:rsidRPr="000C601F">
              <w:rPr>
                <w:rFonts w:ascii="Calibri" w:hAnsi="Calibri" w:cs="Calibri"/>
                <w:b/>
                <w:bCs/>
                <w:color w:val="FFFFFF"/>
              </w:rPr>
              <w:t>CİNSİYETİ</w:t>
            </w:r>
          </w:p>
        </w:tc>
        <w:tc>
          <w:tcPr>
            <w:tcW w:w="831" w:type="pct"/>
            <w:gridSpan w:val="2"/>
            <w:shd w:val="clear" w:color="auto" w:fill="6E9ECA"/>
            <w:vAlign w:val="center"/>
          </w:tcPr>
          <w:p w:rsidR="00FF24CA" w:rsidRPr="000C601F" w:rsidRDefault="00FF24CA" w:rsidP="00FF24CA">
            <w:pPr>
              <w:spacing w:after="0"/>
              <w:ind w:right="-7"/>
              <w:jc w:val="center"/>
              <w:rPr>
                <w:rFonts w:ascii="Calibri" w:hAnsi="Calibri" w:cs="Calibri"/>
                <w:b/>
                <w:bCs/>
                <w:color w:val="FFFFFF"/>
              </w:rPr>
            </w:pPr>
            <w:r w:rsidRPr="000C601F">
              <w:rPr>
                <w:rFonts w:ascii="Calibri" w:hAnsi="Calibri" w:cs="Calibri"/>
                <w:b/>
                <w:bCs/>
                <w:color w:val="FFFFFF"/>
              </w:rPr>
              <w:t>ATANMA ŞEKLİ</w:t>
            </w:r>
          </w:p>
        </w:tc>
      </w:tr>
      <w:tr w:rsidR="00FF24CA" w:rsidRPr="000C601F" w:rsidTr="00FF24CA">
        <w:trPr>
          <w:trHeight w:val="1644"/>
          <w:jc w:val="center"/>
        </w:trPr>
        <w:tc>
          <w:tcPr>
            <w:tcW w:w="1434" w:type="pct"/>
            <w:vMerge/>
            <w:vAlign w:val="center"/>
          </w:tcPr>
          <w:p w:rsidR="00FF24CA" w:rsidRPr="000C601F" w:rsidRDefault="00FF24CA" w:rsidP="00FF24CA">
            <w:pPr>
              <w:spacing w:after="0"/>
              <w:rPr>
                <w:rFonts w:ascii="Calibri" w:hAnsi="Calibri" w:cs="Calibri"/>
                <w:b/>
                <w:bCs/>
                <w:color w:val="000000"/>
              </w:rPr>
            </w:pPr>
          </w:p>
        </w:tc>
        <w:tc>
          <w:tcPr>
            <w:tcW w:w="415" w:type="pct"/>
            <w:vMerge/>
            <w:vAlign w:val="center"/>
          </w:tcPr>
          <w:p w:rsidR="00FF24CA" w:rsidRPr="000C601F" w:rsidRDefault="00FF24CA" w:rsidP="00FF24CA">
            <w:pPr>
              <w:spacing w:after="0"/>
              <w:jc w:val="center"/>
              <w:rPr>
                <w:rFonts w:ascii="Calibri" w:hAnsi="Calibri" w:cs="Calibri"/>
                <w:b/>
                <w:bCs/>
                <w:color w:val="000000"/>
              </w:rPr>
            </w:pPr>
          </w:p>
        </w:tc>
        <w:tc>
          <w:tcPr>
            <w:tcW w:w="302" w:type="pct"/>
            <w:shd w:val="clear" w:color="auto" w:fill="6E9ECA"/>
            <w:noWrap/>
            <w:textDirection w:val="btLr"/>
            <w:vAlign w:val="center"/>
          </w:tcPr>
          <w:p w:rsidR="00FF24CA" w:rsidRPr="000C601F" w:rsidRDefault="00FF24CA" w:rsidP="00FF24CA">
            <w:pPr>
              <w:spacing w:after="0"/>
              <w:jc w:val="center"/>
              <w:rPr>
                <w:rFonts w:ascii="Calibri" w:hAnsi="Calibri" w:cs="Calibri"/>
                <w:b/>
                <w:bCs/>
                <w:color w:val="FFFFFF"/>
              </w:rPr>
            </w:pPr>
            <w:r w:rsidRPr="000C601F">
              <w:rPr>
                <w:rFonts w:ascii="Calibri" w:hAnsi="Calibri" w:cs="Calibri"/>
                <w:b/>
                <w:bCs/>
                <w:color w:val="FFFFFF"/>
              </w:rPr>
              <w:t>ORTAÖĞRETİM</w:t>
            </w:r>
          </w:p>
        </w:tc>
        <w:tc>
          <w:tcPr>
            <w:tcW w:w="302" w:type="pct"/>
            <w:shd w:val="clear" w:color="auto" w:fill="6E9ECA"/>
            <w:textDirection w:val="btLr"/>
            <w:vAlign w:val="center"/>
          </w:tcPr>
          <w:p w:rsidR="00FF24CA" w:rsidRPr="000C601F" w:rsidRDefault="00FF24CA" w:rsidP="00FF24CA">
            <w:pPr>
              <w:spacing w:after="0"/>
              <w:jc w:val="center"/>
              <w:rPr>
                <w:rFonts w:ascii="Calibri" w:hAnsi="Calibri" w:cs="Calibri"/>
                <w:b/>
                <w:bCs/>
                <w:color w:val="FFFFFF"/>
              </w:rPr>
            </w:pPr>
            <w:r w:rsidRPr="000C601F">
              <w:rPr>
                <w:rFonts w:ascii="Calibri" w:hAnsi="Calibri" w:cs="Calibri"/>
                <w:b/>
                <w:bCs/>
                <w:color w:val="FFFFFF"/>
              </w:rPr>
              <w:t>2 YILLIK Y.O.</w:t>
            </w:r>
          </w:p>
        </w:tc>
        <w:tc>
          <w:tcPr>
            <w:tcW w:w="350" w:type="pct"/>
            <w:shd w:val="clear" w:color="auto" w:fill="6E9ECA"/>
            <w:textDirection w:val="btLr"/>
            <w:vAlign w:val="center"/>
          </w:tcPr>
          <w:p w:rsidR="00FF24CA" w:rsidRPr="000C601F" w:rsidRDefault="00FF24CA" w:rsidP="00FF24CA">
            <w:pPr>
              <w:spacing w:after="0"/>
              <w:jc w:val="center"/>
              <w:rPr>
                <w:rFonts w:ascii="Calibri" w:hAnsi="Calibri" w:cs="Calibri"/>
                <w:b/>
                <w:bCs/>
                <w:color w:val="FFFFFF"/>
              </w:rPr>
            </w:pPr>
            <w:r w:rsidRPr="000C601F">
              <w:rPr>
                <w:rFonts w:ascii="Calibri" w:hAnsi="Calibri" w:cs="Calibri"/>
                <w:b/>
                <w:bCs/>
                <w:color w:val="FFFFFF"/>
              </w:rPr>
              <w:t>4 YILLIK Y.O.</w:t>
            </w:r>
          </w:p>
        </w:tc>
        <w:tc>
          <w:tcPr>
            <w:tcW w:w="302" w:type="pct"/>
            <w:shd w:val="clear" w:color="auto" w:fill="6E9ECA"/>
            <w:textDirection w:val="btLr"/>
            <w:vAlign w:val="center"/>
          </w:tcPr>
          <w:p w:rsidR="00FF24CA" w:rsidRPr="000C601F" w:rsidRDefault="00FF24CA" w:rsidP="00FF24CA">
            <w:pPr>
              <w:spacing w:after="0"/>
              <w:jc w:val="center"/>
              <w:rPr>
                <w:rFonts w:ascii="Calibri" w:hAnsi="Calibri" w:cs="Calibri"/>
                <w:b/>
                <w:bCs/>
                <w:color w:val="FFFFFF"/>
              </w:rPr>
            </w:pPr>
            <w:r w:rsidRPr="000C601F">
              <w:rPr>
                <w:rFonts w:ascii="Calibri" w:hAnsi="Calibri" w:cs="Calibri"/>
                <w:b/>
                <w:bCs/>
                <w:color w:val="FFFFFF"/>
              </w:rPr>
              <w:t>MASTER</w:t>
            </w:r>
          </w:p>
        </w:tc>
        <w:tc>
          <w:tcPr>
            <w:tcW w:w="307" w:type="pct"/>
            <w:shd w:val="clear" w:color="auto" w:fill="6E9ECA"/>
            <w:textDirection w:val="btLr"/>
            <w:vAlign w:val="center"/>
          </w:tcPr>
          <w:p w:rsidR="00FF24CA" w:rsidRPr="000C601F" w:rsidRDefault="00FF24CA" w:rsidP="00FF24CA">
            <w:pPr>
              <w:spacing w:after="0"/>
              <w:jc w:val="center"/>
              <w:rPr>
                <w:rFonts w:ascii="Calibri" w:hAnsi="Calibri" w:cs="Calibri"/>
                <w:b/>
                <w:bCs/>
                <w:color w:val="FFFFFF"/>
              </w:rPr>
            </w:pPr>
            <w:r w:rsidRPr="000C601F">
              <w:rPr>
                <w:rFonts w:ascii="Calibri" w:hAnsi="Calibri" w:cs="Calibri"/>
                <w:b/>
                <w:bCs/>
                <w:color w:val="FFFFFF"/>
              </w:rPr>
              <w:t>DOKTORA</w:t>
            </w:r>
          </w:p>
        </w:tc>
        <w:tc>
          <w:tcPr>
            <w:tcW w:w="378" w:type="pct"/>
            <w:shd w:val="clear" w:color="auto" w:fill="6E9ECA"/>
            <w:textDirection w:val="btLr"/>
            <w:vAlign w:val="center"/>
          </w:tcPr>
          <w:p w:rsidR="00FF24CA" w:rsidRPr="000C601F" w:rsidRDefault="00FF24CA" w:rsidP="00FF24CA">
            <w:pPr>
              <w:spacing w:after="0"/>
              <w:jc w:val="center"/>
              <w:rPr>
                <w:rFonts w:ascii="Calibri" w:hAnsi="Calibri" w:cs="Calibri"/>
                <w:b/>
                <w:bCs/>
                <w:color w:val="FFFFFF"/>
              </w:rPr>
            </w:pPr>
            <w:r w:rsidRPr="000C601F">
              <w:rPr>
                <w:rFonts w:ascii="Calibri" w:hAnsi="Calibri" w:cs="Calibri"/>
                <w:b/>
                <w:bCs/>
                <w:color w:val="FFFFFF"/>
              </w:rPr>
              <w:t>KADIN</w:t>
            </w:r>
          </w:p>
        </w:tc>
        <w:tc>
          <w:tcPr>
            <w:tcW w:w="378" w:type="pct"/>
            <w:shd w:val="clear" w:color="auto" w:fill="6E9ECA"/>
            <w:textDirection w:val="btLr"/>
            <w:vAlign w:val="center"/>
          </w:tcPr>
          <w:p w:rsidR="00FF24CA" w:rsidRPr="000C601F" w:rsidRDefault="00FF24CA" w:rsidP="00FF24CA">
            <w:pPr>
              <w:spacing w:after="0"/>
              <w:jc w:val="center"/>
              <w:rPr>
                <w:rFonts w:ascii="Calibri" w:hAnsi="Calibri" w:cs="Calibri"/>
                <w:b/>
                <w:bCs/>
                <w:color w:val="FFFFFF"/>
              </w:rPr>
            </w:pPr>
            <w:r w:rsidRPr="000C601F">
              <w:rPr>
                <w:rFonts w:ascii="Calibri" w:hAnsi="Calibri" w:cs="Calibri"/>
                <w:b/>
                <w:bCs/>
                <w:color w:val="FFFFFF"/>
              </w:rPr>
              <w:t>ERKEK</w:t>
            </w:r>
          </w:p>
        </w:tc>
        <w:tc>
          <w:tcPr>
            <w:tcW w:w="378" w:type="pct"/>
            <w:shd w:val="clear" w:color="auto" w:fill="6E9ECA"/>
            <w:textDirection w:val="btLr"/>
            <w:vAlign w:val="center"/>
          </w:tcPr>
          <w:p w:rsidR="00FF24CA" w:rsidRPr="000C601F" w:rsidRDefault="00FF24CA" w:rsidP="00FF24CA">
            <w:pPr>
              <w:spacing w:after="0"/>
              <w:jc w:val="center"/>
              <w:rPr>
                <w:rFonts w:ascii="Calibri" w:hAnsi="Calibri" w:cs="Calibri"/>
                <w:b/>
                <w:bCs/>
                <w:color w:val="FFFFFF"/>
              </w:rPr>
            </w:pPr>
            <w:r w:rsidRPr="000C601F">
              <w:rPr>
                <w:rFonts w:ascii="Calibri" w:hAnsi="Calibri" w:cs="Calibri"/>
                <w:b/>
                <w:bCs/>
                <w:color w:val="FFFFFF"/>
              </w:rPr>
              <w:t>AÇIKTAN</w:t>
            </w:r>
          </w:p>
        </w:tc>
        <w:tc>
          <w:tcPr>
            <w:tcW w:w="453" w:type="pct"/>
            <w:shd w:val="clear" w:color="auto" w:fill="6E9ECA"/>
            <w:textDirection w:val="btLr"/>
            <w:vAlign w:val="center"/>
          </w:tcPr>
          <w:p w:rsidR="00FF24CA" w:rsidRPr="000C601F" w:rsidRDefault="00FF24CA" w:rsidP="00FF24CA">
            <w:pPr>
              <w:spacing w:after="0"/>
              <w:jc w:val="center"/>
              <w:rPr>
                <w:rFonts w:ascii="Calibri" w:hAnsi="Calibri" w:cs="Calibri"/>
                <w:b/>
                <w:bCs/>
                <w:color w:val="FFFFFF"/>
              </w:rPr>
            </w:pPr>
            <w:r w:rsidRPr="000C601F">
              <w:rPr>
                <w:rFonts w:ascii="Calibri" w:hAnsi="Calibri" w:cs="Calibri"/>
                <w:b/>
                <w:bCs/>
                <w:color w:val="FFFFFF"/>
              </w:rPr>
              <w:t>NAKLEN</w:t>
            </w:r>
          </w:p>
        </w:tc>
      </w:tr>
      <w:tr w:rsidR="00FF24CA" w:rsidRPr="000C601F" w:rsidTr="00FF24CA">
        <w:trPr>
          <w:trHeight w:val="385"/>
          <w:jc w:val="center"/>
        </w:trPr>
        <w:tc>
          <w:tcPr>
            <w:tcW w:w="1434" w:type="pct"/>
            <w:shd w:val="clear" w:color="auto" w:fill="auto"/>
            <w:vAlign w:val="center"/>
          </w:tcPr>
          <w:p w:rsidR="00FF24CA" w:rsidRPr="000C601F" w:rsidRDefault="00FF24CA" w:rsidP="00FF24CA">
            <w:pPr>
              <w:spacing w:after="0"/>
              <w:jc w:val="left"/>
              <w:rPr>
                <w:rFonts w:ascii="Calibri" w:hAnsi="Calibri" w:cs="Calibri"/>
                <w:color w:val="000000"/>
              </w:rPr>
            </w:pPr>
            <w:r w:rsidRPr="00F540CE">
              <w:rPr>
                <w:rFonts w:ascii="Calibri" w:hAnsi="Calibri" w:cs="Calibri"/>
                <w:color w:val="000000"/>
              </w:rPr>
              <w:t>Başkan Danışmanı</w:t>
            </w:r>
          </w:p>
        </w:tc>
        <w:tc>
          <w:tcPr>
            <w:tcW w:w="415" w:type="pct"/>
            <w:shd w:val="clear" w:color="auto" w:fill="auto"/>
            <w:noWrap/>
            <w:vAlign w:val="center"/>
          </w:tcPr>
          <w:p w:rsidR="00FF24CA" w:rsidRPr="000C601F" w:rsidRDefault="00FF24CA" w:rsidP="00FF24CA">
            <w:pPr>
              <w:spacing w:after="0"/>
              <w:jc w:val="center"/>
              <w:rPr>
                <w:rFonts w:ascii="Calibri" w:hAnsi="Calibri" w:cs="Calibri"/>
                <w:color w:val="000000"/>
              </w:rPr>
            </w:pPr>
            <w:r>
              <w:rPr>
                <w:rFonts w:ascii="Calibri" w:hAnsi="Calibri" w:cs="Calibri"/>
                <w:color w:val="000000"/>
              </w:rPr>
              <w:t>1</w:t>
            </w:r>
          </w:p>
        </w:tc>
        <w:tc>
          <w:tcPr>
            <w:tcW w:w="302" w:type="pct"/>
            <w:shd w:val="clear" w:color="auto" w:fill="auto"/>
            <w:noWrap/>
            <w:vAlign w:val="center"/>
          </w:tcPr>
          <w:p w:rsidR="00FF24CA" w:rsidRPr="000C601F" w:rsidRDefault="00FF24CA" w:rsidP="00FF24CA">
            <w:pPr>
              <w:spacing w:after="0"/>
              <w:jc w:val="center"/>
              <w:rPr>
                <w:rFonts w:ascii="Calibri" w:hAnsi="Calibri" w:cs="Calibri"/>
                <w:color w:val="000000"/>
              </w:rPr>
            </w:pPr>
          </w:p>
        </w:tc>
        <w:tc>
          <w:tcPr>
            <w:tcW w:w="302" w:type="pct"/>
            <w:shd w:val="clear" w:color="auto" w:fill="auto"/>
            <w:noWrap/>
            <w:vAlign w:val="center"/>
          </w:tcPr>
          <w:p w:rsidR="00FF24CA" w:rsidRPr="000C601F" w:rsidRDefault="00FF24CA" w:rsidP="00FF24CA">
            <w:pPr>
              <w:spacing w:after="0"/>
              <w:jc w:val="center"/>
              <w:rPr>
                <w:rFonts w:ascii="Calibri" w:hAnsi="Calibri" w:cs="Calibri"/>
                <w:color w:val="000000"/>
              </w:rPr>
            </w:pPr>
          </w:p>
        </w:tc>
        <w:tc>
          <w:tcPr>
            <w:tcW w:w="350" w:type="pct"/>
            <w:shd w:val="clear" w:color="auto" w:fill="auto"/>
            <w:noWrap/>
            <w:vAlign w:val="center"/>
          </w:tcPr>
          <w:p w:rsidR="00FF24CA" w:rsidRPr="000C601F" w:rsidRDefault="00FF24CA" w:rsidP="00FF24CA">
            <w:pPr>
              <w:spacing w:after="0"/>
              <w:jc w:val="center"/>
              <w:rPr>
                <w:rFonts w:ascii="Calibri" w:hAnsi="Calibri" w:cs="Calibri"/>
                <w:color w:val="000000"/>
              </w:rPr>
            </w:pPr>
          </w:p>
        </w:tc>
        <w:tc>
          <w:tcPr>
            <w:tcW w:w="302" w:type="pct"/>
            <w:shd w:val="clear" w:color="auto" w:fill="auto"/>
            <w:noWrap/>
            <w:vAlign w:val="center"/>
          </w:tcPr>
          <w:p w:rsidR="00FF24CA" w:rsidRPr="000C601F" w:rsidRDefault="00FF24CA" w:rsidP="00FF24CA">
            <w:pPr>
              <w:spacing w:after="0"/>
              <w:jc w:val="center"/>
              <w:rPr>
                <w:rFonts w:ascii="Calibri" w:hAnsi="Calibri" w:cs="Calibri"/>
                <w:color w:val="000000"/>
              </w:rPr>
            </w:pPr>
          </w:p>
        </w:tc>
        <w:tc>
          <w:tcPr>
            <w:tcW w:w="307" w:type="pct"/>
            <w:shd w:val="clear" w:color="auto" w:fill="auto"/>
            <w:noWrap/>
            <w:vAlign w:val="center"/>
          </w:tcPr>
          <w:p w:rsidR="00FF24CA" w:rsidRPr="000C601F" w:rsidRDefault="00FF24CA" w:rsidP="00FF24CA">
            <w:pPr>
              <w:spacing w:after="0"/>
              <w:jc w:val="center"/>
              <w:rPr>
                <w:rFonts w:ascii="Calibri" w:hAnsi="Calibri" w:cs="Calibri"/>
                <w:color w:val="000000"/>
              </w:rPr>
            </w:pPr>
            <w:r>
              <w:rPr>
                <w:rFonts w:ascii="Calibri" w:hAnsi="Calibri" w:cs="Calibri"/>
                <w:color w:val="000000"/>
              </w:rPr>
              <w:t>1</w:t>
            </w:r>
          </w:p>
        </w:tc>
        <w:tc>
          <w:tcPr>
            <w:tcW w:w="378" w:type="pct"/>
            <w:shd w:val="clear" w:color="auto" w:fill="auto"/>
            <w:noWrap/>
            <w:vAlign w:val="center"/>
          </w:tcPr>
          <w:p w:rsidR="00FF24CA" w:rsidRPr="000C601F" w:rsidRDefault="00FF24CA" w:rsidP="00FF24CA">
            <w:pPr>
              <w:spacing w:after="0"/>
              <w:jc w:val="center"/>
              <w:rPr>
                <w:rFonts w:ascii="Calibri" w:hAnsi="Calibri" w:cs="Calibri"/>
                <w:color w:val="000000"/>
              </w:rPr>
            </w:pPr>
          </w:p>
        </w:tc>
        <w:tc>
          <w:tcPr>
            <w:tcW w:w="378" w:type="pct"/>
            <w:shd w:val="clear" w:color="auto" w:fill="auto"/>
            <w:noWrap/>
            <w:vAlign w:val="center"/>
          </w:tcPr>
          <w:p w:rsidR="00FF24CA" w:rsidRPr="000C601F" w:rsidRDefault="00FF24CA" w:rsidP="00FF24CA">
            <w:pPr>
              <w:spacing w:after="0"/>
              <w:jc w:val="center"/>
              <w:rPr>
                <w:rFonts w:ascii="Calibri" w:hAnsi="Calibri" w:cs="Calibri"/>
                <w:color w:val="000000"/>
              </w:rPr>
            </w:pPr>
            <w:r>
              <w:rPr>
                <w:rFonts w:ascii="Calibri" w:hAnsi="Calibri" w:cs="Calibri"/>
                <w:color w:val="000000"/>
              </w:rPr>
              <w:t>1</w:t>
            </w:r>
          </w:p>
        </w:tc>
        <w:tc>
          <w:tcPr>
            <w:tcW w:w="378" w:type="pct"/>
            <w:vAlign w:val="center"/>
          </w:tcPr>
          <w:p w:rsidR="00FF24CA" w:rsidRPr="000C601F" w:rsidRDefault="00FF24CA" w:rsidP="00FF24CA">
            <w:pPr>
              <w:spacing w:after="0"/>
              <w:jc w:val="center"/>
              <w:rPr>
                <w:rFonts w:ascii="Calibri" w:hAnsi="Calibri" w:cs="Calibri"/>
                <w:color w:val="000000"/>
              </w:rPr>
            </w:pPr>
            <w:r>
              <w:rPr>
                <w:rFonts w:ascii="Calibri" w:hAnsi="Calibri" w:cs="Calibri"/>
                <w:color w:val="000000"/>
              </w:rPr>
              <w:t>1</w:t>
            </w:r>
          </w:p>
        </w:tc>
        <w:tc>
          <w:tcPr>
            <w:tcW w:w="453" w:type="pct"/>
            <w:vAlign w:val="center"/>
          </w:tcPr>
          <w:p w:rsidR="00FF24CA" w:rsidRPr="000C601F" w:rsidRDefault="00FF24CA" w:rsidP="00FF24CA">
            <w:pPr>
              <w:spacing w:after="0"/>
              <w:jc w:val="center"/>
              <w:rPr>
                <w:rFonts w:ascii="Calibri" w:hAnsi="Calibri" w:cs="Calibri"/>
                <w:color w:val="000000"/>
              </w:rPr>
            </w:pPr>
          </w:p>
        </w:tc>
      </w:tr>
      <w:tr w:rsidR="00FF24CA" w:rsidRPr="000C601F" w:rsidTr="00FF24CA">
        <w:trPr>
          <w:trHeight w:val="454"/>
          <w:jc w:val="center"/>
        </w:trPr>
        <w:tc>
          <w:tcPr>
            <w:tcW w:w="1434" w:type="pct"/>
            <w:shd w:val="clear" w:color="auto" w:fill="auto"/>
            <w:vAlign w:val="center"/>
          </w:tcPr>
          <w:p w:rsidR="00FF24CA" w:rsidRPr="000C601F" w:rsidRDefault="00FF24CA" w:rsidP="00FF24CA">
            <w:pPr>
              <w:spacing w:after="0"/>
              <w:rPr>
                <w:rFonts w:ascii="Calibri" w:hAnsi="Calibri" w:cs="Calibri"/>
                <w:color w:val="000000"/>
              </w:rPr>
            </w:pPr>
            <w:r w:rsidRPr="00F540CE">
              <w:rPr>
                <w:rFonts w:ascii="Calibri" w:hAnsi="Calibri" w:cs="Calibri"/>
                <w:color w:val="000000"/>
              </w:rPr>
              <w:t>Avukat</w:t>
            </w:r>
          </w:p>
        </w:tc>
        <w:tc>
          <w:tcPr>
            <w:tcW w:w="415" w:type="pct"/>
            <w:shd w:val="clear" w:color="auto" w:fill="auto"/>
            <w:noWrap/>
            <w:vAlign w:val="center"/>
          </w:tcPr>
          <w:p w:rsidR="00FF24CA" w:rsidRPr="000C601F" w:rsidRDefault="00FF24CA" w:rsidP="00FF24CA">
            <w:pPr>
              <w:spacing w:after="0"/>
              <w:jc w:val="center"/>
              <w:rPr>
                <w:rFonts w:ascii="Calibri" w:hAnsi="Calibri" w:cs="Calibri"/>
                <w:color w:val="000000"/>
              </w:rPr>
            </w:pPr>
            <w:r>
              <w:rPr>
                <w:rFonts w:ascii="Calibri" w:hAnsi="Calibri" w:cs="Calibri"/>
                <w:color w:val="000000"/>
              </w:rPr>
              <w:t>2</w:t>
            </w:r>
          </w:p>
        </w:tc>
        <w:tc>
          <w:tcPr>
            <w:tcW w:w="302" w:type="pct"/>
            <w:shd w:val="clear" w:color="auto" w:fill="auto"/>
            <w:noWrap/>
            <w:vAlign w:val="center"/>
          </w:tcPr>
          <w:p w:rsidR="00FF24CA" w:rsidRPr="000C601F" w:rsidRDefault="00FF24CA" w:rsidP="00FF24CA">
            <w:pPr>
              <w:spacing w:after="0"/>
              <w:jc w:val="center"/>
              <w:rPr>
                <w:rFonts w:ascii="Calibri" w:hAnsi="Calibri" w:cs="Calibri"/>
                <w:color w:val="000000"/>
              </w:rPr>
            </w:pPr>
          </w:p>
        </w:tc>
        <w:tc>
          <w:tcPr>
            <w:tcW w:w="302" w:type="pct"/>
            <w:shd w:val="clear" w:color="auto" w:fill="auto"/>
            <w:noWrap/>
            <w:vAlign w:val="center"/>
          </w:tcPr>
          <w:p w:rsidR="00FF24CA" w:rsidRPr="000C601F" w:rsidRDefault="00FF24CA" w:rsidP="00FF24CA">
            <w:pPr>
              <w:spacing w:after="0"/>
              <w:jc w:val="center"/>
              <w:rPr>
                <w:rFonts w:ascii="Calibri" w:hAnsi="Calibri" w:cs="Calibri"/>
                <w:color w:val="000000"/>
              </w:rPr>
            </w:pPr>
          </w:p>
        </w:tc>
        <w:tc>
          <w:tcPr>
            <w:tcW w:w="350" w:type="pct"/>
            <w:shd w:val="clear" w:color="auto" w:fill="auto"/>
            <w:noWrap/>
            <w:vAlign w:val="center"/>
          </w:tcPr>
          <w:p w:rsidR="00FF24CA" w:rsidRPr="000C601F" w:rsidRDefault="00FF24CA" w:rsidP="00FF24CA">
            <w:pPr>
              <w:spacing w:after="0"/>
              <w:jc w:val="center"/>
              <w:rPr>
                <w:rFonts w:ascii="Calibri" w:hAnsi="Calibri" w:cs="Calibri"/>
                <w:color w:val="000000"/>
              </w:rPr>
            </w:pPr>
            <w:r>
              <w:rPr>
                <w:rFonts w:ascii="Calibri" w:hAnsi="Calibri" w:cs="Calibri"/>
                <w:color w:val="000000"/>
              </w:rPr>
              <w:t>2</w:t>
            </w:r>
          </w:p>
        </w:tc>
        <w:tc>
          <w:tcPr>
            <w:tcW w:w="302" w:type="pct"/>
            <w:shd w:val="clear" w:color="auto" w:fill="auto"/>
            <w:noWrap/>
            <w:vAlign w:val="center"/>
          </w:tcPr>
          <w:p w:rsidR="00FF24CA" w:rsidRPr="000C601F" w:rsidRDefault="00FF24CA" w:rsidP="00FF24CA">
            <w:pPr>
              <w:spacing w:after="0"/>
              <w:jc w:val="center"/>
              <w:rPr>
                <w:rFonts w:ascii="Calibri" w:hAnsi="Calibri" w:cs="Calibri"/>
                <w:color w:val="000000"/>
              </w:rPr>
            </w:pPr>
          </w:p>
        </w:tc>
        <w:tc>
          <w:tcPr>
            <w:tcW w:w="307" w:type="pct"/>
            <w:shd w:val="clear" w:color="auto" w:fill="auto"/>
            <w:noWrap/>
            <w:vAlign w:val="center"/>
          </w:tcPr>
          <w:p w:rsidR="00FF24CA" w:rsidRPr="000C601F" w:rsidRDefault="00FF24CA" w:rsidP="00FF24CA">
            <w:pPr>
              <w:spacing w:after="0"/>
              <w:jc w:val="center"/>
              <w:rPr>
                <w:rFonts w:ascii="Calibri" w:hAnsi="Calibri" w:cs="Calibri"/>
                <w:color w:val="000000"/>
              </w:rPr>
            </w:pPr>
          </w:p>
        </w:tc>
        <w:tc>
          <w:tcPr>
            <w:tcW w:w="378" w:type="pct"/>
            <w:shd w:val="clear" w:color="auto" w:fill="auto"/>
            <w:noWrap/>
            <w:vAlign w:val="center"/>
          </w:tcPr>
          <w:p w:rsidR="00FF24CA" w:rsidRPr="000C601F" w:rsidRDefault="00FF24CA" w:rsidP="00FF24CA">
            <w:pPr>
              <w:spacing w:after="0"/>
              <w:jc w:val="center"/>
              <w:rPr>
                <w:rFonts w:ascii="Calibri" w:hAnsi="Calibri" w:cs="Calibri"/>
                <w:color w:val="000000"/>
              </w:rPr>
            </w:pPr>
            <w:r>
              <w:rPr>
                <w:rFonts w:ascii="Calibri" w:hAnsi="Calibri" w:cs="Calibri"/>
                <w:color w:val="000000"/>
              </w:rPr>
              <w:t>1</w:t>
            </w:r>
          </w:p>
        </w:tc>
        <w:tc>
          <w:tcPr>
            <w:tcW w:w="378" w:type="pct"/>
            <w:shd w:val="clear" w:color="auto" w:fill="auto"/>
            <w:noWrap/>
            <w:vAlign w:val="center"/>
          </w:tcPr>
          <w:p w:rsidR="00FF24CA" w:rsidRPr="000C601F" w:rsidRDefault="00FF24CA" w:rsidP="00FF24CA">
            <w:pPr>
              <w:spacing w:after="0"/>
              <w:jc w:val="center"/>
              <w:rPr>
                <w:rFonts w:ascii="Calibri" w:hAnsi="Calibri" w:cs="Calibri"/>
                <w:color w:val="000000"/>
              </w:rPr>
            </w:pPr>
            <w:r>
              <w:rPr>
                <w:rFonts w:ascii="Calibri" w:hAnsi="Calibri" w:cs="Calibri"/>
                <w:color w:val="000000"/>
              </w:rPr>
              <w:t>1</w:t>
            </w:r>
          </w:p>
        </w:tc>
        <w:tc>
          <w:tcPr>
            <w:tcW w:w="378" w:type="pct"/>
            <w:vAlign w:val="center"/>
          </w:tcPr>
          <w:p w:rsidR="00FF24CA" w:rsidRPr="000C601F" w:rsidRDefault="00FF24CA" w:rsidP="00FF24CA">
            <w:pPr>
              <w:spacing w:after="0"/>
              <w:jc w:val="center"/>
              <w:rPr>
                <w:rFonts w:ascii="Calibri" w:hAnsi="Calibri" w:cs="Calibri"/>
                <w:color w:val="000000"/>
              </w:rPr>
            </w:pPr>
          </w:p>
        </w:tc>
        <w:tc>
          <w:tcPr>
            <w:tcW w:w="453" w:type="pct"/>
            <w:vAlign w:val="center"/>
          </w:tcPr>
          <w:p w:rsidR="00FF24CA" w:rsidRPr="000C601F" w:rsidRDefault="00FF24CA" w:rsidP="00FF24CA">
            <w:pPr>
              <w:spacing w:after="0"/>
              <w:jc w:val="center"/>
              <w:rPr>
                <w:rFonts w:ascii="Calibri" w:hAnsi="Calibri" w:cs="Calibri"/>
                <w:color w:val="000000"/>
              </w:rPr>
            </w:pPr>
            <w:r>
              <w:rPr>
                <w:rFonts w:ascii="Calibri" w:hAnsi="Calibri" w:cs="Calibri"/>
                <w:color w:val="000000"/>
              </w:rPr>
              <w:t>2</w:t>
            </w:r>
          </w:p>
        </w:tc>
      </w:tr>
      <w:tr w:rsidR="00FF24CA" w:rsidRPr="000C601F" w:rsidTr="00FF24CA">
        <w:trPr>
          <w:trHeight w:val="454"/>
          <w:jc w:val="center"/>
        </w:trPr>
        <w:tc>
          <w:tcPr>
            <w:tcW w:w="1434" w:type="pct"/>
            <w:shd w:val="clear" w:color="auto" w:fill="auto"/>
            <w:vAlign w:val="center"/>
          </w:tcPr>
          <w:p w:rsidR="00FF24CA" w:rsidRPr="000C601F" w:rsidRDefault="00FF24CA" w:rsidP="00FF24CA">
            <w:pPr>
              <w:spacing w:after="0"/>
              <w:rPr>
                <w:rFonts w:ascii="Calibri" w:hAnsi="Calibri" w:cs="Calibri"/>
                <w:color w:val="000000"/>
              </w:rPr>
            </w:pPr>
            <w:r w:rsidRPr="00F540CE">
              <w:rPr>
                <w:rFonts w:ascii="Calibri" w:hAnsi="Calibri" w:cs="Calibri"/>
                <w:color w:val="000000"/>
              </w:rPr>
              <w:t>Çözümleyici</w:t>
            </w:r>
          </w:p>
        </w:tc>
        <w:tc>
          <w:tcPr>
            <w:tcW w:w="415" w:type="pct"/>
            <w:shd w:val="clear" w:color="auto" w:fill="auto"/>
            <w:noWrap/>
            <w:vAlign w:val="center"/>
          </w:tcPr>
          <w:p w:rsidR="00FF24CA" w:rsidRPr="000C601F" w:rsidRDefault="00FF24CA" w:rsidP="00FF24CA">
            <w:pPr>
              <w:spacing w:after="0"/>
              <w:jc w:val="center"/>
              <w:rPr>
                <w:rFonts w:ascii="Calibri" w:hAnsi="Calibri" w:cs="Calibri"/>
                <w:color w:val="000000"/>
              </w:rPr>
            </w:pPr>
            <w:r>
              <w:rPr>
                <w:rFonts w:ascii="Calibri" w:hAnsi="Calibri" w:cs="Calibri"/>
                <w:color w:val="000000"/>
              </w:rPr>
              <w:t>2</w:t>
            </w:r>
          </w:p>
        </w:tc>
        <w:tc>
          <w:tcPr>
            <w:tcW w:w="302" w:type="pct"/>
            <w:shd w:val="clear" w:color="auto" w:fill="auto"/>
            <w:noWrap/>
            <w:vAlign w:val="center"/>
          </w:tcPr>
          <w:p w:rsidR="00FF24CA" w:rsidRPr="000C601F" w:rsidRDefault="00FF24CA" w:rsidP="00FF24CA">
            <w:pPr>
              <w:spacing w:after="0"/>
              <w:jc w:val="center"/>
              <w:rPr>
                <w:rFonts w:ascii="Calibri" w:hAnsi="Calibri" w:cs="Calibri"/>
                <w:color w:val="000000"/>
              </w:rPr>
            </w:pPr>
          </w:p>
        </w:tc>
        <w:tc>
          <w:tcPr>
            <w:tcW w:w="302" w:type="pct"/>
            <w:shd w:val="clear" w:color="auto" w:fill="auto"/>
            <w:noWrap/>
            <w:vAlign w:val="center"/>
          </w:tcPr>
          <w:p w:rsidR="00FF24CA" w:rsidRPr="000C601F" w:rsidRDefault="00FF24CA" w:rsidP="00FF24CA">
            <w:pPr>
              <w:spacing w:after="0"/>
              <w:jc w:val="center"/>
              <w:rPr>
                <w:rFonts w:ascii="Calibri" w:hAnsi="Calibri" w:cs="Calibri"/>
                <w:color w:val="000000"/>
              </w:rPr>
            </w:pPr>
          </w:p>
        </w:tc>
        <w:tc>
          <w:tcPr>
            <w:tcW w:w="350" w:type="pct"/>
            <w:shd w:val="clear" w:color="auto" w:fill="auto"/>
            <w:noWrap/>
            <w:vAlign w:val="center"/>
          </w:tcPr>
          <w:p w:rsidR="00FF24CA" w:rsidRPr="000C601F" w:rsidRDefault="00FF24CA" w:rsidP="00FF24CA">
            <w:pPr>
              <w:spacing w:after="0"/>
              <w:jc w:val="center"/>
              <w:rPr>
                <w:rFonts w:ascii="Calibri" w:hAnsi="Calibri" w:cs="Calibri"/>
                <w:color w:val="000000"/>
              </w:rPr>
            </w:pPr>
            <w:r>
              <w:rPr>
                <w:rFonts w:ascii="Calibri" w:hAnsi="Calibri" w:cs="Calibri"/>
                <w:color w:val="000000"/>
              </w:rPr>
              <w:t>2</w:t>
            </w:r>
          </w:p>
        </w:tc>
        <w:tc>
          <w:tcPr>
            <w:tcW w:w="302" w:type="pct"/>
            <w:shd w:val="clear" w:color="auto" w:fill="auto"/>
            <w:noWrap/>
            <w:vAlign w:val="center"/>
          </w:tcPr>
          <w:p w:rsidR="00FF24CA" w:rsidRPr="000C601F" w:rsidRDefault="00FF24CA" w:rsidP="00FF24CA">
            <w:pPr>
              <w:spacing w:after="0"/>
              <w:jc w:val="center"/>
              <w:rPr>
                <w:rFonts w:ascii="Calibri" w:hAnsi="Calibri" w:cs="Calibri"/>
                <w:color w:val="000000"/>
              </w:rPr>
            </w:pPr>
          </w:p>
        </w:tc>
        <w:tc>
          <w:tcPr>
            <w:tcW w:w="307" w:type="pct"/>
            <w:shd w:val="clear" w:color="auto" w:fill="auto"/>
            <w:noWrap/>
            <w:vAlign w:val="center"/>
          </w:tcPr>
          <w:p w:rsidR="00FF24CA" w:rsidRPr="000C601F" w:rsidRDefault="00FF24CA" w:rsidP="00FF24CA">
            <w:pPr>
              <w:spacing w:after="0"/>
              <w:jc w:val="center"/>
              <w:rPr>
                <w:rFonts w:ascii="Calibri" w:hAnsi="Calibri" w:cs="Calibri"/>
                <w:color w:val="000000"/>
              </w:rPr>
            </w:pPr>
          </w:p>
        </w:tc>
        <w:tc>
          <w:tcPr>
            <w:tcW w:w="378" w:type="pct"/>
            <w:shd w:val="clear" w:color="auto" w:fill="auto"/>
            <w:noWrap/>
            <w:vAlign w:val="center"/>
          </w:tcPr>
          <w:p w:rsidR="00FF24CA" w:rsidRPr="000C601F" w:rsidRDefault="00FF24CA" w:rsidP="00FF24CA">
            <w:pPr>
              <w:spacing w:after="0"/>
              <w:jc w:val="center"/>
              <w:rPr>
                <w:rFonts w:ascii="Calibri" w:hAnsi="Calibri" w:cs="Calibri"/>
                <w:color w:val="000000"/>
              </w:rPr>
            </w:pPr>
            <w:r>
              <w:rPr>
                <w:rFonts w:ascii="Calibri" w:hAnsi="Calibri" w:cs="Calibri"/>
                <w:color w:val="000000"/>
              </w:rPr>
              <w:t>1</w:t>
            </w:r>
          </w:p>
        </w:tc>
        <w:tc>
          <w:tcPr>
            <w:tcW w:w="378" w:type="pct"/>
            <w:shd w:val="clear" w:color="auto" w:fill="auto"/>
            <w:noWrap/>
            <w:vAlign w:val="center"/>
          </w:tcPr>
          <w:p w:rsidR="00FF24CA" w:rsidRPr="000C601F" w:rsidRDefault="00FF24CA" w:rsidP="00FF24CA">
            <w:pPr>
              <w:spacing w:after="0"/>
              <w:jc w:val="center"/>
              <w:rPr>
                <w:rFonts w:ascii="Calibri" w:hAnsi="Calibri" w:cs="Calibri"/>
                <w:color w:val="000000"/>
              </w:rPr>
            </w:pPr>
            <w:r>
              <w:rPr>
                <w:rFonts w:ascii="Calibri" w:hAnsi="Calibri" w:cs="Calibri"/>
                <w:color w:val="000000"/>
              </w:rPr>
              <w:t>1</w:t>
            </w:r>
          </w:p>
        </w:tc>
        <w:tc>
          <w:tcPr>
            <w:tcW w:w="378" w:type="pct"/>
            <w:vAlign w:val="center"/>
          </w:tcPr>
          <w:p w:rsidR="00FF24CA" w:rsidRPr="000C601F" w:rsidRDefault="00FF24CA" w:rsidP="00FF24CA">
            <w:pPr>
              <w:spacing w:after="0"/>
              <w:jc w:val="center"/>
              <w:rPr>
                <w:rFonts w:ascii="Calibri" w:hAnsi="Calibri" w:cs="Calibri"/>
                <w:color w:val="000000"/>
              </w:rPr>
            </w:pPr>
            <w:r>
              <w:rPr>
                <w:rFonts w:ascii="Calibri" w:hAnsi="Calibri" w:cs="Calibri"/>
                <w:color w:val="000000"/>
              </w:rPr>
              <w:t>2</w:t>
            </w:r>
          </w:p>
        </w:tc>
        <w:tc>
          <w:tcPr>
            <w:tcW w:w="453" w:type="pct"/>
            <w:vAlign w:val="center"/>
          </w:tcPr>
          <w:p w:rsidR="00FF24CA" w:rsidRPr="000C601F" w:rsidRDefault="00FF24CA" w:rsidP="00FF24CA">
            <w:pPr>
              <w:spacing w:after="0"/>
              <w:jc w:val="center"/>
              <w:rPr>
                <w:rFonts w:ascii="Calibri" w:hAnsi="Calibri" w:cs="Calibri"/>
                <w:color w:val="000000"/>
              </w:rPr>
            </w:pPr>
          </w:p>
        </w:tc>
      </w:tr>
      <w:tr w:rsidR="00FF24CA" w:rsidRPr="000C601F" w:rsidTr="00FF24CA">
        <w:trPr>
          <w:trHeight w:val="454"/>
          <w:jc w:val="center"/>
        </w:trPr>
        <w:tc>
          <w:tcPr>
            <w:tcW w:w="1434" w:type="pct"/>
            <w:shd w:val="clear" w:color="auto" w:fill="auto"/>
            <w:vAlign w:val="center"/>
          </w:tcPr>
          <w:p w:rsidR="00FF24CA" w:rsidRPr="000C601F" w:rsidRDefault="00FF24CA" w:rsidP="00FF24CA">
            <w:pPr>
              <w:spacing w:after="0"/>
              <w:rPr>
                <w:rFonts w:ascii="Calibri" w:hAnsi="Calibri" w:cs="Calibri"/>
                <w:color w:val="000000"/>
              </w:rPr>
            </w:pPr>
            <w:r w:rsidRPr="00F540CE">
              <w:rPr>
                <w:rFonts w:ascii="Calibri" w:hAnsi="Calibri" w:cs="Calibri"/>
                <w:bCs/>
                <w:color w:val="000000"/>
              </w:rPr>
              <w:t>Mühendis</w:t>
            </w:r>
          </w:p>
        </w:tc>
        <w:tc>
          <w:tcPr>
            <w:tcW w:w="415" w:type="pct"/>
            <w:shd w:val="clear" w:color="auto" w:fill="auto"/>
            <w:noWrap/>
            <w:vAlign w:val="center"/>
          </w:tcPr>
          <w:p w:rsidR="00FF24CA" w:rsidRPr="000C601F" w:rsidRDefault="00FF24CA" w:rsidP="00FF24CA">
            <w:pPr>
              <w:spacing w:after="0"/>
              <w:jc w:val="center"/>
              <w:rPr>
                <w:rFonts w:ascii="Calibri" w:hAnsi="Calibri" w:cs="Calibri"/>
                <w:color w:val="000000"/>
              </w:rPr>
            </w:pPr>
            <w:r>
              <w:rPr>
                <w:rFonts w:ascii="Calibri" w:hAnsi="Calibri" w:cs="Calibri"/>
                <w:color w:val="000000"/>
              </w:rPr>
              <w:t>15</w:t>
            </w:r>
          </w:p>
        </w:tc>
        <w:tc>
          <w:tcPr>
            <w:tcW w:w="302" w:type="pct"/>
            <w:shd w:val="clear" w:color="auto" w:fill="auto"/>
            <w:noWrap/>
            <w:vAlign w:val="center"/>
          </w:tcPr>
          <w:p w:rsidR="00FF24CA" w:rsidRPr="000C601F" w:rsidRDefault="00FF24CA" w:rsidP="00FF24CA">
            <w:pPr>
              <w:spacing w:after="0"/>
              <w:jc w:val="center"/>
              <w:rPr>
                <w:rFonts w:ascii="Calibri" w:hAnsi="Calibri" w:cs="Calibri"/>
                <w:color w:val="000000"/>
              </w:rPr>
            </w:pPr>
          </w:p>
        </w:tc>
        <w:tc>
          <w:tcPr>
            <w:tcW w:w="302" w:type="pct"/>
            <w:shd w:val="clear" w:color="auto" w:fill="auto"/>
            <w:noWrap/>
            <w:vAlign w:val="center"/>
          </w:tcPr>
          <w:p w:rsidR="00FF24CA" w:rsidRPr="000C601F" w:rsidRDefault="00FF24CA" w:rsidP="00FF24CA">
            <w:pPr>
              <w:spacing w:after="0"/>
              <w:jc w:val="center"/>
              <w:rPr>
                <w:rFonts w:ascii="Calibri" w:hAnsi="Calibri" w:cs="Calibri"/>
                <w:color w:val="000000"/>
              </w:rPr>
            </w:pPr>
          </w:p>
        </w:tc>
        <w:tc>
          <w:tcPr>
            <w:tcW w:w="350" w:type="pct"/>
            <w:shd w:val="clear" w:color="auto" w:fill="auto"/>
            <w:noWrap/>
            <w:vAlign w:val="center"/>
          </w:tcPr>
          <w:p w:rsidR="00FF24CA" w:rsidRPr="000C601F" w:rsidRDefault="00FF24CA" w:rsidP="00FF24CA">
            <w:pPr>
              <w:spacing w:after="0"/>
              <w:rPr>
                <w:rFonts w:ascii="Calibri" w:hAnsi="Calibri" w:cs="Calibri"/>
                <w:color w:val="000000"/>
              </w:rPr>
            </w:pPr>
            <w:r>
              <w:rPr>
                <w:rFonts w:ascii="Calibri" w:hAnsi="Calibri" w:cs="Calibri"/>
                <w:color w:val="000000"/>
              </w:rPr>
              <w:t xml:space="preserve">  14</w:t>
            </w:r>
          </w:p>
        </w:tc>
        <w:tc>
          <w:tcPr>
            <w:tcW w:w="302" w:type="pct"/>
            <w:shd w:val="clear" w:color="auto" w:fill="auto"/>
            <w:noWrap/>
            <w:vAlign w:val="center"/>
          </w:tcPr>
          <w:p w:rsidR="00FF24CA" w:rsidRPr="000C601F" w:rsidRDefault="00FF24CA" w:rsidP="00FF24CA">
            <w:pPr>
              <w:spacing w:after="0"/>
              <w:jc w:val="center"/>
              <w:rPr>
                <w:rFonts w:ascii="Calibri" w:hAnsi="Calibri" w:cs="Calibri"/>
                <w:color w:val="000000"/>
              </w:rPr>
            </w:pPr>
            <w:r>
              <w:rPr>
                <w:rFonts w:ascii="Calibri" w:hAnsi="Calibri" w:cs="Calibri"/>
                <w:color w:val="000000"/>
              </w:rPr>
              <w:t>1</w:t>
            </w:r>
          </w:p>
        </w:tc>
        <w:tc>
          <w:tcPr>
            <w:tcW w:w="307" w:type="pct"/>
            <w:shd w:val="clear" w:color="auto" w:fill="auto"/>
            <w:noWrap/>
            <w:vAlign w:val="center"/>
          </w:tcPr>
          <w:p w:rsidR="00FF24CA" w:rsidRPr="000C601F" w:rsidRDefault="00FF24CA" w:rsidP="00FF24CA">
            <w:pPr>
              <w:spacing w:after="0"/>
              <w:jc w:val="center"/>
              <w:rPr>
                <w:rFonts w:ascii="Calibri" w:hAnsi="Calibri" w:cs="Calibri"/>
                <w:color w:val="000000"/>
              </w:rPr>
            </w:pPr>
          </w:p>
        </w:tc>
        <w:tc>
          <w:tcPr>
            <w:tcW w:w="378" w:type="pct"/>
            <w:shd w:val="clear" w:color="auto" w:fill="auto"/>
            <w:noWrap/>
            <w:vAlign w:val="center"/>
          </w:tcPr>
          <w:p w:rsidR="00FF24CA" w:rsidRPr="000C601F" w:rsidRDefault="00FF24CA" w:rsidP="00FF24CA">
            <w:pPr>
              <w:spacing w:after="0"/>
              <w:jc w:val="center"/>
              <w:rPr>
                <w:rFonts w:ascii="Calibri" w:hAnsi="Calibri" w:cs="Calibri"/>
                <w:color w:val="000000"/>
              </w:rPr>
            </w:pPr>
            <w:r>
              <w:rPr>
                <w:rFonts w:ascii="Calibri" w:hAnsi="Calibri" w:cs="Calibri"/>
                <w:color w:val="000000"/>
              </w:rPr>
              <w:t>10</w:t>
            </w:r>
          </w:p>
        </w:tc>
        <w:tc>
          <w:tcPr>
            <w:tcW w:w="378" w:type="pct"/>
            <w:shd w:val="clear" w:color="auto" w:fill="auto"/>
            <w:noWrap/>
            <w:vAlign w:val="center"/>
          </w:tcPr>
          <w:p w:rsidR="00FF24CA" w:rsidRPr="000C601F" w:rsidRDefault="00FF24CA" w:rsidP="00FF24CA">
            <w:pPr>
              <w:spacing w:after="0"/>
              <w:jc w:val="center"/>
              <w:rPr>
                <w:rFonts w:ascii="Calibri" w:hAnsi="Calibri" w:cs="Calibri"/>
                <w:color w:val="000000"/>
              </w:rPr>
            </w:pPr>
            <w:r>
              <w:rPr>
                <w:rFonts w:ascii="Calibri" w:hAnsi="Calibri" w:cs="Calibri"/>
                <w:color w:val="000000"/>
              </w:rPr>
              <w:t>5</w:t>
            </w:r>
          </w:p>
        </w:tc>
        <w:tc>
          <w:tcPr>
            <w:tcW w:w="378" w:type="pct"/>
            <w:vAlign w:val="center"/>
          </w:tcPr>
          <w:p w:rsidR="00FF24CA" w:rsidRPr="000C601F" w:rsidRDefault="00FF24CA" w:rsidP="00FF24CA">
            <w:pPr>
              <w:spacing w:after="0"/>
              <w:jc w:val="center"/>
              <w:rPr>
                <w:rFonts w:ascii="Calibri" w:hAnsi="Calibri" w:cs="Calibri"/>
                <w:color w:val="000000"/>
              </w:rPr>
            </w:pPr>
            <w:r>
              <w:rPr>
                <w:rFonts w:ascii="Calibri" w:hAnsi="Calibri" w:cs="Calibri"/>
                <w:color w:val="000000"/>
              </w:rPr>
              <w:t>14</w:t>
            </w:r>
          </w:p>
        </w:tc>
        <w:tc>
          <w:tcPr>
            <w:tcW w:w="453" w:type="pct"/>
            <w:vAlign w:val="center"/>
          </w:tcPr>
          <w:p w:rsidR="00FF24CA" w:rsidRPr="000C601F" w:rsidRDefault="00FF24CA" w:rsidP="00FF24CA">
            <w:pPr>
              <w:spacing w:after="0"/>
              <w:jc w:val="center"/>
              <w:rPr>
                <w:rFonts w:ascii="Calibri" w:hAnsi="Calibri" w:cs="Calibri"/>
                <w:color w:val="000000"/>
              </w:rPr>
            </w:pPr>
            <w:r>
              <w:rPr>
                <w:rFonts w:ascii="Calibri" w:hAnsi="Calibri" w:cs="Calibri"/>
                <w:color w:val="000000"/>
              </w:rPr>
              <w:t>1</w:t>
            </w:r>
          </w:p>
        </w:tc>
      </w:tr>
      <w:tr w:rsidR="00FF24CA" w:rsidRPr="000C601F" w:rsidTr="00FF24CA">
        <w:trPr>
          <w:trHeight w:val="454"/>
          <w:jc w:val="center"/>
        </w:trPr>
        <w:tc>
          <w:tcPr>
            <w:tcW w:w="1434" w:type="pct"/>
            <w:shd w:val="clear" w:color="auto" w:fill="auto"/>
            <w:vAlign w:val="center"/>
          </w:tcPr>
          <w:p w:rsidR="00FF24CA" w:rsidRPr="000C601F" w:rsidRDefault="00FF24CA" w:rsidP="00FF24CA">
            <w:pPr>
              <w:spacing w:after="0"/>
              <w:rPr>
                <w:rFonts w:ascii="Calibri" w:hAnsi="Calibri" w:cs="Calibri"/>
                <w:color w:val="000000"/>
              </w:rPr>
            </w:pPr>
            <w:r w:rsidRPr="00F540CE">
              <w:rPr>
                <w:rFonts w:ascii="Calibri" w:hAnsi="Calibri" w:cs="Calibri"/>
                <w:color w:val="000000"/>
              </w:rPr>
              <w:t>Kütüphaneci</w:t>
            </w:r>
          </w:p>
        </w:tc>
        <w:tc>
          <w:tcPr>
            <w:tcW w:w="415" w:type="pct"/>
            <w:shd w:val="clear" w:color="auto" w:fill="auto"/>
            <w:noWrap/>
            <w:vAlign w:val="center"/>
          </w:tcPr>
          <w:p w:rsidR="00FF24CA" w:rsidRPr="000C601F" w:rsidRDefault="00FF24CA" w:rsidP="00FF24CA">
            <w:pPr>
              <w:spacing w:after="0"/>
              <w:jc w:val="center"/>
              <w:rPr>
                <w:rFonts w:ascii="Calibri" w:hAnsi="Calibri" w:cs="Calibri"/>
                <w:color w:val="000000"/>
              </w:rPr>
            </w:pPr>
            <w:r>
              <w:rPr>
                <w:rFonts w:ascii="Calibri" w:hAnsi="Calibri" w:cs="Calibri"/>
                <w:color w:val="000000"/>
              </w:rPr>
              <w:t>1</w:t>
            </w:r>
          </w:p>
        </w:tc>
        <w:tc>
          <w:tcPr>
            <w:tcW w:w="302" w:type="pct"/>
            <w:shd w:val="clear" w:color="auto" w:fill="auto"/>
            <w:noWrap/>
            <w:vAlign w:val="center"/>
          </w:tcPr>
          <w:p w:rsidR="00FF24CA" w:rsidRPr="000C601F" w:rsidRDefault="00FF24CA" w:rsidP="00FF24CA">
            <w:pPr>
              <w:spacing w:after="0"/>
              <w:jc w:val="center"/>
              <w:rPr>
                <w:rFonts w:ascii="Calibri" w:hAnsi="Calibri" w:cs="Calibri"/>
                <w:color w:val="000000"/>
              </w:rPr>
            </w:pPr>
          </w:p>
        </w:tc>
        <w:tc>
          <w:tcPr>
            <w:tcW w:w="302" w:type="pct"/>
            <w:shd w:val="clear" w:color="auto" w:fill="auto"/>
            <w:noWrap/>
            <w:vAlign w:val="center"/>
          </w:tcPr>
          <w:p w:rsidR="00FF24CA" w:rsidRPr="000C601F" w:rsidRDefault="00FF24CA" w:rsidP="00FF24CA">
            <w:pPr>
              <w:spacing w:after="0"/>
              <w:jc w:val="center"/>
              <w:rPr>
                <w:rFonts w:ascii="Calibri" w:hAnsi="Calibri" w:cs="Calibri"/>
                <w:color w:val="000000"/>
              </w:rPr>
            </w:pPr>
          </w:p>
        </w:tc>
        <w:tc>
          <w:tcPr>
            <w:tcW w:w="350" w:type="pct"/>
            <w:shd w:val="clear" w:color="auto" w:fill="auto"/>
            <w:noWrap/>
            <w:vAlign w:val="center"/>
          </w:tcPr>
          <w:p w:rsidR="00FF24CA" w:rsidRPr="000C601F" w:rsidRDefault="00FF24CA" w:rsidP="00FF24CA">
            <w:pPr>
              <w:spacing w:after="0"/>
              <w:jc w:val="center"/>
              <w:rPr>
                <w:rFonts w:ascii="Calibri" w:hAnsi="Calibri" w:cs="Calibri"/>
                <w:color w:val="000000"/>
              </w:rPr>
            </w:pPr>
            <w:r>
              <w:rPr>
                <w:rFonts w:ascii="Calibri" w:hAnsi="Calibri" w:cs="Calibri"/>
                <w:color w:val="000000"/>
              </w:rPr>
              <w:t>1</w:t>
            </w:r>
          </w:p>
        </w:tc>
        <w:tc>
          <w:tcPr>
            <w:tcW w:w="302" w:type="pct"/>
            <w:shd w:val="clear" w:color="auto" w:fill="auto"/>
            <w:noWrap/>
            <w:vAlign w:val="center"/>
          </w:tcPr>
          <w:p w:rsidR="00FF24CA" w:rsidRPr="000C601F" w:rsidRDefault="00FF24CA" w:rsidP="00FF24CA">
            <w:pPr>
              <w:spacing w:after="0"/>
              <w:jc w:val="center"/>
              <w:rPr>
                <w:rFonts w:ascii="Calibri" w:hAnsi="Calibri" w:cs="Calibri"/>
                <w:color w:val="000000"/>
              </w:rPr>
            </w:pPr>
          </w:p>
        </w:tc>
        <w:tc>
          <w:tcPr>
            <w:tcW w:w="307" w:type="pct"/>
            <w:shd w:val="clear" w:color="auto" w:fill="auto"/>
            <w:noWrap/>
            <w:vAlign w:val="center"/>
          </w:tcPr>
          <w:p w:rsidR="00FF24CA" w:rsidRPr="000C601F" w:rsidRDefault="00FF24CA" w:rsidP="00FF24CA">
            <w:pPr>
              <w:spacing w:after="0"/>
              <w:jc w:val="center"/>
              <w:rPr>
                <w:rFonts w:ascii="Calibri" w:hAnsi="Calibri" w:cs="Calibri"/>
                <w:color w:val="000000"/>
              </w:rPr>
            </w:pPr>
          </w:p>
        </w:tc>
        <w:tc>
          <w:tcPr>
            <w:tcW w:w="378" w:type="pct"/>
            <w:shd w:val="clear" w:color="auto" w:fill="auto"/>
            <w:noWrap/>
            <w:vAlign w:val="center"/>
          </w:tcPr>
          <w:p w:rsidR="00FF24CA" w:rsidRPr="000C601F" w:rsidRDefault="00FF24CA" w:rsidP="00FF24CA">
            <w:pPr>
              <w:spacing w:after="0"/>
              <w:jc w:val="center"/>
              <w:rPr>
                <w:rFonts w:ascii="Calibri" w:hAnsi="Calibri" w:cs="Calibri"/>
                <w:color w:val="000000"/>
              </w:rPr>
            </w:pPr>
            <w:r>
              <w:rPr>
                <w:rFonts w:ascii="Calibri" w:hAnsi="Calibri" w:cs="Calibri"/>
                <w:color w:val="000000"/>
              </w:rPr>
              <w:t>1</w:t>
            </w:r>
          </w:p>
        </w:tc>
        <w:tc>
          <w:tcPr>
            <w:tcW w:w="378" w:type="pct"/>
            <w:shd w:val="clear" w:color="auto" w:fill="auto"/>
            <w:noWrap/>
            <w:vAlign w:val="center"/>
          </w:tcPr>
          <w:p w:rsidR="00FF24CA" w:rsidRPr="000C601F" w:rsidRDefault="00FF24CA" w:rsidP="00FF24CA">
            <w:pPr>
              <w:spacing w:after="0"/>
              <w:jc w:val="center"/>
              <w:rPr>
                <w:rFonts w:ascii="Calibri" w:hAnsi="Calibri" w:cs="Calibri"/>
                <w:color w:val="000000"/>
              </w:rPr>
            </w:pPr>
          </w:p>
        </w:tc>
        <w:tc>
          <w:tcPr>
            <w:tcW w:w="378" w:type="pct"/>
            <w:vAlign w:val="center"/>
          </w:tcPr>
          <w:p w:rsidR="00FF24CA" w:rsidRPr="000C601F" w:rsidRDefault="00FF24CA" w:rsidP="00FF24CA">
            <w:pPr>
              <w:spacing w:after="0"/>
              <w:jc w:val="center"/>
              <w:rPr>
                <w:rFonts w:ascii="Calibri" w:hAnsi="Calibri" w:cs="Calibri"/>
                <w:color w:val="000000"/>
              </w:rPr>
            </w:pPr>
            <w:r>
              <w:rPr>
                <w:rFonts w:ascii="Calibri" w:hAnsi="Calibri" w:cs="Calibri"/>
                <w:color w:val="000000"/>
              </w:rPr>
              <w:t>1</w:t>
            </w:r>
          </w:p>
        </w:tc>
        <w:tc>
          <w:tcPr>
            <w:tcW w:w="453" w:type="pct"/>
            <w:vAlign w:val="center"/>
          </w:tcPr>
          <w:p w:rsidR="00FF24CA" w:rsidRPr="000C601F" w:rsidRDefault="00FF24CA" w:rsidP="00FF24CA">
            <w:pPr>
              <w:spacing w:after="0"/>
              <w:jc w:val="center"/>
              <w:rPr>
                <w:rFonts w:ascii="Calibri" w:hAnsi="Calibri" w:cs="Calibri"/>
                <w:color w:val="000000"/>
              </w:rPr>
            </w:pPr>
          </w:p>
        </w:tc>
      </w:tr>
      <w:tr w:rsidR="00FF24CA" w:rsidRPr="000C601F" w:rsidTr="00FF24CA">
        <w:trPr>
          <w:trHeight w:val="454"/>
          <w:jc w:val="center"/>
        </w:trPr>
        <w:tc>
          <w:tcPr>
            <w:tcW w:w="1434" w:type="pct"/>
            <w:shd w:val="clear" w:color="auto" w:fill="auto"/>
            <w:vAlign w:val="center"/>
          </w:tcPr>
          <w:p w:rsidR="00FF24CA" w:rsidRPr="000C601F" w:rsidRDefault="00FF24CA" w:rsidP="00FF24CA">
            <w:pPr>
              <w:spacing w:after="0"/>
              <w:rPr>
                <w:rFonts w:ascii="Calibri" w:hAnsi="Calibri" w:cs="Calibri"/>
                <w:color w:val="000000"/>
              </w:rPr>
            </w:pPr>
            <w:r w:rsidRPr="00F540CE">
              <w:rPr>
                <w:rFonts w:ascii="Calibri" w:hAnsi="Calibri" w:cs="Calibri"/>
                <w:bCs/>
                <w:color w:val="000000"/>
              </w:rPr>
              <w:t>Mütercim-Tercüman</w:t>
            </w:r>
          </w:p>
        </w:tc>
        <w:tc>
          <w:tcPr>
            <w:tcW w:w="415" w:type="pct"/>
            <w:shd w:val="clear" w:color="auto" w:fill="auto"/>
            <w:noWrap/>
            <w:vAlign w:val="center"/>
          </w:tcPr>
          <w:p w:rsidR="00FF24CA" w:rsidRPr="000C601F" w:rsidRDefault="00FF24CA" w:rsidP="00FF24CA">
            <w:pPr>
              <w:spacing w:after="0"/>
              <w:jc w:val="center"/>
              <w:rPr>
                <w:rFonts w:ascii="Calibri" w:hAnsi="Calibri" w:cs="Calibri"/>
                <w:color w:val="000000"/>
              </w:rPr>
            </w:pPr>
            <w:r>
              <w:rPr>
                <w:rFonts w:ascii="Calibri" w:hAnsi="Calibri" w:cs="Calibri"/>
                <w:color w:val="000000"/>
              </w:rPr>
              <w:t>2</w:t>
            </w:r>
          </w:p>
        </w:tc>
        <w:tc>
          <w:tcPr>
            <w:tcW w:w="302" w:type="pct"/>
            <w:shd w:val="clear" w:color="auto" w:fill="auto"/>
            <w:noWrap/>
            <w:vAlign w:val="center"/>
          </w:tcPr>
          <w:p w:rsidR="00FF24CA" w:rsidRPr="000C601F" w:rsidRDefault="00FF24CA" w:rsidP="00FF24CA">
            <w:pPr>
              <w:spacing w:after="0"/>
              <w:jc w:val="center"/>
              <w:rPr>
                <w:rFonts w:ascii="Calibri" w:hAnsi="Calibri" w:cs="Calibri"/>
                <w:color w:val="000000"/>
              </w:rPr>
            </w:pPr>
          </w:p>
        </w:tc>
        <w:tc>
          <w:tcPr>
            <w:tcW w:w="302" w:type="pct"/>
            <w:shd w:val="clear" w:color="auto" w:fill="auto"/>
            <w:noWrap/>
            <w:vAlign w:val="center"/>
          </w:tcPr>
          <w:p w:rsidR="00FF24CA" w:rsidRPr="000C601F" w:rsidRDefault="00FF24CA" w:rsidP="00FF24CA">
            <w:pPr>
              <w:spacing w:after="0"/>
              <w:jc w:val="center"/>
              <w:rPr>
                <w:rFonts w:ascii="Calibri" w:hAnsi="Calibri" w:cs="Calibri"/>
                <w:color w:val="000000"/>
              </w:rPr>
            </w:pPr>
          </w:p>
        </w:tc>
        <w:tc>
          <w:tcPr>
            <w:tcW w:w="350" w:type="pct"/>
            <w:shd w:val="clear" w:color="auto" w:fill="auto"/>
            <w:noWrap/>
            <w:vAlign w:val="center"/>
          </w:tcPr>
          <w:p w:rsidR="00FF24CA" w:rsidRPr="000C601F" w:rsidRDefault="00FF24CA" w:rsidP="00FF24CA">
            <w:pPr>
              <w:spacing w:after="0"/>
              <w:jc w:val="center"/>
              <w:rPr>
                <w:rFonts w:ascii="Calibri" w:hAnsi="Calibri" w:cs="Calibri"/>
                <w:color w:val="000000"/>
              </w:rPr>
            </w:pPr>
            <w:r>
              <w:rPr>
                <w:rFonts w:ascii="Calibri" w:hAnsi="Calibri" w:cs="Calibri"/>
                <w:color w:val="000000"/>
              </w:rPr>
              <w:t>2</w:t>
            </w:r>
          </w:p>
        </w:tc>
        <w:tc>
          <w:tcPr>
            <w:tcW w:w="302" w:type="pct"/>
            <w:shd w:val="clear" w:color="auto" w:fill="auto"/>
            <w:noWrap/>
            <w:vAlign w:val="center"/>
          </w:tcPr>
          <w:p w:rsidR="00FF24CA" w:rsidRPr="000C601F" w:rsidRDefault="00FF24CA" w:rsidP="00FF24CA">
            <w:pPr>
              <w:spacing w:after="0"/>
              <w:jc w:val="center"/>
              <w:rPr>
                <w:rFonts w:ascii="Calibri" w:hAnsi="Calibri" w:cs="Calibri"/>
                <w:color w:val="000000"/>
              </w:rPr>
            </w:pPr>
          </w:p>
        </w:tc>
        <w:tc>
          <w:tcPr>
            <w:tcW w:w="307" w:type="pct"/>
            <w:shd w:val="clear" w:color="auto" w:fill="auto"/>
            <w:noWrap/>
            <w:vAlign w:val="center"/>
          </w:tcPr>
          <w:p w:rsidR="00FF24CA" w:rsidRPr="000C601F" w:rsidRDefault="00FF24CA" w:rsidP="00FF24CA">
            <w:pPr>
              <w:spacing w:after="0"/>
              <w:jc w:val="center"/>
              <w:rPr>
                <w:rFonts w:ascii="Calibri" w:hAnsi="Calibri" w:cs="Calibri"/>
                <w:color w:val="000000"/>
              </w:rPr>
            </w:pPr>
          </w:p>
        </w:tc>
        <w:tc>
          <w:tcPr>
            <w:tcW w:w="378" w:type="pct"/>
            <w:shd w:val="clear" w:color="auto" w:fill="auto"/>
            <w:noWrap/>
            <w:vAlign w:val="center"/>
          </w:tcPr>
          <w:p w:rsidR="00FF24CA" w:rsidRPr="000C601F" w:rsidRDefault="00FF24CA" w:rsidP="00FF24CA">
            <w:pPr>
              <w:spacing w:after="0"/>
              <w:jc w:val="center"/>
              <w:rPr>
                <w:rFonts w:ascii="Calibri" w:hAnsi="Calibri" w:cs="Calibri"/>
                <w:color w:val="000000"/>
              </w:rPr>
            </w:pPr>
            <w:r>
              <w:rPr>
                <w:rFonts w:ascii="Calibri" w:hAnsi="Calibri" w:cs="Calibri"/>
                <w:color w:val="000000"/>
              </w:rPr>
              <w:t>1</w:t>
            </w:r>
          </w:p>
        </w:tc>
        <w:tc>
          <w:tcPr>
            <w:tcW w:w="378" w:type="pct"/>
            <w:shd w:val="clear" w:color="auto" w:fill="auto"/>
            <w:noWrap/>
            <w:vAlign w:val="center"/>
          </w:tcPr>
          <w:p w:rsidR="00FF24CA" w:rsidRPr="000C601F" w:rsidRDefault="00FF24CA" w:rsidP="00FF24CA">
            <w:pPr>
              <w:spacing w:after="0"/>
              <w:jc w:val="center"/>
              <w:rPr>
                <w:rFonts w:ascii="Calibri" w:hAnsi="Calibri" w:cs="Calibri"/>
                <w:color w:val="000000"/>
              </w:rPr>
            </w:pPr>
            <w:r>
              <w:rPr>
                <w:rFonts w:ascii="Calibri" w:hAnsi="Calibri" w:cs="Calibri"/>
                <w:color w:val="000000"/>
              </w:rPr>
              <w:t>1</w:t>
            </w:r>
          </w:p>
        </w:tc>
        <w:tc>
          <w:tcPr>
            <w:tcW w:w="378" w:type="pct"/>
            <w:vAlign w:val="center"/>
          </w:tcPr>
          <w:p w:rsidR="00FF24CA" w:rsidRPr="000C601F" w:rsidRDefault="00FF24CA" w:rsidP="00FF24CA">
            <w:pPr>
              <w:spacing w:after="0"/>
              <w:jc w:val="center"/>
              <w:rPr>
                <w:rFonts w:ascii="Calibri" w:hAnsi="Calibri" w:cs="Calibri"/>
                <w:color w:val="000000"/>
              </w:rPr>
            </w:pPr>
            <w:r>
              <w:rPr>
                <w:rFonts w:ascii="Calibri" w:hAnsi="Calibri" w:cs="Calibri"/>
                <w:color w:val="000000"/>
              </w:rPr>
              <w:t>2</w:t>
            </w:r>
          </w:p>
        </w:tc>
        <w:tc>
          <w:tcPr>
            <w:tcW w:w="453" w:type="pct"/>
            <w:vAlign w:val="center"/>
          </w:tcPr>
          <w:p w:rsidR="00FF24CA" w:rsidRPr="000C601F" w:rsidRDefault="00FF24CA" w:rsidP="00FF24CA">
            <w:pPr>
              <w:spacing w:after="0"/>
              <w:jc w:val="center"/>
              <w:rPr>
                <w:rFonts w:ascii="Calibri" w:hAnsi="Calibri" w:cs="Calibri"/>
                <w:color w:val="000000"/>
              </w:rPr>
            </w:pPr>
          </w:p>
        </w:tc>
      </w:tr>
      <w:tr w:rsidR="00FF24CA" w:rsidRPr="000C601F" w:rsidTr="00FF24CA">
        <w:trPr>
          <w:trHeight w:val="454"/>
          <w:jc w:val="center"/>
        </w:trPr>
        <w:tc>
          <w:tcPr>
            <w:tcW w:w="1434" w:type="pct"/>
            <w:shd w:val="clear" w:color="auto" w:fill="auto"/>
            <w:vAlign w:val="center"/>
          </w:tcPr>
          <w:p w:rsidR="00FF24CA" w:rsidRPr="000C601F" w:rsidRDefault="00FF24CA" w:rsidP="00FF24CA">
            <w:pPr>
              <w:spacing w:after="0"/>
              <w:rPr>
                <w:rFonts w:ascii="Calibri" w:hAnsi="Calibri" w:cs="Calibri"/>
                <w:color w:val="000000"/>
              </w:rPr>
            </w:pPr>
            <w:r w:rsidRPr="00F540CE">
              <w:rPr>
                <w:rFonts w:ascii="Calibri" w:hAnsi="Calibri" w:cs="Calibri"/>
                <w:color w:val="000000"/>
              </w:rPr>
              <w:t>Yönetim Görevlisi</w:t>
            </w:r>
          </w:p>
        </w:tc>
        <w:tc>
          <w:tcPr>
            <w:tcW w:w="415" w:type="pct"/>
            <w:shd w:val="clear" w:color="auto" w:fill="auto"/>
            <w:noWrap/>
            <w:vAlign w:val="center"/>
          </w:tcPr>
          <w:p w:rsidR="00FF24CA" w:rsidRPr="000C601F" w:rsidRDefault="00FF24CA" w:rsidP="00FF24CA">
            <w:pPr>
              <w:spacing w:after="0"/>
              <w:jc w:val="center"/>
              <w:rPr>
                <w:rFonts w:ascii="Calibri" w:hAnsi="Calibri" w:cs="Calibri"/>
                <w:color w:val="000000"/>
              </w:rPr>
            </w:pPr>
            <w:r>
              <w:rPr>
                <w:rFonts w:ascii="Calibri" w:hAnsi="Calibri" w:cs="Calibri"/>
                <w:color w:val="000000"/>
              </w:rPr>
              <w:t>16</w:t>
            </w:r>
          </w:p>
        </w:tc>
        <w:tc>
          <w:tcPr>
            <w:tcW w:w="302" w:type="pct"/>
            <w:shd w:val="clear" w:color="auto" w:fill="auto"/>
            <w:noWrap/>
            <w:vAlign w:val="center"/>
          </w:tcPr>
          <w:p w:rsidR="00FF24CA" w:rsidRPr="000C601F" w:rsidRDefault="00FF24CA" w:rsidP="00FF24CA">
            <w:pPr>
              <w:spacing w:after="0"/>
              <w:jc w:val="center"/>
              <w:rPr>
                <w:rFonts w:ascii="Calibri" w:hAnsi="Calibri" w:cs="Calibri"/>
                <w:color w:val="000000"/>
              </w:rPr>
            </w:pPr>
          </w:p>
        </w:tc>
        <w:tc>
          <w:tcPr>
            <w:tcW w:w="302" w:type="pct"/>
            <w:shd w:val="clear" w:color="auto" w:fill="auto"/>
            <w:noWrap/>
            <w:vAlign w:val="center"/>
          </w:tcPr>
          <w:p w:rsidR="00FF24CA" w:rsidRPr="000C601F" w:rsidRDefault="00FF24CA" w:rsidP="00FF24CA">
            <w:pPr>
              <w:spacing w:after="0"/>
              <w:jc w:val="center"/>
              <w:rPr>
                <w:rFonts w:ascii="Calibri" w:hAnsi="Calibri" w:cs="Calibri"/>
                <w:color w:val="000000"/>
              </w:rPr>
            </w:pPr>
            <w:r>
              <w:rPr>
                <w:rFonts w:ascii="Calibri" w:hAnsi="Calibri" w:cs="Calibri"/>
                <w:color w:val="000000"/>
              </w:rPr>
              <w:t>15</w:t>
            </w:r>
          </w:p>
        </w:tc>
        <w:tc>
          <w:tcPr>
            <w:tcW w:w="350" w:type="pct"/>
            <w:shd w:val="clear" w:color="auto" w:fill="auto"/>
            <w:noWrap/>
            <w:vAlign w:val="center"/>
          </w:tcPr>
          <w:p w:rsidR="00FF24CA" w:rsidRPr="000C601F" w:rsidRDefault="00FF24CA" w:rsidP="00FF24CA">
            <w:pPr>
              <w:spacing w:after="0"/>
              <w:jc w:val="center"/>
              <w:rPr>
                <w:rFonts w:ascii="Calibri" w:hAnsi="Calibri" w:cs="Calibri"/>
                <w:color w:val="000000"/>
              </w:rPr>
            </w:pPr>
            <w:r>
              <w:rPr>
                <w:rFonts w:ascii="Calibri" w:hAnsi="Calibri" w:cs="Calibri"/>
                <w:color w:val="000000"/>
              </w:rPr>
              <w:t>1</w:t>
            </w:r>
          </w:p>
        </w:tc>
        <w:tc>
          <w:tcPr>
            <w:tcW w:w="302" w:type="pct"/>
            <w:shd w:val="clear" w:color="auto" w:fill="auto"/>
            <w:noWrap/>
            <w:vAlign w:val="center"/>
          </w:tcPr>
          <w:p w:rsidR="00FF24CA" w:rsidRPr="000C601F" w:rsidRDefault="00FF24CA" w:rsidP="00FF24CA">
            <w:pPr>
              <w:spacing w:after="0"/>
              <w:jc w:val="center"/>
              <w:rPr>
                <w:rFonts w:ascii="Calibri" w:hAnsi="Calibri" w:cs="Calibri"/>
                <w:color w:val="000000"/>
              </w:rPr>
            </w:pPr>
          </w:p>
        </w:tc>
        <w:tc>
          <w:tcPr>
            <w:tcW w:w="307" w:type="pct"/>
            <w:shd w:val="clear" w:color="auto" w:fill="auto"/>
            <w:noWrap/>
            <w:vAlign w:val="center"/>
          </w:tcPr>
          <w:p w:rsidR="00FF24CA" w:rsidRPr="000C601F" w:rsidRDefault="00FF24CA" w:rsidP="00FF24CA">
            <w:pPr>
              <w:spacing w:after="0"/>
              <w:jc w:val="center"/>
              <w:rPr>
                <w:rFonts w:ascii="Calibri" w:hAnsi="Calibri" w:cs="Calibri"/>
                <w:color w:val="000000"/>
              </w:rPr>
            </w:pPr>
          </w:p>
        </w:tc>
        <w:tc>
          <w:tcPr>
            <w:tcW w:w="378" w:type="pct"/>
            <w:shd w:val="clear" w:color="auto" w:fill="auto"/>
            <w:noWrap/>
            <w:vAlign w:val="center"/>
          </w:tcPr>
          <w:p w:rsidR="00FF24CA" w:rsidRPr="000C601F" w:rsidRDefault="00FF24CA" w:rsidP="00FF24CA">
            <w:pPr>
              <w:spacing w:after="0"/>
              <w:jc w:val="center"/>
              <w:rPr>
                <w:rFonts w:ascii="Calibri" w:hAnsi="Calibri" w:cs="Calibri"/>
                <w:color w:val="000000"/>
              </w:rPr>
            </w:pPr>
            <w:r>
              <w:rPr>
                <w:rFonts w:ascii="Calibri" w:hAnsi="Calibri" w:cs="Calibri"/>
                <w:color w:val="000000"/>
              </w:rPr>
              <w:t>9</w:t>
            </w:r>
          </w:p>
        </w:tc>
        <w:tc>
          <w:tcPr>
            <w:tcW w:w="378" w:type="pct"/>
            <w:shd w:val="clear" w:color="auto" w:fill="auto"/>
            <w:noWrap/>
            <w:vAlign w:val="center"/>
          </w:tcPr>
          <w:p w:rsidR="00FF24CA" w:rsidRPr="000C601F" w:rsidRDefault="00FF24CA" w:rsidP="00FF24CA">
            <w:pPr>
              <w:spacing w:after="0"/>
              <w:jc w:val="center"/>
              <w:rPr>
                <w:rFonts w:ascii="Calibri" w:hAnsi="Calibri" w:cs="Calibri"/>
                <w:color w:val="000000"/>
              </w:rPr>
            </w:pPr>
            <w:r>
              <w:rPr>
                <w:rFonts w:ascii="Calibri" w:hAnsi="Calibri" w:cs="Calibri"/>
                <w:color w:val="000000"/>
              </w:rPr>
              <w:t>7</w:t>
            </w:r>
          </w:p>
        </w:tc>
        <w:tc>
          <w:tcPr>
            <w:tcW w:w="378" w:type="pct"/>
            <w:vAlign w:val="center"/>
          </w:tcPr>
          <w:p w:rsidR="00FF24CA" w:rsidRPr="000C601F" w:rsidRDefault="00FF24CA" w:rsidP="00FF24CA">
            <w:pPr>
              <w:spacing w:after="0"/>
              <w:jc w:val="center"/>
              <w:rPr>
                <w:rFonts w:ascii="Calibri" w:hAnsi="Calibri" w:cs="Calibri"/>
                <w:color w:val="000000"/>
              </w:rPr>
            </w:pPr>
            <w:r>
              <w:rPr>
                <w:rFonts w:ascii="Calibri" w:hAnsi="Calibri" w:cs="Calibri"/>
                <w:color w:val="000000"/>
              </w:rPr>
              <w:t>15</w:t>
            </w:r>
          </w:p>
        </w:tc>
        <w:tc>
          <w:tcPr>
            <w:tcW w:w="453" w:type="pct"/>
            <w:vAlign w:val="center"/>
          </w:tcPr>
          <w:p w:rsidR="00FF24CA" w:rsidRPr="000C601F" w:rsidRDefault="00FF24CA" w:rsidP="00FF24CA">
            <w:pPr>
              <w:spacing w:after="0"/>
              <w:jc w:val="center"/>
              <w:rPr>
                <w:rFonts w:ascii="Calibri" w:hAnsi="Calibri" w:cs="Calibri"/>
                <w:color w:val="000000"/>
              </w:rPr>
            </w:pPr>
            <w:r>
              <w:rPr>
                <w:rFonts w:ascii="Calibri" w:hAnsi="Calibri" w:cs="Calibri"/>
                <w:color w:val="000000"/>
              </w:rPr>
              <w:t>1</w:t>
            </w:r>
          </w:p>
        </w:tc>
      </w:tr>
      <w:tr w:rsidR="00FF24CA" w:rsidRPr="000C601F" w:rsidTr="00FF24CA">
        <w:trPr>
          <w:trHeight w:val="454"/>
          <w:jc w:val="center"/>
        </w:trPr>
        <w:tc>
          <w:tcPr>
            <w:tcW w:w="1434" w:type="pct"/>
            <w:shd w:val="clear" w:color="auto" w:fill="auto"/>
            <w:vAlign w:val="center"/>
          </w:tcPr>
          <w:p w:rsidR="00FF24CA" w:rsidRPr="000C601F" w:rsidRDefault="00FF24CA" w:rsidP="00FF24CA">
            <w:pPr>
              <w:spacing w:after="0"/>
              <w:rPr>
                <w:rFonts w:ascii="Calibri" w:hAnsi="Calibri" w:cs="Calibri"/>
                <w:color w:val="000000"/>
              </w:rPr>
            </w:pPr>
            <w:r w:rsidRPr="00F540CE">
              <w:rPr>
                <w:rFonts w:ascii="Calibri" w:hAnsi="Calibri" w:cs="Calibri"/>
                <w:color w:val="000000"/>
              </w:rPr>
              <w:t>İletişim Görevlisi</w:t>
            </w:r>
          </w:p>
        </w:tc>
        <w:tc>
          <w:tcPr>
            <w:tcW w:w="415" w:type="pct"/>
            <w:shd w:val="clear" w:color="auto" w:fill="auto"/>
            <w:noWrap/>
            <w:vAlign w:val="center"/>
          </w:tcPr>
          <w:p w:rsidR="00FF24CA" w:rsidRPr="000C601F" w:rsidRDefault="00FF24CA" w:rsidP="00FF24CA">
            <w:pPr>
              <w:spacing w:after="0"/>
              <w:jc w:val="center"/>
              <w:rPr>
                <w:rFonts w:ascii="Calibri" w:hAnsi="Calibri" w:cs="Calibri"/>
                <w:color w:val="000000"/>
              </w:rPr>
            </w:pPr>
            <w:r>
              <w:rPr>
                <w:rFonts w:ascii="Calibri" w:hAnsi="Calibri" w:cs="Calibri"/>
                <w:color w:val="000000"/>
              </w:rPr>
              <w:t>5</w:t>
            </w:r>
          </w:p>
        </w:tc>
        <w:tc>
          <w:tcPr>
            <w:tcW w:w="302" w:type="pct"/>
            <w:shd w:val="clear" w:color="auto" w:fill="auto"/>
            <w:noWrap/>
            <w:vAlign w:val="center"/>
          </w:tcPr>
          <w:p w:rsidR="00FF24CA" w:rsidRPr="000C601F" w:rsidRDefault="00FF24CA" w:rsidP="00FF24CA">
            <w:pPr>
              <w:spacing w:after="0"/>
              <w:jc w:val="center"/>
              <w:rPr>
                <w:rFonts w:ascii="Calibri" w:hAnsi="Calibri" w:cs="Calibri"/>
                <w:color w:val="000000"/>
              </w:rPr>
            </w:pPr>
          </w:p>
        </w:tc>
        <w:tc>
          <w:tcPr>
            <w:tcW w:w="302" w:type="pct"/>
            <w:shd w:val="clear" w:color="auto" w:fill="auto"/>
            <w:noWrap/>
            <w:vAlign w:val="center"/>
          </w:tcPr>
          <w:p w:rsidR="00FF24CA" w:rsidRPr="000C601F" w:rsidRDefault="00FF24CA" w:rsidP="00FF24CA">
            <w:pPr>
              <w:spacing w:after="0"/>
              <w:jc w:val="center"/>
              <w:rPr>
                <w:rFonts w:ascii="Calibri" w:hAnsi="Calibri" w:cs="Calibri"/>
                <w:color w:val="000000"/>
              </w:rPr>
            </w:pPr>
            <w:r>
              <w:rPr>
                <w:rFonts w:ascii="Calibri" w:hAnsi="Calibri" w:cs="Calibri"/>
                <w:color w:val="000000"/>
              </w:rPr>
              <w:t>5</w:t>
            </w:r>
          </w:p>
        </w:tc>
        <w:tc>
          <w:tcPr>
            <w:tcW w:w="350" w:type="pct"/>
            <w:shd w:val="clear" w:color="auto" w:fill="auto"/>
            <w:noWrap/>
            <w:vAlign w:val="center"/>
          </w:tcPr>
          <w:p w:rsidR="00FF24CA" w:rsidRPr="000C601F" w:rsidRDefault="00FF24CA" w:rsidP="00FF24CA">
            <w:pPr>
              <w:spacing w:after="0"/>
              <w:jc w:val="center"/>
              <w:rPr>
                <w:rFonts w:ascii="Calibri" w:hAnsi="Calibri" w:cs="Calibri"/>
                <w:color w:val="000000"/>
              </w:rPr>
            </w:pPr>
          </w:p>
        </w:tc>
        <w:tc>
          <w:tcPr>
            <w:tcW w:w="302" w:type="pct"/>
            <w:shd w:val="clear" w:color="auto" w:fill="auto"/>
            <w:noWrap/>
            <w:vAlign w:val="center"/>
          </w:tcPr>
          <w:p w:rsidR="00FF24CA" w:rsidRPr="000C601F" w:rsidRDefault="00FF24CA" w:rsidP="00FF24CA">
            <w:pPr>
              <w:spacing w:after="0"/>
              <w:jc w:val="center"/>
              <w:rPr>
                <w:rFonts w:ascii="Calibri" w:hAnsi="Calibri" w:cs="Calibri"/>
                <w:color w:val="000000"/>
              </w:rPr>
            </w:pPr>
          </w:p>
        </w:tc>
        <w:tc>
          <w:tcPr>
            <w:tcW w:w="307" w:type="pct"/>
            <w:shd w:val="clear" w:color="auto" w:fill="auto"/>
            <w:noWrap/>
            <w:vAlign w:val="center"/>
          </w:tcPr>
          <w:p w:rsidR="00FF24CA" w:rsidRPr="000C601F" w:rsidRDefault="00FF24CA" w:rsidP="00FF24CA">
            <w:pPr>
              <w:spacing w:after="0"/>
              <w:jc w:val="center"/>
              <w:rPr>
                <w:rFonts w:ascii="Calibri" w:hAnsi="Calibri" w:cs="Calibri"/>
                <w:color w:val="000000"/>
              </w:rPr>
            </w:pPr>
          </w:p>
        </w:tc>
        <w:tc>
          <w:tcPr>
            <w:tcW w:w="378" w:type="pct"/>
            <w:shd w:val="clear" w:color="auto" w:fill="auto"/>
            <w:noWrap/>
            <w:vAlign w:val="center"/>
          </w:tcPr>
          <w:p w:rsidR="00FF24CA" w:rsidRPr="000C601F" w:rsidRDefault="00FF24CA" w:rsidP="00FF24CA">
            <w:pPr>
              <w:spacing w:after="0"/>
              <w:jc w:val="center"/>
              <w:rPr>
                <w:rFonts w:ascii="Calibri" w:hAnsi="Calibri" w:cs="Calibri"/>
                <w:color w:val="000000"/>
              </w:rPr>
            </w:pPr>
            <w:r>
              <w:rPr>
                <w:rFonts w:ascii="Calibri" w:hAnsi="Calibri" w:cs="Calibri"/>
                <w:color w:val="000000"/>
              </w:rPr>
              <w:t>4</w:t>
            </w:r>
          </w:p>
        </w:tc>
        <w:tc>
          <w:tcPr>
            <w:tcW w:w="378" w:type="pct"/>
            <w:shd w:val="clear" w:color="auto" w:fill="auto"/>
            <w:noWrap/>
            <w:vAlign w:val="center"/>
          </w:tcPr>
          <w:p w:rsidR="00FF24CA" w:rsidRPr="000C601F" w:rsidRDefault="00FF24CA" w:rsidP="00FF24CA">
            <w:pPr>
              <w:spacing w:after="0"/>
              <w:jc w:val="center"/>
              <w:rPr>
                <w:rFonts w:ascii="Calibri" w:hAnsi="Calibri" w:cs="Calibri"/>
                <w:color w:val="000000"/>
              </w:rPr>
            </w:pPr>
            <w:r>
              <w:rPr>
                <w:rFonts w:ascii="Calibri" w:hAnsi="Calibri" w:cs="Calibri"/>
                <w:color w:val="000000"/>
              </w:rPr>
              <w:t>1</w:t>
            </w:r>
          </w:p>
        </w:tc>
        <w:tc>
          <w:tcPr>
            <w:tcW w:w="378" w:type="pct"/>
            <w:vAlign w:val="center"/>
          </w:tcPr>
          <w:p w:rsidR="00FF24CA" w:rsidRPr="000C601F" w:rsidRDefault="00FF24CA" w:rsidP="00FF24CA">
            <w:pPr>
              <w:spacing w:after="0"/>
              <w:jc w:val="center"/>
              <w:rPr>
                <w:rFonts w:ascii="Calibri" w:hAnsi="Calibri" w:cs="Calibri"/>
                <w:color w:val="000000"/>
              </w:rPr>
            </w:pPr>
            <w:r>
              <w:rPr>
                <w:rFonts w:ascii="Calibri" w:hAnsi="Calibri" w:cs="Calibri"/>
                <w:color w:val="000000"/>
              </w:rPr>
              <w:t>5</w:t>
            </w:r>
          </w:p>
        </w:tc>
        <w:tc>
          <w:tcPr>
            <w:tcW w:w="453" w:type="pct"/>
            <w:vAlign w:val="center"/>
          </w:tcPr>
          <w:p w:rsidR="00FF24CA" w:rsidRPr="000C601F" w:rsidRDefault="00FF24CA" w:rsidP="00FF24CA">
            <w:pPr>
              <w:spacing w:after="0"/>
              <w:jc w:val="center"/>
              <w:rPr>
                <w:rFonts w:ascii="Calibri" w:hAnsi="Calibri" w:cs="Calibri"/>
                <w:color w:val="000000"/>
              </w:rPr>
            </w:pPr>
          </w:p>
        </w:tc>
      </w:tr>
      <w:tr w:rsidR="00FF24CA" w:rsidRPr="000C601F" w:rsidTr="00FF24CA">
        <w:trPr>
          <w:trHeight w:val="454"/>
          <w:jc w:val="center"/>
        </w:trPr>
        <w:tc>
          <w:tcPr>
            <w:tcW w:w="1434" w:type="pct"/>
            <w:shd w:val="clear" w:color="auto" w:fill="auto"/>
            <w:vAlign w:val="center"/>
          </w:tcPr>
          <w:p w:rsidR="00FF24CA" w:rsidRPr="000C601F" w:rsidRDefault="00FF24CA" w:rsidP="00FF24CA">
            <w:pPr>
              <w:spacing w:after="0"/>
              <w:rPr>
                <w:rFonts w:ascii="Calibri" w:hAnsi="Calibri" w:cs="Calibri"/>
                <w:color w:val="000000"/>
              </w:rPr>
            </w:pPr>
            <w:r w:rsidRPr="00F540CE">
              <w:rPr>
                <w:rFonts w:ascii="Calibri" w:hAnsi="Calibri" w:cs="Calibri"/>
                <w:color w:val="000000"/>
              </w:rPr>
              <w:t>Teknisyen</w:t>
            </w:r>
          </w:p>
        </w:tc>
        <w:tc>
          <w:tcPr>
            <w:tcW w:w="415" w:type="pct"/>
            <w:shd w:val="clear" w:color="auto" w:fill="auto"/>
            <w:noWrap/>
            <w:vAlign w:val="center"/>
          </w:tcPr>
          <w:p w:rsidR="00FF24CA" w:rsidRPr="000C601F" w:rsidRDefault="00FF24CA" w:rsidP="00FF24CA">
            <w:pPr>
              <w:spacing w:after="0"/>
              <w:jc w:val="center"/>
              <w:rPr>
                <w:rFonts w:ascii="Calibri" w:hAnsi="Calibri" w:cs="Calibri"/>
                <w:color w:val="000000"/>
              </w:rPr>
            </w:pPr>
            <w:r>
              <w:rPr>
                <w:rFonts w:ascii="Calibri" w:hAnsi="Calibri" w:cs="Calibri"/>
                <w:color w:val="000000"/>
              </w:rPr>
              <w:t>2</w:t>
            </w:r>
          </w:p>
        </w:tc>
        <w:tc>
          <w:tcPr>
            <w:tcW w:w="302" w:type="pct"/>
            <w:shd w:val="clear" w:color="auto" w:fill="auto"/>
            <w:noWrap/>
            <w:vAlign w:val="center"/>
          </w:tcPr>
          <w:p w:rsidR="00FF24CA" w:rsidRPr="000C601F" w:rsidRDefault="00FF24CA" w:rsidP="00FF24CA">
            <w:pPr>
              <w:spacing w:after="0"/>
              <w:jc w:val="center"/>
              <w:rPr>
                <w:rFonts w:ascii="Calibri" w:hAnsi="Calibri" w:cs="Calibri"/>
                <w:color w:val="000000"/>
              </w:rPr>
            </w:pPr>
            <w:r>
              <w:rPr>
                <w:rFonts w:ascii="Calibri" w:hAnsi="Calibri" w:cs="Calibri"/>
                <w:color w:val="000000"/>
              </w:rPr>
              <w:t>2</w:t>
            </w:r>
          </w:p>
        </w:tc>
        <w:tc>
          <w:tcPr>
            <w:tcW w:w="302" w:type="pct"/>
            <w:shd w:val="clear" w:color="auto" w:fill="auto"/>
            <w:noWrap/>
            <w:vAlign w:val="center"/>
          </w:tcPr>
          <w:p w:rsidR="00FF24CA" w:rsidRPr="000C601F" w:rsidRDefault="00FF24CA" w:rsidP="00FF24CA">
            <w:pPr>
              <w:spacing w:after="0"/>
              <w:jc w:val="center"/>
              <w:rPr>
                <w:rFonts w:ascii="Calibri" w:hAnsi="Calibri" w:cs="Calibri"/>
                <w:color w:val="000000"/>
              </w:rPr>
            </w:pPr>
          </w:p>
        </w:tc>
        <w:tc>
          <w:tcPr>
            <w:tcW w:w="350" w:type="pct"/>
            <w:shd w:val="clear" w:color="auto" w:fill="auto"/>
            <w:noWrap/>
            <w:vAlign w:val="center"/>
          </w:tcPr>
          <w:p w:rsidR="00FF24CA" w:rsidRPr="000C601F" w:rsidRDefault="00FF24CA" w:rsidP="00FF24CA">
            <w:pPr>
              <w:spacing w:after="0"/>
              <w:jc w:val="center"/>
              <w:rPr>
                <w:rFonts w:ascii="Calibri" w:hAnsi="Calibri" w:cs="Calibri"/>
                <w:color w:val="000000"/>
              </w:rPr>
            </w:pPr>
          </w:p>
        </w:tc>
        <w:tc>
          <w:tcPr>
            <w:tcW w:w="302" w:type="pct"/>
            <w:shd w:val="clear" w:color="auto" w:fill="auto"/>
            <w:noWrap/>
            <w:vAlign w:val="center"/>
          </w:tcPr>
          <w:p w:rsidR="00FF24CA" w:rsidRPr="000C601F" w:rsidRDefault="00FF24CA" w:rsidP="00FF24CA">
            <w:pPr>
              <w:spacing w:after="0"/>
              <w:jc w:val="center"/>
              <w:rPr>
                <w:rFonts w:ascii="Calibri" w:hAnsi="Calibri" w:cs="Calibri"/>
                <w:color w:val="000000"/>
              </w:rPr>
            </w:pPr>
          </w:p>
        </w:tc>
        <w:tc>
          <w:tcPr>
            <w:tcW w:w="307" w:type="pct"/>
            <w:shd w:val="clear" w:color="auto" w:fill="auto"/>
            <w:noWrap/>
            <w:vAlign w:val="center"/>
          </w:tcPr>
          <w:p w:rsidR="00FF24CA" w:rsidRPr="000C601F" w:rsidRDefault="00FF24CA" w:rsidP="00FF24CA">
            <w:pPr>
              <w:spacing w:after="0"/>
              <w:jc w:val="center"/>
              <w:rPr>
                <w:rFonts w:ascii="Calibri" w:hAnsi="Calibri" w:cs="Calibri"/>
                <w:color w:val="000000"/>
              </w:rPr>
            </w:pPr>
          </w:p>
        </w:tc>
        <w:tc>
          <w:tcPr>
            <w:tcW w:w="378" w:type="pct"/>
            <w:shd w:val="clear" w:color="auto" w:fill="auto"/>
            <w:noWrap/>
            <w:vAlign w:val="center"/>
          </w:tcPr>
          <w:p w:rsidR="00FF24CA" w:rsidRPr="000C601F" w:rsidRDefault="00FF24CA" w:rsidP="00FF24CA">
            <w:pPr>
              <w:spacing w:after="0"/>
              <w:jc w:val="center"/>
              <w:rPr>
                <w:rFonts w:ascii="Calibri" w:hAnsi="Calibri" w:cs="Calibri"/>
                <w:color w:val="000000"/>
              </w:rPr>
            </w:pPr>
          </w:p>
        </w:tc>
        <w:tc>
          <w:tcPr>
            <w:tcW w:w="378" w:type="pct"/>
            <w:shd w:val="clear" w:color="auto" w:fill="auto"/>
            <w:noWrap/>
            <w:vAlign w:val="center"/>
          </w:tcPr>
          <w:p w:rsidR="00FF24CA" w:rsidRPr="000C601F" w:rsidRDefault="00FF24CA" w:rsidP="00FF24CA">
            <w:pPr>
              <w:spacing w:after="0"/>
              <w:jc w:val="center"/>
              <w:rPr>
                <w:rFonts w:ascii="Calibri" w:hAnsi="Calibri" w:cs="Calibri"/>
                <w:color w:val="000000"/>
              </w:rPr>
            </w:pPr>
            <w:r>
              <w:rPr>
                <w:rFonts w:ascii="Calibri" w:hAnsi="Calibri" w:cs="Calibri"/>
                <w:color w:val="000000"/>
              </w:rPr>
              <w:t>2</w:t>
            </w:r>
          </w:p>
        </w:tc>
        <w:tc>
          <w:tcPr>
            <w:tcW w:w="378" w:type="pct"/>
            <w:vAlign w:val="center"/>
          </w:tcPr>
          <w:p w:rsidR="00FF24CA" w:rsidRPr="000C601F" w:rsidRDefault="00FF24CA" w:rsidP="00FF24CA">
            <w:pPr>
              <w:spacing w:after="0"/>
              <w:jc w:val="center"/>
              <w:rPr>
                <w:rFonts w:ascii="Calibri" w:hAnsi="Calibri" w:cs="Calibri"/>
                <w:color w:val="000000"/>
              </w:rPr>
            </w:pPr>
            <w:r>
              <w:rPr>
                <w:rFonts w:ascii="Calibri" w:hAnsi="Calibri" w:cs="Calibri"/>
                <w:color w:val="000000"/>
              </w:rPr>
              <w:t>2</w:t>
            </w:r>
          </w:p>
        </w:tc>
        <w:tc>
          <w:tcPr>
            <w:tcW w:w="453" w:type="pct"/>
            <w:vAlign w:val="center"/>
          </w:tcPr>
          <w:p w:rsidR="00FF24CA" w:rsidRPr="000C601F" w:rsidRDefault="00FF24CA" w:rsidP="00FF24CA">
            <w:pPr>
              <w:spacing w:after="0"/>
              <w:jc w:val="center"/>
              <w:rPr>
                <w:rFonts w:ascii="Calibri" w:hAnsi="Calibri" w:cs="Calibri"/>
                <w:color w:val="000000"/>
              </w:rPr>
            </w:pPr>
          </w:p>
        </w:tc>
      </w:tr>
      <w:tr w:rsidR="00FF24CA" w:rsidRPr="000C601F" w:rsidTr="00FF24CA">
        <w:trPr>
          <w:trHeight w:val="454"/>
          <w:jc w:val="center"/>
        </w:trPr>
        <w:tc>
          <w:tcPr>
            <w:tcW w:w="1434" w:type="pct"/>
            <w:shd w:val="clear" w:color="auto" w:fill="auto"/>
            <w:vAlign w:val="center"/>
          </w:tcPr>
          <w:p w:rsidR="00FF24CA" w:rsidRPr="000C601F" w:rsidRDefault="00FF24CA" w:rsidP="00FF24CA">
            <w:pPr>
              <w:spacing w:after="0"/>
              <w:rPr>
                <w:rFonts w:ascii="Calibri" w:hAnsi="Calibri" w:cs="Calibri"/>
                <w:b/>
                <w:color w:val="000000"/>
              </w:rPr>
            </w:pPr>
            <w:r w:rsidRPr="000C601F">
              <w:rPr>
                <w:rFonts w:ascii="Calibri" w:hAnsi="Calibri" w:cs="Calibri"/>
                <w:b/>
                <w:color w:val="000000"/>
              </w:rPr>
              <w:t>TOPLAM</w:t>
            </w:r>
          </w:p>
        </w:tc>
        <w:tc>
          <w:tcPr>
            <w:tcW w:w="415" w:type="pct"/>
            <w:shd w:val="clear" w:color="auto" w:fill="auto"/>
            <w:noWrap/>
            <w:vAlign w:val="center"/>
          </w:tcPr>
          <w:p w:rsidR="00FF24CA" w:rsidRPr="000C601F" w:rsidRDefault="00FF24CA" w:rsidP="00FF24CA">
            <w:pPr>
              <w:spacing w:after="0"/>
              <w:jc w:val="center"/>
              <w:rPr>
                <w:rFonts w:ascii="Calibri" w:hAnsi="Calibri" w:cs="Calibri"/>
                <w:b/>
                <w:color w:val="000000"/>
              </w:rPr>
            </w:pPr>
            <w:r>
              <w:rPr>
                <w:rFonts w:ascii="Calibri" w:hAnsi="Calibri" w:cs="Calibri"/>
                <w:b/>
                <w:color w:val="000000"/>
              </w:rPr>
              <w:t>46</w:t>
            </w:r>
          </w:p>
        </w:tc>
        <w:tc>
          <w:tcPr>
            <w:tcW w:w="302" w:type="pct"/>
            <w:shd w:val="clear" w:color="auto" w:fill="auto"/>
            <w:noWrap/>
            <w:vAlign w:val="center"/>
          </w:tcPr>
          <w:p w:rsidR="00FF24CA" w:rsidRPr="000C601F" w:rsidRDefault="00FF24CA" w:rsidP="00FF24CA">
            <w:pPr>
              <w:spacing w:after="0"/>
              <w:jc w:val="center"/>
              <w:rPr>
                <w:rFonts w:ascii="Calibri" w:hAnsi="Calibri" w:cs="Calibri"/>
                <w:b/>
                <w:color w:val="000000"/>
              </w:rPr>
            </w:pPr>
            <w:r>
              <w:rPr>
                <w:rFonts w:ascii="Calibri" w:hAnsi="Calibri" w:cs="Calibri"/>
                <w:b/>
                <w:color w:val="000000"/>
              </w:rPr>
              <w:t>2</w:t>
            </w:r>
          </w:p>
        </w:tc>
        <w:tc>
          <w:tcPr>
            <w:tcW w:w="302" w:type="pct"/>
            <w:shd w:val="clear" w:color="auto" w:fill="auto"/>
            <w:noWrap/>
            <w:vAlign w:val="center"/>
          </w:tcPr>
          <w:p w:rsidR="00FF24CA" w:rsidRPr="000C601F" w:rsidRDefault="00FF24CA" w:rsidP="00FF24CA">
            <w:pPr>
              <w:spacing w:after="0"/>
              <w:jc w:val="center"/>
              <w:rPr>
                <w:rFonts w:ascii="Calibri" w:hAnsi="Calibri" w:cs="Calibri"/>
                <w:b/>
                <w:color w:val="000000"/>
              </w:rPr>
            </w:pPr>
            <w:r>
              <w:rPr>
                <w:rFonts w:ascii="Calibri" w:hAnsi="Calibri" w:cs="Calibri"/>
                <w:b/>
                <w:color w:val="000000"/>
              </w:rPr>
              <w:t>20</w:t>
            </w:r>
          </w:p>
        </w:tc>
        <w:tc>
          <w:tcPr>
            <w:tcW w:w="350" w:type="pct"/>
            <w:shd w:val="clear" w:color="auto" w:fill="auto"/>
            <w:noWrap/>
            <w:vAlign w:val="center"/>
          </w:tcPr>
          <w:p w:rsidR="00FF24CA" w:rsidRPr="000C601F" w:rsidRDefault="00FF24CA" w:rsidP="00FF24CA">
            <w:pPr>
              <w:spacing w:after="0"/>
              <w:jc w:val="center"/>
              <w:rPr>
                <w:rFonts w:ascii="Calibri" w:hAnsi="Calibri" w:cs="Calibri"/>
                <w:b/>
                <w:color w:val="000000"/>
              </w:rPr>
            </w:pPr>
            <w:r>
              <w:rPr>
                <w:rFonts w:ascii="Calibri" w:hAnsi="Calibri" w:cs="Calibri"/>
                <w:b/>
                <w:color w:val="000000"/>
              </w:rPr>
              <w:t>22</w:t>
            </w:r>
          </w:p>
        </w:tc>
        <w:tc>
          <w:tcPr>
            <w:tcW w:w="302" w:type="pct"/>
            <w:shd w:val="clear" w:color="auto" w:fill="auto"/>
            <w:noWrap/>
            <w:vAlign w:val="center"/>
          </w:tcPr>
          <w:p w:rsidR="00FF24CA" w:rsidRPr="000C601F" w:rsidRDefault="00FF24CA" w:rsidP="00FF24CA">
            <w:pPr>
              <w:spacing w:after="0"/>
              <w:jc w:val="center"/>
              <w:rPr>
                <w:rFonts w:ascii="Calibri" w:hAnsi="Calibri" w:cs="Calibri"/>
                <w:b/>
                <w:color w:val="000000"/>
              </w:rPr>
            </w:pPr>
            <w:r>
              <w:rPr>
                <w:rFonts w:ascii="Calibri" w:hAnsi="Calibri" w:cs="Calibri"/>
                <w:b/>
                <w:color w:val="000000"/>
              </w:rPr>
              <w:t>1</w:t>
            </w:r>
          </w:p>
        </w:tc>
        <w:tc>
          <w:tcPr>
            <w:tcW w:w="307" w:type="pct"/>
            <w:shd w:val="clear" w:color="auto" w:fill="auto"/>
            <w:noWrap/>
            <w:vAlign w:val="center"/>
          </w:tcPr>
          <w:p w:rsidR="00FF24CA" w:rsidRPr="000C601F" w:rsidRDefault="00FF24CA" w:rsidP="00FF24CA">
            <w:pPr>
              <w:spacing w:after="0"/>
              <w:jc w:val="center"/>
              <w:rPr>
                <w:rFonts w:ascii="Calibri" w:hAnsi="Calibri" w:cs="Calibri"/>
                <w:b/>
                <w:color w:val="000000"/>
              </w:rPr>
            </w:pPr>
            <w:r>
              <w:rPr>
                <w:rFonts w:ascii="Calibri" w:hAnsi="Calibri" w:cs="Calibri"/>
                <w:b/>
                <w:color w:val="000000"/>
              </w:rPr>
              <w:t>1</w:t>
            </w:r>
          </w:p>
        </w:tc>
        <w:tc>
          <w:tcPr>
            <w:tcW w:w="378" w:type="pct"/>
            <w:shd w:val="clear" w:color="auto" w:fill="auto"/>
            <w:noWrap/>
            <w:vAlign w:val="center"/>
          </w:tcPr>
          <w:p w:rsidR="00FF24CA" w:rsidRPr="000C601F" w:rsidRDefault="00FF24CA" w:rsidP="00FF24CA">
            <w:pPr>
              <w:spacing w:after="0"/>
              <w:jc w:val="center"/>
              <w:rPr>
                <w:rFonts w:ascii="Calibri" w:hAnsi="Calibri" w:cs="Calibri"/>
                <w:b/>
                <w:color w:val="000000"/>
              </w:rPr>
            </w:pPr>
            <w:r>
              <w:rPr>
                <w:rFonts w:ascii="Calibri" w:hAnsi="Calibri" w:cs="Calibri"/>
                <w:b/>
                <w:color w:val="000000"/>
              </w:rPr>
              <w:t>27</w:t>
            </w:r>
          </w:p>
        </w:tc>
        <w:tc>
          <w:tcPr>
            <w:tcW w:w="378" w:type="pct"/>
            <w:shd w:val="clear" w:color="auto" w:fill="auto"/>
            <w:noWrap/>
            <w:vAlign w:val="center"/>
          </w:tcPr>
          <w:p w:rsidR="00FF24CA" w:rsidRPr="000C601F" w:rsidRDefault="00FF24CA" w:rsidP="00FF24CA">
            <w:pPr>
              <w:spacing w:after="0"/>
              <w:jc w:val="center"/>
              <w:rPr>
                <w:rFonts w:ascii="Calibri" w:hAnsi="Calibri" w:cs="Calibri"/>
                <w:b/>
                <w:color w:val="000000"/>
              </w:rPr>
            </w:pPr>
            <w:r>
              <w:rPr>
                <w:rFonts w:ascii="Calibri" w:hAnsi="Calibri" w:cs="Calibri"/>
                <w:b/>
                <w:color w:val="000000"/>
              </w:rPr>
              <w:t>19</w:t>
            </w:r>
          </w:p>
        </w:tc>
        <w:tc>
          <w:tcPr>
            <w:tcW w:w="378" w:type="pct"/>
            <w:vAlign w:val="center"/>
          </w:tcPr>
          <w:p w:rsidR="00FF24CA" w:rsidRPr="000C601F" w:rsidRDefault="00FF24CA" w:rsidP="00FF24CA">
            <w:pPr>
              <w:spacing w:after="0"/>
              <w:jc w:val="center"/>
              <w:rPr>
                <w:rFonts w:ascii="Calibri" w:hAnsi="Calibri" w:cs="Calibri"/>
                <w:b/>
                <w:color w:val="000000"/>
              </w:rPr>
            </w:pPr>
            <w:r>
              <w:rPr>
                <w:rFonts w:ascii="Calibri" w:hAnsi="Calibri" w:cs="Calibri"/>
                <w:b/>
                <w:color w:val="000000"/>
              </w:rPr>
              <w:t>42</w:t>
            </w:r>
          </w:p>
        </w:tc>
        <w:tc>
          <w:tcPr>
            <w:tcW w:w="453" w:type="pct"/>
            <w:vAlign w:val="center"/>
          </w:tcPr>
          <w:p w:rsidR="00FF24CA" w:rsidRPr="000C601F" w:rsidRDefault="00FF24CA" w:rsidP="00FF24CA">
            <w:pPr>
              <w:spacing w:after="0"/>
              <w:jc w:val="center"/>
              <w:rPr>
                <w:rFonts w:ascii="Calibri" w:hAnsi="Calibri" w:cs="Calibri"/>
                <w:b/>
                <w:color w:val="000000"/>
              </w:rPr>
            </w:pPr>
            <w:r>
              <w:rPr>
                <w:rFonts w:ascii="Calibri" w:hAnsi="Calibri" w:cs="Calibri"/>
                <w:b/>
                <w:color w:val="000000"/>
              </w:rPr>
              <w:t>4</w:t>
            </w:r>
          </w:p>
        </w:tc>
      </w:tr>
    </w:tbl>
    <w:p w:rsidR="00FF24CA" w:rsidRPr="00527281" w:rsidRDefault="00FF24CA" w:rsidP="00FF24CA">
      <w:pPr>
        <w:rPr>
          <w:rFonts w:ascii="Calibri" w:hAnsi="Calibri"/>
          <w:sz w:val="20"/>
          <w:szCs w:val="20"/>
        </w:rPr>
      </w:pPr>
      <w:r w:rsidRPr="00527281">
        <w:rPr>
          <w:rFonts w:ascii="Calibri" w:hAnsi="Calibri"/>
        </w:rPr>
        <w:t xml:space="preserve">* </w:t>
      </w:r>
      <w:r w:rsidRPr="00B36621">
        <w:rPr>
          <w:rFonts w:ascii="Calibri" w:hAnsi="Calibri"/>
          <w:i/>
          <w:sz w:val="20"/>
          <w:szCs w:val="20"/>
        </w:rPr>
        <w:t>Sürekli işçi kadrosunda yer alan personel hariçtir</w:t>
      </w:r>
      <w:r w:rsidRPr="00527281">
        <w:rPr>
          <w:rFonts w:ascii="Calibri" w:hAnsi="Calibri"/>
          <w:sz w:val="20"/>
          <w:szCs w:val="20"/>
        </w:rPr>
        <w:t>.</w:t>
      </w:r>
    </w:p>
    <w:p w:rsidR="00FF24CA" w:rsidRDefault="00FF24CA" w:rsidP="00FF24CA">
      <w:pPr>
        <w:rPr>
          <w:rFonts w:eastAsiaTheme="majorEastAsia" w:cstheme="majorBidi"/>
          <w:b/>
        </w:rPr>
      </w:pPr>
    </w:p>
    <w:p w:rsidR="00FF24CA" w:rsidRDefault="00FF24CA" w:rsidP="00FF24CA">
      <w:pPr>
        <w:rPr>
          <w:rFonts w:eastAsiaTheme="majorEastAsia" w:cstheme="majorBidi"/>
          <w:b/>
        </w:rPr>
      </w:pPr>
    </w:p>
    <w:p w:rsidR="00FF24CA" w:rsidRDefault="00FF24CA" w:rsidP="00FF24CA">
      <w:pPr>
        <w:tabs>
          <w:tab w:val="left" w:pos="3119"/>
          <w:tab w:val="left" w:pos="3828"/>
        </w:tabs>
        <w:rPr>
          <w:rFonts w:eastAsiaTheme="majorEastAsia" w:cstheme="majorBidi"/>
          <w:b/>
        </w:rPr>
      </w:pPr>
    </w:p>
    <w:p w:rsidR="00FF24CA" w:rsidRDefault="00FF24CA" w:rsidP="00FF24CA">
      <w:pPr>
        <w:pStyle w:val="Balk5"/>
        <w:jc w:val="center"/>
        <w:rPr>
          <w:rFonts w:asciiTheme="minorHAnsi" w:hAnsiTheme="minorHAnsi"/>
          <w:b/>
          <w:color w:val="auto"/>
        </w:rPr>
      </w:pPr>
      <w:bookmarkStart w:id="464" w:name="_Toc132713970"/>
      <w:r w:rsidRPr="00E9291A">
        <w:rPr>
          <w:rFonts w:asciiTheme="minorHAnsi" w:hAnsiTheme="minorHAnsi"/>
          <w:b/>
          <w:color w:val="auto"/>
        </w:rPr>
        <w:lastRenderedPageBreak/>
        <w:t>Tablo 1</w:t>
      </w:r>
      <w:r>
        <w:rPr>
          <w:rFonts w:asciiTheme="minorHAnsi" w:hAnsiTheme="minorHAnsi"/>
          <w:b/>
          <w:color w:val="auto"/>
        </w:rPr>
        <w:t xml:space="preserve">3.2: </w:t>
      </w:r>
      <w:r w:rsidRPr="00FA1354">
        <w:rPr>
          <w:rFonts w:asciiTheme="minorHAnsi" w:hAnsiTheme="minorHAnsi"/>
          <w:b/>
          <w:color w:val="auto"/>
        </w:rPr>
        <w:t>202</w:t>
      </w:r>
      <w:r>
        <w:rPr>
          <w:rFonts w:asciiTheme="minorHAnsi" w:hAnsiTheme="minorHAnsi"/>
          <w:b/>
          <w:color w:val="auto"/>
        </w:rPr>
        <w:t>2</w:t>
      </w:r>
      <w:r w:rsidRPr="00FA1354">
        <w:rPr>
          <w:rFonts w:asciiTheme="minorHAnsi" w:hAnsiTheme="minorHAnsi"/>
          <w:b/>
          <w:color w:val="auto"/>
        </w:rPr>
        <w:t xml:space="preserve"> Yılında Kurumdan Ayrılan Personele İlişkin Bilgiler</w:t>
      </w:r>
      <w:bookmarkEnd w:id="464"/>
    </w:p>
    <w:tbl>
      <w:tblPr>
        <w:tblW w:w="5000" w:type="pct"/>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CellMar>
          <w:left w:w="70" w:type="dxa"/>
          <w:right w:w="70" w:type="dxa"/>
        </w:tblCellMar>
        <w:tblLook w:val="0000" w:firstRow="0" w:lastRow="0" w:firstColumn="0" w:lastColumn="0" w:noHBand="0" w:noVBand="0"/>
      </w:tblPr>
      <w:tblGrid>
        <w:gridCol w:w="2941"/>
        <w:gridCol w:w="615"/>
        <w:gridCol w:w="468"/>
        <w:gridCol w:w="464"/>
        <w:gridCol w:w="466"/>
        <w:gridCol w:w="365"/>
        <w:gridCol w:w="498"/>
        <w:gridCol w:w="553"/>
        <w:gridCol w:w="553"/>
        <w:gridCol w:w="498"/>
        <w:gridCol w:w="498"/>
        <w:gridCol w:w="498"/>
        <w:gridCol w:w="498"/>
        <w:gridCol w:w="498"/>
        <w:gridCol w:w="498"/>
      </w:tblGrid>
      <w:tr w:rsidR="00FF24CA" w:rsidRPr="00F540CE" w:rsidTr="00FF24CA">
        <w:trPr>
          <w:trHeight w:val="352"/>
        </w:trPr>
        <w:tc>
          <w:tcPr>
            <w:tcW w:w="1484" w:type="pct"/>
            <w:vMerge w:val="restart"/>
            <w:shd w:val="clear" w:color="auto" w:fill="6E9ECA"/>
            <w:noWrap/>
            <w:vAlign w:val="center"/>
          </w:tcPr>
          <w:p w:rsidR="00FF24CA" w:rsidRPr="00F540CE" w:rsidRDefault="00FF24CA" w:rsidP="00FF24CA">
            <w:pPr>
              <w:spacing w:after="0"/>
              <w:jc w:val="center"/>
              <w:rPr>
                <w:rFonts w:ascii="Calibri" w:hAnsi="Calibri" w:cs="Calibri"/>
                <w:b/>
                <w:bCs/>
                <w:color w:val="FFFFFF"/>
              </w:rPr>
            </w:pPr>
          </w:p>
          <w:p w:rsidR="00FF24CA" w:rsidRPr="00F540CE" w:rsidRDefault="00FF24CA" w:rsidP="00FF24CA">
            <w:pPr>
              <w:spacing w:after="0"/>
              <w:jc w:val="center"/>
              <w:rPr>
                <w:rFonts w:ascii="Calibri" w:hAnsi="Calibri" w:cs="Calibri"/>
                <w:b/>
                <w:bCs/>
                <w:color w:val="FFFFFF"/>
              </w:rPr>
            </w:pPr>
            <w:r w:rsidRPr="00F540CE">
              <w:rPr>
                <w:rFonts w:ascii="Calibri" w:hAnsi="Calibri" w:cs="Calibri"/>
                <w:b/>
                <w:bCs/>
                <w:color w:val="FFFFFF"/>
              </w:rPr>
              <w:t>KADRO UNVANLARI</w:t>
            </w:r>
          </w:p>
        </w:tc>
        <w:tc>
          <w:tcPr>
            <w:tcW w:w="311" w:type="pct"/>
            <w:vMerge w:val="restart"/>
            <w:shd w:val="clear" w:color="auto" w:fill="6E9ECA"/>
            <w:vAlign w:val="center"/>
          </w:tcPr>
          <w:p w:rsidR="00FF24CA" w:rsidRPr="00F540CE" w:rsidRDefault="00FF24CA" w:rsidP="00FF24CA">
            <w:pPr>
              <w:spacing w:after="0"/>
              <w:jc w:val="center"/>
              <w:rPr>
                <w:rFonts w:ascii="Calibri" w:hAnsi="Calibri" w:cs="Calibri"/>
                <w:b/>
                <w:bCs/>
                <w:color w:val="FFFFFF"/>
              </w:rPr>
            </w:pPr>
            <w:r w:rsidRPr="00F540CE">
              <w:rPr>
                <w:rFonts w:ascii="Calibri" w:hAnsi="Calibri" w:cs="Calibri"/>
                <w:b/>
                <w:bCs/>
                <w:color w:val="FFFFFF"/>
              </w:rPr>
              <w:br/>
              <w:t>SAYI</w:t>
            </w:r>
          </w:p>
        </w:tc>
        <w:tc>
          <w:tcPr>
            <w:tcW w:w="1140" w:type="pct"/>
            <w:gridSpan w:val="5"/>
            <w:shd w:val="clear" w:color="auto" w:fill="6E9ECA"/>
            <w:noWrap/>
            <w:vAlign w:val="center"/>
          </w:tcPr>
          <w:p w:rsidR="00FF24CA" w:rsidRPr="00F540CE" w:rsidRDefault="00FF24CA" w:rsidP="00FF24CA">
            <w:pPr>
              <w:spacing w:after="0"/>
              <w:jc w:val="center"/>
              <w:rPr>
                <w:rFonts w:ascii="Calibri" w:hAnsi="Calibri" w:cs="Calibri"/>
                <w:b/>
                <w:bCs/>
                <w:color w:val="FFFFFF"/>
              </w:rPr>
            </w:pPr>
            <w:r w:rsidRPr="00F540CE">
              <w:rPr>
                <w:rFonts w:ascii="Calibri" w:hAnsi="Calibri" w:cs="Calibri"/>
                <w:b/>
                <w:bCs/>
                <w:color w:val="FFFFFF"/>
              </w:rPr>
              <w:t>ÖĞRENİM DURUMU</w:t>
            </w:r>
          </w:p>
        </w:tc>
        <w:tc>
          <w:tcPr>
            <w:tcW w:w="558" w:type="pct"/>
            <w:gridSpan w:val="2"/>
            <w:shd w:val="clear" w:color="auto" w:fill="6E9ECA"/>
            <w:noWrap/>
            <w:vAlign w:val="center"/>
          </w:tcPr>
          <w:p w:rsidR="00FF24CA" w:rsidRPr="00F540CE" w:rsidRDefault="00FF24CA" w:rsidP="00FF24CA">
            <w:pPr>
              <w:spacing w:after="0"/>
              <w:ind w:right="-157"/>
              <w:rPr>
                <w:rFonts w:ascii="Calibri" w:hAnsi="Calibri" w:cs="Calibri"/>
                <w:b/>
                <w:bCs/>
                <w:color w:val="FFFFFF"/>
              </w:rPr>
            </w:pPr>
            <w:r w:rsidRPr="00F540CE">
              <w:rPr>
                <w:rFonts w:ascii="Calibri" w:hAnsi="Calibri" w:cs="Calibri"/>
                <w:b/>
                <w:bCs/>
                <w:color w:val="FFFFFF"/>
              </w:rPr>
              <w:t>CİNSİYETİ</w:t>
            </w:r>
          </w:p>
        </w:tc>
        <w:tc>
          <w:tcPr>
            <w:tcW w:w="1506" w:type="pct"/>
            <w:gridSpan w:val="6"/>
            <w:shd w:val="clear" w:color="auto" w:fill="6E9ECA"/>
            <w:vAlign w:val="center"/>
          </w:tcPr>
          <w:p w:rsidR="00FF24CA" w:rsidRPr="00F540CE" w:rsidRDefault="00FF24CA" w:rsidP="00FF24CA">
            <w:pPr>
              <w:spacing w:after="0"/>
              <w:ind w:right="-157"/>
              <w:jc w:val="center"/>
              <w:rPr>
                <w:rFonts w:ascii="Calibri" w:hAnsi="Calibri" w:cs="Calibri"/>
                <w:b/>
                <w:bCs/>
                <w:color w:val="FFFFFF"/>
              </w:rPr>
            </w:pPr>
            <w:r w:rsidRPr="00F540CE">
              <w:rPr>
                <w:rFonts w:ascii="Calibri" w:hAnsi="Calibri" w:cs="Calibri"/>
                <w:b/>
                <w:bCs/>
                <w:color w:val="FFFFFF"/>
              </w:rPr>
              <w:t>AYRILMA NEDENİ</w:t>
            </w:r>
          </w:p>
        </w:tc>
      </w:tr>
      <w:tr w:rsidR="00FF24CA" w:rsidRPr="00F540CE" w:rsidTr="00FF24CA">
        <w:trPr>
          <w:trHeight w:val="1737"/>
        </w:trPr>
        <w:tc>
          <w:tcPr>
            <w:tcW w:w="1484" w:type="pct"/>
            <w:vMerge/>
            <w:shd w:val="clear" w:color="auto" w:fill="6E9ECA"/>
            <w:vAlign w:val="center"/>
          </w:tcPr>
          <w:p w:rsidR="00FF24CA" w:rsidRPr="00F540CE" w:rsidRDefault="00FF24CA" w:rsidP="00FF24CA">
            <w:pPr>
              <w:spacing w:after="0"/>
              <w:rPr>
                <w:rFonts w:ascii="Calibri" w:hAnsi="Calibri" w:cs="Calibri"/>
                <w:b/>
                <w:bCs/>
                <w:color w:val="FFFFFF"/>
              </w:rPr>
            </w:pPr>
          </w:p>
        </w:tc>
        <w:tc>
          <w:tcPr>
            <w:tcW w:w="311" w:type="pct"/>
            <w:vMerge/>
            <w:shd w:val="clear" w:color="auto" w:fill="6E9ECA"/>
            <w:vAlign w:val="center"/>
          </w:tcPr>
          <w:p w:rsidR="00FF24CA" w:rsidRPr="00F540CE" w:rsidRDefault="00FF24CA" w:rsidP="00FF24CA">
            <w:pPr>
              <w:spacing w:after="0"/>
              <w:rPr>
                <w:rFonts w:ascii="Calibri" w:hAnsi="Calibri" w:cs="Calibri"/>
                <w:b/>
                <w:bCs/>
                <w:color w:val="FFFFFF"/>
              </w:rPr>
            </w:pPr>
          </w:p>
        </w:tc>
        <w:tc>
          <w:tcPr>
            <w:tcW w:w="236" w:type="pct"/>
            <w:shd w:val="clear" w:color="auto" w:fill="6E9ECA"/>
            <w:noWrap/>
            <w:textDirection w:val="btLr"/>
            <w:vAlign w:val="center"/>
          </w:tcPr>
          <w:p w:rsidR="00FF24CA" w:rsidRPr="00F540CE" w:rsidRDefault="00FF24CA" w:rsidP="00FF24CA">
            <w:pPr>
              <w:spacing w:after="0"/>
              <w:jc w:val="center"/>
              <w:rPr>
                <w:rFonts w:ascii="Calibri" w:hAnsi="Calibri" w:cs="Calibri"/>
                <w:b/>
                <w:bCs/>
                <w:color w:val="FFFFFF"/>
              </w:rPr>
            </w:pPr>
            <w:r w:rsidRPr="00F540CE">
              <w:rPr>
                <w:rFonts w:ascii="Calibri" w:hAnsi="Calibri" w:cs="Calibri"/>
                <w:b/>
                <w:bCs/>
                <w:color w:val="FFFFFF"/>
              </w:rPr>
              <w:t>ORTAÖĞRETİM</w:t>
            </w:r>
          </w:p>
        </w:tc>
        <w:tc>
          <w:tcPr>
            <w:tcW w:w="234" w:type="pct"/>
            <w:shd w:val="clear" w:color="auto" w:fill="6E9ECA"/>
            <w:textDirection w:val="btLr"/>
          </w:tcPr>
          <w:p w:rsidR="00FF24CA" w:rsidRPr="00F540CE" w:rsidRDefault="00FF24CA" w:rsidP="00FF24CA">
            <w:pPr>
              <w:spacing w:after="0"/>
              <w:jc w:val="center"/>
              <w:rPr>
                <w:rFonts w:ascii="Calibri" w:hAnsi="Calibri" w:cs="Calibri"/>
                <w:b/>
                <w:bCs/>
                <w:color w:val="FFFFFF"/>
              </w:rPr>
            </w:pPr>
            <w:r w:rsidRPr="00F540CE">
              <w:rPr>
                <w:rFonts w:ascii="Calibri" w:hAnsi="Calibri" w:cs="Calibri"/>
                <w:b/>
                <w:bCs/>
                <w:color w:val="FFFFFF"/>
              </w:rPr>
              <w:t>2 YILLIK Y.O.</w:t>
            </w:r>
          </w:p>
        </w:tc>
        <w:tc>
          <w:tcPr>
            <w:tcW w:w="235" w:type="pct"/>
            <w:shd w:val="clear" w:color="auto" w:fill="6E9ECA"/>
            <w:textDirection w:val="btLr"/>
            <w:vAlign w:val="center"/>
          </w:tcPr>
          <w:p w:rsidR="00FF24CA" w:rsidRPr="00F540CE" w:rsidRDefault="00FF24CA" w:rsidP="00FF24CA">
            <w:pPr>
              <w:spacing w:after="0"/>
              <w:jc w:val="center"/>
              <w:rPr>
                <w:rFonts w:ascii="Calibri" w:hAnsi="Calibri" w:cs="Calibri"/>
                <w:b/>
                <w:bCs/>
                <w:color w:val="FFFFFF"/>
              </w:rPr>
            </w:pPr>
            <w:r w:rsidRPr="00F540CE">
              <w:rPr>
                <w:rFonts w:ascii="Calibri" w:hAnsi="Calibri" w:cs="Calibri"/>
                <w:b/>
                <w:bCs/>
                <w:color w:val="FFFFFF"/>
              </w:rPr>
              <w:t>4 YILLIK Y.O.</w:t>
            </w:r>
          </w:p>
        </w:tc>
        <w:tc>
          <w:tcPr>
            <w:tcW w:w="184" w:type="pct"/>
            <w:shd w:val="clear" w:color="auto" w:fill="6E9ECA"/>
            <w:textDirection w:val="btLr"/>
            <w:vAlign w:val="center"/>
          </w:tcPr>
          <w:p w:rsidR="00FF24CA" w:rsidRPr="00F540CE" w:rsidRDefault="00FF24CA" w:rsidP="00FF24CA">
            <w:pPr>
              <w:spacing w:after="0"/>
              <w:jc w:val="center"/>
              <w:rPr>
                <w:rFonts w:ascii="Calibri" w:hAnsi="Calibri" w:cs="Calibri"/>
                <w:b/>
                <w:bCs/>
                <w:color w:val="FFFFFF"/>
              </w:rPr>
            </w:pPr>
            <w:r w:rsidRPr="00F540CE">
              <w:rPr>
                <w:rFonts w:ascii="Calibri" w:hAnsi="Calibri" w:cs="Calibri"/>
                <w:b/>
                <w:bCs/>
                <w:color w:val="FFFFFF"/>
              </w:rPr>
              <w:t>MASTER</w:t>
            </w:r>
          </w:p>
        </w:tc>
        <w:tc>
          <w:tcPr>
            <w:tcW w:w="251" w:type="pct"/>
            <w:shd w:val="clear" w:color="auto" w:fill="6E9ECA"/>
            <w:textDirection w:val="btLr"/>
          </w:tcPr>
          <w:p w:rsidR="00FF24CA" w:rsidRPr="00F540CE" w:rsidRDefault="00FF24CA" w:rsidP="00FF24CA">
            <w:pPr>
              <w:spacing w:after="0"/>
              <w:jc w:val="center"/>
              <w:rPr>
                <w:rFonts w:ascii="Calibri" w:hAnsi="Calibri" w:cs="Calibri"/>
                <w:b/>
                <w:bCs/>
                <w:color w:val="FFFFFF"/>
              </w:rPr>
            </w:pPr>
            <w:r w:rsidRPr="00F540CE">
              <w:rPr>
                <w:rFonts w:ascii="Calibri" w:hAnsi="Calibri" w:cs="Calibri"/>
                <w:b/>
                <w:bCs/>
                <w:color w:val="FFFFFF"/>
              </w:rPr>
              <w:t>DOKTORA</w:t>
            </w:r>
          </w:p>
        </w:tc>
        <w:tc>
          <w:tcPr>
            <w:tcW w:w="279" w:type="pct"/>
            <w:shd w:val="clear" w:color="auto" w:fill="6E9ECA"/>
            <w:textDirection w:val="btLr"/>
          </w:tcPr>
          <w:p w:rsidR="00FF24CA" w:rsidRPr="00F540CE" w:rsidRDefault="00FF24CA" w:rsidP="00FF24CA">
            <w:pPr>
              <w:spacing w:after="0"/>
              <w:jc w:val="center"/>
              <w:rPr>
                <w:rFonts w:ascii="Calibri" w:hAnsi="Calibri" w:cs="Calibri"/>
                <w:b/>
                <w:bCs/>
                <w:color w:val="FFFFFF"/>
              </w:rPr>
            </w:pPr>
            <w:r w:rsidRPr="00F540CE">
              <w:rPr>
                <w:rFonts w:ascii="Calibri" w:hAnsi="Calibri" w:cs="Calibri"/>
                <w:b/>
                <w:bCs/>
                <w:color w:val="FFFFFF"/>
              </w:rPr>
              <w:t>KADIN</w:t>
            </w:r>
          </w:p>
        </w:tc>
        <w:tc>
          <w:tcPr>
            <w:tcW w:w="279" w:type="pct"/>
            <w:shd w:val="clear" w:color="auto" w:fill="6E9ECA"/>
            <w:textDirection w:val="btLr"/>
          </w:tcPr>
          <w:p w:rsidR="00FF24CA" w:rsidRPr="00F540CE" w:rsidRDefault="00FF24CA" w:rsidP="00FF24CA">
            <w:pPr>
              <w:spacing w:after="0"/>
              <w:jc w:val="center"/>
              <w:rPr>
                <w:rFonts w:ascii="Calibri" w:hAnsi="Calibri" w:cs="Calibri"/>
                <w:b/>
                <w:bCs/>
                <w:color w:val="FFFFFF"/>
              </w:rPr>
            </w:pPr>
            <w:r w:rsidRPr="00F540CE">
              <w:rPr>
                <w:rFonts w:ascii="Calibri" w:hAnsi="Calibri" w:cs="Calibri"/>
                <w:b/>
                <w:bCs/>
                <w:color w:val="FFFFFF"/>
              </w:rPr>
              <w:t>ERKEK</w:t>
            </w:r>
          </w:p>
        </w:tc>
        <w:tc>
          <w:tcPr>
            <w:tcW w:w="251" w:type="pct"/>
            <w:shd w:val="clear" w:color="auto" w:fill="6E9ECA"/>
            <w:textDirection w:val="btLr"/>
          </w:tcPr>
          <w:p w:rsidR="00FF24CA" w:rsidRPr="00F540CE" w:rsidRDefault="00FF24CA" w:rsidP="00FF24CA">
            <w:pPr>
              <w:spacing w:after="0"/>
              <w:jc w:val="center"/>
              <w:rPr>
                <w:rFonts w:ascii="Calibri" w:hAnsi="Calibri" w:cs="Calibri"/>
                <w:b/>
                <w:bCs/>
                <w:color w:val="FFFFFF"/>
              </w:rPr>
            </w:pPr>
            <w:r w:rsidRPr="00F540CE">
              <w:rPr>
                <w:rFonts w:ascii="Calibri" w:hAnsi="Calibri" w:cs="Calibri"/>
                <w:b/>
                <w:bCs/>
                <w:color w:val="FFFFFF"/>
              </w:rPr>
              <w:t>İSTİFA</w:t>
            </w:r>
          </w:p>
        </w:tc>
        <w:tc>
          <w:tcPr>
            <w:tcW w:w="251" w:type="pct"/>
            <w:shd w:val="clear" w:color="auto" w:fill="6E9ECA"/>
            <w:textDirection w:val="btLr"/>
          </w:tcPr>
          <w:p w:rsidR="00FF24CA" w:rsidRPr="00F540CE" w:rsidRDefault="00FF24CA" w:rsidP="00FF24CA">
            <w:pPr>
              <w:spacing w:after="0"/>
              <w:jc w:val="center"/>
              <w:rPr>
                <w:rFonts w:ascii="Calibri" w:hAnsi="Calibri" w:cs="Calibri"/>
                <w:b/>
                <w:bCs/>
                <w:color w:val="FFFFFF"/>
              </w:rPr>
            </w:pPr>
            <w:r w:rsidRPr="00F540CE">
              <w:rPr>
                <w:rFonts w:ascii="Calibri" w:hAnsi="Calibri" w:cs="Calibri"/>
                <w:b/>
                <w:bCs/>
                <w:color w:val="FFFFFF"/>
              </w:rPr>
              <w:t>EMEKLİLİK</w:t>
            </w:r>
          </w:p>
        </w:tc>
        <w:tc>
          <w:tcPr>
            <w:tcW w:w="251" w:type="pct"/>
            <w:shd w:val="clear" w:color="auto" w:fill="6E9ECA"/>
            <w:textDirection w:val="btLr"/>
            <w:vAlign w:val="center"/>
          </w:tcPr>
          <w:p w:rsidR="00FF24CA" w:rsidRPr="00F540CE" w:rsidRDefault="00FF24CA" w:rsidP="00FF24CA">
            <w:pPr>
              <w:spacing w:after="0"/>
              <w:jc w:val="center"/>
              <w:rPr>
                <w:rFonts w:ascii="Calibri" w:hAnsi="Calibri" w:cs="Calibri"/>
                <w:b/>
                <w:bCs/>
                <w:color w:val="FFFFFF"/>
              </w:rPr>
            </w:pPr>
            <w:r w:rsidRPr="00F540CE">
              <w:rPr>
                <w:rFonts w:ascii="Calibri" w:hAnsi="Calibri" w:cs="Calibri"/>
                <w:b/>
                <w:bCs/>
                <w:color w:val="FFFFFF"/>
              </w:rPr>
              <w:t>NAKİL</w:t>
            </w:r>
          </w:p>
        </w:tc>
        <w:tc>
          <w:tcPr>
            <w:tcW w:w="251" w:type="pct"/>
            <w:shd w:val="clear" w:color="auto" w:fill="6E9ECA"/>
            <w:textDirection w:val="btLr"/>
          </w:tcPr>
          <w:p w:rsidR="00FF24CA" w:rsidRPr="00F540CE" w:rsidRDefault="00FF24CA" w:rsidP="00FF24CA">
            <w:pPr>
              <w:spacing w:after="0"/>
              <w:jc w:val="center"/>
              <w:rPr>
                <w:rFonts w:ascii="Calibri" w:hAnsi="Calibri" w:cs="Calibri"/>
                <w:b/>
                <w:bCs/>
                <w:color w:val="FFFFFF"/>
              </w:rPr>
            </w:pPr>
            <w:r w:rsidRPr="00F540CE">
              <w:rPr>
                <w:rFonts w:ascii="Calibri" w:hAnsi="Calibri" w:cs="Calibri"/>
                <w:b/>
                <w:bCs/>
                <w:color w:val="FFFFFF"/>
              </w:rPr>
              <w:t>İHRAÇ</w:t>
            </w:r>
          </w:p>
        </w:tc>
        <w:tc>
          <w:tcPr>
            <w:tcW w:w="251" w:type="pct"/>
            <w:shd w:val="clear" w:color="auto" w:fill="6E9ECA"/>
            <w:textDirection w:val="btLr"/>
          </w:tcPr>
          <w:p w:rsidR="00FF24CA" w:rsidRPr="00F540CE" w:rsidRDefault="00FF24CA" w:rsidP="00FF24CA">
            <w:pPr>
              <w:spacing w:after="0"/>
              <w:jc w:val="center"/>
              <w:rPr>
                <w:rFonts w:ascii="Calibri" w:hAnsi="Calibri" w:cs="Calibri"/>
                <w:b/>
                <w:bCs/>
                <w:color w:val="FFFFFF"/>
              </w:rPr>
            </w:pPr>
            <w:r w:rsidRPr="00F540CE">
              <w:rPr>
                <w:rFonts w:ascii="Calibri" w:hAnsi="Calibri" w:cs="Calibri"/>
                <w:b/>
                <w:bCs/>
                <w:color w:val="FFFFFF"/>
              </w:rPr>
              <w:t>MÜSTAFİ</w:t>
            </w:r>
          </w:p>
        </w:tc>
        <w:tc>
          <w:tcPr>
            <w:tcW w:w="251" w:type="pct"/>
            <w:shd w:val="clear" w:color="auto" w:fill="6E9ECA"/>
            <w:textDirection w:val="btLr"/>
          </w:tcPr>
          <w:p w:rsidR="00FF24CA" w:rsidRPr="00F540CE" w:rsidRDefault="00FF24CA" w:rsidP="00FF24CA">
            <w:pPr>
              <w:spacing w:after="0"/>
              <w:jc w:val="center"/>
              <w:rPr>
                <w:rFonts w:ascii="Calibri" w:hAnsi="Calibri" w:cs="Calibri"/>
                <w:b/>
                <w:bCs/>
                <w:color w:val="FFFFFF"/>
              </w:rPr>
            </w:pPr>
            <w:r w:rsidRPr="00F540CE">
              <w:rPr>
                <w:rFonts w:ascii="Calibri" w:hAnsi="Calibri" w:cs="Calibri"/>
                <w:b/>
                <w:bCs/>
                <w:color w:val="FFFFFF"/>
              </w:rPr>
              <w:t>VEFAT</w:t>
            </w:r>
          </w:p>
        </w:tc>
      </w:tr>
      <w:tr w:rsidR="00FF24CA" w:rsidRPr="00F540CE" w:rsidTr="00FF24CA">
        <w:trPr>
          <w:trHeight w:val="397"/>
        </w:trPr>
        <w:tc>
          <w:tcPr>
            <w:tcW w:w="1484" w:type="pct"/>
            <w:shd w:val="clear" w:color="auto" w:fill="auto"/>
            <w:noWrap/>
            <w:vAlign w:val="bottom"/>
          </w:tcPr>
          <w:p w:rsidR="00FF24CA" w:rsidRPr="00F540CE" w:rsidRDefault="00FF24CA" w:rsidP="00FF24CA">
            <w:pPr>
              <w:spacing w:after="0"/>
              <w:rPr>
                <w:rFonts w:ascii="Calibri" w:hAnsi="Calibri" w:cs="Calibri"/>
                <w:color w:val="000000"/>
              </w:rPr>
            </w:pPr>
            <w:r w:rsidRPr="00F540CE">
              <w:rPr>
                <w:rFonts w:ascii="Calibri" w:hAnsi="Calibri" w:cs="Calibri"/>
                <w:color w:val="000000"/>
              </w:rPr>
              <w:t>Enerji Uzmanı</w:t>
            </w:r>
          </w:p>
        </w:tc>
        <w:tc>
          <w:tcPr>
            <w:tcW w:w="311"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10</w:t>
            </w:r>
          </w:p>
        </w:tc>
        <w:tc>
          <w:tcPr>
            <w:tcW w:w="23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34"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35" w:type="pct"/>
            <w:shd w:val="clear" w:color="auto" w:fill="auto"/>
            <w:noWrap/>
            <w:vAlign w:val="center"/>
          </w:tcPr>
          <w:p w:rsidR="00FF24CA" w:rsidRPr="00F540CE" w:rsidRDefault="00FF24CA" w:rsidP="00FF24CA">
            <w:pPr>
              <w:spacing w:after="0"/>
              <w:rPr>
                <w:rFonts w:ascii="Calibri" w:hAnsi="Calibri" w:cs="Calibri"/>
                <w:color w:val="000000"/>
              </w:rPr>
            </w:pPr>
            <w:r>
              <w:rPr>
                <w:rFonts w:ascii="Calibri" w:hAnsi="Calibri" w:cs="Calibri"/>
                <w:color w:val="000000"/>
              </w:rPr>
              <w:t xml:space="preserve">  7</w:t>
            </w:r>
          </w:p>
        </w:tc>
        <w:tc>
          <w:tcPr>
            <w:tcW w:w="184"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3</w:t>
            </w:r>
          </w:p>
        </w:tc>
        <w:tc>
          <w:tcPr>
            <w:tcW w:w="251"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79"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3</w:t>
            </w:r>
          </w:p>
        </w:tc>
        <w:tc>
          <w:tcPr>
            <w:tcW w:w="279"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7</w:t>
            </w:r>
          </w:p>
        </w:tc>
        <w:tc>
          <w:tcPr>
            <w:tcW w:w="251" w:type="pct"/>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6</w:t>
            </w:r>
          </w:p>
        </w:tc>
        <w:tc>
          <w:tcPr>
            <w:tcW w:w="251" w:type="pct"/>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3</w:t>
            </w:r>
          </w:p>
        </w:tc>
        <w:tc>
          <w:tcPr>
            <w:tcW w:w="251" w:type="pct"/>
            <w:vAlign w:val="center"/>
          </w:tcPr>
          <w:p w:rsidR="00FF24CA" w:rsidRPr="00F540CE" w:rsidRDefault="00FF24CA" w:rsidP="00FF24CA">
            <w:pPr>
              <w:spacing w:after="0"/>
              <w:jc w:val="center"/>
              <w:rPr>
                <w:rFonts w:ascii="Calibri" w:hAnsi="Calibri" w:cs="Calibri"/>
                <w:color w:val="000000"/>
              </w:rPr>
            </w:pPr>
          </w:p>
        </w:tc>
        <w:tc>
          <w:tcPr>
            <w:tcW w:w="251" w:type="pct"/>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1</w:t>
            </w:r>
          </w:p>
        </w:tc>
        <w:tc>
          <w:tcPr>
            <w:tcW w:w="251" w:type="pct"/>
          </w:tcPr>
          <w:p w:rsidR="00FF24CA" w:rsidRPr="00F540CE" w:rsidRDefault="00FF24CA" w:rsidP="00FF24CA">
            <w:pPr>
              <w:spacing w:after="0"/>
              <w:jc w:val="center"/>
              <w:rPr>
                <w:rFonts w:ascii="Calibri" w:hAnsi="Calibri" w:cs="Calibri"/>
                <w:color w:val="000000"/>
              </w:rPr>
            </w:pPr>
          </w:p>
        </w:tc>
        <w:tc>
          <w:tcPr>
            <w:tcW w:w="251" w:type="pct"/>
          </w:tcPr>
          <w:p w:rsidR="00FF24CA" w:rsidRPr="00F540CE" w:rsidRDefault="00FF24CA" w:rsidP="00FF24CA">
            <w:pPr>
              <w:spacing w:after="0"/>
              <w:jc w:val="center"/>
              <w:rPr>
                <w:rFonts w:ascii="Calibri" w:hAnsi="Calibri" w:cs="Calibri"/>
                <w:color w:val="000000"/>
              </w:rPr>
            </w:pPr>
          </w:p>
        </w:tc>
      </w:tr>
      <w:tr w:rsidR="00FF24CA" w:rsidRPr="00F540CE" w:rsidTr="00FF24CA">
        <w:trPr>
          <w:trHeight w:val="397"/>
        </w:trPr>
        <w:tc>
          <w:tcPr>
            <w:tcW w:w="1484" w:type="pct"/>
            <w:shd w:val="clear" w:color="auto" w:fill="auto"/>
            <w:vAlign w:val="bottom"/>
          </w:tcPr>
          <w:p w:rsidR="00FF24CA" w:rsidRPr="00F540CE" w:rsidRDefault="00FF24CA" w:rsidP="00FF24CA">
            <w:pPr>
              <w:spacing w:after="0"/>
              <w:rPr>
                <w:rFonts w:ascii="Calibri" w:hAnsi="Calibri" w:cs="Calibri"/>
                <w:color w:val="000000"/>
              </w:rPr>
            </w:pPr>
            <w:r w:rsidRPr="000C601F">
              <w:rPr>
                <w:rFonts w:ascii="Calibri" w:hAnsi="Calibri" w:cs="Calibri"/>
                <w:color w:val="000000"/>
              </w:rPr>
              <w:t>Enerji Uzman Yardımcısı</w:t>
            </w:r>
          </w:p>
        </w:tc>
        <w:tc>
          <w:tcPr>
            <w:tcW w:w="311"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2</w:t>
            </w:r>
          </w:p>
        </w:tc>
        <w:tc>
          <w:tcPr>
            <w:tcW w:w="23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34"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35"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2</w:t>
            </w:r>
          </w:p>
        </w:tc>
        <w:tc>
          <w:tcPr>
            <w:tcW w:w="184"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51"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79"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1</w:t>
            </w:r>
          </w:p>
        </w:tc>
        <w:tc>
          <w:tcPr>
            <w:tcW w:w="279"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1</w:t>
            </w:r>
          </w:p>
        </w:tc>
        <w:tc>
          <w:tcPr>
            <w:tcW w:w="251" w:type="pct"/>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2</w:t>
            </w:r>
          </w:p>
        </w:tc>
        <w:tc>
          <w:tcPr>
            <w:tcW w:w="251" w:type="pct"/>
            <w:vAlign w:val="center"/>
          </w:tcPr>
          <w:p w:rsidR="00FF24CA" w:rsidRPr="00F540CE" w:rsidRDefault="00FF24CA" w:rsidP="00FF24CA">
            <w:pPr>
              <w:spacing w:after="0"/>
              <w:jc w:val="center"/>
              <w:rPr>
                <w:rFonts w:ascii="Calibri" w:hAnsi="Calibri" w:cs="Calibri"/>
                <w:color w:val="000000"/>
              </w:rPr>
            </w:pPr>
          </w:p>
        </w:tc>
        <w:tc>
          <w:tcPr>
            <w:tcW w:w="251" w:type="pct"/>
            <w:vAlign w:val="center"/>
          </w:tcPr>
          <w:p w:rsidR="00FF24CA" w:rsidRPr="00F540CE" w:rsidRDefault="00FF24CA" w:rsidP="00FF24CA">
            <w:pPr>
              <w:spacing w:after="0"/>
              <w:jc w:val="center"/>
              <w:rPr>
                <w:rFonts w:ascii="Calibri" w:hAnsi="Calibri" w:cs="Calibri"/>
                <w:color w:val="000000"/>
              </w:rPr>
            </w:pPr>
          </w:p>
        </w:tc>
        <w:tc>
          <w:tcPr>
            <w:tcW w:w="251" w:type="pct"/>
            <w:vAlign w:val="center"/>
          </w:tcPr>
          <w:p w:rsidR="00FF24CA" w:rsidRPr="00F540CE" w:rsidRDefault="00FF24CA" w:rsidP="00FF24CA">
            <w:pPr>
              <w:spacing w:after="0"/>
              <w:jc w:val="center"/>
              <w:rPr>
                <w:rFonts w:ascii="Calibri" w:hAnsi="Calibri" w:cs="Calibri"/>
                <w:color w:val="000000"/>
              </w:rPr>
            </w:pPr>
          </w:p>
        </w:tc>
        <w:tc>
          <w:tcPr>
            <w:tcW w:w="251" w:type="pct"/>
          </w:tcPr>
          <w:p w:rsidR="00FF24CA" w:rsidRPr="00F540CE" w:rsidRDefault="00FF24CA" w:rsidP="00FF24CA">
            <w:pPr>
              <w:spacing w:after="0"/>
              <w:jc w:val="center"/>
              <w:rPr>
                <w:rFonts w:ascii="Calibri" w:hAnsi="Calibri" w:cs="Calibri"/>
                <w:color w:val="000000"/>
              </w:rPr>
            </w:pPr>
          </w:p>
        </w:tc>
        <w:tc>
          <w:tcPr>
            <w:tcW w:w="251" w:type="pct"/>
          </w:tcPr>
          <w:p w:rsidR="00FF24CA" w:rsidRPr="00F540CE" w:rsidRDefault="00FF24CA" w:rsidP="00FF24CA">
            <w:pPr>
              <w:spacing w:after="0"/>
              <w:jc w:val="center"/>
              <w:rPr>
                <w:rFonts w:ascii="Calibri" w:hAnsi="Calibri" w:cs="Calibri"/>
                <w:color w:val="000000"/>
              </w:rPr>
            </w:pPr>
          </w:p>
        </w:tc>
      </w:tr>
      <w:tr w:rsidR="00FF24CA" w:rsidRPr="00F540CE" w:rsidTr="00FF24CA">
        <w:trPr>
          <w:trHeight w:val="397"/>
        </w:trPr>
        <w:tc>
          <w:tcPr>
            <w:tcW w:w="1484" w:type="pct"/>
            <w:shd w:val="clear" w:color="auto" w:fill="auto"/>
            <w:noWrap/>
            <w:vAlign w:val="bottom"/>
          </w:tcPr>
          <w:p w:rsidR="00FF24CA" w:rsidRPr="00F540CE" w:rsidRDefault="00FF24CA" w:rsidP="00FF24CA">
            <w:pPr>
              <w:spacing w:after="0"/>
              <w:rPr>
                <w:rFonts w:ascii="Calibri" w:hAnsi="Calibri" w:cs="Calibri"/>
                <w:color w:val="000000"/>
              </w:rPr>
            </w:pPr>
            <w:r w:rsidRPr="00F540CE">
              <w:rPr>
                <w:rFonts w:ascii="Calibri" w:hAnsi="Calibri" w:cs="Calibri"/>
                <w:color w:val="000000"/>
              </w:rPr>
              <w:t>Grup Başkanı</w:t>
            </w:r>
          </w:p>
        </w:tc>
        <w:tc>
          <w:tcPr>
            <w:tcW w:w="311"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1</w:t>
            </w:r>
          </w:p>
        </w:tc>
        <w:tc>
          <w:tcPr>
            <w:tcW w:w="23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34"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35"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184"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1</w:t>
            </w:r>
          </w:p>
        </w:tc>
        <w:tc>
          <w:tcPr>
            <w:tcW w:w="251"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79"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1</w:t>
            </w:r>
          </w:p>
        </w:tc>
        <w:tc>
          <w:tcPr>
            <w:tcW w:w="279"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51" w:type="pct"/>
            <w:vAlign w:val="center"/>
          </w:tcPr>
          <w:p w:rsidR="00FF24CA" w:rsidRPr="00F540CE" w:rsidRDefault="00FF24CA" w:rsidP="00FF24CA">
            <w:pPr>
              <w:spacing w:after="0"/>
              <w:jc w:val="center"/>
              <w:rPr>
                <w:rFonts w:ascii="Calibri" w:hAnsi="Calibri" w:cs="Calibri"/>
                <w:color w:val="000000"/>
              </w:rPr>
            </w:pPr>
          </w:p>
        </w:tc>
        <w:tc>
          <w:tcPr>
            <w:tcW w:w="251" w:type="pct"/>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1</w:t>
            </w:r>
          </w:p>
        </w:tc>
        <w:tc>
          <w:tcPr>
            <w:tcW w:w="251" w:type="pct"/>
            <w:vAlign w:val="center"/>
          </w:tcPr>
          <w:p w:rsidR="00FF24CA" w:rsidRPr="00F540CE" w:rsidRDefault="00FF24CA" w:rsidP="00FF24CA">
            <w:pPr>
              <w:spacing w:after="0"/>
              <w:jc w:val="center"/>
              <w:rPr>
                <w:rFonts w:ascii="Calibri" w:hAnsi="Calibri" w:cs="Calibri"/>
                <w:color w:val="000000"/>
              </w:rPr>
            </w:pPr>
          </w:p>
        </w:tc>
        <w:tc>
          <w:tcPr>
            <w:tcW w:w="251" w:type="pct"/>
            <w:vAlign w:val="center"/>
          </w:tcPr>
          <w:p w:rsidR="00FF24CA" w:rsidRPr="00F540CE" w:rsidRDefault="00FF24CA" w:rsidP="00FF24CA">
            <w:pPr>
              <w:spacing w:after="0"/>
              <w:jc w:val="center"/>
              <w:rPr>
                <w:rFonts w:ascii="Calibri" w:hAnsi="Calibri" w:cs="Calibri"/>
                <w:color w:val="000000"/>
              </w:rPr>
            </w:pPr>
          </w:p>
        </w:tc>
        <w:tc>
          <w:tcPr>
            <w:tcW w:w="251" w:type="pct"/>
          </w:tcPr>
          <w:p w:rsidR="00FF24CA" w:rsidRPr="00F540CE" w:rsidRDefault="00FF24CA" w:rsidP="00FF24CA">
            <w:pPr>
              <w:spacing w:after="0"/>
              <w:jc w:val="center"/>
              <w:rPr>
                <w:rFonts w:ascii="Calibri" w:hAnsi="Calibri" w:cs="Calibri"/>
                <w:color w:val="000000"/>
              </w:rPr>
            </w:pPr>
          </w:p>
        </w:tc>
        <w:tc>
          <w:tcPr>
            <w:tcW w:w="251" w:type="pct"/>
          </w:tcPr>
          <w:p w:rsidR="00FF24CA" w:rsidRPr="00F540CE" w:rsidRDefault="00FF24CA" w:rsidP="00FF24CA">
            <w:pPr>
              <w:spacing w:after="0"/>
              <w:jc w:val="center"/>
              <w:rPr>
                <w:rFonts w:ascii="Calibri" w:hAnsi="Calibri" w:cs="Calibri"/>
                <w:color w:val="000000"/>
              </w:rPr>
            </w:pPr>
          </w:p>
        </w:tc>
      </w:tr>
      <w:tr w:rsidR="00FF24CA" w:rsidRPr="00F540CE" w:rsidTr="00FF24CA">
        <w:trPr>
          <w:trHeight w:val="397"/>
        </w:trPr>
        <w:tc>
          <w:tcPr>
            <w:tcW w:w="1484" w:type="pct"/>
            <w:shd w:val="clear" w:color="auto" w:fill="auto"/>
            <w:vAlign w:val="bottom"/>
          </w:tcPr>
          <w:p w:rsidR="00FF24CA" w:rsidRPr="00F540CE" w:rsidRDefault="00FF24CA" w:rsidP="00FF24CA">
            <w:pPr>
              <w:spacing w:after="0"/>
              <w:rPr>
                <w:rFonts w:ascii="Calibri" w:hAnsi="Calibri" w:cs="Calibri"/>
                <w:color w:val="000000"/>
              </w:rPr>
            </w:pPr>
            <w:r w:rsidRPr="000C601F">
              <w:rPr>
                <w:rFonts w:ascii="Calibri" w:hAnsi="Calibri" w:cs="Calibri"/>
                <w:color w:val="000000"/>
              </w:rPr>
              <w:t>Mühendis</w:t>
            </w:r>
          </w:p>
        </w:tc>
        <w:tc>
          <w:tcPr>
            <w:tcW w:w="311"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2</w:t>
            </w:r>
          </w:p>
        </w:tc>
        <w:tc>
          <w:tcPr>
            <w:tcW w:w="23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34"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35"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2</w:t>
            </w:r>
          </w:p>
        </w:tc>
        <w:tc>
          <w:tcPr>
            <w:tcW w:w="184"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51"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79"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1</w:t>
            </w:r>
          </w:p>
        </w:tc>
        <w:tc>
          <w:tcPr>
            <w:tcW w:w="279"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1</w:t>
            </w:r>
          </w:p>
        </w:tc>
        <w:tc>
          <w:tcPr>
            <w:tcW w:w="251" w:type="pct"/>
            <w:vAlign w:val="center"/>
          </w:tcPr>
          <w:p w:rsidR="00FF24CA" w:rsidRPr="00F540CE" w:rsidRDefault="00FF24CA" w:rsidP="00FF24CA">
            <w:pPr>
              <w:spacing w:after="0"/>
              <w:jc w:val="center"/>
              <w:rPr>
                <w:rFonts w:ascii="Calibri" w:hAnsi="Calibri" w:cs="Calibri"/>
                <w:color w:val="000000"/>
              </w:rPr>
            </w:pPr>
          </w:p>
        </w:tc>
        <w:tc>
          <w:tcPr>
            <w:tcW w:w="251" w:type="pct"/>
            <w:vAlign w:val="center"/>
          </w:tcPr>
          <w:p w:rsidR="00FF24CA" w:rsidRPr="00F540CE" w:rsidRDefault="00FF24CA" w:rsidP="00FF24CA">
            <w:pPr>
              <w:spacing w:after="0"/>
              <w:jc w:val="center"/>
              <w:rPr>
                <w:rFonts w:ascii="Calibri" w:hAnsi="Calibri" w:cs="Calibri"/>
                <w:color w:val="000000"/>
              </w:rPr>
            </w:pPr>
          </w:p>
        </w:tc>
        <w:tc>
          <w:tcPr>
            <w:tcW w:w="251" w:type="pct"/>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2</w:t>
            </w:r>
          </w:p>
        </w:tc>
        <w:tc>
          <w:tcPr>
            <w:tcW w:w="251" w:type="pct"/>
            <w:vAlign w:val="center"/>
          </w:tcPr>
          <w:p w:rsidR="00FF24CA" w:rsidRPr="00F540CE" w:rsidRDefault="00FF24CA" w:rsidP="00FF24CA">
            <w:pPr>
              <w:spacing w:after="0"/>
              <w:jc w:val="center"/>
              <w:rPr>
                <w:rFonts w:ascii="Calibri" w:hAnsi="Calibri" w:cs="Calibri"/>
                <w:color w:val="000000"/>
              </w:rPr>
            </w:pPr>
          </w:p>
        </w:tc>
        <w:tc>
          <w:tcPr>
            <w:tcW w:w="251" w:type="pct"/>
          </w:tcPr>
          <w:p w:rsidR="00FF24CA" w:rsidRPr="00F540CE" w:rsidRDefault="00FF24CA" w:rsidP="00FF24CA">
            <w:pPr>
              <w:spacing w:after="0"/>
              <w:jc w:val="center"/>
              <w:rPr>
                <w:rFonts w:ascii="Calibri" w:hAnsi="Calibri" w:cs="Calibri"/>
                <w:color w:val="000000"/>
              </w:rPr>
            </w:pPr>
          </w:p>
        </w:tc>
        <w:tc>
          <w:tcPr>
            <w:tcW w:w="251" w:type="pct"/>
          </w:tcPr>
          <w:p w:rsidR="00FF24CA" w:rsidRPr="00F540CE" w:rsidRDefault="00FF24CA" w:rsidP="00FF24CA">
            <w:pPr>
              <w:spacing w:after="0"/>
              <w:jc w:val="center"/>
              <w:rPr>
                <w:rFonts w:ascii="Calibri" w:hAnsi="Calibri" w:cs="Calibri"/>
                <w:color w:val="000000"/>
              </w:rPr>
            </w:pPr>
          </w:p>
        </w:tc>
      </w:tr>
      <w:tr w:rsidR="00FF24CA" w:rsidRPr="00F540CE" w:rsidTr="00FF24CA">
        <w:trPr>
          <w:trHeight w:val="397"/>
        </w:trPr>
        <w:tc>
          <w:tcPr>
            <w:tcW w:w="1484" w:type="pct"/>
            <w:shd w:val="clear" w:color="auto" w:fill="auto"/>
            <w:vAlign w:val="bottom"/>
          </w:tcPr>
          <w:p w:rsidR="00FF24CA" w:rsidRPr="00F540CE" w:rsidRDefault="00FF24CA" w:rsidP="00FF24CA">
            <w:pPr>
              <w:spacing w:after="0"/>
              <w:rPr>
                <w:rFonts w:ascii="Calibri" w:hAnsi="Calibri" w:cs="Calibri"/>
                <w:color w:val="000000"/>
              </w:rPr>
            </w:pPr>
            <w:r w:rsidRPr="000C601F">
              <w:rPr>
                <w:rFonts w:ascii="Calibri" w:hAnsi="Calibri" w:cs="Calibri"/>
                <w:color w:val="000000"/>
              </w:rPr>
              <w:t>Yönetim Görevlisi</w:t>
            </w:r>
          </w:p>
        </w:tc>
        <w:tc>
          <w:tcPr>
            <w:tcW w:w="311" w:type="pct"/>
            <w:shd w:val="clear" w:color="auto" w:fill="auto"/>
            <w:noWrap/>
            <w:vAlign w:val="center"/>
          </w:tcPr>
          <w:p w:rsidR="00FF24CA" w:rsidRPr="00F540CE" w:rsidRDefault="00FF24CA" w:rsidP="00FF24CA">
            <w:pPr>
              <w:spacing w:after="0"/>
              <w:rPr>
                <w:rFonts w:ascii="Calibri" w:hAnsi="Calibri" w:cs="Calibri"/>
                <w:color w:val="000000"/>
              </w:rPr>
            </w:pPr>
            <w:r>
              <w:rPr>
                <w:rFonts w:ascii="Calibri" w:hAnsi="Calibri" w:cs="Calibri"/>
                <w:color w:val="000000"/>
              </w:rPr>
              <w:t xml:space="preserve">   4</w:t>
            </w:r>
          </w:p>
        </w:tc>
        <w:tc>
          <w:tcPr>
            <w:tcW w:w="236"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1</w:t>
            </w:r>
          </w:p>
        </w:tc>
        <w:tc>
          <w:tcPr>
            <w:tcW w:w="234"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3</w:t>
            </w:r>
          </w:p>
        </w:tc>
        <w:tc>
          <w:tcPr>
            <w:tcW w:w="235"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184"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51"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79"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1</w:t>
            </w:r>
          </w:p>
        </w:tc>
        <w:tc>
          <w:tcPr>
            <w:tcW w:w="279"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3</w:t>
            </w:r>
          </w:p>
        </w:tc>
        <w:tc>
          <w:tcPr>
            <w:tcW w:w="251" w:type="pct"/>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1</w:t>
            </w:r>
          </w:p>
        </w:tc>
        <w:tc>
          <w:tcPr>
            <w:tcW w:w="251" w:type="pct"/>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1</w:t>
            </w:r>
          </w:p>
        </w:tc>
        <w:tc>
          <w:tcPr>
            <w:tcW w:w="251" w:type="pct"/>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2</w:t>
            </w:r>
          </w:p>
        </w:tc>
        <w:tc>
          <w:tcPr>
            <w:tcW w:w="251" w:type="pct"/>
            <w:vAlign w:val="center"/>
          </w:tcPr>
          <w:p w:rsidR="00FF24CA" w:rsidRPr="00F540CE" w:rsidRDefault="00FF24CA" w:rsidP="00FF24CA">
            <w:pPr>
              <w:spacing w:after="0"/>
              <w:jc w:val="center"/>
              <w:rPr>
                <w:rFonts w:ascii="Calibri" w:hAnsi="Calibri" w:cs="Calibri"/>
                <w:color w:val="000000"/>
              </w:rPr>
            </w:pPr>
          </w:p>
        </w:tc>
        <w:tc>
          <w:tcPr>
            <w:tcW w:w="251" w:type="pct"/>
          </w:tcPr>
          <w:p w:rsidR="00FF24CA" w:rsidRPr="00F540CE" w:rsidRDefault="00FF24CA" w:rsidP="00FF24CA">
            <w:pPr>
              <w:spacing w:after="0"/>
              <w:jc w:val="center"/>
              <w:rPr>
                <w:rFonts w:ascii="Calibri" w:hAnsi="Calibri" w:cs="Calibri"/>
                <w:color w:val="000000"/>
              </w:rPr>
            </w:pPr>
          </w:p>
        </w:tc>
        <w:tc>
          <w:tcPr>
            <w:tcW w:w="251" w:type="pct"/>
          </w:tcPr>
          <w:p w:rsidR="00FF24CA" w:rsidRPr="00F540CE" w:rsidRDefault="00FF24CA" w:rsidP="00FF24CA">
            <w:pPr>
              <w:spacing w:after="0"/>
              <w:jc w:val="center"/>
              <w:rPr>
                <w:rFonts w:ascii="Calibri" w:hAnsi="Calibri" w:cs="Calibri"/>
                <w:color w:val="000000"/>
              </w:rPr>
            </w:pPr>
          </w:p>
        </w:tc>
      </w:tr>
      <w:tr w:rsidR="00FF24CA" w:rsidRPr="00F540CE" w:rsidTr="00FF24CA">
        <w:trPr>
          <w:trHeight w:val="397"/>
        </w:trPr>
        <w:tc>
          <w:tcPr>
            <w:tcW w:w="1484" w:type="pct"/>
            <w:shd w:val="clear" w:color="auto" w:fill="auto"/>
            <w:vAlign w:val="bottom"/>
          </w:tcPr>
          <w:p w:rsidR="00FF24CA" w:rsidRPr="00F540CE" w:rsidRDefault="00FF24CA" w:rsidP="00FF24CA">
            <w:pPr>
              <w:spacing w:after="0"/>
              <w:rPr>
                <w:rFonts w:ascii="Calibri" w:hAnsi="Calibri" w:cs="Calibri"/>
                <w:color w:val="000000"/>
              </w:rPr>
            </w:pPr>
            <w:r>
              <w:rPr>
                <w:rFonts w:ascii="Calibri" w:hAnsi="Calibri" w:cs="Calibri"/>
                <w:color w:val="000000"/>
              </w:rPr>
              <w:t xml:space="preserve">Yönetim </w:t>
            </w:r>
            <w:r w:rsidRPr="000C601F">
              <w:rPr>
                <w:rFonts w:ascii="Calibri" w:hAnsi="Calibri" w:cs="Calibri"/>
                <w:color w:val="000000"/>
              </w:rPr>
              <w:t>Hizmetleri Uzmanı</w:t>
            </w:r>
          </w:p>
        </w:tc>
        <w:tc>
          <w:tcPr>
            <w:tcW w:w="311"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4</w:t>
            </w:r>
          </w:p>
        </w:tc>
        <w:tc>
          <w:tcPr>
            <w:tcW w:w="23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34"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35"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4</w:t>
            </w:r>
          </w:p>
        </w:tc>
        <w:tc>
          <w:tcPr>
            <w:tcW w:w="184"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51"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79"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2</w:t>
            </w:r>
          </w:p>
        </w:tc>
        <w:tc>
          <w:tcPr>
            <w:tcW w:w="279"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2</w:t>
            </w:r>
          </w:p>
        </w:tc>
        <w:tc>
          <w:tcPr>
            <w:tcW w:w="251" w:type="pct"/>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1</w:t>
            </w:r>
          </w:p>
        </w:tc>
        <w:tc>
          <w:tcPr>
            <w:tcW w:w="251" w:type="pct"/>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2</w:t>
            </w:r>
          </w:p>
        </w:tc>
        <w:tc>
          <w:tcPr>
            <w:tcW w:w="251" w:type="pct"/>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1</w:t>
            </w:r>
          </w:p>
        </w:tc>
        <w:tc>
          <w:tcPr>
            <w:tcW w:w="251" w:type="pct"/>
            <w:vAlign w:val="center"/>
          </w:tcPr>
          <w:p w:rsidR="00FF24CA" w:rsidRPr="00F540CE" w:rsidRDefault="00FF24CA" w:rsidP="00FF24CA">
            <w:pPr>
              <w:spacing w:after="0"/>
              <w:jc w:val="center"/>
              <w:rPr>
                <w:rFonts w:ascii="Calibri" w:hAnsi="Calibri" w:cs="Calibri"/>
                <w:color w:val="000000"/>
              </w:rPr>
            </w:pPr>
          </w:p>
        </w:tc>
        <w:tc>
          <w:tcPr>
            <w:tcW w:w="251" w:type="pct"/>
          </w:tcPr>
          <w:p w:rsidR="00FF24CA" w:rsidRPr="00F540CE" w:rsidRDefault="00FF24CA" w:rsidP="00FF24CA">
            <w:pPr>
              <w:spacing w:after="0"/>
              <w:jc w:val="center"/>
              <w:rPr>
                <w:rFonts w:ascii="Calibri" w:hAnsi="Calibri" w:cs="Calibri"/>
                <w:color w:val="000000"/>
              </w:rPr>
            </w:pPr>
          </w:p>
        </w:tc>
        <w:tc>
          <w:tcPr>
            <w:tcW w:w="251" w:type="pct"/>
          </w:tcPr>
          <w:p w:rsidR="00FF24CA" w:rsidRPr="00F540CE" w:rsidRDefault="00FF24CA" w:rsidP="00FF24CA">
            <w:pPr>
              <w:spacing w:after="0"/>
              <w:jc w:val="center"/>
              <w:rPr>
                <w:rFonts w:ascii="Calibri" w:hAnsi="Calibri" w:cs="Calibri"/>
                <w:color w:val="000000"/>
              </w:rPr>
            </w:pPr>
          </w:p>
        </w:tc>
      </w:tr>
      <w:tr w:rsidR="00FF24CA" w:rsidRPr="00F540CE" w:rsidTr="00FF24CA">
        <w:trPr>
          <w:trHeight w:val="397"/>
        </w:trPr>
        <w:tc>
          <w:tcPr>
            <w:tcW w:w="1484" w:type="pct"/>
            <w:shd w:val="clear" w:color="auto" w:fill="auto"/>
            <w:vAlign w:val="bottom"/>
          </w:tcPr>
          <w:p w:rsidR="00FF24CA" w:rsidRPr="00F540CE" w:rsidRDefault="00FF24CA" w:rsidP="00FF24CA">
            <w:pPr>
              <w:spacing w:after="0"/>
              <w:rPr>
                <w:rFonts w:ascii="Calibri" w:hAnsi="Calibri" w:cs="Calibri"/>
                <w:b/>
              </w:rPr>
            </w:pPr>
            <w:r w:rsidRPr="00F540CE">
              <w:rPr>
                <w:rFonts w:ascii="Calibri" w:hAnsi="Calibri" w:cs="Calibri"/>
                <w:b/>
              </w:rPr>
              <w:t>TOPLAM</w:t>
            </w:r>
          </w:p>
        </w:tc>
        <w:tc>
          <w:tcPr>
            <w:tcW w:w="311" w:type="pct"/>
            <w:shd w:val="clear" w:color="auto" w:fill="auto"/>
            <w:noWrap/>
            <w:vAlign w:val="center"/>
          </w:tcPr>
          <w:p w:rsidR="00FF24CA" w:rsidRPr="00F540CE" w:rsidRDefault="00FF24CA" w:rsidP="00FF24CA">
            <w:pPr>
              <w:spacing w:after="0"/>
              <w:jc w:val="center"/>
              <w:rPr>
                <w:rFonts w:ascii="Calibri" w:hAnsi="Calibri" w:cs="Calibri"/>
                <w:b/>
              </w:rPr>
            </w:pPr>
            <w:r>
              <w:rPr>
                <w:rFonts w:ascii="Calibri" w:hAnsi="Calibri" w:cs="Calibri"/>
                <w:b/>
              </w:rPr>
              <w:t>23</w:t>
            </w:r>
          </w:p>
        </w:tc>
        <w:tc>
          <w:tcPr>
            <w:tcW w:w="236" w:type="pct"/>
            <w:shd w:val="clear" w:color="auto" w:fill="auto"/>
            <w:noWrap/>
            <w:vAlign w:val="center"/>
          </w:tcPr>
          <w:p w:rsidR="00FF24CA" w:rsidRPr="00F540CE" w:rsidRDefault="00FF24CA" w:rsidP="00FF24CA">
            <w:pPr>
              <w:spacing w:after="0"/>
              <w:jc w:val="center"/>
              <w:rPr>
                <w:rFonts w:ascii="Calibri" w:hAnsi="Calibri" w:cs="Calibri"/>
                <w:b/>
              </w:rPr>
            </w:pPr>
            <w:r>
              <w:rPr>
                <w:rFonts w:ascii="Calibri" w:hAnsi="Calibri" w:cs="Calibri"/>
                <w:b/>
              </w:rPr>
              <w:t>1</w:t>
            </w:r>
          </w:p>
        </w:tc>
        <w:tc>
          <w:tcPr>
            <w:tcW w:w="234" w:type="pct"/>
            <w:shd w:val="clear" w:color="auto" w:fill="auto"/>
            <w:noWrap/>
            <w:vAlign w:val="center"/>
          </w:tcPr>
          <w:p w:rsidR="00FF24CA" w:rsidRPr="00F540CE" w:rsidRDefault="00FF24CA" w:rsidP="00FF24CA">
            <w:pPr>
              <w:spacing w:after="0"/>
              <w:jc w:val="center"/>
              <w:rPr>
                <w:rFonts w:ascii="Calibri" w:hAnsi="Calibri" w:cs="Calibri"/>
                <w:b/>
              </w:rPr>
            </w:pPr>
            <w:r>
              <w:rPr>
                <w:rFonts w:ascii="Calibri" w:hAnsi="Calibri" w:cs="Calibri"/>
                <w:b/>
              </w:rPr>
              <w:t>3</w:t>
            </w:r>
          </w:p>
        </w:tc>
        <w:tc>
          <w:tcPr>
            <w:tcW w:w="235" w:type="pct"/>
            <w:shd w:val="clear" w:color="auto" w:fill="auto"/>
            <w:noWrap/>
            <w:vAlign w:val="center"/>
          </w:tcPr>
          <w:p w:rsidR="00FF24CA" w:rsidRPr="00F540CE" w:rsidRDefault="00FF24CA" w:rsidP="00FF24CA">
            <w:pPr>
              <w:spacing w:after="0"/>
              <w:jc w:val="center"/>
              <w:rPr>
                <w:rFonts w:ascii="Calibri" w:hAnsi="Calibri" w:cs="Calibri"/>
                <w:b/>
              </w:rPr>
            </w:pPr>
            <w:r>
              <w:rPr>
                <w:rFonts w:ascii="Calibri" w:hAnsi="Calibri" w:cs="Calibri"/>
                <w:b/>
              </w:rPr>
              <w:t>15</w:t>
            </w:r>
          </w:p>
        </w:tc>
        <w:tc>
          <w:tcPr>
            <w:tcW w:w="184" w:type="pct"/>
            <w:shd w:val="clear" w:color="auto" w:fill="auto"/>
            <w:noWrap/>
            <w:vAlign w:val="center"/>
          </w:tcPr>
          <w:p w:rsidR="00FF24CA" w:rsidRPr="00F540CE" w:rsidRDefault="00FF24CA" w:rsidP="00FF24CA">
            <w:pPr>
              <w:spacing w:after="0"/>
              <w:jc w:val="center"/>
              <w:rPr>
                <w:rFonts w:ascii="Calibri" w:hAnsi="Calibri" w:cs="Calibri"/>
                <w:b/>
              </w:rPr>
            </w:pPr>
            <w:r>
              <w:rPr>
                <w:rFonts w:ascii="Calibri" w:hAnsi="Calibri" w:cs="Calibri"/>
                <w:b/>
              </w:rPr>
              <w:t>4</w:t>
            </w:r>
          </w:p>
        </w:tc>
        <w:tc>
          <w:tcPr>
            <w:tcW w:w="251" w:type="pct"/>
            <w:shd w:val="clear" w:color="auto" w:fill="auto"/>
            <w:noWrap/>
            <w:vAlign w:val="center"/>
          </w:tcPr>
          <w:p w:rsidR="00FF24CA" w:rsidRPr="00F540CE" w:rsidRDefault="00FF24CA" w:rsidP="00FF24CA">
            <w:pPr>
              <w:spacing w:after="0"/>
              <w:jc w:val="center"/>
              <w:rPr>
                <w:rFonts w:ascii="Calibri" w:hAnsi="Calibri" w:cs="Calibri"/>
                <w:b/>
              </w:rPr>
            </w:pPr>
          </w:p>
        </w:tc>
        <w:tc>
          <w:tcPr>
            <w:tcW w:w="279" w:type="pct"/>
            <w:shd w:val="clear" w:color="auto" w:fill="auto"/>
            <w:noWrap/>
            <w:vAlign w:val="center"/>
          </w:tcPr>
          <w:p w:rsidR="00FF24CA" w:rsidRPr="00F540CE" w:rsidRDefault="00FF24CA" w:rsidP="00FF24CA">
            <w:pPr>
              <w:spacing w:after="0"/>
              <w:jc w:val="center"/>
              <w:rPr>
                <w:rFonts w:ascii="Calibri" w:hAnsi="Calibri" w:cs="Calibri"/>
                <w:b/>
              </w:rPr>
            </w:pPr>
            <w:r>
              <w:rPr>
                <w:rFonts w:ascii="Calibri" w:hAnsi="Calibri" w:cs="Calibri"/>
                <w:b/>
              </w:rPr>
              <w:t>9</w:t>
            </w:r>
          </w:p>
        </w:tc>
        <w:tc>
          <w:tcPr>
            <w:tcW w:w="279" w:type="pct"/>
            <w:shd w:val="clear" w:color="auto" w:fill="auto"/>
            <w:noWrap/>
            <w:vAlign w:val="center"/>
          </w:tcPr>
          <w:p w:rsidR="00FF24CA" w:rsidRPr="00F540CE" w:rsidRDefault="00FF24CA" w:rsidP="00FF24CA">
            <w:pPr>
              <w:spacing w:after="0"/>
              <w:jc w:val="center"/>
              <w:rPr>
                <w:rFonts w:ascii="Calibri" w:hAnsi="Calibri" w:cs="Calibri"/>
                <w:b/>
              </w:rPr>
            </w:pPr>
            <w:r>
              <w:rPr>
                <w:rFonts w:ascii="Calibri" w:hAnsi="Calibri" w:cs="Calibri"/>
                <w:b/>
              </w:rPr>
              <w:t>14</w:t>
            </w:r>
          </w:p>
        </w:tc>
        <w:tc>
          <w:tcPr>
            <w:tcW w:w="251" w:type="pct"/>
            <w:vAlign w:val="center"/>
          </w:tcPr>
          <w:p w:rsidR="00FF24CA" w:rsidRPr="00F540CE" w:rsidRDefault="00FF24CA" w:rsidP="00FF24CA">
            <w:pPr>
              <w:spacing w:after="0"/>
              <w:jc w:val="center"/>
              <w:rPr>
                <w:rFonts w:ascii="Calibri" w:hAnsi="Calibri" w:cs="Calibri"/>
                <w:b/>
              </w:rPr>
            </w:pPr>
            <w:r>
              <w:rPr>
                <w:rFonts w:ascii="Calibri" w:hAnsi="Calibri" w:cs="Calibri"/>
                <w:b/>
              </w:rPr>
              <w:t>10</w:t>
            </w:r>
          </w:p>
        </w:tc>
        <w:tc>
          <w:tcPr>
            <w:tcW w:w="251" w:type="pct"/>
            <w:vAlign w:val="center"/>
          </w:tcPr>
          <w:p w:rsidR="00FF24CA" w:rsidRPr="00F540CE" w:rsidRDefault="00FF24CA" w:rsidP="00FF24CA">
            <w:pPr>
              <w:spacing w:after="0"/>
              <w:jc w:val="center"/>
              <w:rPr>
                <w:rFonts w:ascii="Calibri" w:hAnsi="Calibri" w:cs="Calibri"/>
                <w:b/>
              </w:rPr>
            </w:pPr>
            <w:r>
              <w:rPr>
                <w:rFonts w:ascii="Calibri" w:hAnsi="Calibri" w:cs="Calibri"/>
                <w:b/>
              </w:rPr>
              <w:t>7</w:t>
            </w:r>
          </w:p>
        </w:tc>
        <w:tc>
          <w:tcPr>
            <w:tcW w:w="251" w:type="pct"/>
            <w:vAlign w:val="center"/>
          </w:tcPr>
          <w:p w:rsidR="00FF24CA" w:rsidRPr="00F540CE" w:rsidRDefault="00FF24CA" w:rsidP="00FF24CA">
            <w:pPr>
              <w:spacing w:after="0"/>
              <w:jc w:val="center"/>
              <w:rPr>
                <w:rFonts w:ascii="Calibri" w:hAnsi="Calibri" w:cs="Calibri"/>
                <w:b/>
              </w:rPr>
            </w:pPr>
            <w:r>
              <w:rPr>
                <w:rFonts w:ascii="Calibri" w:hAnsi="Calibri" w:cs="Calibri"/>
                <w:b/>
              </w:rPr>
              <w:t>5</w:t>
            </w:r>
          </w:p>
        </w:tc>
        <w:tc>
          <w:tcPr>
            <w:tcW w:w="251" w:type="pct"/>
            <w:vAlign w:val="center"/>
          </w:tcPr>
          <w:p w:rsidR="00FF24CA" w:rsidRPr="00F540CE" w:rsidRDefault="00FF24CA" w:rsidP="00FF24CA">
            <w:pPr>
              <w:spacing w:after="0"/>
              <w:jc w:val="center"/>
              <w:rPr>
                <w:rFonts w:ascii="Calibri" w:hAnsi="Calibri" w:cs="Calibri"/>
                <w:b/>
              </w:rPr>
            </w:pPr>
            <w:r>
              <w:rPr>
                <w:rFonts w:ascii="Calibri" w:hAnsi="Calibri" w:cs="Calibri"/>
                <w:b/>
              </w:rPr>
              <w:t>1</w:t>
            </w:r>
          </w:p>
        </w:tc>
        <w:tc>
          <w:tcPr>
            <w:tcW w:w="251" w:type="pct"/>
            <w:vAlign w:val="center"/>
          </w:tcPr>
          <w:p w:rsidR="00FF24CA" w:rsidRPr="00F540CE" w:rsidRDefault="00FF24CA" w:rsidP="00FF24CA">
            <w:pPr>
              <w:spacing w:after="0"/>
              <w:jc w:val="center"/>
              <w:rPr>
                <w:rFonts w:ascii="Calibri" w:hAnsi="Calibri" w:cs="Calibri"/>
                <w:b/>
              </w:rPr>
            </w:pPr>
          </w:p>
        </w:tc>
        <w:tc>
          <w:tcPr>
            <w:tcW w:w="251" w:type="pct"/>
            <w:vAlign w:val="center"/>
          </w:tcPr>
          <w:p w:rsidR="00FF24CA" w:rsidRPr="00F540CE" w:rsidRDefault="00FF24CA" w:rsidP="00FF24CA">
            <w:pPr>
              <w:spacing w:after="0"/>
              <w:jc w:val="center"/>
              <w:rPr>
                <w:rFonts w:ascii="Calibri" w:hAnsi="Calibri" w:cs="Calibri"/>
                <w:b/>
              </w:rPr>
            </w:pPr>
          </w:p>
        </w:tc>
      </w:tr>
    </w:tbl>
    <w:p w:rsidR="00FF24CA" w:rsidRPr="00527281" w:rsidRDefault="00FF24CA" w:rsidP="00FF24CA">
      <w:pPr>
        <w:rPr>
          <w:rFonts w:ascii="Calibri" w:hAnsi="Calibri"/>
          <w:sz w:val="20"/>
          <w:szCs w:val="20"/>
        </w:rPr>
      </w:pPr>
      <w:r w:rsidRPr="00527281">
        <w:rPr>
          <w:rFonts w:ascii="Calibri" w:hAnsi="Calibri"/>
        </w:rPr>
        <w:t xml:space="preserve">* </w:t>
      </w:r>
      <w:r w:rsidRPr="00B36621">
        <w:rPr>
          <w:rFonts w:ascii="Calibri" w:hAnsi="Calibri"/>
          <w:i/>
          <w:sz w:val="20"/>
          <w:szCs w:val="20"/>
        </w:rPr>
        <w:t>Sürekli işçi kadrosunda yer alan personel hariçtir.</w:t>
      </w:r>
    </w:p>
    <w:p w:rsidR="00FF24CA" w:rsidRDefault="00FF24CA" w:rsidP="00FF24CA">
      <w:pPr>
        <w:spacing w:after="0"/>
      </w:pPr>
    </w:p>
    <w:p w:rsidR="00FF24CA" w:rsidRPr="00760BA0" w:rsidRDefault="00FF24CA" w:rsidP="00FF24CA">
      <w:r w:rsidRPr="00E9291A">
        <w:t xml:space="preserve">Kurumun </w:t>
      </w:r>
      <w:r>
        <w:t>kadro unvan ve sayıları ile 2022</w:t>
      </w:r>
      <w:r w:rsidRPr="00E9291A">
        <w:t xml:space="preserve"> yılı sonu itibar</w:t>
      </w:r>
      <w:r>
        <w:t>ı</w:t>
      </w:r>
      <w:r w:rsidRPr="00E9291A">
        <w:t>yl</w:t>
      </w:r>
      <w:r>
        <w:t>a</w:t>
      </w:r>
      <w:r w:rsidRPr="00E9291A">
        <w:t xml:space="preserve"> istihdam </w:t>
      </w:r>
      <w:r>
        <w:t xml:space="preserve">edilen 545 </w:t>
      </w:r>
      <w:r w:rsidRPr="00FA1354">
        <w:t>adet kadrolu personele ilişkin bilgiler Tablo 1</w:t>
      </w:r>
      <w:r>
        <w:t>3</w:t>
      </w:r>
      <w:r w:rsidRPr="00FA1354">
        <w:t>.3’te yer almaktadır.</w:t>
      </w:r>
    </w:p>
    <w:p w:rsidR="00FF24CA" w:rsidRDefault="00FF24CA" w:rsidP="00FF24CA">
      <w:pPr>
        <w:pStyle w:val="Balk5"/>
        <w:spacing w:before="120"/>
        <w:jc w:val="center"/>
        <w:rPr>
          <w:rFonts w:asciiTheme="minorHAnsi" w:hAnsiTheme="minorHAnsi"/>
          <w:b/>
          <w:color w:val="auto"/>
        </w:rPr>
      </w:pPr>
      <w:bookmarkStart w:id="465" w:name="_Toc132713971"/>
      <w:r w:rsidRPr="00E9291A">
        <w:rPr>
          <w:rFonts w:asciiTheme="minorHAnsi" w:hAnsiTheme="minorHAnsi"/>
          <w:b/>
          <w:color w:val="auto"/>
        </w:rPr>
        <w:t>Tablo 1</w:t>
      </w:r>
      <w:r>
        <w:rPr>
          <w:rFonts w:asciiTheme="minorHAnsi" w:hAnsiTheme="minorHAnsi"/>
          <w:b/>
          <w:color w:val="auto"/>
        </w:rPr>
        <w:t>3</w:t>
      </w:r>
      <w:r w:rsidRPr="00E9291A">
        <w:rPr>
          <w:rFonts w:asciiTheme="minorHAnsi" w:hAnsiTheme="minorHAnsi"/>
          <w:b/>
          <w:color w:val="auto"/>
        </w:rPr>
        <w:t>.3</w:t>
      </w:r>
      <w:r w:rsidRPr="00FA1354">
        <w:rPr>
          <w:rFonts w:asciiTheme="minorHAnsi" w:hAnsiTheme="minorHAnsi"/>
          <w:b/>
          <w:color w:val="auto"/>
        </w:rPr>
        <w:t>:  Kurum Personeli Kadro Dağılımı</w:t>
      </w:r>
      <w:bookmarkEnd w:id="465"/>
      <w:r>
        <w:rPr>
          <w:rFonts w:asciiTheme="minorHAnsi" w:hAnsiTheme="minorHAnsi"/>
          <w:b/>
          <w:color w:val="auto"/>
        </w:rPr>
        <w:t xml:space="preserve"> </w:t>
      </w:r>
    </w:p>
    <w:tbl>
      <w:tblPr>
        <w:tblW w:w="5081" w:type="pct"/>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left w:w="70" w:type="dxa"/>
          <w:right w:w="70" w:type="dxa"/>
        </w:tblCellMar>
        <w:tblLook w:val="0000" w:firstRow="0" w:lastRow="0" w:firstColumn="0" w:lastColumn="0" w:noHBand="0" w:noVBand="0"/>
      </w:tblPr>
      <w:tblGrid>
        <w:gridCol w:w="3127"/>
        <w:gridCol w:w="1022"/>
        <w:gridCol w:w="880"/>
        <w:gridCol w:w="596"/>
        <w:gridCol w:w="596"/>
        <w:gridCol w:w="596"/>
        <w:gridCol w:w="596"/>
        <w:gridCol w:w="596"/>
        <w:gridCol w:w="705"/>
        <w:gridCol w:w="639"/>
        <w:gridCol w:w="719"/>
      </w:tblGrid>
      <w:tr w:rsidR="00FF24CA" w:rsidRPr="00F540CE" w:rsidTr="00FF24CA">
        <w:trPr>
          <w:trHeight w:val="227"/>
          <w:tblHeader/>
        </w:trPr>
        <w:tc>
          <w:tcPr>
            <w:tcW w:w="1552" w:type="pct"/>
            <w:vMerge w:val="restart"/>
            <w:shd w:val="clear" w:color="auto" w:fill="6E9ECA"/>
            <w:noWrap/>
            <w:vAlign w:val="center"/>
          </w:tcPr>
          <w:p w:rsidR="00FF24CA" w:rsidRPr="00F540CE" w:rsidRDefault="00FF24CA" w:rsidP="00FF24CA">
            <w:pPr>
              <w:spacing w:after="0"/>
              <w:jc w:val="center"/>
              <w:rPr>
                <w:rFonts w:ascii="Calibri" w:hAnsi="Calibri" w:cs="Calibri"/>
                <w:b/>
                <w:bCs/>
                <w:color w:val="FFFFFF"/>
              </w:rPr>
            </w:pPr>
            <w:r w:rsidRPr="00F540CE">
              <w:rPr>
                <w:rFonts w:ascii="Calibri" w:hAnsi="Calibri" w:cs="Calibri"/>
                <w:b/>
                <w:bCs/>
                <w:color w:val="FFFFFF"/>
              </w:rPr>
              <w:t>KADRO UNVANLARI</w:t>
            </w:r>
          </w:p>
        </w:tc>
        <w:tc>
          <w:tcPr>
            <w:tcW w:w="507" w:type="pct"/>
            <w:vMerge w:val="restart"/>
            <w:shd w:val="clear" w:color="auto" w:fill="6E9ECA"/>
            <w:vAlign w:val="center"/>
          </w:tcPr>
          <w:p w:rsidR="00FF24CA" w:rsidRPr="00F540CE" w:rsidRDefault="00FF24CA" w:rsidP="00FF24CA">
            <w:pPr>
              <w:spacing w:after="0"/>
              <w:jc w:val="center"/>
              <w:rPr>
                <w:rFonts w:ascii="Calibri" w:hAnsi="Calibri" w:cs="Calibri"/>
                <w:b/>
                <w:bCs/>
                <w:color w:val="FFFFFF"/>
              </w:rPr>
            </w:pPr>
            <w:r w:rsidRPr="00F540CE">
              <w:rPr>
                <w:rFonts w:ascii="Calibri" w:hAnsi="Calibri" w:cs="Calibri"/>
                <w:b/>
                <w:bCs/>
                <w:color w:val="FFFFFF"/>
              </w:rPr>
              <w:t xml:space="preserve">TOPLAM KADRO </w:t>
            </w:r>
            <w:r w:rsidRPr="00F540CE">
              <w:rPr>
                <w:rFonts w:ascii="Calibri" w:hAnsi="Calibri" w:cs="Calibri"/>
                <w:b/>
                <w:bCs/>
                <w:color w:val="FFFFFF"/>
              </w:rPr>
              <w:br/>
              <w:t>SAYISI</w:t>
            </w:r>
          </w:p>
        </w:tc>
        <w:tc>
          <w:tcPr>
            <w:tcW w:w="437" w:type="pct"/>
            <w:vMerge w:val="restart"/>
            <w:shd w:val="clear" w:color="auto" w:fill="6E9ECA"/>
            <w:vAlign w:val="center"/>
          </w:tcPr>
          <w:p w:rsidR="00FF24CA" w:rsidRPr="00F540CE" w:rsidRDefault="00FF24CA" w:rsidP="00FF24CA">
            <w:pPr>
              <w:spacing w:after="0"/>
              <w:jc w:val="center"/>
              <w:rPr>
                <w:rFonts w:ascii="Calibri" w:hAnsi="Calibri" w:cs="Calibri"/>
                <w:b/>
                <w:bCs/>
                <w:color w:val="FFFFFF"/>
              </w:rPr>
            </w:pPr>
            <w:r w:rsidRPr="00F540CE">
              <w:rPr>
                <w:rFonts w:ascii="Calibri" w:hAnsi="Calibri" w:cs="Calibri"/>
                <w:b/>
                <w:bCs/>
                <w:color w:val="FFFFFF"/>
              </w:rPr>
              <w:t xml:space="preserve">DOLU KADRO </w:t>
            </w:r>
            <w:r w:rsidRPr="00F540CE">
              <w:rPr>
                <w:rFonts w:ascii="Calibri" w:hAnsi="Calibri" w:cs="Calibri"/>
                <w:b/>
                <w:bCs/>
                <w:color w:val="FFFFFF"/>
              </w:rPr>
              <w:br/>
              <w:t>SAYISI</w:t>
            </w:r>
          </w:p>
        </w:tc>
        <w:tc>
          <w:tcPr>
            <w:tcW w:w="1830" w:type="pct"/>
            <w:gridSpan w:val="6"/>
            <w:shd w:val="clear" w:color="auto" w:fill="6E9ECA"/>
            <w:vAlign w:val="center"/>
          </w:tcPr>
          <w:p w:rsidR="00FF24CA" w:rsidRPr="00F540CE" w:rsidRDefault="00FF24CA" w:rsidP="00FF24CA">
            <w:pPr>
              <w:spacing w:after="0"/>
              <w:jc w:val="center"/>
              <w:rPr>
                <w:rFonts w:ascii="Calibri" w:hAnsi="Calibri" w:cs="Calibri"/>
                <w:b/>
                <w:bCs/>
                <w:color w:val="FFFFFF"/>
              </w:rPr>
            </w:pPr>
            <w:r w:rsidRPr="00F540CE">
              <w:rPr>
                <w:rFonts w:ascii="Calibri" w:hAnsi="Calibri" w:cs="Calibri"/>
                <w:b/>
                <w:bCs/>
                <w:color w:val="FFFFFF"/>
              </w:rPr>
              <w:t>ÖĞRENİM DURUMU</w:t>
            </w:r>
          </w:p>
        </w:tc>
        <w:tc>
          <w:tcPr>
            <w:tcW w:w="674" w:type="pct"/>
            <w:gridSpan w:val="2"/>
            <w:shd w:val="clear" w:color="auto" w:fill="6E9ECA"/>
            <w:noWrap/>
            <w:vAlign w:val="center"/>
          </w:tcPr>
          <w:p w:rsidR="00FF24CA" w:rsidRPr="00F540CE" w:rsidRDefault="00FF24CA" w:rsidP="00FF24CA">
            <w:pPr>
              <w:spacing w:after="0"/>
              <w:jc w:val="center"/>
              <w:rPr>
                <w:rFonts w:ascii="Calibri" w:hAnsi="Calibri" w:cs="Calibri"/>
                <w:b/>
                <w:bCs/>
                <w:color w:val="FFFFFF"/>
              </w:rPr>
            </w:pPr>
            <w:r w:rsidRPr="00F540CE">
              <w:rPr>
                <w:rFonts w:ascii="Calibri" w:hAnsi="Calibri" w:cs="Calibri"/>
                <w:b/>
                <w:bCs/>
                <w:color w:val="FFFFFF"/>
              </w:rPr>
              <w:t>CİNSİYETİ</w:t>
            </w:r>
          </w:p>
        </w:tc>
      </w:tr>
      <w:tr w:rsidR="00FF24CA" w:rsidRPr="00F540CE" w:rsidTr="00FF24CA">
        <w:trPr>
          <w:trHeight w:val="1549"/>
          <w:tblHeader/>
        </w:trPr>
        <w:tc>
          <w:tcPr>
            <w:tcW w:w="1552" w:type="pct"/>
            <w:vMerge/>
            <w:shd w:val="clear" w:color="auto" w:fill="6E9ECA"/>
            <w:vAlign w:val="center"/>
          </w:tcPr>
          <w:p w:rsidR="00FF24CA" w:rsidRPr="00F540CE" w:rsidRDefault="00FF24CA" w:rsidP="00FF24CA">
            <w:pPr>
              <w:spacing w:after="0"/>
              <w:rPr>
                <w:rFonts w:ascii="Calibri" w:hAnsi="Calibri" w:cs="Calibri"/>
                <w:b/>
                <w:bCs/>
                <w:color w:val="FFFFFF"/>
              </w:rPr>
            </w:pPr>
          </w:p>
        </w:tc>
        <w:tc>
          <w:tcPr>
            <w:tcW w:w="507" w:type="pct"/>
            <w:vMerge/>
            <w:shd w:val="clear" w:color="auto" w:fill="6E9ECA"/>
            <w:vAlign w:val="center"/>
          </w:tcPr>
          <w:p w:rsidR="00FF24CA" w:rsidRPr="00F540CE" w:rsidRDefault="00FF24CA" w:rsidP="00FF24CA">
            <w:pPr>
              <w:spacing w:after="0"/>
              <w:jc w:val="center"/>
              <w:rPr>
                <w:rFonts w:ascii="Calibri" w:hAnsi="Calibri" w:cs="Calibri"/>
                <w:b/>
                <w:bCs/>
                <w:color w:val="FFFFFF"/>
              </w:rPr>
            </w:pPr>
          </w:p>
        </w:tc>
        <w:tc>
          <w:tcPr>
            <w:tcW w:w="437" w:type="pct"/>
            <w:vMerge/>
            <w:shd w:val="clear" w:color="auto" w:fill="6E9ECA"/>
            <w:vAlign w:val="center"/>
          </w:tcPr>
          <w:p w:rsidR="00FF24CA" w:rsidRPr="00F540CE" w:rsidRDefault="00FF24CA" w:rsidP="00FF24CA">
            <w:pPr>
              <w:spacing w:after="0"/>
              <w:jc w:val="center"/>
              <w:rPr>
                <w:rFonts w:ascii="Calibri" w:hAnsi="Calibri" w:cs="Calibri"/>
                <w:b/>
                <w:bCs/>
                <w:color w:val="FFFFFF"/>
              </w:rPr>
            </w:pPr>
          </w:p>
        </w:tc>
        <w:tc>
          <w:tcPr>
            <w:tcW w:w="296" w:type="pct"/>
            <w:shd w:val="clear" w:color="auto" w:fill="6E9ECA"/>
            <w:noWrap/>
            <w:textDirection w:val="btLr"/>
            <w:vAlign w:val="center"/>
          </w:tcPr>
          <w:p w:rsidR="00FF24CA" w:rsidRPr="00F540CE" w:rsidRDefault="00FF24CA" w:rsidP="00FF24CA">
            <w:pPr>
              <w:spacing w:after="0"/>
              <w:jc w:val="center"/>
              <w:rPr>
                <w:rFonts w:ascii="Calibri" w:hAnsi="Calibri" w:cs="Calibri"/>
                <w:b/>
                <w:bCs/>
                <w:color w:val="FFFFFF"/>
              </w:rPr>
            </w:pPr>
            <w:r w:rsidRPr="00F540CE">
              <w:rPr>
                <w:rFonts w:ascii="Calibri" w:hAnsi="Calibri" w:cs="Calibri"/>
                <w:b/>
                <w:bCs/>
                <w:color w:val="FFFFFF"/>
              </w:rPr>
              <w:t>İLKÖĞRETİM</w:t>
            </w:r>
          </w:p>
        </w:tc>
        <w:tc>
          <w:tcPr>
            <w:tcW w:w="296" w:type="pct"/>
            <w:shd w:val="clear" w:color="auto" w:fill="6E9ECA"/>
            <w:textDirection w:val="btLr"/>
            <w:vAlign w:val="center"/>
          </w:tcPr>
          <w:p w:rsidR="00FF24CA" w:rsidRPr="00F540CE" w:rsidRDefault="00FF24CA" w:rsidP="00FF24CA">
            <w:pPr>
              <w:spacing w:after="0"/>
              <w:jc w:val="center"/>
              <w:rPr>
                <w:rFonts w:ascii="Calibri" w:hAnsi="Calibri" w:cs="Calibri"/>
                <w:b/>
                <w:bCs/>
                <w:color w:val="FFFFFF"/>
              </w:rPr>
            </w:pPr>
            <w:r w:rsidRPr="00F540CE">
              <w:rPr>
                <w:rFonts w:ascii="Calibri" w:hAnsi="Calibri" w:cs="Calibri"/>
                <w:b/>
                <w:bCs/>
                <w:color w:val="FFFFFF"/>
              </w:rPr>
              <w:t>ORTAÖĞRETİM</w:t>
            </w:r>
          </w:p>
        </w:tc>
        <w:tc>
          <w:tcPr>
            <w:tcW w:w="296" w:type="pct"/>
            <w:shd w:val="clear" w:color="auto" w:fill="6E9ECA"/>
            <w:textDirection w:val="btLr"/>
            <w:vAlign w:val="center"/>
          </w:tcPr>
          <w:p w:rsidR="00FF24CA" w:rsidRPr="00F540CE" w:rsidRDefault="00FF24CA" w:rsidP="00FF24CA">
            <w:pPr>
              <w:spacing w:after="0"/>
              <w:jc w:val="center"/>
              <w:rPr>
                <w:rFonts w:ascii="Calibri" w:hAnsi="Calibri" w:cs="Calibri"/>
                <w:b/>
                <w:bCs/>
                <w:color w:val="FFFFFF"/>
              </w:rPr>
            </w:pPr>
            <w:r w:rsidRPr="00F540CE">
              <w:rPr>
                <w:rFonts w:ascii="Calibri" w:hAnsi="Calibri" w:cs="Calibri"/>
                <w:b/>
                <w:bCs/>
                <w:color w:val="FFFFFF"/>
              </w:rPr>
              <w:t>ÖNLİSANS</w:t>
            </w:r>
          </w:p>
        </w:tc>
        <w:tc>
          <w:tcPr>
            <w:tcW w:w="296" w:type="pct"/>
            <w:shd w:val="clear" w:color="auto" w:fill="6E9ECA"/>
            <w:textDirection w:val="btLr"/>
            <w:vAlign w:val="center"/>
          </w:tcPr>
          <w:p w:rsidR="00FF24CA" w:rsidRPr="00F540CE" w:rsidRDefault="00FF24CA" w:rsidP="00FF24CA">
            <w:pPr>
              <w:spacing w:after="0"/>
              <w:jc w:val="center"/>
              <w:rPr>
                <w:rFonts w:ascii="Calibri" w:hAnsi="Calibri" w:cs="Calibri"/>
                <w:b/>
                <w:bCs/>
                <w:color w:val="FFFFFF"/>
              </w:rPr>
            </w:pPr>
            <w:r w:rsidRPr="00F540CE">
              <w:rPr>
                <w:rFonts w:ascii="Calibri" w:hAnsi="Calibri" w:cs="Calibri"/>
                <w:b/>
                <w:bCs/>
                <w:color w:val="FFFFFF"/>
              </w:rPr>
              <w:t>LİSANS</w:t>
            </w:r>
          </w:p>
        </w:tc>
        <w:tc>
          <w:tcPr>
            <w:tcW w:w="296" w:type="pct"/>
            <w:shd w:val="clear" w:color="auto" w:fill="6E9ECA"/>
            <w:textDirection w:val="btLr"/>
            <w:vAlign w:val="center"/>
          </w:tcPr>
          <w:p w:rsidR="00FF24CA" w:rsidRPr="00F540CE" w:rsidRDefault="000C39D5" w:rsidP="00FF24CA">
            <w:pPr>
              <w:spacing w:after="0"/>
              <w:jc w:val="center"/>
              <w:rPr>
                <w:rFonts w:ascii="Calibri" w:hAnsi="Calibri" w:cs="Calibri"/>
                <w:b/>
                <w:bCs/>
                <w:color w:val="FFFFFF"/>
              </w:rPr>
            </w:pPr>
            <w:r>
              <w:rPr>
                <w:rFonts w:ascii="Calibri" w:hAnsi="Calibri" w:cs="Calibri"/>
                <w:b/>
                <w:bCs/>
                <w:color w:val="FFFFFF"/>
              </w:rPr>
              <w:t>YÜKSEK LİSANS</w:t>
            </w:r>
          </w:p>
        </w:tc>
        <w:tc>
          <w:tcPr>
            <w:tcW w:w="349" w:type="pct"/>
            <w:shd w:val="clear" w:color="auto" w:fill="6E9ECA"/>
            <w:textDirection w:val="btLr"/>
            <w:vAlign w:val="center"/>
          </w:tcPr>
          <w:p w:rsidR="00FF24CA" w:rsidRPr="00F540CE" w:rsidRDefault="00FF24CA" w:rsidP="00FF24CA">
            <w:pPr>
              <w:spacing w:after="0"/>
              <w:jc w:val="center"/>
              <w:rPr>
                <w:rFonts w:ascii="Calibri" w:hAnsi="Calibri" w:cs="Calibri"/>
                <w:b/>
                <w:bCs/>
                <w:color w:val="FFFFFF"/>
              </w:rPr>
            </w:pPr>
            <w:r w:rsidRPr="00F540CE">
              <w:rPr>
                <w:rFonts w:ascii="Calibri" w:hAnsi="Calibri" w:cs="Calibri"/>
                <w:b/>
                <w:bCs/>
                <w:color w:val="FFFFFF"/>
              </w:rPr>
              <w:t>DOKTORA</w:t>
            </w:r>
          </w:p>
        </w:tc>
        <w:tc>
          <w:tcPr>
            <w:tcW w:w="317" w:type="pct"/>
            <w:shd w:val="clear" w:color="auto" w:fill="6E9ECA"/>
            <w:textDirection w:val="btLr"/>
            <w:vAlign w:val="center"/>
          </w:tcPr>
          <w:p w:rsidR="00FF24CA" w:rsidRPr="00F540CE" w:rsidRDefault="00FF24CA" w:rsidP="00FF24CA">
            <w:pPr>
              <w:spacing w:after="0"/>
              <w:jc w:val="center"/>
              <w:rPr>
                <w:rFonts w:ascii="Calibri" w:hAnsi="Calibri" w:cs="Calibri"/>
                <w:b/>
                <w:bCs/>
                <w:color w:val="FFFFFF"/>
              </w:rPr>
            </w:pPr>
            <w:r w:rsidRPr="00F540CE">
              <w:rPr>
                <w:rFonts w:ascii="Calibri" w:hAnsi="Calibri" w:cs="Calibri"/>
                <w:b/>
                <w:bCs/>
                <w:color w:val="FFFFFF"/>
              </w:rPr>
              <w:t>KADIN</w:t>
            </w:r>
          </w:p>
        </w:tc>
        <w:tc>
          <w:tcPr>
            <w:tcW w:w="357" w:type="pct"/>
            <w:shd w:val="clear" w:color="auto" w:fill="6E9ECA"/>
            <w:textDirection w:val="btLr"/>
            <w:vAlign w:val="center"/>
          </w:tcPr>
          <w:p w:rsidR="00FF24CA" w:rsidRPr="00F540CE" w:rsidRDefault="00FF24CA" w:rsidP="00FF24CA">
            <w:pPr>
              <w:spacing w:after="0"/>
              <w:jc w:val="center"/>
              <w:rPr>
                <w:rFonts w:ascii="Calibri" w:hAnsi="Calibri" w:cs="Calibri"/>
                <w:b/>
                <w:bCs/>
                <w:color w:val="FFFFFF"/>
              </w:rPr>
            </w:pPr>
            <w:r w:rsidRPr="00F540CE">
              <w:rPr>
                <w:rFonts w:ascii="Calibri" w:hAnsi="Calibri" w:cs="Calibri"/>
                <w:b/>
                <w:bCs/>
                <w:color w:val="FFFFFF"/>
              </w:rPr>
              <w:t>ERKEK</w:t>
            </w:r>
          </w:p>
        </w:tc>
      </w:tr>
      <w:tr w:rsidR="00FF24CA" w:rsidRPr="00F540CE" w:rsidTr="00FF24CA">
        <w:trPr>
          <w:trHeight w:val="227"/>
        </w:trPr>
        <w:tc>
          <w:tcPr>
            <w:tcW w:w="1552" w:type="pct"/>
            <w:shd w:val="clear" w:color="auto" w:fill="auto"/>
            <w:noWrap/>
            <w:vAlign w:val="center"/>
          </w:tcPr>
          <w:p w:rsidR="00FF24CA" w:rsidRPr="00F540CE" w:rsidRDefault="00FF24CA" w:rsidP="00FF24CA">
            <w:pPr>
              <w:spacing w:after="0"/>
              <w:rPr>
                <w:rFonts w:ascii="Calibri" w:hAnsi="Calibri" w:cs="Calibri"/>
                <w:color w:val="000000"/>
              </w:rPr>
            </w:pPr>
            <w:r w:rsidRPr="00F540CE">
              <w:rPr>
                <w:rFonts w:ascii="Calibri" w:hAnsi="Calibri" w:cs="Calibri"/>
                <w:color w:val="000000"/>
              </w:rPr>
              <w:t>Başkan Yardımcısı</w:t>
            </w:r>
          </w:p>
        </w:tc>
        <w:tc>
          <w:tcPr>
            <w:tcW w:w="507" w:type="pct"/>
            <w:shd w:val="clear" w:color="auto" w:fill="auto"/>
            <w:noWrap/>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3</w:t>
            </w:r>
          </w:p>
        </w:tc>
        <w:tc>
          <w:tcPr>
            <w:tcW w:w="437" w:type="pct"/>
            <w:shd w:val="clear" w:color="auto" w:fill="auto"/>
            <w:noWrap/>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3</w:t>
            </w: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96" w:type="pct"/>
            <w:vAlign w:val="center"/>
          </w:tcPr>
          <w:p w:rsidR="00FF24CA" w:rsidRPr="00F540CE" w:rsidRDefault="00FF24CA" w:rsidP="00FF24CA">
            <w:pPr>
              <w:spacing w:after="0"/>
              <w:jc w:val="center"/>
              <w:rPr>
                <w:rFonts w:ascii="Calibri" w:hAnsi="Calibri" w:cs="Calibri"/>
                <w:color w:val="000000"/>
                <w:highlight w:val="yellow"/>
              </w:rPr>
            </w:pP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2</w:t>
            </w: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w:t>
            </w:r>
          </w:p>
        </w:tc>
        <w:tc>
          <w:tcPr>
            <w:tcW w:w="349"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17"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57" w:type="pct"/>
            <w:shd w:val="clear" w:color="auto" w:fill="auto"/>
            <w:noWrap/>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3</w:t>
            </w:r>
          </w:p>
        </w:tc>
      </w:tr>
      <w:tr w:rsidR="00FF24CA" w:rsidRPr="00F540CE" w:rsidTr="00FF24CA">
        <w:trPr>
          <w:trHeight w:val="227"/>
        </w:trPr>
        <w:tc>
          <w:tcPr>
            <w:tcW w:w="1552" w:type="pct"/>
            <w:shd w:val="clear" w:color="auto" w:fill="auto"/>
            <w:vAlign w:val="center"/>
          </w:tcPr>
          <w:p w:rsidR="00FF24CA" w:rsidRPr="00F540CE" w:rsidRDefault="00FF24CA" w:rsidP="00FF24CA">
            <w:pPr>
              <w:spacing w:after="0"/>
              <w:rPr>
                <w:rFonts w:ascii="Calibri" w:hAnsi="Calibri" w:cs="Calibri"/>
                <w:color w:val="000000"/>
              </w:rPr>
            </w:pPr>
            <w:r w:rsidRPr="00F540CE">
              <w:rPr>
                <w:rFonts w:ascii="Calibri" w:hAnsi="Calibri" w:cs="Calibri"/>
                <w:color w:val="000000"/>
              </w:rPr>
              <w:t>Bilgi İşlem Dairesi Başkanı</w:t>
            </w:r>
          </w:p>
        </w:tc>
        <w:tc>
          <w:tcPr>
            <w:tcW w:w="507" w:type="pct"/>
            <w:shd w:val="clear" w:color="auto" w:fill="auto"/>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w:t>
            </w:r>
          </w:p>
        </w:tc>
        <w:tc>
          <w:tcPr>
            <w:tcW w:w="437" w:type="pct"/>
            <w:shd w:val="clear" w:color="auto" w:fill="auto"/>
            <w:noWrap/>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w:t>
            </w: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96" w:type="pct"/>
            <w:vAlign w:val="center"/>
          </w:tcPr>
          <w:p w:rsidR="00FF24CA" w:rsidRPr="00F540CE" w:rsidRDefault="00FF24CA" w:rsidP="00FF24CA">
            <w:pPr>
              <w:spacing w:after="0"/>
              <w:jc w:val="center"/>
              <w:rPr>
                <w:rFonts w:ascii="Calibri" w:hAnsi="Calibri" w:cs="Calibri"/>
                <w:color w:val="000000"/>
                <w:highlight w:val="yellow"/>
              </w:rPr>
            </w:pP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w:t>
            </w: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49"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17"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57" w:type="pct"/>
            <w:shd w:val="clear" w:color="auto" w:fill="auto"/>
            <w:noWrap/>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w:t>
            </w:r>
          </w:p>
        </w:tc>
      </w:tr>
      <w:tr w:rsidR="00FF24CA" w:rsidRPr="00F540CE" w:rsidTr="00FF24CA">
        <w:trPr>
          <w:trHeight w:val="227"/>
        </w:trPr>
        <w:tc>
          <w:tcPr>
            <w:tcW w:w="1552" w:type="pct"/>
            <w:shd w:val="clear" w:color="auto" w:fill="auto"/>
            <w:vAlign w:val="center"/>
          </w:tcPr>
          <w:p w:rsidR="00FF24CA" w:rsidRPr="00F540CE" w:rsidRDefault="00FF24CA" w:rsidP="00FF24CA">
            <w:pPr>
              <w:autoSpaceDE w:val="0"/>
              <w:autoSpaceDN w:val="0"/>
              <w:adjustRightInd w:val="0"/>
              <w:spacing w:after="0" w:line="240" w:lineRule="auto"/>
              <w:rPr>
                <w:rFonts w:ascii="Calibri" w:hAnsi="Calibri" w:cs="Calibri"/>
                <w:color w:val="000000"/>
              </w:rPr>
            </w:pPr>
            <w:r w:rsidRPr="00F540CE">
              <w:rPr>
                <w:rFonts w:ascii="Calibri" w:hAnsi="Calibri" w:cs="Calibri"/>
                <w:color w:val="000000"/>
              </w:rPr>
              <w:t>Denetim Dairesi Başkanı</w:t>
            </w:r>
          </w:p>
        </w:tc>
        <w:tc>
          <w:tcPr>
            <w:tcW w:w="507" w:type="pct"/>
            <w:shd w:val="clear" w:color="auto" w:fill="auto"/>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w:t>
            </w:r>
          </w:p>
        </w:tc>
        <w:tc>
          <w:tcPr>
            <w:tcW w:w="437" w:type="pct"/>
            <w:shd w:val="clear" w:color="auto" w:fill="auto"/>
            <w:noWrap/>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w:t>
            </w: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96" w:type="pct"/>
            <w:vAlign w:val="center"/>
          </w:tcPr>
          <w:p w:rsidR="00FF24CA" w:rsidRPr="00F540CE" w:rsidRDefault="00FF24CA" w:rsidP="00FF24CA">
            <w:pPr>
              <w:spacing w:after="0"/>
              <w:jc w:val="center"/>
              <w:rPr>
                <w:rFonts w:ascii="Calibri" w:hAnsi="Calibri" w:cs="Calibri"/>
                <w:color w:val="000000"/>
                <w:highlight w:val="yellow"/>
              </w:rPr>
            </w:pP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w:t>
            </w: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49"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17"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57" w:type="pct"/>
            <w:shd w:val="clear" w:color="auto" w:fill="auto"/>
            <w:noWrap/>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w:t>
            </w:r>
          </w:p>
        </w:tc>
      </w:tr>
      <w:tr w:rsidR="00FF24CA" w:rsidRPr="00F540CE" w:rsidTr="00FF24CA">
        <w:trPr>
          <w:trHeight w:val="227"/>
        </w:trPr>
        <w:tc>
          <w:tcPr>
            <w:tcW w:w="1552" w:type="pct"/>
            <w:shd w:val="clear" w:color="auto" w:fill="auto"/>
            <w:vAlign w:val="center"/>
          </w:tcPr>
          <w:p w:rsidR="00FF24CA" w:rsidRPr="00F540CE" w:rsidRDefault="00FF24CA" w:rsidP="00FF24CA">
            <w:pPr>
              <w:autoSpaceDE w:val="0"/>
              <w:autoSpaceDN w:val="0"/>
              <w:adjustRightInd w:val="0"/>
              <w:spacing w:after="0" w:line="240" w:lineRule="auto"/>
              <w:rPr>
                <w:rFonts w:ascii="Calibri" w:hAnsi="Calibri" w:cs="Calibri"/>
                <w:color w:val="000000"/>
              </w:rPr>
            </w:pPr>
            <w:r w:rsidRPr="00F540CE">
              <w:rPr>
                <w:rFonts w:ascii="Calibri" w:hAnsi="Calibri" w:cs="Calibri"/>
                <w:color w:val="000000"/>
              </w:rPr>
              <w:t>Doğal Gaz Piyasası Dairesi Başkanı</w:t>
            </w:r>
          </w:p>
        </w:tc>
        <w:tc>
          <w:tcPr>
            <w:tcW w:w="507" w:type="pct"/>
            <w:shd w:val="clear" w:color="auto" w:fill="auto"/>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w:t>
            </w:r>
          </w:p>
        </w:tc>
        <w:tc>
          <w:tcPr>
            <w:tcW w:w="437" w:type="pct"/>
            <w:shd w:val="clear" w:color="auto" w:fill="auto"/>
            <w:noWrap/>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w:t>
            </w: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96" w:type="pct"/>
            <w:vAlign w:val="center"/>
          </w:tcPr>
          <w:p w:rsidR="00FF24CA" w:rsidRPr="00F540CE" w:rsidRDefault="00FF24CA" w:rsidP="00FF24CA">
            <w:pPr>
              <w:spacing w:after="0"/>
              <w:jc w:val="center"/>
              <w:rPr>
                <w:rFonts w:ascii="Calibri" w:hAnsi="Calibri" w:cs="Calibri"/>
                <w:color w:val="000000"/>
                <w:highlight w:val="yellow"/>
              </w:rPr>
            </w:pP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w:t>
            </w: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49"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17"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57" w:type="pct"/>
            <w:shd w:val="clear" w:color="auto" w:fill="auto"/>
            <w:noWrap/>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w:t>
            </w:r>
          </w:p>
        </w:tc>
      </w:tr>
      <w:tr w:rsidR="00FF24CA" w:rsidRPr="00F540CE" w:rsidTr="00FF24CA">
        <w:trPr>
          <w:trHeight w:val="227"/>
        </w:trPr>
        <w:tc>
          <w:tcPr>
            <w:tcW w:w="1552" w:type="pct"/>
            <w:shd w:val="clear" w:color="auto" w:fill="auto"/>
            <w:vAlign w:val="center"/>
          </w:tcPr>
          <w:p w:rsidR="00FF24CA" w:rsidRPr="00F540CE" w:rsidRDefault="00FF24CA" w:rsidP="00FF24CA">
            <w:pPr>
              <w:autoSpaceDE w:val="0"/>
              <w:autoSpaceDN w:val="0"/>
              <w:adjustRightInd w:val="0"/>
              <w:spacing w:after="0" w:line="240" w:lineRule="auto"/>
              <w:rPr>
                <w:rFonts w:ascii="Calibri" w:hAnsi="Calibri" w:cs="Calibri"/>
                <w:color w:val="000000"/>
              </w:rPr>
            </w:pPr>
            <w:r w:rsidRPr="00F540CE">
              <w:rPr>
                <w:rFonts w:ascii="Calibri" w:hAnsi="Calibri" w:cs="Calibri"/>
                <w:color w:val="000000"/>
              </w:rPr>
              <w:t>Elektrik Piyasası Dairesi Başkanı</w:t>
            </w:r>
          </w:p>
        </w:tc>
        <w:tc>
          <w:tcPr>
            <w:tcW w:w="507" w:type="pct"/>
            <w:shd w:val="clear" w:color="auto" w:fill="auto"/>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w:t>
            </w:r>
          </w:p>
        </w:tc>
        <w:tc>
          <w:tcPr>
            <w:tcW w:w="437" w:type="pct"/>
            <w:shd w:val="clear" w:color="auto" w:fill="auto"/>
            <w:noWrap/>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w:t>
            </w: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96" w:type="pct"/>
            <w:vAlign w:val="center"/>
          </w:tcPr>
          <w:p w:rsidR="00FF24CA" w:rsidRPr="00F540CE" w:rsidRDefault="00FF24CA" w:rsidP="00FF24CA">
            <w:pPr>
              <w:spacing w:after="0"/>
              <w:jc w:val="center"/>
              <w:rPr>
                <w:rFonts w:ascii="Calibri" w:hAnsi="Calibri" w:cs="Calibri"/>
                <w:color w:val="000000"/>
                <w:highlight w:val="yellow"/>
              </w:rPr>
            </w:pP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w:t>
            </w: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49"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17"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57" w:type="pct"/>
            <w:shd w:val="clear" w:color="auto" w:fill="auto"/>
            <w:noWrap/>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w:t>
            </w:r>
          </w:p>
        </w:tc>
      </w:tr>
      <w:tr w:rsidR="00FF24CA" w:rsidRPr="00F540CE" w:rsidTr="00FF24CA">
        <w:trPr>
          <w:trHeight w:val="227"/>
        </w:trPr>
        <w:tc>
          <w:tcPr>
            <w:tcW w:w="1552" w:type="pct"/>
            <w:shd w:val="clear" w:color="auto" w:fill="auto"/>
            <w:vAlign w:val="center"/>
          </w:tcPr>
          <w:p w:rsidR="00FF24CA" w:rsidRPr="00F540CE" w:rsidRDefault="00FF24CA" w:rsidP="00FF24CA">
            <w:pPr>
              <w:spacing w:after="0"/>
              <w:rPr>
                <w:rFonts w:ascii="Calibri" w:hAnsi="Calibri" w:cs="Calibri"/>
                <w:color w:val="000000"/>
              </w:rPr>
            </w:pPr>
            <w:r w:rsidRPr="00F540CE">
              <w:rPr>
                <w:rFonts w:ascii="Calibri" w:hAnsi="Calibri" w:cs="Calibri"/>
                <w:color w:val="000000"/>
              </w:rPr>
              <w:t>Enerji Dönüşüm Dairesi Başkanı</w:t>
            </w:r>
          </w:p>
        </w:tc>
        <w:tc>
          <w:tcPr>
            <w:tcW w:w="507" w:type="pct"/>
            <w:shd w:val="clear" w:color="auto" w:fill="auto"/>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w:t>
            </w:r>
          </w:p>
        </w:tc>
        <w:tc>
          <w:tcPr>
            <w:tcW w:w="437" w:type="pct"/>
            <w:shd w:val="clear" w:color="auto" w:fill="auto"/>
            <w:noWrap/>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w:t>
            </w: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96" w:type="pct"/>
            <w:vAlign w:val="center"/>
          </w:tcPr>
          <w:p w:rsidR="00FF24CA" w:rsidRPr="00F540CE" w:rsidRDefault="00FF24CA" w:rsidP="00FF24CA">
            <w:pPr>
              <w:spacing w:after="0"/>
              <w:jc w:val="center"/>
              <w:rPr>
                <w:rFonts w:ascii="Calibri" w:hAnsi="Calibri" w:cs="Calibri"/>
                <w:color w:val="000000"/>
                <w:highlight w:val="yellow"/>
              </w:rPr>
            </w:pP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w:t>
            </w:r>
          </w:p>
        </w:tc>
        <w:tc>
          <w:tcPr>
            <w:tcW w:w="349"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17"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57" w:type="pct"/>
            <w:shd w:val="clear" w:color="auto" w:fill="auto"/>
            <w:noWrap/>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w:t>
            </w:r>
          </w:p>
        </w:tc>
      </w:tr>
      <w:tr w:rsidR="00FF24CA" w:rsidRPr="00F540CE" w:rsidTr="00FF24CA">
        <w:trPr>
          <w:trHeight w:val="227"/>
        </w:trPr>
        <w:tc>
          <w:tcPr>
            <w:tcW w:w="1552" w:type="pct"/>
            <w:shd w:val="clear" w:color="auto" w:fill="auto"/>
            <w:vAlign w:val="center"/>
          </w:tcPr>
          <w:p w:rsidR="00FF24CA" w:rsidRPr="00F540CE" w:rsidRDefault="00FF24CA" w:rsidP="00FF24CA">
            <w:pPr>
              <w:autoSpaceDE w:val="0"/>
              <w:autoSpaceDN w:val="0"/>
              <w:adjustRightInd w:val="0"/>
              <w:spacing w:after="0" w:line="240" w:lineRule="auto"/>
              <w:rPr>
                <w:rFonts w:ascii="Calibri" w:hAnsi="Calibri" w:cs="Calibri"/>
                <w:color w:val="000000"/>
              </w:rPr>
            </w:pPr>
            <w:r w:rsidRPr="00F540CE">
              <w:rPr>
                <w:rFonts w:ascii="Calibri" w:hAnsi="Calibri" w:cs="Calibri"/>
                <w:color w:val="000000"/>
              </w:rPr>
              <w:t>Hukuk Dairesi Başkanı</w:t>
            </w:r>
          </w:p>
        </w:tc>
        <w:tc>
          <w:tcPr>
            <w:tcW w:w="507" w:type="pct"/>
            <w:shd w:val="clear" w:color="auto" w:fill="auto"/>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w:t>
            </w:r>
          </w:p>
        </w:tc>
        <w:tc>
          <w:tcPr>
            <w:tcW w:w="437" w:type="pct"/>
            <w:shd w:val="clear" w:color="auto" w:fill="auto"/>
            <w:noWrap/>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w:t>
            </w: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96" w:type="pct"/>
            <w:vAlign w:val="center"/>
          </w:tcPr>
          <w:p w:rsidR="00FF24CA" w:rsidRPr="00F540CE" w:rsidRDefault="00FF24CA" w:rsidP="00FF24CA">
            <w:pPr>
              <w:spacing w:after="0"/>
              <w:jc w:val="center"/>
              <w:rPr>
                <w:rFonts w:ascii="Calibri" w:hAnsi="Calibri" w:cs="Calibri"/>
                <w:color w:val="000000"/>
                <w:highlight w:val="yellow"/>
              </w:rPr>
            </w:pP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w:t>
            </w: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49"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17" w:type="pct"/>
            <w:shd w:val="clear" w:color="auto" w:fill="auto"/>
            <w:noWrap/>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w:t>
            </w:r>
          </w:p>
        </w:tc>
        <w:tc>
          <w:tcPr>
            <w:tcW w:w="357" w:type="pct"/>
            <w:shd w:val="clear" w:color="auto" w:fill="auto"/>
            <w:noWrap/>
            <w:vAlign w:val="center"/>
          </w:tcPr>
          <w:p w:rsidR="00FF24CA" w:rsidRPr="00F540CE" w:rsidRDefault="00FF24CA" w:rsidP="00FF24CA">
            <w:pPr>
              <w:spacing w:after="0"/>
              <w:jc w:val="center"/>
              <w:rPr>
                <w:rFonts w:ascii="Calibri" w:hAnsi="Calibri" w:cs="Calibri"/>
                <w:color w:val="000000"/>
              </w:rPr>
            </w:pPr>
          </w:p>
        </w:tc>
      </w:tr>
      <w:tr w:rsidR="00FF24CA" w:rsidRPr="00F540CE" w:rsidTr="00FF24CA">
        <w:trPr>
          <w:trHeight w:val="227"/>
        </w:trPr>
        <w:tc>
          <w:tcPr>
            <w:tcW w:w="1552" w:type="pct"/>
            <w:shd w:val="clear" w:color="auto" w:fill="auto"/>
            <w:vAlign w:val="center"/>
          </w:tcPr>
          <w:p w:rsidR="00FF24CA" w:rsidRPr="00F540CE" w:rsidRDefault="00FF24CA" w:rsidP="00FF24CA">
            <w:pPr>
              <w:spacing w:after="0"/>
              <w:jc w:val="left"/>
              <w:rPr>
                <w:rFonts w:ascii="Calibri" w:hAnsi="Calibri" w:cs="Calibri"/>
                <w:color w:val="000000"/>
              </w:rPr>
            </w:pPr>
            <w:r w:rsidRPr="00F540CE">
              <w:rPr>
                <w:rFonts w:ascii="Calibri" w:hAnsi="Calibri" w:cs="Calibri"/>
                <w:color w:val="000000"/>
              </w:rPr>
              <w:t>İnsan K</w:t>
            </w:r>
            <w:r>
              <w:rPr>
                <w:rFonts w:ascii="Calibri" w:hAnsi="Calibri" w:cs="Calibri"/>
                <w:color w:val="000000"/>
              </w:rPr>
              <w:t>aynakları</w:t>
            </w:r>
            <w:r w:rsidRPr="00F540CE">
              <w:rPr>
                <w:rFonts w:ascii="Calibri" w:hAnsi="Calibri" w:cs="Calibri"/>
                <w:color w:val="000000"/>
              </w:rPr>
              <w:t xml:space="preserve"> ve Destek</w:t>
            </w:r>
            <w:r>
              <w:rPr>
                <w:rFonts w:ascii="Calibri" w:hAnsi="Calibri" w:cs="Calibri"/>
                <w:color w:val="000000"/>
              </w:rPr>
              <w:t xml:space="preserve"> </w:t>
            </w:r>
            <w:r w:rsidRPr="00F540CE">
              <w:rPr>
                <w:rFonts w:ascii="Calibri" w:hAnsi="Calibri" w:cs="Calibri"/>
                <w:color w:val="000000"/>
              </w:rPr>
              <w:t>H</w:t>
            </w:r>
            <w:r>
              <w:rPr>
                <w:rFonts w:ascii="Calibri" w:hAnsi="Calibri" w:cs="Calibri"/>
                <w:color w:val="000000"/>
              </w:rPr>
              <w:t xml:space="preserve">izmetleri </w:t>
            </w:r>
            <w:r w:rsidRPr="00F540CE">
              <w:rPr>
                <w:rFonts w:ascii="Calibri" w:hAnsi="Calibri" w:cs="Calibri"/>
                <w:color w:val="000000"/>
              </w:rPr>
              <w:t>Dairesi Başkanı</w:t>
            </w:r>
          </w:p>
        </w:tc>
        <w:tc>
          <w:tcPr>
            <w:tcW w:w="507" w:type="pct"/>
            <w:shd w:val="clear" w:color="auto" w:fill="auto"/>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w:t>
            </w:r>
          </w:p>
        </w:tc>
        <w:tc>
          <w:tcPr>
            <w:tcW w:w="437" w:type="pct"/>
            <w:shd w:val="clear" w:color="auto" w:fill="auto"/>
            <w:noWrap/>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w:t>
            </w: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96" w:type="pct"/>
            <w:vAlign w:val="center"/>
          </w:tcPr>
          <w:p w:rsidR="00FF24CA" w:rsidRPr="00F540CE" w:rsidRDefault="00FF24CA" w:rsidP="00FF24CA">
            <w:pPr>
              <w:spacing w:after="0"/>
              <w:jc w:val="center"/>
              <w:rPr>
                <w:rFonts w:ascii="Calibri" w:hAnsi="Calibri" w:cs="Calibri"/>
                <w:color w:val="000000"/>
                <w:highlight w:val="yellow"/>
              </w:rPr>
            </w:pP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1</w:t>
            </w:r>
          </w:p>
        </w:tc>
        <w:tc>
          <w:tcPr>
            <w:tcW w:w="349"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17"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57" w:type="pct"/>
            <w:shd w:val="clear" w:color="auto" w:fill="auto"/>
            <w:noWrap/>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w:t>
            </w:r>
          </w:p>
        </w:tc>
      </w:tr>
      <w:tr w:rsidR="00FF24CA" w:rsidRPr="00F540CE" w:rsidTr="00FF24CA">
        <w:trPr>
          <w:trHeight w:val="227"/>
        </w:trPr>
        <w:tc>
          <w:tcPr>
            <w:tcW w:w="1552" w:type="pct"/>
            <w:shd w:val="clear" w:color="auto" w:fill="auto"/>
            <w:vAlign w:val="center"/>
          </w:tcPr>
          <w:p w:rsidR="00FF24CA" w:rsidRPr="00F540CE" w:rsidRDefault="00FF24CA" w:rsidP="00FF24CA">
            <w:pPr>
              <w:autoSpaceDE w:val="0"/>
              <w:autoSpaceDN w:val="0"/>
              <w:adjustRightInd w:val="0"/>
              <w:spacing w:after="0" w:line="240" w:lineRule="auto"/>
              <w:rPr>
                <w:rFonts w:ascii="Calibri" w:hAnsi="Calibri" w:cs="Calibri"/>
                <w:color w:val="000000"/>
              </w:rPr>
            </w:pPr>
            <w:r w:rsidRPr="00F540CE">
              <w:rPr>
                <w:rFonts w:ascii="Calibri" w:hAnsi="Calibri" w:cs="Calibri"/>
                <w:color w:val="000000"/>
              </w:rPr>
              <w:t>Kamulaştırma Dairesi Başkanı</w:t>
            </w:r>
          </w:p>
        </w:tc>
        <w:tc>
          <w:tcPr>
            <w:tcW w:w="507" w:type="pct"/>
            <w:shd w:val="clear" w:color="auto" w:fill="auto"/>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w:t>
            </w:r>
          </w:p>
        </w:tc>
        <w:tc>
          <w:tcPr>
            <w:tcW w:w="437" w:type="pct"/>
            <w:shd w:val="clear" w:color="auto" w:fill="auto"/>
            <w:noWrap/>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w:t>
            </w: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96" w:type="pct"/>
            <w:vAlign w:val="center"/>
          </w:tcPr>
          <w:p w:rsidR="00FF24CA" w:rsidRPr="00F540CE" w:rsidRDefault="00FF24CA" w:rsidP="00FF24CA">
            <w:pPr>
              <w:spacing w:after="0"/>
              <w:jc w:val="center"/>
              <w:rPr>
                <w:rFonts w:ascii="Calibri" w:hAnsi="Calibri" w:cs="Calibri"/>
                <w:color w:val="000000"/>
                <w:highlight w:val="yellow"/>
              </w:rPr>
            </w:pP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49" w:type="pct"/>
            <w:shd w:val="clear" w:color="auto" w:fill="auto"/>
            <w:noWrap/>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w:t>
            </w:r>
          </w:p>
        </w:tc>
        <w:tc>
          <w:tcPr>
            <w:tcW w:w="317"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57" w:type="pct"/>
            <w:shd w:val="clear" w:color="auto" w:fill="auto"/>
            <w:noWrap/>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w:t>
            </w:r>
          </w:p>
        </w:tc>
      </w:tr>
      <w:tr w:rsidR="00FF24CA" w:rsidRPr="00F540CE" w:rsidTr="00FF24CA">
        <w:trPr>
          <w:trHeight w:val="227"/>
        </w:trPr>
        <w:tc>
          <w:tcPr>
            <w:tcW w:w="1552" w:type="pct"/>
            <w:shd w:val="clear" w:color="auto" w:fill="auto"/>
            <w:vAlign w:val="center"/>
          </w:tcPr>
          <w:p w:rsidR="00FF24CA" w:rsidRPr="00F540CE" w:rsidRDefault="00FF24CA" w:rsidP="00FF24CA">
            <w:pPr>
              <w:autoSpaceDE w:val="0"/>
              <w:autoSpaceDN w:val="0"/>
              <w:adjustRightInd w:val="0"/>
              <w:spacing w:after="0" w:line="240" w:lineRule="auto"/>
              <w:rPr>
                <w:rFonts w:ascii="Calibri" w:hAnsi="Calibri" w:cs="Calibri"/>
                <w:color w:val="000000"/>
              </w:rPr>
            </w:pPr>
            <w:r w:rsidRPr="00F540CE">
              <w:rPr>
                <w:rFonts w:ascii="Calibri" w:hAnsi="Calibri" w:cs="Calibri"/>
                <w:color w:val="000000"/>
              </w:rPr>
              <w:t>Petrol Piyasası Dairesi Başkanı</w:t>
            </w:r>
          </w:p>
        </w:tc>
        <w:tc>
          <w:tcPr>
            <w:tcW w:w="507" w:type="pct"/>
            <w:shd w:val="clear" w:color="auto" w:fill="auto"/>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w:t>
            </w:r>
          </w:p>
        </w:tc>
        <w:tc>
          <w:tcPr>
            <w:tcW w:w="437" w:type="pct"/>
            <w:shd w:val="clear" w:color="auto" w:fill="auto"/>
            <w:noWrap/>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w:t>
            </w: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96" w:type="pct"/>
            <w:vAlign w:val="center"/>
          </w:tcPr>
          <w:p w:rsidR="00FF24CA" w:rsidRPr="00F540CE" w:rsidRDefault="00FF24CA" w:rsidP="00FF24CA">
            <w:pPr>
              <w:spacing w:after="0"/>
              <w:jc w:val="center"/>
              <w:rPr>
                <w:rFonts w:ascii="Calibri" w:hAnsi="Calibri" w:cs="Calibri"/>
                <w:color w:val="000000"/>
                <w:highlight w:val="yellow"/>
              </w:rPr>
            </w:pP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w:t>
            </w: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49"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17"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57" w:type="pct"/>
            <w:shd w:val="clear" w:color="auto" w:fill="auto"/>
            <w:noWrap/>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w:t>
            </w:r>
          </w:p>
        </w:tc>
      </w:tr>
      <w:tr w:rsidR="00FF24CA" w:rsidRPr="00F540CE" w:rsidTr="00FF24CA">
        <w:trPr>
          <w:trHeight w:val="227"/>
        </w:trPr>
        <w:tc>
          <w:tcPr>
            <w:tcW w:w="1552" w:type="pct"/>
            <w:shd w:val="clear" w:color="auto" w:fill="auto"/>
            <w:vAlign w:val="center"/>
          </w:tcPr>
          <w:p w:rsidR="00FF24CA" w:rsidRPr="00F540CE" w:rsidRDefault="00FF24CA" w:rsidP="00FF24CA">
            <w:pPr>
              <w:autoSpaceDE w:val="0"/>
              <w:autoSpaceDN w:val="0"/>
              <w:adjustRightInd w:val="0"/>
              <w:spacing w:after="0" w:line="240" w:lineRule="auto"/>
              <w:rPr>
                <w:rFonts w:ascii="Calibri" w:hAnsi="Calibri" w:cs="Calibri"/>
                <w:color w:val="000000"/>
              </w:rPr>
            </w:pPr>
            <w:r w:rsidRPr="00F540CE">
              <w:rPr>
                <w:rFonts w:ascii="Calibri" w:hAnsi="Calibri" w:cs="Calibri"/>
                <w:color w:val="000000"/>
              </w:rPr>
              <w:t>LPG Piyasası Dairesi Başkanı</w:t>
            </w:r>
          </w:p>
        </w:tc>
        <w:tc>
          <w:tcPr>
            <w:tcW w:w="507" w:type="pct"/>
            <w:shd w:val="clear" w:color="auto" w:fill="auto"/>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w:t>
            </w:r>
          </w:p>
        </w:tc>
        <w:tc>
          <w:tcPr>
            <w:tcW w:w="437" w:type="pct"/>
            <w:shd w:val="clear" w:color="auto" w:fill="auto"/>
            <w:noWrap/>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w:t>
            </w: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96" w:type="pct"/>
            <w:vAlign w:val="center"/>
          </w:tcPr>
          <w:p w:rsidR="00FF24CA" w:rsidRPr="00F540CE" w:rsidRDefault="00FF24CA" w:rsidP="00FF24CA">
            <w:pPr>
              <w:spacing w:after="0"/>
              <w:jc w:val="center"/>
              <w:rPr>
                <w:rFonts w:ascii="Calibri" w:hAnsi="Calibri" w:cs="Calibri"/>
                <w:color w:val="000000"/>
                <w:highlight w:val="yellow"/>
              </w:rPr>
            </w:pP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w:t>
            </w: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49"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17"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57" w:type="pct"/>
            <w:shd w:val="clear" w:color="auto" w:fill="auto"/>
            <w:noWrap/>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w:t>
            </w:r>
          </w:p>
        </w:tc>
      </w:tr>
      <w:tr w:rsidR="00FF24CA" w:rsidRPr="00F540CE" w:rsidTr="00FF24CA">
        <w:trPr>
          <w:trHeight w:val="227"/>
        </w:trPr>
        <w:tc>
          <w:tcPr>
            <w:tcW w:w="1552" w:type="pct"/>
            <w:shd w:val="clear" w:color="auto" w:fill="auto"/>
            <w:vAlign w:val="center"/>
          </w:tcPr>
          <w:p w:rsidR="00FF24CA" w:rsidRPr="00F540CE" w:rsidRDefault="00FF24CA" w:rsidP="00FF24CA">
            <w:pPr>
              <w:autoSpaceDE w:val="0"/>
              <w:autoSpaceDN w:val="0"/>
              <w:adjustRightInd w:val="0"/>
              <w:spacing w:after="0" w:line="240" w:lineRule="auto"/>
              <w:rPr>
                <w:rFonts w:ascii="Calibri" w:hAnsi="Calibri" w:cs="Calibri"/>
                <w:color w:val="000000"/>
              </w:rPr>
            </w:pPr>
            <w:r w:rsidRPr="00F540CE">
              <w:rPr>
                <w:rFonts w:ascii="Calibri" w:hAnsi="Calibri" w:cs="Calibri"/>
                <w:color w:val="000000"/>
              </w:rPr>
              <w:t>Strateji Geliştirme Dairesi Başkanı</w:t>
            </w:r>
          </w:p>
        </w:tc>
        <w:tc>
          <w:tcPr>
            <w:tcW w:w="507" w:type="pct"/>
            <w:shd w:val="clear" w:color="auto" w:fill="auto"/>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w:t>
            </w:r>
          </w:p>
        </w:tc>
        <w:tc>
          <w:tcPr>
            <w:tcW w:w="437" w:type="pct"/>
            <w:shd w:val="clear" w:color="auto" w:fill="auto"/>
            <w:noWrap/>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w:t>
            </w: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96" w:type="pct"/>
            <w:vAlign w:val="center"/>
          </w:tcPr>
          <w:p w:rsidR="00FF24CA" w:rsidRPr="00F540CE" w:rsidRDefault="00FF24CA" w:rsidP="00FF24CA">
            <w:pPr>
              <w:spacing w:after="0"/>
              <w:jc w:val="center"/>
              <w:rPr>
                <w:rFonts w:ascii="Calibri" w:hAnsi="Calibri" w:cs="Calibri"/>
                <w:color w:val="000000"/>
                <w:highlight w:val="yellow"/>
              </w:rPr>
            </w:pP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w:t>
            </w:r>
          </w:p>
        </w:tc>
        <w:tc>
          <w:tcPr>
            <w:tcW w:w="349"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17"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57" w:type="pct"/>
            <w:shd w:val="clear" w:color="auto" w:fill="auto"/>
            <w:noWrap/>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w:t>
            </w:r>
          </w:p>
        </w:tc>
      </w:tr>
      <w:tr w:rsidR="00FF24CA" w:rsidRPr="00F540CE" w:rsidTr="00FF24CA">
        <w:trPr>
          <w:trHeight w:val="227"/>
        </w:trPr>
        <w:tc>
          <w:tcPr>
            <w:tcW w:w="1552" w:type="pct"/>
            <w:shd w:val="clear" w:color="auto" w:fill="auto"/>
            <w:vAlign w:val="center"/>
          </w:tcPr>
          <w:p w:rsidR="00FF24CA" w:rsidRPr="00F540CE" w:rsidRDefault="00FF24CA" w:rsidP="00FF24CA">
            <w:pPr>
              <w:autoSpaceDE w:val="0"/>
              <w:autoSpaceDN w:val="0"/>
              <w:adjustRightInd w:val="0"/>
              <w:spacing w:after="0" w:line="240" w:lineRule="auto"/>
              <w:rPr>
                <w:rFonts w:ascii="Calibri" w:hAnsi="Calibri" w:cs="Calibri"/>
                <w:color w:val="000000"/>
              </w:rPr>
            </w:pPr>
            <w:r w:rsidRPr="00F540CE">
              <w:rPr>
                <w:rFonts w:ascii="Calibri" w:hAnsi="Calibri" w:cs="Calibri"/>
                <w:color w:val="000000"/>
              </w:rPr>
              <w:t>Tarifeler Dairesi Başkanı</w:t>
            </w:r>
          </w:p>
        </w:tc>
        <w:tc>
          <w:tcPr>
            <w:tcW w:w="507" w:type="pct"/>
            <w:shd w:val="clear" w:color="auto" w:fill="auto"/>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w:t>
            </w:r>
          </w:p>
        </w:tc>
        <w:tc>
          <w:tcPr>
            <w:tcW w:w="437" w:type="pct"/>
            <w:shd w:val="clear" w:color="auto" w:fill="auto"/>
            <w:noWrap/>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w:t>
            </w: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96" w:type="pct"/>
            <w:vAlign w:val="center"/>
          </w:tcPr>
          <w:p w:rsidR="00FF24CA" w:rsidRPr="00F540CE" w:rsidRDefault="00FF24CA" w:rsidP="00FF24CA">
            <w:pPr>
              <w:spacing w:after="0"/>
              <w:jc w:val="center"/>
              <w:rPr>
                <w:rFonts w:ascii="Calibri" w:hAnsi="Calibri" w:cs="Calibri"/>
                <w:color w:val="000000"/>
                <w:highlight w:val="yellow"/>
              </w:rPr>
            </w:pP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49"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1</w:t>
            </w:r>
          </w:p>
        </w:tc>
        <w:tc>
          <w:tcPr>
            <w:tcW w:w="317"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57" w:type="pct"/>
            <w:shd w:val="clear" w:color="auto" w:fill="auto"/>
            <w:noWrap/>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w:t>
            </w:r>
          </w:p>
        </w:tc>
      </w:tr>
      <w:tr w:rsidR="00FF24CA" w:rsidRPr="00F540CE" w:rsidTr="00FF24CA">
        <w:trPr>
          <w:trHeight w:val="227"/>
        </w:trPr>
        <w:tc>
          <w:tcPr>
            <w:tcW w:w="1552" w:type="pct"/>
            <w:shd w:val="clear" w:color="auto" w:fill="auto"/>
            <w:vAlign w:val="center"/>
          </w:tcPr>
          <w:p w:rsidR="00FF24CA" w:rsidRPr="00F540CE" w:rsidRDefault="00FF24CA" w:rsidP="00FF24CA">
            <w:pPr>
              <w:spacing w:after="0"/>
              <w:rPr>
                <w:rFonts w:ascii="Calibri" w:hAnsi="Calibri" w:cs="Calibri"/>
                <w:color w:val="000000"/>
              </w:rPr>
            </w:pPr>
            <w:r w:rsidRPr="00F540CE">
              <w:rPr>
                <w:rFonts w:ascii="Calibri" w:hAnsi="Calibri" w:cs="Calibri"/>
                <w:color w:val="000000"/>
              </w:rPr>
              <w:t>Başkan Danışmanı</w:t>
            </w:r>
          </w:p>
        </w:tc>
        <w:tc>
          <w:tcPr>
            <w:tcW w:w="507" w:type="pct"/>
            <w:shd w:val="clear" w:color="auto" w:fill="auto"/>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19</w:t>
            </w:r>
          </w:p>
        </w:tc>
        <w:tc>
          <w:tcPr>
            <w:tcW w:w="437"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11</w:t>
            </w: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96" w:type="pct"/>
            <w:vAlign w:val="center"/>
          </w:tcPr>
          <w:p w:rsidR="00FF24CA" w:rsidRPr="00F540CE" w:rsidRDefault="00FF24CA" w:rsidP="00FF24CA">
            <w:pPr>
              <w:spacing w:after="0"/>
              <w:jc w:val="center"/>
              <w:rPr>
                <w:rFonts w:ascii="Calibri" w:hAnsi="Calibri" w:cs="Calibri"/>
                <w:color w:val="000000"/>
              </w:rPr>
            </w:pP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7</w:t>
            </w: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3</w:t>
            </w:r>
          </w:p>
        </w:tc>
        <w:tc>
          <w:tcPr>
            <w:tcW w:w="349"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1</w:t>
            </w:r>
          </w:p>
        </w:tc>
        <w:tc>
          <w:tcPr>
            <w:tcW w:w="317"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57"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11</w:t>
            </w:r>
          </w:p>
        </w:tc>
      </w:tr>
      <w:tr w:rsidR="00FF24CA" w:rsidRPr="00F540CE" w:rsidTr="00FF24CA">
        <w:trPr>
          <w:trHeight w:val="227"/>
        </w:trPr>
        <w:tc>
          <w:tcPr>
            <w:tcW w:w="1552" w:type="pct"/>
            <w:shd w:val="clear" w:color="auto" w:fill="auto"/>
            <w:vAlign w:val="center"/>
          </w:tcPr>
          <w:p w:rsidR="00FF24CA" w:rsidRPr="00F540CE" w:rsidRDefault="00FF24CA" w:rsidP="00FF24CA">
            <w:pPr>
              <w:spacing w:after="0"/>
              <w:rPr>
                <w:rFonts w:ascii="Calibri" w:hAnsi="Calibri" w:cs="Calibri"/>
                <w:color w:val="000000"/>
              </w:rPr>
            </w:pPr>
            <w:r w:rsidRPr="00F540CE">
              <w:rPr>
                <w:rFonts w:ascii="Calibri" w:hAnsi="Calibri" w:cs="Calibri"/>
                <w:color w:val="000000"/>
              </w:rPr>
              <w:lastRenderedPageBreak/>
              <w:t>Basın ve Halkla İlişkiler Müşaviri</w:t>
            </w:r>
          </w:p>
        </w:tc>
        <w:tc>
          <w:tcPr>
            <w:tcW w:w="507" w:type="pct"/>
            <w:shd w:val="clear" w:color="auto" w:fill="auto"/>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w:t>
            </w:r>
          </w:p>
        </w:tc>
        <w:tc>
          <w:tcPr>
            <w:tcW w:w="437" w:type="pct"/>
            <w:shd w:val="clear" w:color="auto" w:fill="auto"/>
            <w:noWrap/>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w:t>
            </w: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96" w:type="pct"/>
            <w:vAlign w:val="center"/>
          </w:tcPr>
          <w:p w:rsidR="00FF24CA" w:rsidRPr="00F540CE" w:rsidRDefault="00FF24CA" w:rsidP="00FF24CA">
            <w:pPr>
              <w:spacing w:after="0"/>
              <w:jc w:val="center"/>
              <w:rPr>
                <w:rFonts w:ascii="Calibri" w:hAnsi="Calibri" w:cs="Calibri"/>
                <w:color w:val="000000"/>
                <w:highlight w:val="yellow"/>
              </w:rPr>
            </w:pP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49"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17"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57" w:type="pct"/>
            <w:shd w:val="clear" w:color="auto" w:fill="auto"/>
            <w:noWrap/>
            <w:vAlign w:val="center"/>
          </w:tcPr>
          <w:p w:rsidR="00FF24CA" w:rsidRPr="00F540CE" w:rsidRDefault="00FF24CA" w:rsidP="00FF24CA">
            <w:pPr>
              <w:spacing w:after="0"/>
              <w:jc w:val="center"/>
              <w:rPr>
                <w:rFonts w:ascii="Calibri" w:hAnsi="Calibri" w:cs="Calibri"/>
                <w:color w:val="000000"/>
              </w:rPr>
            </w:pPr>
          </w:p>
        </w:tc>
      </w:tr>
      <w:tr w:rsidR="00FF24CA" w:rsidRPr="00F540CE" w:rsidTr="00FF24CA">
        <w:trPr>
          <w:trHeight w:val="227"/>
        </w:trPr>
        <w:tc>
          <w:tcPr>
            <w:tcW w:w="1552" w:type="pct"/>
            <w:shd w:val="clear" w:color="auto" w:fill="auto"/>
            <w:vAlign w:val="center"/>
          </w:tcPr>
          <w:p w:rsidR="00FF24CA" w:rsidRPr="00F540CE" w:rsidRDefault="00FF24CA" w:rsidP="00FF24CA">
            <w:pPr>
              <w:spacing w:after="0"/>
              <w:rPr>
                <w:rFonts w:ascii="Calibri" w:hAnsi="Calibri" w:cs="Calibri"/>
                <w:color w:val="000000"/>
              </w:rPr>
            </w:pPr>
            <w:r w:rsidRPr="00F540CE">
              <w:rPr>
                <w:rFonts w:ascii="Calibri" w:hAnsi="Calibri" w:cs="Calibri"/>
                <w:color w:val="000000"/>
              </w:rPr>
              <w:t>Grup Başkanı</w:t>
            </w:r>
          </w:p>
        </w:tc>
        <w:tc>
          <w:tcPr>
            <w:tcW w:w="507" w:type="pct"/>
            <w:shd w:val="clear" w:color="auto" w:fill="auto"/>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72</w:t>
            </w:r>
          </w:p>
        </w:tc>
        <w:tc>
          <w:tcPr>
            <w:tcW w:w="437"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70</w:t>
            </w: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96" w:type="pct"/>
            <w:vAlign w:val="center"/>
          </w:tcPr>
          <w:p w:rsidR="00FF24CA" w:rsidRPr="00F540CE" w:rsidRDefault="00FF24CA" w:rsidP="00FF24CA">
            <w:pPr>
              <w:spacing w:after="0"/>
              <w:jc w:val="center"/>
              <w:rPr>
                <w:rFonts w:ascii="Calibri" w:hAnsi="Calibri" w:cs="Calibri"/>
                <w:color w:val="000000"/>
                <w:highlight w:val="yellow"/>
              </w:rPr>
            </w:pP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44</w:t>
            </w: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20</w:t>
            </w:r>
          </w:p>
        </w:tc>
        <w:tc>
          <w:tcPr>
            <w:tcW w:w="349"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6</w:t>
            </w:r>
          </w:p>
        </w:tc>
        <w:tc>
          <w:tcPr>
            <w:tcW w:w="317"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15</w:t>
            </w:r>
          </w:p>
        </w:tc>
        <w:tc>
          <w:tcPr>
            <w:tcW w:w="357"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55</w:t>
            </w:r>
          </w:p>
        </w:tc>
      </w:tr>
      <w:tr w:rsidR="00FF24CA" w:rsidRPr="00F540CE" w:rsidTr="00FF24CA">
        <w:trPr>
          <w:trHeight w:val="227"/>
        </w:trPr>
        <w:tc>
          <w:tcPr>
            <w:tcW w:w="1552" w:type="pct"/>
            <w:shd w:val="clear" w:color="auto" w:fill="auto"/>
            <w:vAlign w:val="center"/>
          </w:tcPr>
          <w:p w:rsidR="00FF24CA" w:rsidRPr="00F540CE" w:rsidRDefault="00FF24CA" w:rsidP="00FF24CA">
            <w:pPr>
              <w:spacing w:after="0"/>
              <w:rPr>
                <w:rFonts w:ascii="Calibri" w:hAnsi="Calibri" w:cs="Calibri"/>
                <w:color w:val="000000"/>
              </w:rPr>
            </w:pPr>
            <w:r w:rsidRPr="00F540CE">
              <w:rPr>
                <w:rFonts w:ascii="Calibri" w:hAnsi="Calibri" w:cs="Calibri"/>
                <w:color w:val="000000"/>
              </w:rPr>
              <w:t>Özel Kalem Müdürü</w:t>
            </w:r>
          </w:p>
        </w:tc>
        <w:tc>
          <w:tcPr>
            <w:tcW w:w="507" w:type="pct"/>
            <w:shd w:val="clear" w:color="auto" w:fill="auto"/>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w:t>
            </w:r>
          </w:p>
        </w:tc>
        <w:tc>
          <w:tcPr>
            <w:tcW w:w="437" w:type="pct"/>
            <w:shd w:val="clear" w:color="auto" w:fill="auto"/>
            <w:noWrap/>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w:t>
            </w: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96" w:type="pct"/>
            <w:vAlign w:val="center"/>
          </w:tcPr>
          <w:p w:rsidR="00FF24CA" w:rsidRPr="00F540CE" w:rsidRDefault="00FF24CA" w:rsidP="00FF24CA">
            <w:pPr>
              <w:spacing w:after="0"/>
              <w:jc w:val="center"/>
              <w:rPr>
                <w:rFonts w:ascii="Calibri" w:hAnsi="Calibri" w:cs="Calibri"/>
                <w:color w:val="000000"/>
                <w:highlight w:val="yellow"/>
              </w:rPr>
            </w:pP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w:t>
            </w: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49"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17"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57" w:type="pct"/>
            <w:shd w:val="clear" w:color="auto" w:fill="auto"/>
            <w:noWrap/>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w:t>
            </w:r>
          </w:p>
        </w:tc>
      </w:tr>
      <w:tr w:rsidR="00FF24CA" w:rsidRPr="00F540CE" w:rsidTr="00FF24CA">
        <w:trPr>
          <w:trHeight w:val="227"/>
        </w:trPr>
        <w:tc>
          <w:tcPr>
            <w:tcW w:w="1552" w:type="pct"/>
            <w:shd w:val="clear" w:color="auto" w:fill="auto"/>
            <w:vAlign w:val="center"/>
          </w:tcPr>
          <w:p w:rsidR="00FF24CA" w:rsidRPr="00F540CE" w:rsidRDefault="00FF24CA" w:rsidP="00FF24CA">
            <w:pPr>
              <w:spacing w:after="0"/>
              <w:rPr>
                <w:rFonts w:ascii="Calibri" w:hAnsi="Calibri" w:cs="Calibri"/>
                <w:color w:val="000000"/>
              </w:rPr>
            </w:pPr>
            <w:r w:rsidRPr="00F540CE">
              <w:rPr>
                <w:rFonts w:ascii="Calibri" w:hAnsi="Calibri" w:cs="Calibri"/>
                <w:color w:val="000000"/>
              </w:rPr>
              <w:t>İrtibat Büro Müdürü</w:t>
            </w:r>
          </w:p>
        </w:tc>
        <w:tc>
          <w:tcPr>
            <w:tcW w:w="507" w:type="pct"/>
            <w:shd w:val="clear" w:color="auto" w:fill="auto"/>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w:t>
            </w:r>
          </w:p>
        </w:tc>
        <w:tc>
          <w:tcPr>
            <w:tcW w:w="437" w:type="pct"/>
            <w:shd w:val="clear" w:color="auto" w:fill="auto"/>
            <w:noWrap/>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w:t>
            </w: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96" w:type="pct"/>
            <w:vAlign w:val="center"/>
          </w:tcPr>
          <w:p w:rsidR="00FF24CA" w:rsidRPr="00F540CE" w:rsidRDefault="00FF24CA" w:rsidP="00FF24CA">
            <w:pPr>
              <w:spacing w:after="0"/>
              <w:jc w:val="center"/>
              <w:rPr>
                <w:rFonts w:ascii="Calibri" w:hAnsi="Calibri" w:cs="Calibri"/>
                <w:color w:val="000000"/>
                <w:highlight w:val="yellow"/>
              </w:rPr>
            </w:pP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49"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17"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57" w:type="pct"/>
            <w:shd w:val="clear" w:color="auto" w:fill="auto"/>
            <w:noWrap/>
            <w:vAlign w:val="center"/>
          </w:tcPr>
          <w:p w:rsidR="00FF24CA" w:rsidRPr="00F540CE" w:rsidRDefault="00FF24CA" w:rsidP="00FF24CA">
            <w:pPr>
              <w:spacing w:after="0"/>
              <w:jc w:val="center"/>
              <w:rPr>
                <w:rFonts w:ascii="Calibri" w:hAnsi="Calibri" w:cs="Calibri"/>
                <w:color w:val="000000"/>
              </w:rPr>
            </w:pPr>
          </w:p>
        </w:tc>
      </w:tr>
      <w:tr w:rsidR="00FF24CA" w:rsidRPr="00F540CE" w:rsidTr="00FF24CA">
        <w:trPr>
          <w:trHeight w:val="227"/>
        </w:trPr>
        <w:tc>
          <w:tcPr>
            <w:tcW w:w="1552" w:type="pct"/>
            <w:shd w:val="clear" w:color="auto" w:fill="auto"/>
            <w:vAlign w:val="center"/>
          </w:tcPr>
          <w:p w:rsidR="00FF24CA" w:rsidRPr="00F540CE" w:rsidRDefault="00FF24CA" w:rsidP="00FF24CA">
            <w:pPr>
              <w:spacing w:after="0"/>
              <w:rPr>
                <w:rFonts w:ascii="Calibri" w:hAnsi="Calibri" w:cs="Calibri"/>
                <w:color w:val="000000"/>
              </w:rPr>
            </w:pPr>
            <w:r w:rsidRPr="00F540CE">
              <w:rPr>
                <w:rFonts w:ascii="Calibri" w:hAnsi="Calibri" w:cs="Calibri"/>
                <w:color w:val="000000"/>
              </w:rPr>
              <w:t>Kurul Hizmetleri Müdürü</w:t>
            </w:r>
          </w:p>
        </w:tc>
        <w:tc>
          <w:tcPr>
            <w:tcW w:w="507" w:type="pct"/>
            <w:shd w:val="clear" w:color="auto" w:fill="auto"/>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w:t>
            </w:r>
          </w:p>
        </w:tc>
        <w:tc>
          <w:tcPr>
            <w:tcW w:w="437" w:type="pct"/>
            <w:shd w:val="clear" w:color="auto" w:fill="auto"/>
            <w:noWrap/>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w:t>
            </w: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96" w:type="pct"/>
            <w:vAlign w:val="center"/>
          </w:tcPr>
          <w:p w:rsidR="00FF24CA" w:rsidRPr="00F540CE" w:rsidRDefault="00FF24CA" w:rsidP="00FF24CA">
            <w:pPr>
              <w:spacing w:after="0"/>
              <w:jc w:val="center"/>
              <w:rPr>
                <w:rFonts w:ascii="Calibri" w:hAnsi="Calibri" w:cs="Calibri"/>
                <w:color w:val="000000"/>
                <w:highlight w:val="yellow"/>
              </w:rPr>
            </w:pP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w:t>
            </w: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49"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17" w:type="pct"/>
            <w:shd w:val="clear" w:color="auto" w:fill="auto"/>
            <w:noWrap/>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w:t>
            </w:r>
          </w:p>
        </w:tc>
        <w:tc>
          <w:tcPr>
            <w:tcW w:w="357" w:type="pct"/>
            <w:shd w:val="clear" w:color="auto" w:fill="auto"/>
            <w:noWrap/>
            <w:vAlign w:val="center"/>
          </w:tcPr>
          <w:p w:rsidR="00FF24CA" w:rsidRPr="00F540CE" w:rsidRDefault="00FF24CA" w:rsidP="00FF24CA">
            <w:pPr>
              <w:spacing w:after="0"/>
              <w:jc w:val="center"/>
              <w:rPr>
                <w:rFonts w:ascii="Calibri" w:hAnsi="Calibri" w:cs="Calibri"/>
                <w:color w:val="000000"/>
              </w:rPr>
            </w:pPr>
          </w:p>
        </w:tc>
      </w:tr>
      <w:tr w:rsidR="00FF24CA" w:rsidRPr="00F540CE" w:rsidTr="00FF24CA">
        <w:trPr>
          <w:trHeight w:val="227"/>
        </w:trPr>
        <w:tc>
          <w:tcPr>
            <w:tcW w:w="1552" w:type="pct"/>
            <w:shd w:val="clear" w:color="auto" w:fill="auto"/>
            <w:vAlign w:val="center"/>
          </w:tcPr>
          <w:p w:rsidR="00FF24CA" w:rsidRPr="00F540CE" w:rsidRDefault="00FF24CA" w:rsidP="00FF24CA">
            <w:pPr>
              <w:spacing w:after="0"/>
              <w:jc w:val="left"/>
              <w:rPr>
                <w:rFonts w:ascii="Calibri" w:hAnsi="Calibri" w:cs="Calibri"/>
                <w:color w:val="000000"/>
              </w:rPr>
            </w:pPr>
            <w:r w:rsidRPr="00F540CE">
              <w:rPr>
                <w:rFonts w:ascii="Calibri" w:hAnsi="Calibri" w:cs="Calibri"/>
                <w:color w:val="000000"/>
              </w:rPr>
              <w:t>Kurul Hizmetleri Müdür Yardımcısı</w:t>
            </w:r>
          </w:p>
        </w:tc>
        <w:tc>
          <w:tcPr>
            <w:tcW w:w="507" w:type="pct"/>
            <w:shd w:val="clear" w:color="auto" w:fill="auto"/>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w:t>
            </w:r>
          </w:p>
        </w:tc>
        <w:tc>
          <w:tcPr>
            <w:tcW w:w="437" w:type="pct"/>
            <w:shd w:val="clear" w:color="auto" w:fill="auto"/>
            <w:noWrap/>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w:t>
            </w: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96" w:type="pct"/>
            <w:vAlign w:val="center"/>
          </w:tcPr>
          <w:p w:rsidR="00FF24CA" w:rsidRPr="00F540CE" w:rsidRDefault="00FF24CA" w:rsidP="00FF24CA">
            <w:pPr>
              <w:spacing w:after="0"/>
              <w:jc w:val="center"/>
              <w:rPr>
                <w:rFonts w:ascii="Calibri" w:hAnsi="Calibri" w:cs="Calibri"/>
                <w:color w:val="000000"/>
                <w:highlight w:val="yellow"/>
              </w:rPr>
            </w:pP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w:t>
            </w: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49"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17"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57" w:type="pct"/>
            <w:shd w:val="clear" w:color="auto" w:fill="auto"/>
            <w:noWrap/>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w:t>
            </w:r>
          </w:p>
        </w:tc>
      </w:tr>
      <w:tr w:rsidR="00FF24CA" w:rsidRPr="00F540CE" w:rsidTr="00FF24CA">
        <w:trPr>
          <w:trHeight w:val="227"/>
        </w:trPr>
        <w:tc>
          <w:tcPr>
            <w:tcW w:w="1552" w:type="pct"/>
            <w:shd w:val="clear" w:color="auto" w:fill="auto"/>
            <w:vAlign w:val="center"/>
          </w:tcPr>
          <w:p w:rsidR="00FF24CA" w:rsidRPr="00F540CE" w:rsidRDefault="00FF24CA" w:rsidP="00FF24CA">
            <w:pPr>
              <w:spacing w:after="0"/>
              <w:rPr>
                <w:rFonts w:ascii="Calibri" w:hAnsi="Calibri" w:cs="Calibri"/>
                <w:color w:val="000000"/>
              </w:rPr>
            </w:pPr>
            <w:r w:rsidRPr="00F540CE">
              <w:rPr>
                <w:rFonts w:ascii="Calibri" w:hAnsi="Calibri" w:cs="Calibri"/>
                <w:color w:val="000000"/>
              </w:rPr>
              <w:t>Özel Kalem Müdür Yardımcısı</w:t>
            </w:r>
          </w:p>
        </w:tc>
        <w:tc>
          <w:tcPr>
            <w:tcW w:w="507" w:type="pct"/>
            <w:shd w:val="clear" w:color="auto" w:fill="auto"/>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w:t>
            </w:r>
          </w:p>
        </w:tc>
        <w:tc>
          <w:tcPr>
            <w:tcW w:w="437" w:type="pct"/>
            <w:shd w:val="clear" w:color="auto" w:fill="auto"/>
            <w:noWrap/>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w:t>
            </w: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96" w:type="pct"/>
            <w:vAlign w:val="center"/>
          </w:tcPr>
          <w:p w:rsidR="00FF24CA" w:rsidRPr="00F540CE" w:rsidRDefault="00FF24CA" w:rsidP="00FF24CA">
            <w:pPr>
              <w:spacing w:after="0"/>
              <w:jc w:val="center"/>
              <w:rPr>
                <w:rFonts w:ascii="Calibri" w:hAnsi="Calibri" w:cs="Calibri"/>
                <w:color w:val="000000"/>
                <w:highlight w:val="yellow"/>
              </w:rPr>
            </w:pP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49"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17"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57" w:type="pct"/>
            <w:shd w:val="clear" w:color="auto" w:fill="auto"/>
            <w:noWrap/>
            <w:vAlign w:val="center"/>
          </w:tcPr>
          <w:p w:rsidR="00FF24CA" w:rsidRPr="00F540CE" w:rsidRDefault="00FF24CA" w:rsidP="00FF24CA">
            <w:pPr>
              <w:spacing w:after="0"/>
              <w:jc w:val="center"/>
              <w:rPr>
                <w:rFonts w:ascii="Calibri" w:hAnsi="Calibri" w:cs="Calibri"/>
                <w:color w:val="000000"/>
              </w:rPr>
            </w:pPr>
          </w:p>
        </w:tc>
      </w:tr>
      <w:tr w:rsidR="00FF24CA" w:rsidRPr="00F540CE" w:rsidTr="00FF24CA">
        <w:trPr>
          <w:trHeight w:val="227"/>
        </w:trPr>
        <w:tc>
          <w:tcPr>
            <w:tcW w:w="1552" w:type="pct"/>
            <w:shd w:val="clear" w:color="auto" w:fill="auto"/>
            <w:vAlign w:val="center"/>
          </w:tcPr>
          <w:p w:rsidR="00FF24CA" w:rsidRPr="00F540CE" w:rsidRDefault="00FF24CA" w:rsidP="00FF24CA">
            <w:pPr>
              <w:spacing w:after="0"/>
              <w:rPr>
                <w:rFonts w:ascii="Calibri" w:hAnsi="Calibri" w:cs="Calibri"/>
                <w:color w:val="000000"/>
              </w:rPr>
            </w:pPr>
            <w:r w:rsidRPr="00F540CE">
              <w:rPr>
                <w:rFonts w:ascii="Calibri" w:hAnsi="Calibri" w:cs="Calibri"/>
                <w:color w:val="000000"/>
              </w:rPr>
              <w:t>Enerji Uzmanı</w:t>
            </w:r>
          </w:p>
        </w:tc>
        <w:tc>
          <w:tcPr>
            <w:tcW w:w="507" w:type="pct"/>
            <w:shd w:val="clear" w:color="auto" w:fill="auto"/>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281</w:t>
            </w:r>
          </w:p>
        </w:tc>
        <w:tc>
          <w:tcPr>
            <w:tcW w:w="437"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164</w:t>
            </w: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96" w:type="pct"/>
            <w:vAlign w:val="center"/>
          </w:tcPr>
          <w:p w:rsidR="00FF24CA" w:rsidRPr="00F540CE" w:rsidRDefault="00FF24CA" w:rsidP="00FF24CA">
            <w:pPr>
              <w:spacing w:after="0"/>
              <w:jc w:val="center"/>
              <w:rPr>
                <w:rFonts w:ascii="Calibri" w:hAnsi="Calibri" w:cs="Calibri"/>
                <w:color w:val="000000"/>
                <w:highlight w:val="yellow"/>
              </w:rPr>
            </w:pP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125</w:t>
            </w: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36</w:t>
            </w:r>
          </w:p>
        </w:tc>
        <w:tc>
          <w:tcPr>
            <w:tcW w:w="349"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3</w:t>
            </w:r>
          </w:p>
        </w:tc>
        <w:tc>
          <w:tcPr>
            <w:tcW w:w="317" w:type="pct"/>
            <w:shd w:val="clear" w:color="auto" w:fill="auto"/>
            <w:noWrap/>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57</w:t>
            </w:r>
          </w:p>
        </w:tc>
        <w:tc>
          <w:tcPr>
            <w:tcW w:w="357"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107</w:t>
            </w:r>
          </w:p>
        </w:tc>
      </w:tr>
      <w:tr w:rsidR="00FF24CA" w:rsidRPr="00F540CE" w:rsidTr="00FF24CA">
        <w:trPr>
          <w:trHeight w:val="227"/>
        </w:trPr>
        <w:tc>
          <w:tcPr>
            <w:tcW w:w="1552" w:type="pct"/>
            <w:shd w:val="clear" w:color="auto" w:fill="auto"/>
            <w:vAlign w:val="center"/>
          </w:tcPr>
          <w:p w:rsidR="00FF24CA" w:rsidRPr="00F540CE" w:rsidRDefault="00FF24CA" w:rsidP="00FF24CA">
            <w:pPr>
              <w:spacing w:after="0"/>
              <w:rPr>
                <w:rFonts w:ascii="Calibri" w:hAnsi="Calibri" w:cs="Calibri"/>
                <w:color w:val="000000"/>
              </w:rPr>
            </w:pPr>
            <w:r w:rsidRPr="00F540CE">
              <w:rPr>
                <w:rFonts w:ascii="Calibri" w:hAnsi="Calibri" w:cs="Calibri"/>
                <w:color w:val="000000"/>
              </w:rPr>
              <w:t>Enerji Uzman Yardımcısı</w:t>
            </w:r>
          </w:p>
        </w:tc>
        <w:tc>
          <w:tcPr>
            <w:tcW w:w="507" w:type="pct"/>
            <w:shd w:val="clear" w:color="auto" w:fill="auto"/>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131</w:t>
            </w:r>
          </w:p>
        </w:tc>
        <w:tc>
          <w:tcPr>
            <w:tcW w:w="437"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33</w:t>
            </w: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96" w:type="pct"/>
            <w:vAlign w:val="center"/>
          </w:tcPr>
          <w:p w:rsidR="00FF24CA" w:rsidRPr="00F540CE" w:rsidRDefault="00FF24CA" w:rsidP="00FF24CA">
            <w:pPr>
              <w:spacing w:after="0"/>
              <w:jc w:val="center"/>
              <w:rPr>
                <w:rFonts w:ascii="Calibri" w:hAnsi="Calibri" w:cs="Calibri"/>
                <w:color w:val="000000"/>
                <w:highlight w:val="yellow"/>
              </w:rPr>
            </w:pP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33</w:t>
            </w: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49"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17"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10</w:t>
            </w:r>
          </w:p>
        </w:tc>
        <w:tc>
          <w:tcPr>
            <w:tcW w:w="357"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23</w:t>
            </w:r>
          </w:p>
        </w:tc>
      </w:tr>
      <w:tr w:rsidR="00FF24CA" w:rsidRPr="00F540CE" w:rsidTr="00FF24CA">
        <w:trPr>
          <w:trHeight w:val="227"/>
        </w:trPr>
        <w:tc>
          <w:tcPr>
            <w:tcW w:w="1552" w:type="pct"/>
            <w:shd w:val="clear" w:color="auto" w:fill="auto"/>
            <w:vAlign w:val="center"/>
          </w:tcPr>
          <w:p w:rsidR="00FF24CA" w:rsidRPr="00F540CE" w:rsidRDefault="00FF24CA" w:rsidP="00FF24CA">
            <w:pPr>
              <w:spacing w:after="0"/>
              <w:rPr>
                <w:rFonts w:ascii="Calibri" w:hAnsi="Calibri" w:cs="Calibri"/>
                <w:color w:val="000000"/>
              </w:rPr>
            </w:pPr>
            <w:r w:rsidRPr="00F540CE">
              <w:rPr>
                <w:rFonts w:ascii="Calibri" w:hAnsi="Calibri" w:cs="Calibri"/>
                <w:color w:val="000000"/>
              </w:rPr>
              <w:t>Avukat</w:t>
            </w:r>
          </w:p>
        </w:tc>
        <w:tc>
          <w:tcPr>
            <w:tcW w:w="507" w:type="pct"/>
            <w:shd w:val="clear" w:color="auto" w:fill="auto"/>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25</w:t>
            </w:r>
          </w:p>
        </w:tc>
        <w:tc>
          <w:tcPr>
            <w:tcW w:w="437"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25</w:t>
            </w: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96" w:type="pct"/>
            <w:vAlign w:val="center"/>
          </w:tcPr>
          <w:p w:rsidR="00FF24CA" w:rsidRPr="00F540CE" w:rsidRDefault="00FF24CA" w:rsidP="00FF24CA">
            <w:pPr>
              <w:spacing w:after="0"/>
              <w:jc w:val="center"/>
              <w:rPr>
                <w:rFonts w:ascii="Calibri" w:hAnsi="Calibri" w:cs="Calibri"/>
                <w:color w:val="000000"/>
                <w:highlight w:val="yellow"/>
              </w:rPr>
            </w:pP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20</w:t>
            </w: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5</w:t>
            </w:r>
          </w:p>
        </w:tc>
        <w:tc>
          <w:tcPr>
            <w:tcW w:w="349"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17" w:type="pct"/>
            <w:shd w:val="clear" w:color="auto" w:fill="auto"/>
            <w:noWrap/>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23</w:t>
            </w:r>
          </w:p>
        </w:tc>
        <w:tc>
          <w:tcPr>
            <w:tcW w:w="357"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2</w:t>
            </w:r>
          </w:p>
        </w:tc>
      </w:tr>
      <w:tr w:rsidR="00FF24CA" w:rsidRPr="00F540CE" w:rsidTr="00FF24CA">
        <w:trPr>
          <w:trHeight w:val="227"/>
        </w:trPr>
        <w:tc>
          <w:tcPr>
            <w:tcW w:w="1552" w:type="pct"/>
            <w:shd w:val="clear" w:color="auto" w:fill="auto"/>
            <w:vAlign w:val="center"/>
          </w:tcPr>
          <w:p w:rsidR="00FF24CA" w:rsidRPr="00F540CE" w:rsidRDefault="00FF24CA" w:rsidP="00FF24CA">
            <w:pPr>
              <w:spacing w:after="0"/>
              <w:rPr>
                <w:rFonts w:ascii="Calibri" w:hAnsi="Calibri" w:cs="Calibri"/>
                <w:color w:val="000000"/>
              </w:rPr>
            </w:pPr>
            <w:r w:rsidRPr="00F540CE">
              <w:rPr>
                <w:rFonts w:ascii="Calibri" w:hAnsi="Calibri" w:cs="Calibri"/>
                <w:color w:val="000000"/>
              </w:rPr>
              <w:t>Yönetim Hizmetleri Uzmanı</w:t>
            </w:r>
          </w:p>
        </w:tc>
        <w:tc>
          <w:tcPr>
            <w:tcW w:w="507" w:type="pct"/>
            <w:shd w:val="clear" w:color="auto" w:fill="auto"/>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94</w:t>
            </w:r>
          </w:p>
        </w:tc>
        <w:tc>
          <w:tcPr>
            <w:tcW w:w="437"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74</w:t>
            </w: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96" w:type="pct"/>
            <w:vAlign w:val="center"/>
          </w:tcPr>
          <w:p w:rsidR="00FF24CA" w:rsidRPr="00F540CE" w:rsidRDefault="00FF24CA" w:rsidP="00FF24CA">
            <w:pPr>
              <w:spacing w:after="0"/>
              <w:jc w:val="center"/>
              <w:rPr>
                <w:rFonts w:ascii="Calibri" w:hAnsi="Calibri" w:cs="Calibri"/>
                <w:color w:val="000000"/>
                <w:highlight w:val="yellow"/>
              </w:rPr>
            </w:pP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55</w:t>
            </w: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18</w:t>
            </w:r>
          </w:p>
        </w:tc>
        <w:tc>
          <w:tcPr>
            <w:tcW w:w="349"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1</w:t>
            </w:r>
          </w:p>
        </w:tc>
        <w:tc>
          <w:tcPr>
            <w:tcW w:w="317"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41</w:t>
            </w:r>
          </w:p>
        </w:tc>
        <w:tc>
          <w:tcPr>
            <w:tcW w:w="357"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33</w:t>
            </w:r>
          </w:p>
        </w:tc>
      </w:tr>
      <w:tr w:rsidR="00FF24CA" w:rsidRPr="00F540CE" w:rsidTr="00FF24CA">
        <w:trPr>
          <w:trHeight w:val="227"/>
        </w:trPr>
        <w:tc>
          <w:tcPr>
            <w:tcW w:w="1552" w:type="pct"/>
            <w:shd w:val="clear" w:color="auto" w:fill="auto"/>
            <w:vAlign w:val="center"/>
          </w:tcPr>
          <w:p w:rsidR="00FF24CA" w:rsidRPr="00F540CE" w:rsidRDefault="00FF24CA" w:rsidP="00FF24CA">
            <w:pPr>
              <w:spacing w:after="0"/>
              <w:rPr>
                <w:rFonts w:ascii="Calibri" w:hAnsi="Calibri" w:cs="Calibri"/>
                <w:color w:val="000000"/>
              </w:rPr>
            </w:pPr>
            <w:r w:rsidRPr="00F540CE">
              <w:rPr>
                <w:rFonts w:ascii="Calibri" w:hAnsi="Calibri" w:cs="Calibri"/>
                <w:color w:val="000000"/>
              </w:rPr>
              <w:t>Tabip</w:t>
            </w:r>
          </w:p>
        </w:tc>
        <w:tc>
          <w:tcPr>
            <w:tcW w:w="507" w:type="pct"/>
            <w:shd w:val="clear" w:color="auto" w:fill="auto"/>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w:t>
            </w:r>
          </w:p>
        </w:tc>
        <w:tc>
          <w:tcPr>
            <w:tcW w:w="437" w:type="pct"/>
            <w:shd w:val="clear" w:color="auto" w:fill="auto"/>
            <w:noWrap/>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w:t>
            </w: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96" w:type="pct"/>
            <w:vAlign w:val="center"/>
          </w:tcPr>
          <w:p w:rsidR="00FF24CA" w:rsidRPr="00F540CE" w:rsidRDefault="00FF24CA" w:rsidP="00FF24CA">
            <w:pPr>
              <w:spacing w:after="0"/>
              <w:jc w:val="center"/>
              <w:rPr>
                <w:rFonts w:ascii="Calibri" w:hAnsi="Calibri" w:cs="Calibri"/>
                <w:color w:val="000000"/>
                <w:highlight w:val="yellow"/>
              </w:rPr>
            </w:pP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49"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17"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57" w:type="pct"/>
            <w:shd w:val="clear" w:color="auto" w:fill="auto"/>
            <w:noWrap/>
            <w:vAlign w:val="center"/>
          </w:tcPr>
          <w:p w:rsidR="00FF24CA" w:rsidRPr="00F540CE" w:rsidRDefault="00FF24CA" w:rsidP="00FF24CA">
            <w:pPr>
              <w:spacing w:after="0"/>
              <w:jc w:val="center"/>
              <w:rPr>
                <w:rFonts w:ascii="Calibri" w:hAnsi="Calibri" w:cs="Calibri"/>
                <w:color w:val="000000"/>
              </w:rPr>
            </w:pPr>
          </w:p>
        </w:tc>
      </w:tr>
      <w:tr w:rsidR="00FF24CA" w:rsidRPr="00F540CE" w:rsidTr="00FF24CA">
        <w:trPr>
          <w:trHeight w:val="227"/>
        </w:trPr>
        <w:tc>
          <w:tcPr>
            <w:tcW w:w="1552" w:type="pct"/>
            <w:shd w:val="clear" w:color="auto" w:fill="auto"/>
            <w:vAlign w:val="center"/>
          </w:tcPr>
          <w:p w:rsidR="00FF24CA" w:rsidRPr="00F540CE" w:rsidRDefault="00FF24CA" w:rsidP="00FF24CA">
            <w:pPr>
              <w:spacing w:after="0"/>
              <w:rPr>
                <w:rFonts w:ascii="Calibri" w:hAnsi="Calibri" w:cs="Calibri"/>
                <w:bCs/>
                <w:color w:val="000000"/>
              </w:rPr>
            </w:pPr>
            <w:r w:rsidRPr="00F540CE">
              <w:rPr>
                <w:rFonts w:ascii="Calibri" w:hAnsi="Calibri" w:cs="Calibri"/>
                <w:bCs/>
                <w:color w:val="000000"/>
              </w:rPr>
              <w:t>Mimar</w:t>
            </w:r>
          </w:p>
        </w:tc>
        <w:tc>
          <w:tcPr>
            <w:tcW w:w="507" w:type="pct"/>
            <w:shd w:val="clear" w:color="auto" w:fill="auto"/>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w:t>
            </w:r>
          </w:p>
        </w:tc>
        <w:tc>
          <w:tcPr>
            <w:tcW w:w="437"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96" w:type="pct"/>
            <w:shd w:val="clear" w:color="auto" w:fill="auto"/>
            <w:noWrap/>
            <w:vAlign w:val="center"/>
          </w:tcPr>
          <w:p w:rsidR="00FF24CA" w:rsidRPr="00F540CE" w:rsidRDefault="00FF24CA" w:rsidP="00FF24CA">
            <w:pPr>
              <w:spacing w:after="0"/>
              <w:jc w:val="center"/>
              <w:rPr>
                <w:rFonts w:ascii="Calibri" w:hAnsi="Calibri" w:cs="Calibri"/>
                <w:b/>
                <w:color w:val="000000"/>
              </w:rPr>
            </w:pPr>
          </w:p>
        </w:tc>
        <w:tc>
          <w:tcPr>
            <w:tcW w:w="296" w:type="pct"/>
            <w:vAlign w:val="center"/>
          </w:tcPr>
          <w:p w:rsidR="00FF24CA" w:rsidRPr="00F540CE" w:rsidRDefault="00FF24CA" w:rsidP="00FF24CA">
            <w:pPr>
              <w:spacing w:after="0"/>
              <w:jc w:val="center"/>
              <w:rPr>
                <w:rFonts w:ascii="Calibri" w:hAnsi="Calibri" w:cs="Calibri"/>
                <w:b/>
                <w:color w:val="000000"/>
                <w:highlight w:val="yellow"/>
              </w:rPr>
            </w:pPr>
          </w:p>
        </w:tc>
        <w:tc>
          <w:tcPr>
            <w:tcW w:w="296" w:type="pct"/>
            <w:shd w:val="clear" w:color="auto" w:fill="auto"/>
            <w:noWrap/>
            <w:vAlign w:val="center"/>
          </w:tcPr>
          <w:p w:rsidR="00FF24CA" w:rsidRPr="00F540CE" w:rsidRDefault="00FF24CA" w:rsidP="00FF24CA">
            <w:pPr>
              <w:spacing w:after="0"/>
              <w:jc w:val="center"/>
              <w:rPr>
                <w:rFonts w:ascii="Calibri" w:hAnsi="Calibri" w:cs="Calibri"/>
                <w:b/>
                <w:color w:val="000000"/>
              </w:rPr>
            </w:pP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49"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17"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57" w:type="pct"/>
            <w:shd w:val="clear" w:color="auto" w:fill="auto"/>
            <w:noWrap/>
            <w:vAlign w:val="center"/>
          </w:tcPr>
          <w:p w:rsidR="00FF24CA" w:rsidRPr="00F540CE" w:rsidRDefault="00FF24CA" w:rsidP="00FF24CA">
            <w:pPr>
              <w:spacing w:after="0"/>
              <w:jc w:val="center"/>
              <w:rPr>
                <w:rFonts w:ascii="Calibri" w:hAnsi="Calibri" w:cs="Calibri"/>
                <w:b/>
                <w:color w:val="000000"/>
              </w:rPr>
            </w:pPr>
          </w:p>
        </w:tc>
      </w:tr>
      <w:tr w:rsidR="00FF24CA" w:rsidRPr="00F540CE" w:rsidTr="00FF24CA">
        <w:trPr>
          <w:trHeight w:val="227"/>
        </w:trPr>
        <w:tc>
          <w:tcPr>
            <w:tcW w:w="1552" w:type="pct"/>
            <w:shd w:val="clear" w:color="auto" w:fill="auto"/>
            <w:vAlign w:val="center"/>
          </w:tcPr>
          <w:p w:rsidR="00FF24CA" w:rsidRPr="00F540CE" w:rsidRDefault="00FF24CA" w:rsidP="00FF24CA">
            <w:pPr>
              <w:spacing w:after="0"/>
              <w:rPr>
                <w:rFonts w:ascii="Calibri" w:hAnsi="Calibri" w:cs="Calibri"/>
                <w:bCs/>
                <w:color w:val="000000"/>
              </w:rPr>
            </w:pPr>
            <w:r w:rsidRPr="00F540CE">
              <w:rPr>
                <w:rFonts w:ascii="Calibri" w:hAnsi="Calibri" w:cs="Calibri"/>
                <w:bCs/>
                <w:color w:val="000000"/>
              </w:rPr>
              <w:t>Mühendis</w:t>
            </w:r>
          </w:p>
        </w:tc>
        <w:tc>
          <w:tcPr>
            <w:tcW w:w="507" w:type="pct"/>
            <w:shd w:val="clear" w:color="auto" w:fill="auto"/>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40</w:t>
            </w:r>
          </w:p>
        </w:tc>
        <w:tc>
          <w:tcPr>
            <w:tcW w:w="437"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32</w:t>
            </w:r>
          </w:p>
        </w:tc>
        <w:tc>
          <w:tcPr>
            <w:tcW w:w="296" w:type="pct"/>
            <w:shd w:val="clear" w:color="auto" w:fill="auto"/>
            <w:noWrap/>
            <w:vAlign w:val="center"/>
          </w:tcPr>
          <w:p w:rsidR="00FF24CA" w:rsidRPr="00F540CE" w:rsidRDefault="00FF24CA" w:rsidP="00FF24CA">
            <w:pPr>
              <w:spacing w:after="0"/>
              <w:jc w:val="center"/>
              <w:rPr>
                <w:rFonts w:ascii="Calibri" w:hAnsi="Calibri" w:cs="Calibri"/>
                <w:b/>
                <w:color w:val="000000"/>
              </w:rPr>
            </w:pPr>
          </w:p>
        </w:tc>
        <w:tc>
          <w:tcPr>
            <w:tcW w:w="296" w:type="pct"/>
            <w:vAlign w:val="center"/>
          </w:tcPr>
          <w:p w:rsidR="00FF24CA" w:rsidRPr="00F540CE" w:rsidRDefault="00FF24CA" w:rsidP="00FF24CA">
            <w:pPr>
              <w:spacing w:after="0"/>
              <w:jc w:val="center"/>
              <w:rPr>
                <w:rFonts w:ascii="Calibri" w:hAnsi="Calibri" w:cs="Calibri"/>
                <w:color w:val="000000"/>
                <w:highlight w:val="yellow"/>
              </w:rPr>
            </w:pP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26</w:t>
            </w: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5</w:t>
            </w:r>
          </w:p>
        </w:tc>
        <w:tc>
          <w:tcPr>
            <w:tcW w:w="349" w:type="pct"/>
            <w:shd w:val="clear" w:color="auto" w:fill="auto"/>
            <w:noWrap/>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w:t>
            </w:r>
          </w:p>
        </w:tc>
        <w:tc>
          <w:tcPr>
            <w:tcW w:w="317"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14</w:t>
            </w:r>
          </w:p>
        </w:tc>
        <w:tc>
          <w:tcPr>
            <w:tcW w:w="357"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18</w:t>
            </w:r>
          </w:p>
        </w:tc>
      </w:tr>
      <w:tr w:rsidR="00FF24CA" w:rsidRPr="00F540CE" w:rsidTr="00FF24CA">
        <w:trPr>
          <w:trHeight w:val="227"/>
        </w:trPr>
        <w:tc>
          <w:tcPr>
            <w:tcW w:w="1552" w:type="pct"/>
            <w:shd w:val="clear" w:color="auto" w:fill="auto"/>
            <w:vAlign w:val="center"/>
          </w:tcPr>
          <w:p w:rsidR="00FF24CA" w:rsidRPr="00F540CE" w:rsidRDefault="00FF24CA" w:rsidP="00FF24CA">
            <w:pPr>
              <w:spacing w:after="0"/>
              <w:rPr>
                <w:rFonts w:ascii="Calibri" w:hAnsi="Calibri" w:cs="Calibri"/>
                <w:bCs/>
                <w:color w:val="000000"/>
              </w:rPr>
            </w:pPr>
            <w:r w:rsidRPr="00F540CE">
              <w:rPr>
                <w:rFonts w:ascii="Calibri" w:hAnsi="Calibri" w:cs="Calibri"/>
                <w:bCs/>
                <w:color w:val="000000"/>
              </w:rPr>
              <w:t>Mütercim-Tercüman</w:t>
            </w:r>
          </w:p>
        </w:tc>
        <w:tc>
          <w:tcPr>
            <w:tcW w:w="507" w:type="pct"/>
            <w:shd w:val="clear" w:color="auto" w:fill="auto"/>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2</w:t>
            </w:r>
          </w:p>
        </w:tc>
        <w:tc>
          <w:tcPr>
            <w:tcW w:w="437"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2</w:t>
            </w:r>
          </w:p>
        </w:tc>
        <w:tc>
          <w:tcPr>
            <w:tcW w:w="296" w:type="pct"/>
            <w:shd w:val="clear" w:color="auto" w:fill="auto"/>
            <w:noWrap/>
            <w:vAlign w:val="center"/>
          </w:tcPr>
          <w:p w:rsidR="00FF24CA" w:rsidRPr="00F540CE" w:rsidRDefault="00FF24CA" w:rsidP="00FF24CA">
            <w:pPr>
              <w:spacing w:after="0"/>
              <w:jc w:val="center"/>
              <w:rPr>
                <w:rFonts w:ascii="Calibri" w:hAnsi="Calibri" w:cs="Calibri"/>
                <w:b/>
                <w:color w:val="000000"/>
              </w:rPr>
            </w:pPr>
          </w:p>
        </w:tc>
        <w:tc>
          <w:tcPr>
            <w:tcW w:w="296" w:type="pct"/>
            <w:vAlign w:val="center"/>
          </w:tcPr>
          <w:p w:rsidR="00FF24CA" w:rsidRPr="00F540CE" w:rsidRDefault="00FF24CA" w:rsidP="00FF24CA">
            <w:pPr>
              <w:spacing w:after="0"/>
              <w:jc w:val="center"/>
              <w:rPr>
                <w:rFonts w:ascii="Calibri" w:hAnsi="Calibri" w:cs="Calibri"/>
                <w:b/>
                <w:color w:val="000000"/>
                <w:highlight w:val="yellow"/>
              </w:rPr>
            </w:pPr>
          </w:p>
        </w:tc>
        <w:tc>
          <w:tcPr>
            <w:tcW w:w="296" w:type="pct"/>
            <w:shd w:val="clear" w:color="auto" w:fill="auto"/>
            <w:noWrap/>
            <w:vAlign w:val="center"/>
          </w:tcPr>
          <w:p w:rsidR="00FF24CA" w:rsidRPr="00F540CE" w:rsidRDefault="00FF24CA" w:rsidP="00FF24CA">
            <w:pPr>
              <w:spacing w:after="0"/>
              <w:jc w:val="center"/>
              <w:rPr>
                <w:rFonts w:ascii="Calibri" w:hAnsi="Calibri" w:cs="Calibri"/>
                <w:b/>
                <w:color w:val="000000"/>
              </w:rPr>
            </w:pPr>
          </w:p>
        </w:tc>
        <w:tc>
          <w:tcPr>
            <w:tcW w:w="296" w:type="pct"/>
            <w:shd w:val="clear" w:color="auto" w:fill="auto"/>
            <w:noWrap/>
            <w:vAlign w:val="center"/>
          </w:tcPr>
          <w:p w:rsidR="00FF24CA" w:rsidRPr="003C0E32" w:rsidRDefault="00FF24CA" w:rsidP="00FF24CA">
            <w:pPr>
              <w:spacing w:after="0"/>
              <w:jc w:val="center"/>
              <w:rPr>
                <w:rFonts w:ascii="Calibri" w:hAnsi="Calibri" w:cs="Calibri"/>
                <w:color w:val="000000"/>
              </w:rPr>
            </w:pPr>
            <w:r>
              <w:rPr>
                <w:rFonts w:ascii="Calibri" w:hAnsi="Calibri" w:cs="Calibri"/>
                <w:color w:val="000000"/>
              </w:rPr>
              <w:t>2</w:t>
            </w:r>
          </w:p>
        </w:tc>
        <w:tc>
          <w:tcPr>
            <w:tcW w:w="296" w:type="pct"/>
            <w:shd w:val="clear" w:color="auto" w:fill="auto"/>
            <w:noWrap/>
            <w:vAlign w:val="center"/>
          </w:tcPr>
          <w:p w:rsidR="00FF24CA" w:rsidRPr="00F540CE" w:rsidRDefault="00FF24CA" w:rsidP="00FF24CA">
            <w:pPr>
              <w:spacing w:after="0"/>
              <w:jc w:val="center"/>
              <w:rPr>
                <w:rFonts w:ascii="Calibri" w:hAnsi="Calibri" w:cs="Calibri"/>
                <w:b/>
                <w:color w:val="000000"/>
              </w:rPr>
            </w:pPr>
          </w:p>
        </w:tc>
        <w:tc>
          <w:tcPr>
            <w:tcW w:w="349" w:type="pct"/>
            <w:shd w:val="clear" w:color="auto" w:fill="auto"/>
            <w:noWrap/>
            <w:vAlign w:val="center"/>
          </w:tcPr>
          <w:p w:rsidR="00FF24CA" w:rsidRPr="00F540CE" w:rsidRDefault="00FF24CA" w:rsidP="00FF24CA">
            <w:pPr>
              <w:spacing w:after="0"/>
              <w:jc w:val="center"/>
              <w:rPr>
                <w:rFonts w:ascii="Calibri" w:hAnsi="Calibri" w:cs="Calibri"/>
                <w:b/>
                <w:color w:val="000000"/>
              </w:rPr>
            </w:pPr>
          </w:p>
        </w:tc>
        <w:tc>
          <w:tcPr>
            <w:tcW w:w="317" w:type="pct"/>
            <w:shd w:val="clear" w:color="auto" w:fill="auto"/>
            <w:noWrap/>
            <w:vAlign w:val="center"/>
          </w:tcPr>
          <w:p w:rsidR="00FF24CA" w:rsidRPr="003C0E32" w:rsidRDefault="00FF24CA" w:rsidP="00FF24CA">
            <w:pPr>
              <w:spacing w:after="0"/>
              <w:jc w:val="center"/>
              <w:rPr>
                <w:rFonts w:ascii="Calibri" w:hAnsi="Calibri" w:cs="Calibri"/>
                <w:color w:val="000000"/>
              </w:rPr>
            </w:pPr>
            <w:r w:rsidRPr="003C0E32">
              <w:rPr>
                <w:rFonts w:ascii="Calibri" w:hAnsi="Calibri" w:cs="Calibri"/>
                <w:color w:val="000000"/>
              </w:rPr>
              <w:t>1</w:t>
            </w:r>
          </w:p>
        </w:tc>
        <w:tc>
          <w:tcPr>
            <w:tcW w:w="357" w:type="pct"/>
            <w:shd w:val="clear" w:color="auto" w:fill="auto"/>
            <w:noWrap/>
            <w:vAlign w:val="center"/>
          </w:tcPr>
          <w:p w:rsidR="00FF24CA" w:rsidRPr="00F540CE" w:rsidRDefault="00FF24CA" w:rsidP="00FF24CA">
            <w:pPr>
              <w:spacing w:after="0"/>
              <w:jc w:val="center"/>
              <w:rPr>
                <w:rFonts w:ascii="Calibri" w:hAnsi="Calibri" w:cs="Calibri"/>
                <w:b/>
                <w:color w:val="000000"/>
              </w:rPr>
            </w:pPr>
            <w:r>
              <w:rPr>
                <w:rFonts w:ascii="Calibri" w:hAnsi="Calibri" w:cs="Calibri"/>
                <w:b/>
                <w:color w:val="000000"/>
              </w:rPr>
              <w:t>1</w:t>
            </w:r>
          </w:p>
        </w:tc>
      </w:tr>
      <w:tr w:rsidR="00FF24CA" w:rsidRPr="00F540CE" w:rsidTr="00FF24CA">
        <w:trPr>
          <w:trHeight w:val="227"/>
        </w:trPr>
        <w:tc>
          <w:tcPr>
            <w:tcW w:w="1552" w:type="pct"/>
            <w:shd w:val="clear" w:color="auto" w:fill="auto"/>
            <w:vAlign w:val="center"/>
          </w:tcPr>
          <w:p w:rsidR="00FF24CA" w:rsidRPr="00F540CE" w:rsidRDefault="00FF24CA" w:rsidP="00FF24CA">
            <w:pPr>
              <w:spacing w:after="0"/>
              <w:rPr>
                <w:rFonts w:ascii="Calibri" w:hAnsi="Calibri" w:cs="Calibri"/>
                <w:bCs/>
                <w:color w:val="000000"/>
              </w:rPr>
            </w:pPr>
            <w:r w:rsidRPr="00F540CE">
              <w:rPr>
                <w:rFonts w:ascii="Calibri" w:hAnsi="Calibri" w:cs="Calibri"/>
                <w:bCs/>
                <w:color w:val="000000"/>
              </w:rPr>
              <w:t>Araştırmacı</w:t>
            </w:r>
          </w:p>
        </w:tc>
        <w:tc>
          <w:tcPr>
            <w:tcW w:w="507" w:type="pct"/>
            <w:shd w:val="clear" w:color="auto" w:fill="auto"/>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w:t>
            </w:r>
          </w:p>
        </w:tc>
        <w:tc>
          <w:tcPr>
            <w:tcW w:w="437" w:type="pct"/>
            <w:shd w:val="clear" w:color="auto" w:fill="auto"/>
            <w:noWrap/>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w:t>
            </w:r>
          </w:p>
        </w:tc>
        <w:tc>
          <w:tcPr>
            <w:tcW w:w="296" w:type="pct"/>
            <w:shd w:val="clear" w:color="auto" w:fill="auto"/>
            <w:noWrap/>
            <w:vAlign w:val="center"/>
          </w:tcPr>
          <w:p w:rsidR="00FF24CA" w:rsidRPr="00F540CE" w:rsidRDefault="00FF24CA" w:rsidP="00FF24CA">
            <w:pPr>
              <w:spacing w:after="0"/>
              <w:jc w:val="center"/>
              <w:rPr>
                <w:rFonts w:ascii="Calibri" w:hAnsi="Calibri" w:cs="Calibri"/>
                <w:b/>
                <w:color w:val="000000"/>
              </w:rPr>
            </w:pPr>
          </w:p>
        </w:tc>
        <w:tc>
          <w:tcPr>
            <w:tcW w:w="296" w:type="pct"/>
            <w:vAlign w:val="center"/>
          </w:tcPr>
          <w:p w:rsidR="00FF24CA" w:rsidRPr="00F540CE" w:rsidRDefault="00FF24CA" w:rsidP="00FF24CA">
            <w:pPr>
              <w:spacing w:after="0"/>
              <w:jc w:val="center"/>
              <w:rPr>
                <w:rFonts w:ascii="Calibri" w:hAnsi="Calibri" w:cs="Calibri"/>
                <w:b/>
                <w:color w:val="000000"/>
                <w:highlight w:val="yellow"/>
              </w:rPr>
            </w:pPr>
          </w:p>
        </w:tc>
        <w:tc>
          <w:tcPr>
            <w:tcW w:w="296" w:type="pct"/>
            <w:shd w:val="clear" w:color="auto" w:fill="auto"/>
            <w:noWrap/>
            <w:vAlign w:val="center"/>
          </w:tcPr>
          <w:p w:rsidR="00FF24CA" w:rsidRPr="00F540CE" w:rsidRDefault="00FF24CA" w:rsidP="00FF24CA">
            <w:pPr>
              <w:spacing w:after="0"/>
              <w:jc w:val="center"/>
              <w:rPr>
                <w:rFonts w:ascii="Calibri" w:hAnsi="Calibri" w:cs="Calibri"/>
                <w:b/>
                <w:color w:val="000000"/>
              </w:rPr>
            </w:pPr>
          </w:p>
        </w:tc>
        <w:tc>
          <w:tcPr>
            <w:tcW w:w="296" w:type="pct"/>
            <w:shd w:val="clear" w:color="auto" w:fill="auto"/>
            <w:noWrap/>
            <w:vAlign w:val="center"/>
          </w:tcPr>
          <w:p w:rsidR="00FF24CA" w:rsidRPr="00F540CE" w:rsidRDefault="00FF24CA" w:rsidP="00FF24CA">
            <w:pPr>
              <w:spacing w:after="0"/>
              <w:jc w:val="center"/>
              <w:rPr>
                <w:rFonts w:ascii="Calibri" w:hAnsi="Calibri" w:cs="Calibri"/>
                <w:b/>
                <w:color w:val="000000"/>
              </w:rPr>
            </w:pPr>
          </w:p>
        </w:tc>
        <w:tc>
          <w:tcPr>
            <w:tcW w:w="296" w:type="pct"/>
            <w:shd w:val="clear" w:color="auto" w:fill="auto"/>
            <w:noWrap/>
            <w:vAlign w:val="center"/>
          </w:tcPr>
          <w:p w:rsidR="00FF24CA" w:rsidRPr="00F540CE" w:rsidRDefault="00FF24CA" w:rsidP="00FF24CA">
            <w:pPr>
              <w:spacing w:after="0"/>
              <w:jc w:val="center"/>
              <w:rPr>
                <w:rFonts w:ascii="Calibri" w:hAnsi="Calibri" w:cs="Calibri"/>
                <w:b/>
                <w:color w:val="000000"/>
              </w:rPr>
            </w:pPr>
          </w:p>
        </w:tc>
        <w:tc>
          <w:tcPr>
            <w:tcW w:w="349" w:type="pct"/>
            <w:shd w:val="clear" w:color="auto" w:fill="auto"/>
            <w:noWrap/>
            <w:vAlign w:val="center"/>
          </w:tcPr>
          <w:p w:rsidR="00FF24CA" w:rsidRPr="00F540CE" w:rsidRDefault="00FF24CA" w:rsidP="00FF24CA">
            <w:pPr>
              <w:spacing w:after="0"/>
              <w:jc w:val="center"/>
              <w:rPr>
                <w:rFonts w:ascii="Calibri" w:hAnsi="Calibri" w:cs="Calibri"/>
                <w:b/>
                <w:color w:val="000000"/>
              </w:rPr>
            </w:pPr>
          </w:p>
        </w:tc>
        <w:tc>
          <w:tcPr>
            <w:tcW w:w="317" w:type="pct"/>
            <w:shd w:val="clear" w:color="auto" w:fill="auto"/>
            <w:noWrap/>
            <w:vAlign w:val="center"/>
          </w:tcPr>
          <w:p w:rsidR="00FF24CA" w:rsidRPr="00F540CE" w:rsidRDefault="00FF24CA" w:rsidP="00FF24CA">
            <w:pPr>
              <w:spacing w:after="0"/>
              <w:jc w:val="center"/>
              <w:rPr>
                <w:rFonts w:ascii="Calibri" w:hAnsi="Calibri" w:cs="Calibri"/>
                <w:b/>
                <w:color w:val="000000"/>
              </w:rPr>
            </w:pPr>
          </w:p>
        </w:tc>
        <w:tc>
          <w:tcPr>
            <w:tcW w:w="357" w:type="pct"/>
            <w:shd w:val="clear" w:color="auto" w:fill="auto"/>
            <w:noWrap/>
            <w:vAlign w:val="center"/>
          </w:tcPr>
          <w:p w:rsidR="00FF24CA" w:rsidRPr="00F540CE" w:rsidRDefault="00FF24CA" w:rsidP="00FF24CA">
            <w:pPr>
              <w:spacing w:after="0"/>
              <w:jc w:val="center"/>
              <w:rPr>
                <w:rFonts w:ascii="Calibri" w:hAnsi="Calibri" w:cs="Calibri"/>
                <w:b/>
                <w:color w:val="000000"/>
              </w:rPr>
            </w:pPr>
          </w:p>
        </w:tc>
      </w:tr>
      <w:tr w:rsidR="00FF24CA" w:rsidRPr="00F540CE" w:rsidTr="00FF24CA">
        <w:trPr>
          <w:trHeight w:val="227"/>
        </w:trPr>
        <w:tc>
          <w:tcPr>
            <w:tcW w:w="1552" w:type="pct"/>
            <w:shd w:val="clear" w:color="auto" w:fill="auto"/>
            <w:vAlign w:val="center"/>
          </w:tcPr>
          <w:p w:rsidR="00FF24CA" w:rsidRPr="00F540CE" w:rsidRDefault="00FF24CA" w:rsidP="00FF24CA">
            <w:pPr>
              <w:spacing w:after="0"/>
              <w:rPr>
                <w:rFonts w:ascii="Calibri" w:hAnsi="Calibri" w:cs="Calibri"/>
                <w:color w:val="000000"/>
              </w:rPr>
            </w:pPr>
            <w:r w:rsidRPr="00F540CE">
              <w:rPr>
                <w:rFonts w:ascii="Calibri" w:hAnsi="Calibri" w:cs="Calibri"/>
                <w:color w:val="000000"/>
              </w:rPr>
              <w:t>Çözümleyici</w:t>
            </w:r>
          </w:p>
        </w:tc>
        <w:tc>
          <w:tcPr>
            <w:tcW w:w="507" w:type="pct"/>
            <w:shd w:val="clear" w:color="auto" w:fill="auto"/>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8</w:t>
            </w:r>
          </w:p>
        </w:tc>
        <w:tc>
          <w:tcPr>
            <w:tcW w:w="437"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5</w:t>
            </w: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96" w:type="pct"/>
            <w:vAlign w:val="center"/>
          </w:tcPr>
          <w:p w:rsidR="00FF24CA" w:rsidRPr="00F540CE" w:rsidRDefault="00FF24CA" w:rsidP="00FF24CA">
            <w:pPr>
              <w:spacing w:after="0"/>
              <w:jc w:val="center"/>
              <w:rPr>
                <w:rFonts w:ascii="Calibri" w:hAnsi="Calibri" w:cs="Calibri"/>
                <w:color w:val="000000"/>
                <w:highlight w:val="yellow"/>
              </w:rPr>
            </w:pP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4</w:t>
            </w: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w:t>
            </w:r>
          </w:p>
        </w:tc>
        <w:tc>
          <w:tcPr>
            <w:tcW w:w="349"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17"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1</w:t>
            </w:r>
          </w:p>
        </w:tc>
        <w:tc>
          <w:tcPr>
            <w:tcW w:w="357"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4</w:t>
            </w:r>
          </w:p>
        </w:tc>
      </w:tr>
      <w:tr w:rsidR="00FF24CA" w:rsidRPr="00F540CE" w:rsidTr="00FF24CA">
        <w:trPr>
          <w:trHeight w:val="227"/>
        </w:trPr>
        <w:tc>
          <w:tcPr>
            <w:tcW w:w="1552" w:type="pct"/>
            <w:shd w:val="clear" w:color="auto" w:fill="auto"/>
            <w:vAlign w:val="center"/>
          </w:tcPr>
          <w:p w:rsidR="00FF24CA" w:rsidRPr="00F540CE" w:rsidRDefault="00FF24CA" w:rsidP="00FF24CA">
            <w:pPr>
              <w:spacing w:after="0"/>
              <w:rPr>
                <w:rFonts w:ascii="Calibri" w:hAnsi="Calibri" w:cs="Calibri"/>
                <w:color w:val="000000"/>
              </w:rPr>
            </w:pPr>
            <w:r w:rsidRPr="00F540CE">
              <w:rPr>
                <w:rFonts w:ascii="Calibri" w:hAnsi="Calibri" w:cs="Calibri"/>
                <w:color w:val="000000"/>
              </w:rPr>
              <w:t>Programcı</w:t>
            </w:r>
          </w:p>
        </w:tc>
        <w:tc>
          <w:tcPr>
            <w:tcW w:w="507" w:type="pct"/>
            <w:shd w:val="clear" w:color="auto" w:fill="auto"/>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6</w:t>
            </w:r>
          </w:p>
        </w:tc>
        <w:tc>
          <w:tcPr>
            <w:tcW w:w="437" w:type="pct"/>
            <w:shd w:val="clear" w:color="auto" w:fill="auto"/>
            <w:noWrap/>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w:t>
            </w: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96" w:type="pct"/>
            <w:vAlign w:val="center"/>
          </w:tcPr>
          <w:p w:rsidR="00FF24CA" w:rsidRPr="00F540CE" w:rsidRDefault="00FF24CA" w:rsidP="00FF24CA">
            <w:pPr>
              <w:spacing w:after="0"/>
              <w:jc w:val="center"/>
              <w:rPr>
                <w:rFonts w:ascii="Calibri" w:hAnsi="Calibri" w:cs="Calibri"/>
                <w:color w:val="000000"/>
                <w:highlight w:val="yellow"/>
              </w:rPr>
            </w:pP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49"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17"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57" w:type="pct"/>
            <w:shd w:val="clear" w:color="auto" w:fill="auto"/>
            <w:noWrap/>
            <w:vAlign w:val="center"/>
          </w:tcPr>
          <w:p w:rsidR="00FF24CA" w:rsidRPr="00F540CE" w:rsidRDefault="00FF24CA" w:rsidP="00FF24CA">
            <w:pPr>
              <w:spacing w:after="0"/>
              <w:jc w:val="center"/>
              <w:rPr>
                <w:rFonts w:ascii="Calibri" w:hAnsi="Calibri" w:cs="Calibri"/>
                <w:color w:val="000000"/>
              </w:rPr>
            </w:pPr>
          </w:p>
        </w:tc>
      </w:tr>
      <w:tr w:rsidR="00FF24CA" w:rsidRPr="00F540CE" w:rsidTr="00FF24CA">
        <w:trPr>
          <w:trHeight w:val="227"/>
        </w:trPr>
        <w:tc>
          <w:tcPr>
            <w:tcW w:w="1552" w:type="pct"/>
            <w:shd w:val="clear" w:color="auto" w:fill="auto"/>
            <w:vAlign w:val="center"/>
          </w:tcPr>
          <w:p w:rsidR="00FF24CA" w:rsidRPr="00F540CE" w:rsidRDefault="00FF24CA" w:rsidP="00FF24CA">
            <w:pPr>
              <w:spacing w:after="0"/>
              <w:rPr>
                <w:rFonts w:ascii="Calibri" w:hAnsi="Calibri" w:cs="Calibri"/>
                <w:color w:val="000000"/>
              </w:rPr>
            </w:pPr>
            <w:r w:rsidRPr="00F540CE">
              <w:rPr>
                <w:rFonts w:ascii="Calibri" w:hAnsi="Calibri" w:cs="Calibri"/>
                <w:color w:val="000000"/>
              </w:rPr>
              <w:t>Hemşire</w:t>
            </w:r>
          </w:p>
        </w:tc>
        <w:tc>
          <w:tcPr>
            <w:tcW w:w="507" w:type="pct"/>
            <w:shd w:val="clear" w:color="auto" w:fill="auto"/>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w:t>
            </w:r>
          </w:p>
        </w:tc>
        <w:tc>
          <w:tcPr>
            <w:tcW w:w="437" w:type="pct"/>
            <w:shd w:val="clear" w:color="auto" w:fill="auto"/>
            <w:noWrap/>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w:t>
            </w: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96" w:type="pct"/>
            <w:vAlign w:val="center"/>
          </w:tcPr>
          <w:p w:rsidR="00FF24CA" w:rsidRPr="00F540CE" w:rsidRDefault="00FF24CA" w:rsidP="00FF24CA">
            <w:pPr>
              <w:spacing w:after="0"/>
              <w:jc w:val="center"/>
              <w:rPr>
                <w:rFonts w:ascii="Calibri" w:hAnsi="Calibri" w:cs="Calibri"/>
                <w:color w:val="000000"/>
                <w:highlight w:val="yellow"/>
              </w:rPr>
            </w:pP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w:t>
            </w: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49"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17" w:type="pct"/>
            <w:shd w:val="clear" w:color="auto" w:fill="auto"/>
            <w:noWrap/>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w:t>
            </w:r>
          </w:p>
        </w:tc>
        <w:tc>
          <w:tcPr>
            <w:tcW w:w="357" w:type="pct"/>
            <w:shd w:val="clear" w:color="auto" w:fill="auto"/>
            <w:noWrap/>
            <w:vAlign w:val="center"/>
          </w:tcPr>
          <w:p w:rsidR="00FF24CA" w:rsidRPr="00F540CE" w:rsidRDefault="00FF24CA" w:rsidP="00FF24CA">
            <w:pPr>
              <w:spacing w:after="0"/>
              <w:jc w:val="center"/>
              <w:rPr>
                <w:rFonts w:ascii="Calibri" w:hAnsi="Calibri" w:cs="Calibri"/>
                <w:color w:val="000000"/>
              </w:rPr>
            </w:pPr>
          </w:p>
        </w:tc>
      </w:tr>
      <w:tr w:rsidR="00FF24CA" w:rsidRPr="00F540CE" w:rsidTr="00FF24CA">
        <w:trPr>
          <w:trHeight w:val="227"/>
        </w:trPr>
        <w:tc>
          <w:tcPr>
            <w:tcW w:w="1552" w:type="pct"/>
            <w:shd w:val="clear" w:color="auto" w:fill="auto"/>
            <w:vAlign w:val="center"/>
          </w:tcPr>
          <w:p w:rsidR="00FF24CA" w:rsidRPr="00F540CE" w:rsidRDefault="00FF24CA" w:rsidP="00FF24CA">
            <w:pPr>
              <w:spacing w:after="0"/>
              <w:rPr>
                <w:rFonts w:ascii="Calibri" w:hAnsi="Calibri" w:cs="Calibri"/>
                <w:color w:val="000000"/>
              </w:rPr>
            </w:pPr>
            <w:r w:rsidRPr="00F540CE">
              <w:rPr>
                <w:rFonts w:ascii="Calibri" w:hAnsi="Calibri" w:cs="Calibri"/>
                <w:color w:val="000000"/>
              </w:rPr>
              <w:t>Yönetim Görevlisi</w:t>
            </w:r>
          </w:p>
        </w:tc>
        <w:tc>
          <w:tcPr>
            <w:tcW w:w="507" w:type="pct"/>
            <w:shd w:val="clear" w:color="auto" w:fill="auto"/>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78</w:t>
            </w:r>
          </w:p>
        </w:tc>
        <w:tc>
          <w:tcPr>
            <w:tcW w:w="437"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74</w:t>
            </w: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96" w:type="pct"/>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6</w:t>
            </w: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21</w:t>
            </w: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41</w:t>
            </w: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6</w:t>
            </w:r>
          </w:p>
        </w:tc>
        <w:tc>
          <w:tcPr>
            <w:tcW w:w="349"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17"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46</w:t>
            </w:r>
          </w:p>
        </w:tc>
        <w:tc>
          <w:tcPr>
            <w:tcW w:w="357"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28</w:t>
            </w:r>
          </w:p>
        </w:tc>
      </w:tr>
      <w:tr w:rsidR="00FF24CA" w:rsidRPr="00F540CE" w:rsidTr="00FF24CA">
        <w:trPr>
          <w:trHeight w:val="227"/>
        </w:trPr>
        <w:tc>
          <w:tcPr>
            <w:tcW w:w="1552" w:type="pct"/>
            <w:shd w:val="clear" w:color="auto" w:fill="auto"/>
            <w:vAlign w:val="center"/>
          </w:tcPr>
          <w:p w:rsidR="00FF24CA" w:rsidRPr="00F540CE" w:rsidRDefault="00FF24CA" w:rsidP="00FF24CA">
            <w:pPr>
              <w:spacing w:after="0"/>
              <w:rPr>
                <w:rFonts w:ascii="Calibri" w:hAnsi="Calibri" w:cs="Calibri"/>
                <w:color w:val="000000"/>
              </w:rPr>
            </w:pPr>
            <w:r w:rsidRPr="00F540CE">
              <w:rPr>
                <w:rFonts w:ascii="Calibri" w:hAnsi="Calibri" w:cs="Calibri"/>
                <w:color w:val="000000"/>
              </w:rPr>
              <w:t>İletişim Görevlisi</w:t>
            </w:r>
          </w:p>
        </w:tc>
        <w:tc>
          <w:tcPr>
            <w:tcW w:w="507" w:type="pct"/>
            <w:shd w:val="clear" w:color="auto" w:fill="auto"/>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20</w:t>
            </w:r>
          </w:p>
        </w:tc>
        <w:tc>
          <w:tcPr>
            <w:tcW w:w="437"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20</w:t>
            </w: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96" w:type="pct"/>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1</w:t>
            </w: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5</w:t>
            </w: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14</w:t>
            </w: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49"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17"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19</w:t>
            </w:r>
          </w:p>
        </w:tc>
        <w:tc>
          <w:tcPr>
            <w:tcW w:w="357"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1</w:t>
            </w:r>
          </w:p>
        </w:tc>
      </w:tr>
      <w:tr w:rsidR="00FF24CA" w:rsidRPr="00F540CE" w:rsidTr="00FF24CA">
        <w:trPr>
          <w:trHeight w:val="227"/>
        </w:trPr>
        <w:tc>
          <w:tcPr>
            <w:tcW w:w="1552" w:type="pct"/>
            <w:shd w:val="clear" w:color="auto" w:fill="auto"/>
            <w:vAlign w:val="center"/>
          </w:tcPr>
          <w:p w:rsidR="00FF24CA" w:rsidRPr="00F540CE" w:rsidRDefault="00FF24CA" w:rsidP="00FF24CA">
            <w:pPr>
              <w:spacing w:after="0"/>
              <w:rPr>
                <w:rFonts w:ascii="Calibri" w:hAnsi="Calibri" w:cs="Calibri"/>
                <w:color w:val="000000"/>
              </w:rPr>
            </w:pPr>
            <w:r w:rsidRPr="00F540CE">
              <w:rPr>
                <w:rFonts w:ascii="Calibri" w:hAnsi="Calibri" w:cs="Calibri"/>
                <w:color w:val="000000"/>
              </w:rPr>
              <w:t>Dağıtıcı</w:t>
            </w:r>
          </w:p>
        </w:tc>
        <w:tc>
          <w:tcPr>
            <w:tcW w:w="507" w:type="pct"/>
            <w:shd w:val="clear" w:color="auto" w:fill="auto"/>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2</w:t>
            </w:r>
          </w:p>
        </w:tc>
        <w:tc>
          <w:tcPr>
            <w:tcW w:w="437" w:type="pct"/>
            <w:shd w:val="clear" w:color="auto" w:fill="auto"/>
            <w:noWrap/>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w:t>
            </w: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96" w:type="pct"/>
            <w:vAlign w:val="center"/>
          </w:tcPr>
          <w:p w:rsidR="00FF24CA" w:rsidRPr="00F540CE" w:rsidRDefault="00FF24CA" w:rsidP="00FF24CA">
            <w:pPr>
              <w:spacing w:after="0"/>
              <w:jc w:val="center"/>
              <w:rPr>
                <w:rFonts w:ascii="Calibri" w:hAnsi="Calibri" w:cs="Calibri"/>
                <w:color w:val="000000"/>
                <w:highlight w:val="yellow"/>
              </w:rPr>
            </w:pP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1</w:t>
            </w: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49"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17"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57" w:type="pct"/>
            <w:shd w:val="clear" w:color="auto" w:fill="auto"/>
            <w:noWrap/>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w:t>
            </w:r>
          </w:p>
        </w:tc>
      </w:tr>
      <w:tr w:rsidR="00FF24CA" w:rsidRPr="00F540CE" w:rsidTr="00FF24CA">
        <w:trPr>
          <w:trHeight w:val="227"/>
        </w:trPr>
        <w:tc>
          <w:tcPr>
            <w:tcW w:w="1552" w:type="pct"/>
            <w:shd w:val="clear" w:color="auto" w:fill="auto"/>
            <w:vAlign w:val="center"/>
          </w:tcPr>
          <w:p w:rsidR="00FF24CA" w:rsidRPr="00F540CE" w:rsidRDefault="00FF24CA" w:rsidP="00FF24CA">
            <w:pPr>
              <w:spacing w:after="0"/>
              <w:rPr>
                <w:rFonts w:ascii="Calibri" w:hAnsi="Calibri" w:cs="Calibri"/>
                <w:color w:val="000000"/>
              </w:rPr>
            </w:pPr>
            <w:r w:rsidRPr="00F540CE">
              <w:rPr>
                <w:rFonts w:ascii="Calibri" w:hAnsi="Calibri" w:cs="Calibri"/>
                <w:color w:val="000000"/>
              </w:rPr>
              <w:t>Kütüphaneci</w:t>
            </w:r>
          </w:p>
        </w:tc>
        <w:tc>
          <w:tcPr>
            <w:tcW w:w="507" w:type="pct"/>
            <w:shd w:val="clear" w:color="auto" w:fill="auto"/>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w:t>
            </w:r>
          </w:p>
        </w:tc>
        <w:tc>
          <w:tcPr>
            <w:tcW w:w="437"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1</w:t>
            </w: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96" w:type="pct"/>
            <w:vAlign w:val="center"/>
          </w:tcPr>
          <w:p w:rsidR="00FF24CA" w:rsidRPr="00F540CE" w:rsidRDefault="00FF24CA" w:rsidP="00FF24CA">
            <w:pPr>
              <w:spacing w:after="0"/>
              <w:jc w:val="center"/>
              <w:rPr>
                <w:rFonts w:ascii="Calibri" w:hAnsi="Calibri" w:cs="Calibri"/>
                <w:color w:val="000000"/>
              </w:rPr>
            </w:pP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1</w:t>
            </w: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49"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17"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1</w:t>
            </w:r>
          </w:p>
        </w:tc>
        <w:tc>
          <w:tcPr>
            <w:tcW w:w="357" w:type="pct"/>
            <w:shd w:val="clear" w:color="auto" w:fill="auto"/>
            <w:noWrap/>
            <w:vAlign w:val="center"/>
          </w:tcPr>
          <w:p w:rsidR="00FF24CA" w:rsidRPr="00F540CE" w:rsidRDefault="00FF24CA" w:rsidP="00FF24CA">
            <w:pPr>
              <w:spacing w:after="0"/>
              <w:jc w:val="center"/>
              <w:rPr>
                <w:rFonts w:ascii="Calibri" w:hAnsi="Calibri" w:cs="Calibri"/>
                <w:color w:val="000000"/>
              </w:rPr>
            </w:pPr>
          </w:p>
        </w:tc>
      </w:tr>
      <w:tr w:rsidR="00FF24CA" w:rsidRPr="00F540CE" w:rsidTr="00FF24CA">
        <w:trPr>
          <w:trHeight w:val="227"/>
        </w:trPr>
        <w:tc>
          <w:tcPr>
            <w:tcW w:w="1552" w:type="pct"/>
            <w:shd w:val="clear" w:color="auto" w:fill="auto"/>
            <w:vAlign w:val="center"/>
          </w:tcPr>
          <w:p w:rsidR="00FF24CA" w:rsidRPr="00F540CE" w:rsidRDefault="00FF24CA" w:rsidP="00FF24CA">
            <w:pPr>
              <w:spacing w:after="0"/>
              <w:rPr>
                <w:rFonts w:ascii="Calibri" w:hAnsi="Calibri" w:cs="Calibri"/>
                <w:color w:val="000000"/>
              </w:rPr>
            </w:pPr>
            <w:r w:rsidRPr="00F540CE">
              <w:rPr>
                <w:rFonts w:ascii="Calibri" w:hAnsi="Calibri" w:cs="Calibri"/>
                <w:color w:val="000000"/>
              </w:rPr>
              <w:t>Tekniker</w:t>
            </w:r>
          </w:p>
        </w:tc>
        <w:tc>
          <w:tcPr>
            <w:tcW w:w="507" w:type="pct"/>
            <w:shd w:val="clear" w:color="auto" w:fill="auto"/>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4</w:t>
            </w:r>
          </w:p>
        </w:tc>
        <w:tc>
          <w:tcPr>
            <w:tcW w:w="437" w:type="pct"/>
            <w:shd w:val="clear" w:color="auto" w:fill="auto"/>
            <w:noWrap/>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w:t>
            </w: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96" w:type="pct"/>
            <w:vAlign w:val="center"/>
          </w:tcPr>
          <w:p w:rsidR="00FF24CA" w:rsidRPr="00F540CE" w:rsidRDefault="00FF24CA" w:rsidP="00FF24CA">
            <w:pPr>
              <w:spacing w:after="0"/>
              <w:jc w:val="center"/>
              <w:rPr>
                <w:rFonts w:ascii="Calibri" w:hAnsi="Calibri" w:cs="Calibri"/>
                <w:color w:val="000000"/>
                <w:highlight w:val="yellow"/>
              </w:rPr>
            </w:pP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1</w:t>
            </w: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49"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17"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57" w:type="pct"/>
            <w:shd w:val="clear" w:color="auto" w:fill="auto"/>
            <w:noWrap/>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w:t>
            </w:r>
          </w:p>
        </w:tc>
      </w:tr>
      <w:tr w:rsidR="00FF24CA" w:rsidRPr="00F540CE" w:rsidTr="00FF24CA">
        <w:trPr>
          <w:trHeight w:val="227"/>
        </w:trPr>
        <w:tc>
          <w:tcPr>
            <w:tcW w:w="1552" w:type="pct"/>
            <w:shd w:val="clear" w:color="auto" w:fill="auto"/>
            <w:vAlign w:val="center"/>
          </w:tcPr>
          <w:p w:rsidR="00FF24CA" w:rsidRPr="00F540CE" w:rsidRDefault="00FF24CA" w:rsidP="00FF24CA">
            <w:pPr>
              <w:spacing w:after="0"/>
              <w:rPr>
                <w:rFonts w:ascii="Calibri" w:hAnsi="Calibri" w:cs="Calibri"/>
                <w:color w:val="000000"/>
              </w:rPr>
            </w:pPr>
            <w:r w:rsidRPr="00F540CE">
              <w:rPr>
                <w:rFonts w:ascii="Calibri" w:hAnsi="Calibri" w:cs="Calibri"/>
                <w:color w:val="000000"/>
              </w:rPr>
              <w:t>Teknisyen</w:t>
            </w:r>
          </w:p>
        </w:tc>
        <w:tc>
          <w:tcPr>
            <w:tcW w:w="507" w:type="pct"/>
            <w:shd w:val="clear" w:color="auto" w:fill="auto"/>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10</w:t>
            </w:r>
          </w:p>
        </w:tc>
        <w:tc>
          <w:tcPr>
            <w:tcW w:w="437" w:type="pct"/>
            <w:shd w:val="clear" w:color="auto" w:fill="auto"/>
            <w:noWrap/>
            <w:vAlign w:val="center"/>
          </w:tcPr>
          <w:p w:rsidR="00FF24CA" w:rsidRPr="00F540CE" w:rsidRDefault="00FF24CA" w:rsidP="00FF24CA">
            <w:pPr>
              <w:spacing w:after="0"/>
              <w:rPr>
                <w:rFonts w:ascii="Calibri" w:hAnsi="Calibri" w:cs="Calibri"/>
                <w:color w:val="000000"/>
              </w:rPr>
            </w:pPr>
            <w:r>
              <w:rPr>
                <w:rFonts w:ascii="Calibri" w:hAnsi="Calibri" w:cs="Calibri"/>
                <w:color w:val="000000"/>
              </w:rPr>
              <w:t xml:space="preserve">      7</w:t>
            </w: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96" w:type="pct"/>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5</w:t>
            </w: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w:t>
            </w: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w:t>
            </w: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49"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17"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57"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7</w:t>
            </w:r>
          </w:p>
        </w:tc>
      </w:tr>
      <w:tr w:rsidR="00FF24CA" w:rsidRPr="00F540CE" w:rsidTr="00FF24CA">
        <w:trPr>
          <w:trHeight w:val="227"/>
        </w:trPr>
        <w:tc>
          <w:tcPr>
            <w:tcW w:w="1552" w:type="pct"/>
            <w:shd w:val="clear" w:color="auto" w:fill="auto"/>
            <w:vAlign w:val="center"/>
          </w:tcPr>
          <w:p w:rsidR="00FF24CA" w:rsidRPr="00F540CE" w:rsidRDefault="00FF24CA" w:rsidP="00FF24CA">
            <w:pPr>
              <w:spacing w:after="0"/>
              <w:rPr>
                <w:rFonts w:ascii="Calibri" w:hAnsi="Calibri" w:cs="Calibri"/>
                <w:color w:val="000000"/>
              </w:rPr>
            </w:pPr>
            <w:r w:rsidRPr="00F540CE">
              <w:rPr>
                <w:rFonts w:ascii="Calibri" w:hAnsi="Calibri" w:cs="Calibri"/>
                <w:color w:val="000000"/>
              </w:rPr>
              <w:t>Şoför</w:t>
            </w:r>
          </w:p>
        </w:tc>
        <w:tc>
          <w:tcPr>
            <w:tcW w:w="507" w:type="pct"/>
            <w:shd w:val="clear" w:color="auto" w:fill="auto"/>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10</w:t>
            </w:r>
          </w:p>
        </w:tc>
        <w:tc>
          <w:tcPr>
            <w:tcW w:w="437"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6</w:t>
            </w: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296" w:type="pct"/>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2</w:t>
            </w: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1</w:t>
            </w: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r w:rsidRPr="00F540CE">
              <w:rPr>
                <w:rFonts w:ascii="Calibri" w:hAnsi="Calibri" w:cs="Calibri"/>
                <w:color w:val="000000"/>
              </w:rPr>
              <w:t>3</w:t>
            </w:r>
          </w:p>
        </w:tc>
        <w:tc>
          <w:tcPr>
            <w:tcW w:w="296"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49"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17" w:type="pct"/>
            <w:shd w:val="clear" w:color="auto" w:fill="auto"/>
            <w:noWrap/>
            <w:vAlign w:val="center"/>
          </w:tcPr>
          <w:p w:rsidR="00FF24CA" w:rsidRPr="00F540CE" w:rsidRDefault="00FF24CA" w:rsidP="00FF24CA">
            <w:pPr>
              <w:spacing w:after="0"/>
              <w:jc w:val="center"/>
              <w:rPr>
                <w:rFonts w:ascii="Calibri" w:hAnsi="Calibri" w:cs="Calibri"/>
                <w:color w:val="000000"/>
              </w:rPr>
            </w:pPr>
          </w:p>
        </w:tc>
        <w:tc>
          <w:tcPr>
            <w:tcW w:w="357" w:type="pct"/>
            <w:shd w:val="clear" w:color="auto" w:fill="auto"/>
            <w:noWrap/>
            <w:vAlign w:val="center"/>
          </w:tcPr>
          <w:p w:rsidR="00FF24CA" w:rsidRPr="00F540CE" w:rsidRDefault="00FF24CA" w:rsidP="00FF24CA">
            <w:pPr>
              <w:spacing w:after="0"/>
              <w:jc w:val="center"/>
              <w:rPr>
                <w:rFonts w:ascii="Calibri" w:hAnsi="Calibri" w:cs="Calibri"/>
                <w:color w:val="000000"/>
              </w:rPr>
            </w:pPr>
            <w:r>
              <w:rPr>
                <w:rFonts w:ascii="Calibri" w:hAnsi="Calibri" w:cs="Calibri"/>
                <w:color w:val="000000"/>
              </w:rPr>
              <w:t>6</w:t>
            </w:r>
          </w:p>
        </w:tc>
      </w:tr>
      <w:tr w:rsidR="00FF24CA" w:rsidRPr="00F540CE" w:rsidTr="00FF24CA">
        <w:trPr>
          <w:trHeight w:val="227"/>
        </w:trPr>
        <w:tc>
          <w:tcPr>
            <w:tcW w:w="1552" w:type="pct"/>
            <w:shd w:val="clear" w:color="auto" w:fill="auto"/>
            <w:vAlign w:val="center"/>
          </w:tcPr>
          <w:p w:rsidR="00FF24CA" w:rsidRPr="00F540CE" w:rsidRDefault="00FF24CA" w:rsidP="00FF24CA">
            <w:pPr>
              <w:spacing w:after="0"/>
              <w:rPr>
                <w:rFonts w:ascii="Calibri" w:hAnsi="Calibri" w:cs="Calibri"/>
                <w:b/>
                <w:bCs/>
                <w:color w:val="000000"/>
              </w:rPr>
            </w:pPr>
            <w:r w:rsidRPr="00F540CE">
              <w:rPr>
                <w:rFonts w:ascii="Calibri" w:hAnsi="Calibri" w:cs="Calibri"/>
                <w:b/>
                <w:bCs/>
                <w:color w:val="000000"/>
              </w:rPr>
              <w:t>TOPLAM</w:t>
            </w:r>
          </w:p>
        </w:tc>
        <w:tc>
          <w:tcPr>
            <w:tcW w:w="507" w:type="pct"/>
            <w:shd w:val="clear" w:color="auto" w:fill="auto"/>
            <w:vAlign w:val="center"/>
          </w:tcPr>
          <w:p w:rsidR="00FF24CA" w:rsidRPr="00F540CE" w:rsidRDefault="00FF24CA" w:rsidP="00FF24CA">
            <w:pPr>
              <w:spacing w:after="0"/>
              <w:jc w:val="center"/>
              <w:rPr>
                <w:rFonts w:ascii="Calibri" w:hAnsi="Calibri" w:cs="Calibri"/>
                <w:b/>
                <w:color w:val="000000"/>
              </w:rPr>
            </w:pPr>
            <w:r>
              <w:rPr>
                <w:rFonts w:ascii="Calibri" w:hAnsi="Calibri" w:cs="Calibri"/>
                <w:b/>
                <w:color w:val="000000"/>
              </w:rPr>
              <w:t>828</w:t>
            </w:r>
          </w:p>
        </w:tc>
        <w:tc>
          <w:tcPr>
            <w:tcW w:w="437" w:type="pct"/>
            <w:shd w:val="clear" w:color="auto" w:fill="auto"/>
            <w:noWrap/>
            <w:vAlign w:val="center"/>
          </w:tcPr>
          <w:p w:rsidR="00FF24CA" w:rsidRPr="00F540CE" w:rsidRDefault="00FF24CA" w:rsidP="00FF24CA">
            <w:pPr>
              <w:spacing w:after="0"/>
              <w:jc w:val="center"/>
              <w:rPr>
                <w:rFonts w:ascii="Calibri" w:hAnsi="Calibri" w:cs="Calibri"/>
                <w:b/>
                <w:color w:val="000000"/>
              </w:rPr>
            </w:pPr>
            <w:r>
              <w:rPr>
                <w:rFonts w:ascii="Calibri" w:hAnsi="Calibri" w:cs="Calibri"/>
                <w:b/>
                <w:color w:val="000000"/>
              </w:rPr>
              <w:t>545</w:t>
            </w:r>
          </w:p>
        </w:tc>
        <w:tc>
          <w:tcPr>
            <w:tcW w:w="296" w:type="pct"/>
            <w:shd w:val="clear" w:color="auto" w:fill="auto"/>
            <w:noWrap/>
            <w:vAlign w:val="center"/>
          </w:tcPr>
          <w:p w:rsidR="00FF24CA" w:rsidRPr="00F540CE" w:rsidRDefault="00FF24CA" w:rsidP="00FF24CA">
            <w:pPr>
              <w:spacing w:after="0"/>
              <w:jc w:val="center"/>
              <w:rPr>
                <w:rFonts w:ascii="Calibri" w:hAnsi="Calibri" w:cs="Calibri"/>
                <w:b/>
                <w:color w:val="000000"/>
              </w:rPr>
            </w:pPr>
            <w:r w:rsidRPr="00F540CE">
              <w:rPr>
                <w:rFonts w:ascii="Calibri" w:hAnsi="Calibri" w:cs="Calibri"/>
                <w:b/>
                <w:color w:val="000000"/>
              </w:rPr>
              <w:t>0</w:t>
            </w:r>
          </w:p>
        </w:tc>
        <w:tc>
          <w:tcPr>
            <w:tcW w:w="296" w:type="pct"/>
            <w:vAlign w:val="center"/>
          </w:tcPr>
          <w:p w:rsidR="00FF24CA" w:rsidRPr="00F540CE" w:rsidRDefault="00FF24CA" w:rsidP="00FF24CA">
            <w:pPr>
              <w:spacing w:after="0"/>
              <w:jc w:val="center"/>
              <w:rPr>
                <w:rFonts w:ascii="Calibri" w:hAnsi="Calibri" w:cs="Calibri"/>
                <w:b/>
                <w:color w:val="000000"/>
              </w:rPr>
            </w:pPr>
            <w:r>
              <w:rPr>
                <w:rFonts w:ascii="Calibri" w:hAnsi="Calibri" w:cs="Calibri"/>
                <w:b/>
                <w:color w:val="000000"/>
              </w:rPr>
              <w:t>14</w:t>
            </w:r>
          </w:p>
        </w:tc>
        <w:tc>
          <w:tcPr>
            <w:tcW w:w="296" w:type="pct"/>
            <w:shd w:val="clear" w:color="auto" w:fill="auto"/>
            <w:noWrap/>
            <w:vAlign w:val="center"/>
          </w:tcPr>
          <w:p w:rsidR="00FF24CA" w:rsidRPr="00F540CE" w:rsidRDefault="00FF24CA" w:rsidP="00FF24CA">
            <w:pPr>
              <w:spacing w:after="0"/>
              <w:jc w:val="center"/>
              <w:rPr>
                <w:rFonts w:ascii="Calibri" w:hAnsi="Calibri" w:cs="Calibri"/>
                <w:b/>
                <w:color w:val="000000"/>
              </w:rPr>
            </w:pPr>
            <w:r>
              <w:rPr>
                <w:rFonts w:ascii="Calibri" w:hAnsi="Calibri" w:cs="Calibri"/>
                <w:b/>
                <w:color w:val="000000"/>
              </w:rPr>
              <w:t>29</w:t>
            </w:r>
          </w:p>
        </w:tc>
        <w:tc>
          <w:tcPr>
            <w:tcW w:w="296" w:type="pct"/>
            <w:shd w:val="clear" w:color="auto" w:fill="auto"/>
            <w:noWrap/>
            <w:vAlign w:val="center"/>
          </w:tcPr>
          <w:p w:rsidR="00FF24CA" w:rsidRPr="00F540CE" w:rsidRDefault="00FF24CA" w:rsidP="00FF24CA">
            <w:pPr>
              <w:spacing w:after="0"/>
              <w:jc w:val="center"/>
              <w:rPr>
                <w:rFonts w:ascii="Calibri" w:hAnsi="Calibri" w:cs="Calibri"/>
                <w:b/>
                <w:color w:val="000000"/>
              </w:rPr>
            </w:pPr>
            <w:r>
              <w:rPr>
                <w:rFonts w:ascii="Calibri" w:hAnsi="Calibri" w:cs="Calibri"/>
                <w:b/>
                <w:color w:val="000000"/>
              </w:rPr>
              <w:t>390</w:t>
            </w:r>
          </w:p>
        </w:tc>
        <w:tc>
          <w:tcPr>
            <w:tcW w:w="296" w:type="pct"/>
            <w:shd w:val="clear" w:color="auto" w:fill="auto"/>
            <w:noWrap/>
            <w:vAlign w:val="center"/>
          </w:tcPr>
          <w:p w:rsidR="00FF24CA" w:rsidRPr="00F540CE" w:rsidRDefault="00FF24CA" w:rsidP="00FF24CA">
            <w:pPr>
              <w:spacing w:after="0"/>
              <w:jc w:val="center"/>
              <w:rPr>
                <w:rFonts w:ascii="Calibri" w:hAnsi="Calibri" w:cs="Calibri"/>
                <w:b/>
                <w:color w:val="000000"/>
              </w:rPr>
            </w:pPr>
            <w:r>
              <w:rPr>
                <w:rFonts w:ascii="Calibri" w:hAnsi="Calibri" w:cs="Calibri"/>
                <w:b/>
                <w:color w:val="000000"/>
              </w:rPr>
              <w:t>98</w:t>
            </w:r>
          </w:p>
        </w:tc>
        <w:tc>
          <w:tcPr>
            <w:tcW w:w="349" w:type="pct"/>
            <w:shd w:val="clear" w:color="auto" w:fill="auto"/>
            <w:noWrap/>
            <w:vAlign w:val="center"/>
          </w:tcPr>
          <w:p w:rsidR="00FF24CA" w:rsidRPr="00F540CE" w:rsidRDefault="00FF24CA" w:rsidP="00FF24CA">
            <w:pPr>
              <w:spacing w:after="0"/>
              <w:jc w:val="center"/>
              <w:rPr>
                <w:rFonts w:ascii="Calibri" w:hAnsi="Calibri" w:cs="Calibri"/>
                <w:b/>
                <w:color w:val="000000"/>
              </w:rPr>
            </w:pPr>
            <w:r>
              <w:rPr>
                <w:rFonts w:ascii="Calibri" w:hAnsi="Calibri" w:cs="Calibri"/>
                <w:b/>
                <w:color w:val="000000"/>
              </w:rPr>
              <w:t>14</w:t>
            </w:r>
          </w:p>
        </w:tc>
        <w:tc>
          <w:tcPr>
            <w:tcW w:w="317" w:type="pct"/>
            <w:shd w:val="clear" w:color="auto" w:fill="auto"/>
            <w:noWrap/>
            <w:vAlign w:val="center"/>
          </w:tcPr>
          <w:p w:rsidR="00FF24CA" w:rsidRPr="00F540CE" w:rsidRDefault="00FF24CA" w:rsidP="00FF24CA">
            <w:pPr>
              <w:spacing w:after="0"/>
              <w:jc w:val="center"/>
              <w:rPr>
                <w:rFonts w:ascii="Calibri" w:hAnsi="Calibri" w:cs="Calibri"/>
                <w:b/>
                <w:color w:val="000000"/>
              </w:rPr>
            </w:pPr>
            <w:r>
              <w:rPr>
                <w:rFonts w:ascii="Calibri" w:hAnsi="Calibri" w:cs="Calibri"/>
                <w:b/>
                <w:color w:val="000000"/>
              </w:rPr>
              <w:t>231</w:t>
            </w:r>
          </w:p>
        </w:tc>
        <w:tc>
          <w:tcPr>
            <w:tcW w:w="357" w:type="pct"/>
            <w:shd w:val="clear" w:color="auto" w:fill="auto"/>
            <w:noWrap/>
            <w:vAlign w:val="center"/>
          </w:tcPr>
          <w:p w:rsidR="00FF24CA" w:rsidRPr="00F540CE" w:rsidRDefault="00FF24CA" w:rsidP="00FF24CA">
            <w:pPr>
              <w:spacing w:after="0"/>
              <w:jc w:val="center"/>
              <w:rPr>
                <w:rFonts w:ascii="Calibri" w:hAnsi="Calibri" w:cs="Calibri"/>
                <w:b/>
                <w:color w:val="000000"/>
              </w:rPr>
            </w:pPr>
            <w:r>
              <w:rPr>
                <w:rFonts w:ascii="Calibri" w:hAnsi="Calibri" w:cs="Calibri"/>
                <w:b/>
                <w:color w:val="000000"/>
              </w:rPr>
              <w:t>314</w:t>
            </w:r>
          </w:p>
        </w:tc>
      </w:tr>
    </w:tbl>
    <w:p w:rsidR="00FF24CA" w:rsidRPr="00D730CF" w:rsidRDefault="00FF24CA" w:rsidP="00FF24CA">
      <w:pPr>
        <w:rPr>
          <w:rFonts w:ascii="Calibri" w:hAnsi="Calibri"/>
          <w:sz w:val="20"/>
          <w:szCs w:val="20"/>
        </w:rPr>
      </w:pPr>
      <w:r w:rsidRPr="00527281">
        <w:rPr>
          <w:rFonts w:ascii="Calibri" w:hAnsi="Calibri"/>
        </w:rPr>
        <w:t xml:space="preserve">* </w:t>
      </w:r>
      <w:r w:rsidRPr="00B36621">
        <w:rPr>
          <w:rFonts w:ascii="Calibri" w:hAnsi="Calibri"/>
          <w:i/>
          <w:sz w:val="20"/>
          <w:szCs w:val="20"/>
        </w:rPr>
        <w:t>Sürekli işçi kadrosunda yer alan personel hariçtir</w:t>
      </w:r>
      <w:r w:rsidRPr="00527281">
        <w:rPr>
          <w:rFonts w:ascii="Calibri" w:hAnsi="Calibri"/>
          <w:sz w:val="20"/>
          <w:szCs w:val="20"/>
        </w:rPr>
        <w:t>.</w:t>
      </w:r>
    </w:p>
    <w:p w:rsidR="00FF24CA" w:rsidRPr="00E9291A" w:rsidRDefault="00FF24CA" w:rsidP="00FF24CA">
      <w:pPr>
        <w:spacing w:before="120"/>
      </w:pPr>
      <w:r w:rsidRPr="00E9291A">
        <w:t xml:space="preserve">Kurumun personel sayısında yıllara göre yaşanan değişim Tablo </w:t>
      </w:r>
      <w:r>
        <w:t>13</w:t>
      </w:r>
      <w:r w:rsidRPr="00E9291A">
        <w:t>.4’te gösterilmektedir.</w:t>
      </w:r>
    </w:p>
    <w:p w:rsidR="00FF24CA" w:rsidRPr="00E9291A" w:rsidRDefault="00FF24CA" w:rsidP="0035089D">
      <w:pPr>
        <w:pStyle w:val="Balk5"/>
        <w:spacing w:after="240"/>
        <w:jc w:val="center"/>
        <w:rPr>
          <w:rFonts w:asciiTheme="minorHAnsi" w:hAnsiTheme="minorHAnsi"/>
          <w:b/>
          <w:color w:val="auto"/>
        </w:rPr>
      </w:pPr>
      <w:bookmarkStart w:id="466" w:name="_Toc132713972"/>
      <w:r w:rsidRPr="00E9291A">
        <w:rPr>
          <w:rFonts w:asciiTheme="minorHAnsi" w:hAnsiTheme="minorHAnsi"/>
          <w:b/>
          <w:color w:val="auto"/>
        </w:rPr>
        <w:lastRenderedPageBreak/>
        <w:t>Tablo 1</w:t>
      </w:r>
      <w:r>
        <w:rPr>
          <w:rFonts w:asciiTheme="minorHAnsi" w:hAnsiTheme="minorHAnsi"/>
          <w:b/>
          <w:color w:val="auto"/>
        </w:rPr>
        <w:t>3</w:t>
      </w:r>
      <w:r w:rsidRPr="00E9291A">
        <w:rPr>
          <w:rFonts w:asciiTheme="minorHAnsi" w:hAnsiTheme="minorHAnsi"/>
          <w:b/>
          <w:color w:val="auto"/>
        </w:rPr>
        <w:t xml:space="preserve">.4:  </w:t>
      </w:r>
      <w:r w:rsidRPr="00FA1354">
        <w:rPr>
          <w:rFonts w:asciiTheme="minorHAnsi" w:hAnsiTheme="minorHAnsi"/>
          <w:b/>
          <w:color w:val="auto"/>
        </w:rPr>
        <w:t>Yıllara Göre Kurum Personel Sayısı</w:t>
      </w:r>
      <w:bookmarkEnd w:id="466"/>
    </w:p>
    <w:tbl>
      <w:tblPr>
        <w:tblW w:w="5468" w:type="pct"/>
        <w:tblInd w:w="-885"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1E0" w:firstRow="1" w:lastRow="1" w:firstColumn="1" w:lastColumn="1" w:noHBand="0" w:noVBand="0"/>
      </w:tblPr>
      <w:tblGrid>
        <w:gridCol w:w="940"/>
        <w:gridCol w:w="521"/>
        <w:gridCol w:w="521"/>
        <w:gridCol w:w="521"/>
        <w:gridCol w:w="521"/>
        <w:gridCol w:w="521"/>
        <w:gridCol w:w="521"/>
        <w:gridCol w:w="521"/>
        <w:gridCol w:w="521"/>
        <w:gridCol w:w="521"/>
        <w:gridCol w:w="521"/>
        <w:gridCol w:w="521"/>
        <w:gridCol w:w="521"/>
        <w:gridCol w:w="521"/>
        <w:gridCol w:w="521"/>
        <w:gridCol w:w="521"/>
        <w:gridCol w:w="521"/>
        <w:gridCol w:w="521"/>
        <w:gridCol w:w="521"/>
        <w:gridCol w:w="521"/>
      </w:tblGrid>
      <w:tr w:rsidR="006F16AB" w:rsidRPr="00760BA0" w:rsidTr="0035089D">
        <w:trPr>
          <w:cantSplit/>
          <w:trHeight w:val="1833"/>
        </w:trPr>
        <w:tc>
          <w:tcPr>
            <w:tcW w:w="433" w:type="pct"/>
            <w:shd w:val="clear" w:color="auto" w:fill="6E9ECA"/>
            <w:vAlign w:val="center"/>
            <w:hideMark/>
          </w:tcPr>
          <w:p w:rsidR="00FF24CA" w:rsidRPr="00760BA0" w:rsidRDefault="00FF24CA" w:rsidP="00FF24CA">
            <w:pPr>
              <w:spacing w:after="0" w:line="240" w:lineRule="auto"/>
              <w:jc w:val="center"/>
              <w:rPr>
                <w:rFonts w:eastAsia="Times New Roman" w:cstheme="minorHAnsi"/>
                <w:b/>
                <w:color w:val="FFFFFF" w:themeColor="background1"/>
                <w:sz w:val="20"/>
                <w:szCs w:val="20"/>
              </w:rPr>
            </w:pPr>
            <w:r w:rsidRPr="00760BA0">
              <w:rPr>
                <w:rFonts w:eastAsia="Times New Roman" w:cstheme="minorHAnsi"/>
                <w:b/>
                <w:color w:val="FFFFFF" w:themeColor="background1"/>
                <w:sz w:val="20"/>
                <w:szCs w:val="20"/>
              </w:rPr>
              <w:t>Yıl</w:t>
            </w:r>
          </w:p>
        </w:tc>
        <w:tc>
          <w:tcPr>
            <w:tcW w:w="240" w:type="pct"/>
            <w:shd w:val="clear" w:color="auto" w:fill="6E9ECA"/>
            <w:textDirection w:val="btLr"/>
            <w:vAlign w:val="center"/>
            <w:hideMark/>
          </w:tcPr>
          <w:p w:rsidR="00FF24CA" w:rsidRPr="00760BA0" w:rsidRDefault="00FF24CA" w:rsidP="00FF24CA">
            <w:pPr>
              <w:spacing w:after="0"/>
              <w:ind w:left="113" w:right="113"/>
              <w:jc w:val="center"/>
              <w:rPr>
                <w:rFonts w:cstheme="minorHAnsi"/>
                <w:b/>
                <w:color w:val="FFFFFF" w:themeColor="background1"/>
                <w:sz w:val="20"/>
                <w:szCs w:val="20"/>
              </w:rPr>
            </w:pPr>
            <w:r w:rsidRPr="00760BA0">
              <w:rPr>
                <w:rFonts w:cstheme="minorHAnsi"/>
                <w:b/>
                <w:color w:val="FFFFFF" w:themeColor="background1"/>
                <w:sz w:val="20"/>
                <w:szCs w:val="20"/>
              </w:rPr>
              <w:t>2004</w:t>
            </w:r>
          </w:p>
        </w:tc>
        <w:tc>
          <w:tcPr>
            <w:tcW w:w="240" w:type="pct"/>
            <w:shd w:val="clear" w:color="auto" w:fill="6E9ECA"/>
            <w:textDirection w:val="btLr"/>
            <w:vAlign w:val="center"/>
            <w:hideMark/>
          </w:tcPr>
          <w:p w:rsidR="00FF24CA" w:rsidRPr="00760BA0" w:rsidRDefault="00FF24CA" w:rsidP="00FF24CA">
            <w:pPr>
              <w:spacing w:after="0"/>
              <w:ind w:left="113" w:right="113"/>
              <w:jc w:val="center"/>
              <w:rPr>
                <w:rFonts w:cstheme="minorHAnsi"/>
                <w:b/>
                <w:color w:val="FFFFFF" w:themeColor="background1"/>
                <w:sz w:val="20"/>
                <w:szCs w:val="20"/>
              </w:rPr>
            </w:pPr>
            <w:r w:rsidRPr="00760BA0">
              <w:rPr>
                <w:rFonts w:cstheme="minorHAnsi"/>
                <w:b/>
                <w:color w:val="FFFFFF" w:themeColor="background1"/>
                <w:sz w:val="20"/>
                <w:szCs w:val="20"/>
              </w:rPr>
              <w:t>2005</w:t>
            </w:r>
          </w:p>
        </w:tc>
        <w:tc>
          <w:tcPr>
            <w:tcW w:w="240" w:type="pct"/>
            <w:shd w:val="clear" w:color="auto" w:fill="6E9ECA"/>
            <w:textDirection w:val="btLr"/>
            <w:vAlign w:val="center"/>
            <w:hideMark/>
          </w:tcPr>
          <w:p w:rsidR="00FF24CA" w:rsidRPr="00760BA0" w:rsidRDefault="00FF24CA" w:rsidP="00FF24CA">
            <w:pPr>
              <w:spacing w:after="0"/>
              <w:ind w:left="113" w:right="113"/>
              <w:jc w:val="center"/>
              <w:rPr>
                <w:rFonts w:cstheme="minorHAnsi"/>
                <w:b/>
                <w:color w:val="FFFFFF" w:themeColor="background1"/>
                <w:sz w:val="20"/>
                <w:szCs w:val="20"/>
              </w:rPr>
            </w:pPr>
            <w:r w:rsidRPr="00760BA0">
              <w:rPr>
                <w:rFonts w:cstheme="minorHAnsi"/>
                <w:b/>
                <w:color w:val="FFFFFF" w:themeColor="background1"/>
                <w:sz w:val="20"/>
                <w:szCs w:val="20"/>
              </w:rPr>
              <w:t>2006</w:t>
            </w:r>
          </w:p>
        </w:tc>
        <w:tc>
          <w:tcPr>
            <w:tcW w:w="240" w:type="pct"/>
            <w:shd w:val="clear" w:color="auto" w:fill="6E9ECA"/>
            <w:textDirection w:val="btLr"/>
            <w:vAlign w:val="center"/>
            <w:hideMark/>
          </w:tcPr>
          <w:p w:rsidR="00FF24CA" w:rsidRPr="00760BA0" w:rsidRDefault="00FF24CA" w:rsidP="00FF24CA">
            <w:pPr>
              <w:spacing w:after="0"/>
              <w:ind w:left="113" w:right="113"/>
              <w:jc w:val="center"/>
              <w:rPr>
                <w:rFonts w:cstheme="minorHAnsi"/>
                <w:b/>
                <w:color w:val="FFFFFF" w:themeColor="background1"/>
                <w:sz w:val="20"/>
                <w:szCs w:val="20"/>
              </w:rPr>
            </w:pPr>
            <w:r w:rsidRPr="00760BA0">
              <w:rPr>
                <w:rFonts w:cstheme="minorHAnsi"/>
                <w:b/>
                <w:color w:val="FFFFFF" w:themeColor="background1"/>
                <w:sz w:val="20"/>
                <w:szCs w:val="20"/>
              </w:rPr>
              <w:t>2007</w:t>
            </w:r>
          </w:p>
        </w:tc>
        <w:tc>
          <w:tcPr>
            <w:tcW w:w="240" w:type="pct"/>
            <w:shd w:val="clear" w:color="auto" w:fill="6E9ECA"/>
            <w:textDirection w:val="btLr"/>
            <w:vAlign w:val="center"/>
            <w:hideMark/>
          </w:tcPr>
          <w:p w:rsidR="00FF24CA" w:rsidRPr="00760BA0" w:rsidRDefault="00FF24CA" w:rsidP="00FF24CA">
            <w:pPr>
              <w:spacing w:after="0"/>
              <w:ind w:left="113" w:right="113"/>
              <w:jc w:val="center"/>
              <w:rPr>
                <w:rFonts w:cstheme="minorHAnsi"/>
                <w:b/>
                <w:color w:val="FFFFFF" w:themeColor="background1"/>
                <w:sz w:val="20"/>
                <w:szCs w:val="20"/>
              </w:rPr>
            </w:pPr>
            <w:r w:rsidRPr="00760BA0">
              <w:rPr>
                <w:rFonts w:cstheme="minorHAnsi"/>
                <w:b/>
                <w:color w:val="FFFFFF" w:themeColor="background1"/>
                <w:sz w:val="20"/>
                <w:szCs w:val="20"/>
              </w:rPr>
              <w:t>2008</w:t>
            </w:r>
          </w:p>
        </w:tc>
        <w:tc>
          <w:tcPr>
            <w:tcW w:w="240" w:type="pct"/>
            <w:shd w:val="clear" w:color="auto" w:fill="6E9ECA"/>
            <w:textDirection w:val="btLr"/>
            <w:vAlign w:val="center"/>
            <w:hideMark/>
          </w:tcPr>
          <w:p w:rsidR="00FF24CA" w:rsidRPr="00760BA0" w:rsidRDefault="00FF24CA" w:rsidP="00FF24CA">
            <w:pPr>
              <w:spacing w:after="0"/>
              <w:ind w:left="113" w:right="113"/>
              <w:jc w:val="center"/>
              <w:rPr>
                <w:rFonts w:cstheme="minorHAnsi"/>
                <w:b/>
                <w:color w:val="FFFFFF" w:themeColor="background1"/>
                <w:sz w:val="20"/>
                <w:szCs w:val="20"/>
              </w:rPr>
            </w:pPr>
            <w:r w:rsidRPr="00760BA0">
              <w:rPr>
                <w:rFonts w:cstheme="minorHAnsi"/>
                <w:b/>
                <w:color w:val="FFFFFF" w:themeColor="background1"/>
                <w:sz w:val="20"/>
                <w:szCs w:val="20"/>
              </w:rPr>
              <w:t>2009</w:t>
            </w:r>
          </w:p>
        </w:tc>
        <w:tc>
          <w:tcPr>
            <w:tcW w:w="240" w:type="pct"/>
            <w:shd w:val="clear" w:color="auto" w:fill="6E9ECA"/>
            <w:textDirection w:val="btLr"/>
            <w:vAlign w:val="center"/>
            <w:hideMark/>
          </w:tcPr>
          <w:p w:rsidR="00FF24CA" w:rsidRPr="00760BA0" w:rsidRDefault="00FF24CA" w:rsidP="00FF24CA">
            <w:pPr>
              <w:spacing w:after="0"/>
              <w:ind w:left="113" w:right="113"/>
              <w:jc w:val="center"/>
              <w:rPr>
                <w:rFonts w:cstheme="minorHAnsi"/>
                <w:b/>
                <w:color w:val="FFFFFF" w:themeColor="background1"/>
                <w:sz w:val="20"/>
                <w:szCs w:val="20"/>
              </w:rPr>
            </w:pPr>
            <w:r w:rsidRPr="00760BA0">
              <w:rPr>
                <w:rFonts w:cstheme="minorHAnsi"/>
                <w:b/>
                <w:color w:val="FFFFFF" w:themeColor="background1"/>
                <w:sz w:val="20"/>
                <w:szCs w:val="20"/>
              </w:rPr>
              <w:t>2010</w:t>
            </w:r>
          </w:p>
        </w:tc>
        <w:tc>
          <w:tcPr>
            <w:tcW w:w="240" w:type="pct"/>
            <w:shd w:val="clear" w:color="auto" w:fill="6E9ECA"/>
            <w:textDirection w:val="btLr"/>
            <w:vAlign w:val="center"/>
            <w:hideMark/>
          </w:tcPr>
          <w:p w:rsidR="00FF24CA" w:rsidRPr="00760BA0" w:rsidRDefault="00FF24CA" w:rsidP="00FF24CA">
            <w:pPr>
              <w:spacing w:after="0"/>
              <w:ind w:left="113" w:right="113"/>
              <w:jc w:val="center"/>
              <w:rPr>
                <w:rFonts w:cstheme="minorHAnsi"/>
                <w:b/>
                <w:color w:val="FFFFFF" w:themeColor="background1"/>
                <w:sz w:val="20"/>
                <w:szCs w:val="20"/>
              </w:rPr>
            </w:pPr>
            <w:r w:rsidRPr="00760BA0">
              <w:rPr>
                <w:rFonts w:cstheme="minorHAnsi"/>
                <w:b/>
                <w:color w:val="FFFFFF" w:themeColor="background1"/>
                <w:sz w:val="20"/>
                <w:szCs w:val="20"/>
              </w:rPr>
              <w:t>2011</w:t>
            </w:r>
          </w:p>
        </w:tc>
        <w:tc>
          <w:tcPr>
            <w:tcW w:w="240" w:type="pct"/>
            <w:shd w:val="clear" w:color="auto" w:fill="6E9ECA"/>
            <w:textDirection w:val="btLr"/>
            <w:vAlign w:val="center"/>
            <w:hideMark/>
          </w:tcPr>
          <w:p w:rsidR="00FF24CA" w:rsidRPr="00760BA0" w:rsidRDefault="00FF24CA" w:rsidP="00FF24CA">
            <w:pPr>
              <w:spacing w:after="0"/>
              <w:ind w:left="113" w:right="113"/>
              <w:jc w:val="center"/>
              <w:rPr>
                <w:rFonts w:cstheme="minorHAnsi"/>
                <w:b/>
                <w:color w:val="FFFFFF" w:themeColor="background1"/>
                <w:sz w:val="20"/>
                <w:szCs w:val="20"/>
              </w:rPr>
            </w:pPr>
            <w:r w:rsidRPr="00760BA0">
              <w:rPr>
                <w:rFonts w:cstheme="minorHAnsi"/>
                <w:b/>
                <w:color w:val="FFFFFF" w:themeColor="background1"/>
                <w:sz w:val="20"/>
                <w:szCs w:val="20"/>
              </w:rPr>
              <w:t>2012</w:t>
            </w:r>
          </w:p>
        </w:tc>
        <w:tc>
          <w:tcPr>
            <w:tcW w:w="240" w:type="pct"/>
            <w:shd w:val="clear" w:color="auto" w:fill="6E9ECA"/>
            <w:textDirection w:val="btLr"/>
            <w:vAlign w:val="center"/>
            <w:hideMark/>
          </w:tcPr>
          <w:p w:rsidR="00FF24CA" w:rsidRPr="00760BA0" w:rsidRDefault="00FF24CA" w:rsidP="00FF24CA">
            <w:pPr>
              <w:spacing w:after="0"/>
              <w:ind w:left="113" w:right="113"/>
              <w:jc w:val="center"/>
              <w:rPr>
                <w:rFonts w:cstheme="minorHAnsi"/>
                <w:b/>
                <w:color w:val="FFFFFF" w:themeColor="background1"/>
                <w:sz w:val="20"/>
                <w:szCs w:val="20"/>
              </w:rPr>
            </w:pPr>
            <w:r w:rsidRPr="00760BA0">
              <w:rPr>
                <w:rFonts w:cstheme="minorHAnsi"/>
                <w:b/>
                <w:color w:val="FFFFFF" w:themeColor="background1"/>
                <w:sz w:val="20"/>
                <w:szCs w:val="20"/>
              </w:rPr>
              <w:t>2013</w:t>
            </w:r>
          </w:p>
        </w:tc>
        <w:tc>
          <w:tcPr>
            <w:tcW w:w="240" w:type="pct"/>
            <w:shd w:val="clear" w:color="auto" w:fill="6E9ECA"/>
            <w:textDirection w:val="btLr"/>
            <w:vAlign w:val="center"/>
            <w:hideMark/>
          </w:tcPr>
          <w:p w:rsidR="00FF24CA" w:rsidRPr="00760BA0" w:rsidRDefault="00FF24CA" w:rsidP="00FF24CA">
            <w:pPr>
              <w:spacing w:after="0"/>
              <w:ind w:left="113" w:right="113"/>
              <w:jc w:val="center"/>
              <w:rPr>
                <w:rFonts w:cstheme="minorHAnsi"/>
                <w:b/>
                <w:color w:val="FFFFFF" w:themeColor="background1"/>
                <w:sz w:val="20"/>
                <w:szCs w:val="20"/>
              </w:rPr>
            </w:pPr>
            <w:r w:rsidRPr="00760BA0">
              <w:rPr>
                <w:rFonts w:cstheme="minorHAnsi"/>
                <w:b/>
                <w:color w:val="FFFFFF" w:themeColor="background1"/>
                <w:sz w:val="20"/>
                <w:szCs w:val="20"/>
              </w:rPr>
              <w:t>2014</w:t>
            </w:r>
          </w:p>
        </w:tc>
        <w:tc>
          <w:tcPr>
            <w:tcW w:w="240" w:type="pct"/>
            <w:shd w:val="clear" w:color="auto" w:fill="6E9ECA"/>
            <w:textDirection w:val="btLr"/>
            <w:vAlign w:val="center"/>
          </w:tcPr>
          <w:p w:rsidR="00FF24CA" w:rsidRPr="00760BA0" w:rsidRDefault="00FF24CA" w:rsidP="00FF24CA">
            <w:pPr>
              <w:spacing w:after="0"/>
              <w:ind w:left="113" w:right="113"/>
              <w:jc w:val="center"/>
              <w:rPr>
                <w:rFonts w:cstheme="minorHAnsi"/>
                <w:b/>
                <w:color w:val="FFFFFF" w:themeColor="background1"/>
                <w:sz w:val="20"/>
                <w:szCs w:val="20"/>
              </w:rPr>
            </w:pPr>
            <w:r w:rsidRPr="00760BA0">
              <w:rPr>
                <w:rFonts w:cstheme="minorHAnsi"/>
                <w:b/>
                <w:color w:val="FFFFFF" w:themeColor="background1"/>
                <w:sz w:val="20"/>
                <w:szCs w:val="20"/>
              </w:rPr>
              <w:t>2015</w:t>
            </w:r>
          </w:p>
        </w:tc>
        <w:tc>
          <w:tcPr>
            <w:tcW w:w="240" w:type="pct"/>
            <w:shd w:val="clear" w:color="auto" w:fill="6E9ECA"/>
            <w:textDirection w:val="btLr"/>
            <w:vAlign w:val="center"/>
          </w:tcPr>
          <w:p w:rsidR="00FF24CA" w:rsidRPr="00760BA0" w:rsidRDefault="00FF24CA" w:rsidP="00FF24CA">
            <w:pPr>
              <w:spacing w:after="0"/>
              <w:ind w:left="113" w:right="113"/>
              <w:jc w:val="center"/>
              <w:rPr>
                <w:rFonts w:cstheme="minorHAnsi"/>
                <w:b/>
                <w:color w:val="FFFFFF" w:themeColor="background1"/>
                <w:sz w:val="20"/>
                <w:szCs w:val="20"/>
              </w:rPr>
            </w:pPr>
            <w:r w:rsidRPr="00760BA0">
              <w:rPr>
                <w:rFonts w:cstheme="minorHAnsi"/>
                <w:b/>
                <w:color w:val="FFFFFF" w:themeColor="background1"/>
                <w:sz w:val="20"/>
                <w:szCs w:val="20"/>
              </w:rPr>
              <w:t>2016</w:t>
            </w:r>
          </w:p>
        </w:tc>
        <w:tc>
          <w:tcPr>
            <w:tcW w:w="240" w:type="pct"/>
            <w:shd w:val="clear" w:color="auto" w:fill="6E9ECA"/>
            <w:textDirection w:val="btLr"/>
            <w:vAlign w:val="center"/>
          </w:tcPr>
          <w:p w:rsidR="00FF24CA" w:rsidRPr="00760BA0" w:rsidRDefault="00FF24CA" w:rsidP="00FF24CA">
            <w:pPr>
              <w:spacing w:after="0"/>
              <w:ind w:left="113" w:right="113"/>
              <w:jc w:val="center"/>
              <w:rPr>
                <w:rFonts w:cstheme="minorHAnsi"/>
                <w:b/>
                <w:color w:val="FFFFFF" w:themeColor="background1"/>
                <w:sz w:val="20"/>
                <w:szCs w:val="20"/>
              </w:rPr>
            </w:pPr>
            <w:r w:rsidRPr="00760BA0">
              <w:rPr>
                <w:rFonts w:cstheme="minorHAnsi"/>
                <w:b/>
                <w:color w:val="FFFFFF" w:themeColor="background1"/>
                <w:sz w:val="20"/>
                <w:szCs w:val="20"/>
              </w:rPr>
              <w:t>2017</w:t>
            </w:r>
          </w:p>
        </w:tc>
        <w:tc>
          <w:tcPr>
            <w:tcW w:w="240" w:type="pct"/>
            <w:shd w:val="clear" w:color="auto" w:fill="6E9ECA"/>
            <w:textDirection w:val="btLr"/>
            <w:vAlign w:val="center"/>
          </w:tcPr>
          <w:p w:rsidR="00FF24CA" w:rsidRPr="00760BA0" w:rsidRDefault="00FF24CA" w:rsidP="00FF24CA">
            <w:pPr>
              <w:spacing w:after="0"/>
              <w:ind w:left="113" w:right="113"/>
              <w:jc w:val="center"/>
              <w:rPr>
                <w:rFonts w:cstheme="minorHAnsi"/>
                <w:b/>
                <w:color w:val="FFFFFF" w:themeColor="background1"/>
                <w:sz w:val="20"/>
                <w:szCs w:val="20"/>
              </w:rPr>
            </w:pPr>
            <w:r w:rsidRPr="00760BA0">
              <w:rPr>
                <w:rFonts w:cstheme="minorHAnsi"/>
                <w:b/>
                <w:color w:val="FFFFFF" w:themeColor="background1"/>
                <w:sz w:val="20"/>
                <w:szCs w:val="20"/>
              </w:rPr>
              <w:t>2018</w:t>
            </w:r>
          </w:p>
        </w:tc>
        <w:tc>
          <w:tcPr>
            <w:tcW w:w="240" w:type="pct"/>
            <w:shd w:val="clear" w:color="auto" w:fill="6E9ECA"/>
            <w:textDirection w:val="btLr"/>
            <w:vAlign w:val="center"/>
          </w:tcPr>
          <w:p w:rsidR="00FF24CA" w:rsidRPr="00760BA0" w:rsidRDefault="00FF24CA" w:rsidP="00FF24CA">
            <w:pPr>
              <w:spacing w:after="0"/>
              <w:ind w:left="113" w:right="113"/>
              <w:jc w:val="center"/>
              <w:rPr>
                <w:rFonts w:cstheme="minorHAnsi"/>
                <w:b/>
                <w:color w:val="FFFFFF" w:themeColor="background1"/>
                <w:sz w:val="20"/>
                <w:szCs w:val="20"/>
              </w:rPr>
            </w:pPr>
            <w:r w:rsidRPr="00760BA0">
              <w:rPr>
                <w:rFonts w:cstheme="minorHAnsi"/>
                <w:b/>
                <w:color w:val="FFFFFF" w:themeColor="background1"/>
                <w:sz w:val="20"/>
                <w:szCs w:val="20"/>
              </w:rPr>
              <w:t>2019</w:t>
            </w:r>
          </w:p>
        </w:tc>
        <w:tc>
          <w:tcPr>
            <w:tcW w:w="240" w:type="pct"/>
            <w:shd w:val="clear" w:color="auto" w:fill="6E9ECA"/>
            <w:textDirection w:val="btLr"/>
          </w:tcPr>
          <w:p w:rsidR="00FF24CA" w:rsidRPr="00760BA0" w:rsidRDefault="00FF24CA" w:rsidP="00FF24CA">
            <w:pPr>
              <w:spacing w:after="0"/>
              <w:ind w:left="113" w:right="113"/>
              <w:jc w:val="center"/>
              <w:rPr>
                <w:rFonts w:cstheme="minorHAnsi"/>
                <w:b/>
                <w:color w:val="FFFFFF" w:themeColor="background1"/>
                <w:sz w:val="20"/>
                <w:szCs w:val="20"/>
              </w:rPr>
            </w:pPr>
            <w:r w:rsidRPr="00760BA0">
              <w:rPr>
                <w:rFonts w:cstheme="minorHAnsi"/>
                <w:b/>
                <w:color w:val="FFFFFF" w:themeColor="background1"/>
                <w:sz w:val="20"/>
                <w:szCs w:val="20"/>
              </w:rPr>
              <w:t>2020</w:t>
            </w:r>
          </w:p>
        </w:tc>
        <w:tc>
          <w:tcPr>
            <w:tcW w:w="240" w:type="pct"/>
            <w:shd w:val="clear" w:color="auto" w:fill="6E9ECA"/>
            <w:textDirection w:val="btLr"/>
          </w:tcPr>
          <w:p w:rsidR="00FF24CA" w:rsidRPr="00760BA0" w:rsidRDefault="00FF24CA" w:rsidP="00FF24CA">
            <w:pPr>
              <w:spacing w:after="0"/>
              <w:ind w:left="113" w:right="113"/>
              <w:jc w:val="center"/>
              <w:rPr>
                <w:rFonts w:cstheme="minorHAnsi"/>
                <w:b/>
                <w:color w:val="FFFFFF" w:themeColor="background1"/>
                <w:sz w:val="20"/>
                <w:szCs w:val="20"/>
              </w:rPr>
            </w:pPr>
            <w:r w:rsidRPr="00760BA0">
              <w:rPr>
                <w:rFonts w:cstheme="minorHAnsi"/>
                <w:b/>
                <w:color w:val="FFFFFF" w:themeColor="background1"/>
                <w:sz w:val="20"/>
                <w:szCs w:val="20"/>
              </w:rPr>
              <w:t>2021</w:t>
            </w:r>
          </w:p>
        </w:tc>
        <w:tc>
          <w:tcPr>
            <w:tcW w:w="240" w:type="pct"/>
            <w:shd w:val="clear" w:color="auto" w:fill="6E9ECA"/>
            <w:textDirection w:val="btLr"/>
          </w:tcPr>
          <w:p w:rsidR="00FF24CA" w:rsidRPr="00760BA0" w:rsidRDefault="00FF24CA" w:rsidP="00FF24CA">
            <w:pPr>
              <w:spacing w:after="0"/>
              <w:ind w:left="113" w:right="113"/>
              <w:jc w:val="center"/>
              <w:rPr>
                <w:rFonts w:cstheme="minorHAnsi"/>
                <w:b/>
                <w:color w:val="FFFFFF" w:themeColor="background1"/>
                <w:sz w:val="20"/>
                <w:szCs w:val="20"/>
              </w:rPr>
            </w:pPr>
            <w:r>
              <w:rPr>
                <w:rFonts w:cstheme="minorHAnsi"/>
                <w:b/>
                <w:color w:val="FFFFFF" w:themeColor="background1"/>
                <w:sz w:val="20"/>
                <w:szCs w:val="20"/>
              </w:rPr>
              <w:t>2022</w:t>
            </w:r>
          </w:p>
        </w:tc>
      </w:tr>
      <w:tr w:rsidR="006F16AB" w:rsidRPr="00760BA0" w:rsidTr="0035089D">
        <w:trPr>
          <w:trHeight w:val="1097"/>
        </w:trPr>
        <w:tc>
          <w:tcPr>
            <w:tcW w:w="433" w:type="pct"/>
            <w:shd w:val="clear" w:color="auto" w:fill="auto"/>
            <w:vAlign w:val="center"/>
            <w:hideMark/>
          </w:tcPr>
          <w:p w:rsidR="00FF24CA" w:rsidRPr="00760BA0" w:rsidRDefault="00FF24CA" w:rsidP="00FF24CA">
            <w:pPr>
              <w:spacing w:after="0" w:line="240" w:lineRule="auto"/>
              <w:jc w:val="center"/>
              <w:rPr>
                <w:rFonts w:eastAsia="Times New Roman" w:cstheme="minorHAnsi"/>
                <w:b/>
                <w:sz w:val="20"/>
                <w:szCs w:val="20"/>
              </w:rPr>
            </w:pPr>
            <w:r w:rsidRPr="00760BA0">
              <w:rPr>
                <w:rFonts w:eastAsia="Times New Roman" w:cstheme="minorHAnsi"/>
                <w:b/>
                <w:sz w:val="20"/>
                <w:szCs w:val="20"/>
              </w:rPr>
              <w:t>Personel Sayısı</w:t>
            </w:r>
          </w:p>
        </w:tc>
        <w:tc>
          <w:tcPr>
            <w:tcW w:w="240" w:type="pct"/>
            <w:shd w:val="clear" w:color="auto" w:fill="auto"/>
            <w:vAlign w:val="center"/>
          </w:tcPr>
          <w:p w:rsidR="00FF24CA" w:rsidRPr="00760BA0" w:rsidRDefault="00FF24CA" w:rsidP="00FF24CA">
            <w:pPr>
              <w:spacing w:after="0" w:line="240" w:lineRule="auto"/>
              <w:jc w:val="center"/>
              <w:rPr>
                <w:rFonts w:eastAsia="Times New Roman" w:cstheme="minorHAnsi"/>
                <w:sz w:val="20"/>
                <w:szCs w:val="20"/>
              </w:rPr>
            </w:pPr>
            <w:r>
              <w:rPr>
                <w:rFonts w:eastAsia="Times New Roman" w:cstheme="minorHAnsi"/>
                <w:sz w:val="20"/>
                <w:szCs w:val="20"/>
              </w:rPr>
              <w:t>259</w:t>
            </w:r>
          </w:p>
        </w:tc>
        <w:tc>
          <w:tcPr>
            <w:tcW w:w="240" w:type="pct"/>
            <w:shd w:val="clear" w:color="auto" w:fill="auto"/>
            <w:vAlign w:val="center"/>
          </w:tcPr>
          <w:p w:rsidR="00FF24CA" w:rsidRPr="00760BA0" w:rsidRDefault="00FF24CA" w:rsidP="00FF24CA">
            <w:pPr>
              <w:spacing w:after="0" w:line="240" w:lineRule="auto"/>
              <w:jc w:val="center"/>
              <w:rPr>
                <w:rFonts w:eastAsia="Times New Roman" w:cstheme="minorHAnsi"/>
                <w:sz w:val="20"/>
                <w:szCs w:val="20"/>
              </w:rPr>
            </w:pPr>
            <w:r>
              <w:rPr>
                <w:rFonts w:eastAsia="Times New Roman" w:cstheme="minorHAnsi"/>
                <w:sz w:val="20"/>
                <w:szCs w:val="20"/>
              </w:rPr>
              <w:t>296</w:t>
            </w:r>
          </w:p>
        </w:tc>
        <w:tc>
          <w:tcPr>
            <w:tcW w:w="240" w:type="pct"/>
            <w:shd w:val="clear" w:color="auto" w:fill="auto"/>
            <w:vAlign w:val="center"/>
          </w:tcPr>
          <w:p w:rsidR="00FF24CA" w:rsidRPr="00760BA0" w:rsidRDefault="00FF24CA" w:rsidP="00FF24CA">
            <w:pPr>
              <w:spacing w:after="0" w:line="240" w:lineRule="auto"/>
              <w:rPr>
                <w:rFonts w:eastAsia="Times New Roman" w:cstheme="minorHAnsi"/>
                <w:sz w:val="20"/>
                <w:szCs w:val="20"/>
              </w:rPr>
            </w:pPr>
            <w:r>
              <w:rPr>
                <w:rFonts w:eastAsia="Times New Roman" w:cstheme="minorHAnsi"/>
                <w:sz w:val="20"/>
                <w:szCs w:val="20"/>
              </w:rPr>
              <w:t>303</w:t>
            </w:r>
          </w:p>
        </w:tc>
        <w:tc>
          <w:tcPr>
            <w:tcW w:w="240" w:type="pct"/>
            <w:shd w:val="clear" w:color="auto" w:fill="auto"/>
            <w:vAlign w:val="center"/>
          </w:tcPr>
          <w:p w:rsidR="00FF24CA" w:rsidRPr="00760BA0" w:rsidRDefault="00FF24CA" w:rsidP="00FF24CA">
            <w:pPr>
              <w:spacing w:after="0" w:line="240" w:lineRule="auto"/>
              <w:rPr>
                <w:rFonts w:eastAsia="Times New Roman" w:cstheme="minorHAnsi"/>
                <w:sz w:val="20"/>
                <w:szCs w:val="20"/>
              </w:rPr>
            </w:pPr>
            <w:r>
              <w:rPr>
                <w:rFonts w:eastAsia="Times New Roman" w:cstheme="minorHAnsi"/>
                <w:sz w:val="20"/>
                <w:szCs w:val="20"/>
              </w:rPr>
              <w:t>313</w:t>
            </w:r>
          </w:p>
        </w:tc>
        <w:tc>
          <w:tcPr>
            <w:tcW w:w="240" w:type="pct"/>
            <w:shd w:val="clear" w:color="auto" w:fill="auto"/>
            <w:vAlign w:val="center"/>
          </w:tcPr>
          <w:p w:rsidR="00FF24CA" w:rsidRPr="00760BA0" w:rsidRDefault="00FF24CA" w:rsidP="00FF24CA">
            <w:pPr>
              <w:spacing w:after="0" w:line="240" w:lineRule="auto"/>
              <w:jc w:val="center"/>
              <w:rPr>
                <w:rFonts w:eastAsia="Times New Roman" w:cstheme="minorHAnsi"/>
                <w:sz w:val="20"/>
                <w:szCs w:val="20"/>
              </w:rPr>
            </w:pPr>
            <w:r>
              <w:rPr>
                <w:rFonts w:eastAsia="Times New Roman" w:cstheme="minorHAnsi"/>
                <w:sz w:val="20"/>
                <w:szCs w:val="20"/>
              </w:rPr>
              <w:t>370</w:t>
            </w:r>
          </w:p>
        </w:tc>
        <w:tc>
          <w:tcPr>
            <w:tcW w:w="240" w:type="pct"/>
            <w:shd w:val="clear" w:color="auto" w:fill="auto"/>
            <w:vAlign w:val="center"/>
          </w:tcPr>
          <w:p w:rsidR="00FF24CA" w:rsidRPr="00760BA0" w:rsidRDefault="00FF24CA" w:rsidP="00FF24CA">
            <w:pPr>
              <w:spacing w:after="0" w:line="240" w:lineRule="auto"/>
              <w:jc w:val="center"/>
              <w:rPr>
                <w:rFonts w:eastAsia="Times New Roman" w:cstheme="minorHAnsi"/>
                <w:sz w:val="20"/>
                <w:szCs w:val="20"/>
              </w:rPr>
            </w:pPr>
            <w:r>
              <w:rPr>
                <w:rFonts w:eastAsia="Times New Roman" w:cstheme="minorHAnsi"/>
                <w:sz w:val="20"/>
                <w:szCs w:val="20"/>
              </w:rPr>
              <w:t>404</w:t>
            </w:r>
          </w:p>
        </w:tc>
        <w:tc>
          <w:tcPr>
            <w:tcW w:w="240" w:type="pct"/>
            <w:shd w:val="clear" w:color="auto" w:fill="auto"/>
            <w:vAlign w:val="center"/>
          </w:tcPr>
          <w:p w:rsidR="00FF24CA" w:rsidRPr="00760BA0" w:rsidRDefault="00FF24CA" w:rsidP="00FF24CA">
            <w:pPr>
              <w:spacing w:after="0" w:line="240" w:lineRule="auto"/>
              <w:rPr>
                <w:rFonts w:eastAsia="Times New Roman" w:cstheme="minorHAnsi"/>
                <w:sz w:val="20"/>
                <w:szCs w:val="20"/>
              </w:rPr>
            </w:pPr>
            <w:r>
              <w:rPr>
                <w:rFonts w:eastAsia="Times New Roman" w:cstheme="minorHAnsi"/>
                <w:sz w:val="20"/>
                <w:szCs w:val="20"/>
              </w:rPr>
              <w:t>430</w:t>
            </w:r>
          </w:p>
        </w:tc>
        <w:tc>
          <w:tcPr>
            <w:tcW w:w="240" w:type="pct"/>
            <w:shd w:val="clear" w:color="auto" w:fill="auto"/>
            <w:vAlign w:val="center"/>
          </w:tcPr>
          <w:p w:rsidR="00FF24CA" w:rsidRPr="00760BA0" w:rsidRDefault="00FF24CA" w:rsidP="00FF24CA">
            <w:pPr>
              <w:spacing w:after="0" w:line="240" w:lineRule="auto"/>
              <w:jc w:val="center"/>
              <w:rPr>
                <w:rFonts w:eastAsia="Times New Roman" w:cstheme="minorHAnsi"/>
                <w:sz w:val="20"/>
                <w:szCs w:val="20"/>
              </w:rPr>
            </w:pPr>
            <w:r>
              <w:rPr>
                <w:rFonts w:eastAsia="Times New Roman" w:cstheme="minorHAnsi"/>
                <w:sz w:val="20"/>
                <w:szCs w:val="20"/>
              </w:rPr>
              <w:t>467</w:t>
            </w:r>
          </w:p>
        </w:tc>
        <w:tc>
          <w:tcPr>
            <w:tcW w:w="240" w:type="pct"/>
            <w:shd w:val="clear" w:color="auto" w:fill="auto"/>
            <w:vAlign w:val="center"/>
          </w:tcPr>
          <w:p w:rsidR="00FF24CA" w:rsidRPr="00760BA0" w:rsidRDefault="00FF24CA" w:rsidP="00FF24CA">
            <w:pPr>
              <w:keepNext/>
              <w:spacing w:after="0" w:line="240" w:lineRule="auto"/>
              <w:jc w:val="center"/>
              <w:rPr>
                <w:rFonts w:eastAsia="Times New Roman" w:cstheme="minorHAnsi"/>
                <w:sz w:val="20"/>
                <w:szCs w:val="20"/>
              </w:rPr>
            </w:pPr>
            <w:r>
              <w:rPr>
                <w:rFonts w:eastAsia="Times New Roman" w:cstheme="minorHAnsi"/>
                <w:sz w:val="20"/>
                <w:szCs w:val="20"/>
              </w:rPr>
              <w:t>453</w:t>
            </w:r>
          </w:p>
        </w:tc>
        <w:tc>
          <w:tcPr>
            <w:tcW w:w="240" w:type="pct"/>
            <w:shd w:val="clear" w:color="auto" w:fill="auto"/>
            <w:vAlign w:val="center"/>
          </w:tcPr>
          <w:p w:rsidR="00FF24CA" w:rsidRPr="00760BA0" w:rsidRDefault="00FF24CA" w:rsidP="00FF24CA">
            <w:pPr>
              <w:keepNext/>
              <w:spacing w:after="0" w:line="240" w:lineRule="auto"/>
              <w:jc w:val="center"/>
              <w:rPr>
                <w:rFonts w:eastAsia="Times New Roman" w:cstheme="minorHAnsi"/>
                <w:sz w:val="20"/>
                <w:szCs w:val="20"/>
              </w:rPr>
            </w:pPr>
            <w:r>
              <w:rPr>
                <w:rFonts w:eastAsia="Times New Roman" w:cstheme="minorHAnsi"/>
                <w:sz w:val="20"/>
                <w:szCs w:val="20"/>
              </w:rPr>
              <w:t>436</w:t>
            </w:r>
          </w:p>
        </w:tc>
        <w:tc>
          <w:tcPr>
            <w:tcW w:w="240" w:type="pct"/>
            <w:shd w:val="clear" w:color="auto" w:fill="auto"/>
            <w:vAlign w:val="center"/>
          </w:tcPr>
          <w:p w:rsidR="00FF24CA" w:rsidRPr="00760BA0" w:rsidRDefault="00FF24CA" w:rsidP="00FF24CA">
            <w:pPr>
              <w:keepNext/>
              <w:spacing w:after="0" w:line="240" w:lineRule="auto"/>
              <w:jc w:val="center"/>
              <w:rPr>
                <w:rFonts w:eastAsia="Times New Roman" w:cstheme="minorHAnsi"/>
                <w:sz w:val="20"/>
                <w:szCs w:val="20"/>
              </w:rPr>
            </w:pPr>
            <w:r>
              <w:rPr>
                <w:rFonts w:eastAsia="Times New Roman" w:cstheme="minorHAnsi"/>
                <w:sz w:val="20"/>
                <w:szCs w:val="20"/>
              </w:rPr>
              <w:t>461</w:t>
            </w:r>
          </w:p>
        </w:tc>
        <w:tc>
          <w:tcPr>
            <w:tcW w:w="240" w:type="pct"/>
            <w:shd w:val="clear" w:color="auto" w:fill="auto"/>
            <w:vAlign w:val="center"/>
          </w:tcPr>
          <w:p w:rsidR="00FF24CA" w:rsidRPr="00760BA0" w:rsidRDefault="00FF24CA" w:rsidP="00FF24CA">
            <w:pPr>
              <w:keepNext/>
              <w:spacing w:after="0" w:line="240" w:lineRule="auto"/>
              <w:jc w:val="center"/>
              <w:rPr>
                <w:rFonts w:eastAsia="Times New Roman" w:cstheme="minorHAnsi"/>
                <w:sz w:val="20"/>
                <w:szCs w:val="20"/>
              </w:rPr>
            </w:pPr>
            <w:r w:rsidRPr="00760BA0">
              <w:rPr>
                <w:rFonts w:eastAsia="Times New Roman" w:cstheme="minorHAnsi"/>
                <w:sz w:val="20"/>
                <w:szCs w:val="20"/>
              </w:rPr>
              <w:t>494</w:t>
            </w:r>
          </w:p>
        </w:tc>
        <w:tc>
          <w:tcPr>
            <w:tcW w:w="240" w:type="pct"/>
            <w:vAlign w:val="center"/>
          </w:tcPr>
          <w:p w:rsidR="00FF24CA" w:rsidRPr="00760BA0" w:rsidRDefault="00FF24CA" w:rsidP="00FF24CA">
            <w:pPr>
              <w:keepNext/>
              <w:spacing w:after="0" w:line="240" w:lineRule="auto"/>
              <w:jc w:val="center"/>
              <w:rPr>
                <w:rFonts w:eastAsia="Times New Roman" w:cstheme="minorHAnsi"/>
                <w:sz w:val="20"/>
                <w:szCs w:val="20"/>
              </w:rPr>
            </w:pPr>
            <w:r>
              <w:rPr>
                <w:rFonts w:eastAsia="Times New Roman" w:cstheme="minorHAnsi"/>
                <w:sz w:val="20"/>
                <w:szCs w:val="20"/>
              </w:rPr>
              <w:t>482</w:t>
            </w:r>
          </w:p>
        </w:tc>
        <w:tc>
          <w:tcPr>
            <w:tcW w:w="240" w:type="pct"/>
            <w:vAlign w:val="center"/>
          </w:tcPr>
          <w:p w:rsidR="00FF24CA" w:rsidRPr="00760BA0" w:rsidRDefault="00FF24CA" w:rsidP="00FF24CA">
            <w:pPr>
              <w:keepNext/>
              <w:spacing w:after="0" w:line="240" w:lineRule="auto"/>
              <w:jc w:val="center"/>
              <w:rPr>
                <w:rFonts w:eastAsia="Times New Roman" w:cstheme="minorHAnsi"/>
                <w:sz w:val="20"/>
                <w:szCs w:val="20"/>
              </w:rPr>
            </w:pPr>
            <w:r>
              <w:rPr>
                <w:rFonts w:eastAsia="Times New Roman" w:cstheme="minorHAnsi"/>
                <w:sz w:val="20"/>
                <w:szCs w:val="20"/>
              </w:rPr>
              <w:t>474</w:t>
            </w:r>
          </w:p>
        </w:tc>
        <w:tc>
          <w:tcPr>
            <w:tcW w:w="240" w:type="pct"/>
            <w:vAlign w:val="center"/>
          </w:tcPr>
          <w:p w:rsidR="00FF24CA" w:rsidRPr="00760BA0" w:rsidRDefault="00FF24CA" w:rsidP="00FF24CA">
            <w:pPr>
              <w:keepNext/>
              <w:spacing w:after="0" w:line="240" w:lineRule="auto"/>
              <w:jc w:val="center"/>
              <w:rPr>
                <w:rFonts w:eastAsia="Times New Roman" w:cstheme="minorHAnsi"/>
                <w:sz w:val="20"/>
                <w:szCs w:val="20"/>
              </w:rPr>
            </w:pPr>
            <w:r>
              <w:rPr>
                <w:rFonts w:eastAsia="Times New Roman" w:cstheme="minorHAnsi"/>
                <w:sz w:val="20"/>
                <w:szCs w:val="20"/>
              </w:rPr>
              <w:t>501</w:t>
            </w:r>
          </w:p>
        </w:tc>
        <w:tc>
          <w:tcPr>
            <w:tcW w:w="240" w:type="pct"/>
            <w:vAlign w:val="center"/>
          </w:tcPr>
          <w:p w:rsidR="00FF24CA" w:rsidRPr="00760BA0" w:rsidRDefault="00FF24CA" w:rsidP="00FF24CA">
            <w:pPr>
              <w:keepNext/>
              <w:spacing w:after="0" w:line="240" w:lineRule="auto"/>
              <w:jc w:val="center"/>
              <w:rPr>
                <w:rFonts w:eastAsia="Times New Roman" w:cstheme="minorHAnsi"/>
                <w:sz w:val="20"/>
                <w:szCs w:val="20"/>
              </w:rPr>
            </w:pPr>
            <w:r>
              <w:rPr>
                <w:rFonts w:eastAsia="Times New Roman" w:cstheme="minorHAnsi"/>
                <w:sz w:val="20"/>
                <w:szCs w:val="20"/>
              </w:rPr>
              <w:t>509</w:t>
            </w:r>
          </w:p>
        </w:tc>
        <w:tc>
          <w:tcPr>
            <w:tcW w:w="240" w:type="pct"/>
            <w:vAlign w:val="center"/>
          </w:tcPr>
          <w:p w:rsidR="00FF24CA" w:rsidRPr="00760BA0" w:rsidRDefault="00FF24CA" w:rsidP="00FF24CA">
            <w:pPr>
              <w:keepNext/>
              <w:spacing w:after="0" w:line="240" w:lineRule="auto"/>
              <w:jc w:val="center"/>
              <w:rPr>
                <w:rFonts w:eastAsia="Times New Roman" w:cstheme="minorHAnsi"/>
                <w:sz w:val="20"/>
                <w:szCs w:val="20"/>
              </w:rPr>
            </w:pPr>
            <w:r w:rsidRPr="00760BA0">
              <w:rPr>
                <w:rFonts w:eastAsia="Times New Roman" w:cstheme="minorHAnsi"/>
                <w:sz w:val="20"/>
                <w:szCs w:val="20"/>
              </w:rPr>
              <w:t>506</w:t>
            </w:r>
          </w:p>
        </w:tc>
        <w:tc>
          <w:tcPr>
            <w:tcW w:w="240" w:type="pct"/>
            <w:vAlign w:val="center"/>
          </w:tcPr>
          <w:p w:rsidR="00FF24CA" w:rsidRPr="00760BA0" w:rsidRDefault="00FF24CA" w:rsidP="00FF24CA">
            <w:pPr>
              <w:keepNext/>
              <w:spacing w:after="0" w:line="240" w:lineRule="auto"/>
              <w:jc w:val="center"/>
              <w:rPr>
                <w:rFonts w:eastAsia="Times New Roman" w:cstheme="minorHAnsi"/>
                <w:sz w:val="20"/>
                <w:szCs w:val="20"/>
              </w:rPr>
            </w:pPr>
            <w:r w:rsidRPr="00760BA0">
              <w:rPr>
                <w:rFonts w:eastAsia="Times New Roman" w:cstheme="minorHAnsi"/>
                <w:sz w:val="20"/>
                <w:szCs w:val="20"/>
              </w:rPr>
              <w:t>521</w:t>
            </w:r>
          </w:p>
        </w:tc>
        <w:tc>
          <w:tcPr>
            <w:tcW w:w="240" w:type="pct"/>
            <w:vAlign w:val="center"/>
          </w:tcPr>
          <w:p w:rsidR="00FF24CA" w:rsidRPr="00760BA0" w:rsidRDefault="00FF24CA" w:rsidP="00FF24CA">
            <w:pPr>
              <w:keepNext/>
              <w:spacing w:after="0" w:line="240" w:lineRule="auto"/>
              <w:jc w:val="center"/>
              <w:rPr>
                <w:rFonts w:eastAsia="Times New Roman" w:cstheme="minorHAnsi"/>
                <w:sz w:val="20"/>
                <w:szCs w:val="20"/>
              </w:rPr>
            </w:pPr>
            <w:r>
              <w:rPr>
                <w:rFonts w:eastAsia="Times New Roman" w:cstheme="minorHAnsi"/>
                <w:sz w:val="20"/>
                <w:szCs w:val="20"/>
              </w:rPr>
              <w:t>545</w:t>
            </w:r>
          </w:p>
        </w:tc>
      </w:tr>
    </w:tbl>
    <w:p w:rsidR="00FF24CA" w:rsidRPr="00760BA0" w:rsidRDefault="00FF24CA" w:rsidP="00FF24CA">
      <w:pPr>
        <w:rPr>
          <w:rFonts w:ascii="Calibri" w:hAnsi="Calibri"/>
          <w:sz w:val="20"/>
          <w:szCs w:val="20"/>
        </w:rPr>
      </w:pPr>
      <w:r w:rsidRPr="00527281">
        <w:rPr>
          <w:rFonts w:ascii="Calibri" w:hAnsi="Calibri"/>
        </w:rPr>
        <w:t xml:space="preserve">* </w:t>
      </w:r>
      <w:r w:rsidRPr="00B36621">
        <w:rPr>
          <w:rFonts w:ascii="Calibri" w:hAnsi="Calibri"/>
          <w:i/>
          <w:sz w:val="20"/>
          <w:szCs w:val="20"/>
        </w:rPr>
        <w:t>Sürekli işçi kadrosunda yer alan personel hariçtir</w:t>
      </w:r>
      <w:r w:rsidRPr="00527281">
        <w:rPr>
          <w:rFonts w:ascii="Calibri" w:hAnsi="Calibri"/>
          <w:sz w:val="20"/>
          <w:szCs w:val="20"/>
        </w:rPr>
        <w:t>.</w:t>
      </w:r>
    </w:p>
    <w:p w:rsidR="00633B0C" w:rsidRPr="00992142" w:rsidRDefault="006F7CEC" w:rsidP="00992142">
      <w:bookmarkStart w:id="467" w:name="_Toc442431327"/>
      <w:bookmarkEnd w:id="461"/>
      <w:bookmarkEnd w:id="462"/>
      <w:r>
        <w:t>Ö</w:t>
      </w:r>
      <w:r w:rsidR="00633B0C">
        <w:t>te yandan, 202</w:t>
      </w:r>
      <w:r w:rsidR="006540F6">
        <w:t>2</w:t>
      </w:r>
      <w:r w:rsidR="00633B0C">
        <w:t xml:space="preserve"> yılı </w:t>
      </w:r>
      <w:r w:rsidR="00633B0C" w:rsidRPr="00FA1354">
        <w:t>itibar</w:t>
      </w:r>
      <w:r w:rsidR="00A54CE2">
        <w:t>ı</w:t>
      </w:r>
      <w:r w:rsidR="00633B0C" w:rsidRPr="00FA1354">
        <w:t>yl</w:t>
      </w:r>
      <w:r w:rsidR="00A54CE2">
        <w:t>a</w:t>
      </w:r>
      <w:r w:rsidR="00633B0C" w:rsidRPr="00FA1354">
        <w:t xml:space="preserve"> Kurumda toplam</w:t>
      </w:r>
      <w:r w:rsidR="00CB4C37" w:rsidRPr="00FA1354">
        <w:t xml:space="preserve"> 2</w:t>
      </w:r>
      <w:r w:rsidR="001C2BBC" w:rsidRPr="00FA1354">
        <w:t>1</w:t>
      </w:r>
      <w:r w:rsidR="006540F6">
        <w:t>6</w:t>
      </w:r>
      <w:r w:rsidR="00633B0C" w:rsidRPr="00FA1354">
        <w:t xml:space="preserve"> personel sürekli işçi kadrosunda istihdam edilmiş olup; aşağıda yer alan </w:t>
      </w:r>
      <w:r w:rsidRPr="00FA1354">
        <w:t>tablolarda sürekli işçi kadrosuna haiz personele ilişkin özet bilgilere yer verilmektedir.</w:t>
      </w:r>
      <w:r>
        <w:t xml:space="preserve"> </w:t>
      </w:r>
    </w:p>
    <w:p w:rsidR="00633B0C" w:rsidRPr="001C2BBC" w:rsidRDefault="00032431" w:rsidP="0035089D">
      <w:pPr>
        <w:pStyle w:val="Balk5"/>
        <w:spacing w:after="240"/>
        <w:jc w:val="center"/>
        <w:rPr>
          <w:rFonts w:asciiTheme="minorHAnsi" w:hAnsiTheme="minorHAnsi"/>
          <w:b/>
          <w:color w:val="auto"/>
        </w:rPr>
      </w:pPr>
      <w:bookmarkStart w:id="468" w:name="_Toc132713973"/>
      <w:r w:rsidRPr="001C2BBC">
        <w:rPr>
          <w:rFonts w:asciiTheme="minorHAnsi" w:hAnsiTheme="minorHAnsi"/>
          <w:b/>
          <w:color w:val="auto"/>
        </w:rPr>
        <w:t>Tablo 1</w:t>
      </w:r>
      <w:r w:rsidR="008517CF">
        <w:rPr>
          <w:rFonts w:asciiTheme="minorHAnsi" w:hAnsiTheme="minorHAnsi"/>
          <w:b/>
          <w:color w:val="auto"/>
        </w:rPr>
        <w:t>3</w:t>
      </w:r>
      <w:r w:rsidRPr="001C2BBC">
        <w:rPr>
          <w:rFonts w:asciiTheme="minorHAnsi" w:hAnsiTheme="minorHAnsi"/>
          <w:b/>
          <w:color w:val="auto"/>
        </w:rPr>
        <w:t>.</w:t>
      </w:r>
      <w:r w:rsidR="00992142">
        <w:rPr>
          <w:rFonts w:asciiTheme="minorHAnsi" w:hAnsiTheme="minorHAnsi"/>
          <w:b/>
          <w:color w:val="auto"/>
        </w:rPr>
        <w:t>5</w:t>
      </w:r>
      <w:r w:rsidRPr="001C2BBC">
        <w:rPr>
          <w:rFonts w:asciiTheme="minorHAnsi" w:hAnsiTheme="minorHAnsi"/>
          <w:b/>
          <w:color w:val="auto"/>
        </w:rPr>
        <w:t xml:space="preserve">: </w:t>
      </w:r>
      <w:r w:rsidR="00633B0C" w:rsidRPr="001C2BBC">
        <w:rPr>
          <w:rFonts w:asciiTheme="minorHAnsi" w:hAnsiTheme="minorHAnsi"/>
          <w:b/>
          <w:color w:val="auto"/>
        </w:rPr>
        <w:t>202</w:t>
      </w:r>
      <w:r w:rsidR="006F16AB">
        <w:rPr>
          <w:rFonts w:asciiTheme="minorHAnsi" w:hAnsiTheme="minorHAnsi"/>
          <w:b/>
          <w:color w:val="auto"/>
        </w:rPr>
        <w:t>2</w:t>
      </w:r>
      <w:r w:rsidR="00633B0C" w:rsidRPr="001C2BBC">
        <w:rPr>
          <w:rFonts w:asciiTheme="minorHAnsi" w:hAnsiTheme="minorHAnsi"/>
          <w:b/>
          <w:color w:val="auto"/>
        </w:rPr>
        <w:t xml:space="preserve"> Yılında Kurumdan Ayrılan Personele İlişkin Bilgiler (Sürekli İşçi)</w:t>
      </w:r>
      <w:bookmarkEnd w:id="468"/>
    </w:p>
    <w:tbl>
      <w:tblPr>
        <w:tblStyle w:val="TableNormal1"/>
        <w:tblW w:w="9911" w:type="dxa"/>
        <w:tblInd w:w="98" w:type="dxa"/>
        <w:tblLayout w:type="fixed"/>
        <w:tblLook w:val="01E0" w:firstRow="1" w:lastRow="1" w:firstColumn="1" w:lastColumn="1" w:noHBand="0" w:noVBand="0"/>
      </w:tblPr>
      <w:tblGrid>
        <w:gridCol w:w="2802"/>
        <w:gridCol w:w="663"/>
        <w:gridCol w:w="476"/>
        <w:gridCol w:w="476"/>
        <w:gridCol w:w="476"/>
        <w:gridCol w:w="476"/>
        <w:gridCol w:w="480"/>
        <w:gridCol w:w="507"/>
        <w:gridCol w:w="509"/>
        <w:gridCol w:w="507"/>
        <w:gridCol w:w="507"/>
        <w:gridCol w:w="507"/>
        <w:gridCol w:w="507"/>
        <w:gridCol w:w="507"/>
        <w:gridCol w:w="511"/>
      </w:tblGrid>
      <w:tr w:rsidR="001C2BBC" w:rsidRPr="001C2BBC" w:rsidTr="00FC2252">
        <w:trPr>
          <w:trHeight w:hRule="exact" w:val="362"/>
        </w:trPr>
        <w:tc>
          <w:tcPr>
            <w:tcW w:w="2802" w:type="dxa"/>
            <w:vMerge w:val="restart"/>
            <w:tcBorders>
              <w:top w:val="single" w:sz="4" w:space="0" w:color="D9D9D9"/>
              <w:left w:val="single" w:sz="4" w:space="0" w:color="D9D9D9"/>
              <w:right w:val="single" w:sz="4" w:space="0" w:color="D9D9D9"/>
            </w:tcBorders>
            <w:shd w:val="clear" w:color="auto" w:fill="6E9ECA"/>
          </w:tcPr>
          <w:p w:rsidR="001C2BBC" w:rsidRPr="001C2BBC" w:rsidRDefault="001C2BBC" w:rsidP="001C2BBC">
            <w:pPr>
              <w:jc w:val="left"/>
              <w:rPr>
                <w:rFonts w:ascii="Calibri" w:hAnsi="Calibri" w:cs="Calibri"/>
                <w:b/>
                <w:bCs/>
              </w:rPr>
            </w:pPr>
          </w:p>
          <w:p w:rsidR="001C2BBC" w:rsidRPr="001C2BBC" w:rsidRDefault="001C2BBC" w:rsidP="001C2BBC">
            <w:pPr>
              <w:jc w:val="left"/>
              <w:rPr>
                <w:rFonts w:ascii="Calibri" w:hAnsi="Calibri" w:cs="Calibri"/>
                <w:b/>
                <w:bCs/>
              </w:rPr>
            </w:pPr>
          </w:p>
          <w:p w:rsidR="001C2BBC" w:rsidRPr="001C2BBC" w:rsidRDefault="001C2BBC" w:rsidP="001C2BBC">
            <w:pPr>
              <w:spacing w:before="3"/>
              <w:jc w:val="left"/>
              <w:rPr>
                <w:rFonts w:ascii="Calibri" w:hAnsi="Calibri" w:cs="Calibri"/>
                <w:b/>
                <w:bCs/>
                <w:sz w:val="30"/>
                <w:szCs w:val="30"/>
              </w:rPr>
            </w:pPr>
          </w:p>
          <w:p w:rsidR="001C2BBC" w:rsidRPr="001C2BBC" w:rsidRDefault="001C2BBC" w:rsidP="001C2BBC">
            <w:pPr>
              <w:ind w:left="485"/>
              <w:jc w:val="left"/>
              <w:rPr>
                <w:rFonts w:ascii="Calibri" w:hAnsi="Calibri" w:cs="Calibri"/>
              </w:rPr>
            </w:pPr>
            <w:r w:rsidRPr="001C2BBC">
              <w:rPr>
                <w:rFonts w:ascii="Calibri" w:hAnsi="Calibri"/>
                <w:b/>
                <w:color w:val="FFFFFF"/>
              </w:rPr>
              <w:t>KADRO</w:t>
            </w:r>
            <w:r w:rsidRPr="001C2BBC">
              <w:rPr>
                <w:rFonts w:ascii="Calibri" w:hAnsi="Calibri"/>
                <w:b/>
                <w:color w:val="FFFFFF"/>
                <w:spacing w:val="-13"/>
              </w:rPr>
              <w:t xml:space="preserve"> </w:t>
            </w:r>
            <w:r w:rsidRPr="001C2BBC">
              <w:rPr>
                <w:rFonts w:ascii="Calibri" w:hAnsi="Calibri"/>
                <w:b/>
                <w:color w:val="FFFFFF"/>
                <w:spacing w:val="-1"/>
              </w:rPr>
              <w:t>UNVANLARI</w:t>
            </w:r>
          </w:p>
        </w:tc>
        <w:tc>
          <w:tcPr>
            <w:tcW w:w="663" w:type="dxa"/>
            <w:vMerge w:val="restart"/>
            <w:tcBorders>
              <w:top w:val="single" w:sz="4" w:space="0" w:color="D9D9D9"/>
              <w:left w:val="single" w:sz="4" w:space="0" w:color="D9D9D9"/>
              <w:right w:val="single" w:sz="4" w:space="0" w:color="D9D9D9"/>
            </w:tcBorders>
            <w:shd w:val="clear" w:color="auto" w:fill="6E9ECA"/>
          </w:tcPr>
          <w:p w:rsidR="001C2BBC" w:rsidRPr="001C2BBC" w:rsidRDefault="001C2BBC" w:rsidP="001C2BBC">
            <w:pPr>
              <w:jc w:val="left"/>
              <w:rPr>
                <w:rFonts w:ascii="Calibri" w:hAnsi="Calibri" w:cs="Calibri"/>
                <w:b/>
                <w:bCs/>
              </w:rPr>
            </w:pPr>
          </w:p>
          <w:p w:rsidR="001C2BBC" w:rsidRPr="001C2BBC" w:rsidRDefault="001C2BBC" w:rsidP="001C2BBC">
            <w:pPr>
              <w:jc w:val="left"/>
              <w:rPr>
                <w:rFonts w:ascii="Calibri" w:hAnsi="Calibri" w:cs="Calibri"/>
                <w:b/>
                <w:bCs/>
              </w:rPr>
            </w:pPr>
          </w:p>
          <w:p w:rsidR="001C2BBC" w:rsidRPr="001C2BBC" w:rsidRDefault="001C2BBC" w:rsidP="001C2BBC">
            <w:pPr>
              <w:spacing w:before="3"/>
              <w:jc w:val="left"/>
              <w:rPr>
                <w:rFonts w:ascii="Calibri" w:hAnsi="Calibri" w:cs="Calibri"/>
                <w:b/>
                <w:bCs/>
                <w:sz w:val="30"/>
                <w:szCs w:val="30"/>
              </w:rPr>
            </w:pPr>
          </w:p>
          <w:p w:rsidR="001C2BBC" w:rsidRPr="001C2BBC" w:rsidRDefault="001C2BBC" w:rsidP="001C2BBC">
            <w:pPr>
              <w:ind w:left="121"/>
              <w:jc w:val="left"/>
              <w:rPr>
                <w:rFonts w:ascii="Calibri" w:hAnsi="Calibri" w:cs="Calibri"/>
              </w:rPr>
            </w:pPr>
            <w:r w:rsidRPr="001C2BBC">
              <w:rPr>
                <w:rFonts w:ascii="Calibri" w:hAnsi="Calibri"/>
                <w:b/>
                <w:color w:val="FFFFFF"/>
                <w:spacing w:val="-1"/>
              </w:rPr>
              <w:t>SAYI</w:t>
            </w:r>
          </w:p>
        </w:tc>
        <w:tc>
          <w:tcPr>
            <w:tcW w:w="2384" w:type="dxa"/>
            <w:gridSpan w:val="5"/>
            <w:tcBorders>
              <w:top w:val="single" w:sz="4" w:space="0" w:color="D9D9D9"/>
              <w:left w:val="single" w:sz="4" w:space="0" w:color="D9D9D9"/>
              <w:bottom w:val="single" w:sz="4" w:space="0" w:color="D9D9D9"/>
              <w:right w:val="single" w:sz="4" w:space="0" w:color="D9D9D9"/>
            </w:tcBorders>
            <w:shd w:val="clear" w:color="auto" w:fill="6E9ECA"/>
          </w:tcPr>
          <w:p w:rsidR="001C2BBC" w:rsidRPr="001C2BBC" w:rsidRDefault="001C2BBC" w:rsidP="001C2BBC">
            <w:pPr>
              <w:spacing w:before="21"/>
              <w:ind w:left="261"/>
              <w:jc w:val="left"/>
              <w:rPr>
                <w:rFonts w:ascii="Calibri" w:hAnsi="Calibri" w:cs="Calibri"/>
              </w:rPr>
            </w:pPr>
            <w:r w:rsidRPr="001C2BBC">
              <w:rPr>
                <w:rFonts w:ascii="Calibri" w:hAnsi="Calibri"/>
                <w:b/>
                <w:color w:val="FFFFFF"/>
              </w:rPr>
              <w:t>ÖĞRENİM</w:t>
            </w:r>
            <w:r w:rsidRPr="001C2BBC">
              <w:rPr>
                <w:rFonts w:ascii="Calibri" w:hAnsi="Calibri"/>
                <w:b/>
                <w:color w:val="FFFFFF"/>
                <w:spacing w:val="-9"/>
              </w:rPr>
              <w:t xml:space="preserve"> </w:t>
            </w:r>
            <w:r w:rsidRPr="001C2BBC">
              <w:rPr>
                <w:rFonts w:ascii="Calibri" w:hAnsi="Calibri"/>
                <w:b/>
                <w:color w:val="FFFFFF"/>
                <w:spacing w:val="-1"/>
              </w:rPr>
              <w:t>DURUMU</w:t>
            </w:r>
          </w:p>
        </w:tc>
        <w:tc>
          <w:tcPr>
            <w:tcW w:w="1016" w:type="dxa"/>
            <w:gridSpan w:val="2"/>
            <w:tcBorders>
              <w:top w:val="single" w:sz="4" w:space="0" w:color="D9D9D9"/>
              <w:left w:val="single" w:sz="4" w:space="0" w:color="D9D9D9"/>
              <w:bottom w:val="single" w:sz="4" w:space="0" w:color="D9D9D9"/>
              <w:right w:val="single" w:sz="4" w:space="0" w:color="D9D9D9"/>
            </w:tcBorders>
            <w:shd w:val="clear" w:color="auto" w:fill="6E9ECA"/>
          </w:tcPr>
          <w:p w:rsidR="001C2BBC" w:rsidRPr="001C2BBC" w:rsidRDefault="001C2BBC" w:rsidP="001C2BBC">
            <w:pPr>
              <w:spacing w:before="21"/>
              <w:ind w:left="64"/>
              <w:jc w:val="left"/>
              <w:rPr>
                <w:rFonts w:ascii="Calibri" w:hAnsi="Calibri" w:cs="Calibri"/>
              </w:rPr>
            </w:pPr>
            <w:r w:rsidRPr="001C2BBC">
              <w:rPr>
                <w:rFonts w:ascii="Calibri" w:hAnsi="Calibri"/>
                <w:b/>
                <w:color w:val="FFFFFF"/>
                <w:spacing w:val="-1"/>
              </w:rPr>
              <w:t>CİNSİYETİ</w:t>
            </w:r>
          </w:p>
        </w:tc>
        <w:tc>
          <w:tcPr>
            <w:tcW w:w="3046" w:type="dxa"/>
            <w:gridSpan w:val="6"/>
            <w:tcBorders>
              <w:top w:val="single" w:sz="4" w:space="0" w:color="D9D9D9"/>
              <w:left w:val="single" w:sz="4" w:space="0" w:color="D9D9D9"/>
              <w:bottom w:val="single" w:sz="4" w:space="0" w:color="D9D9D9"/>
              <w:right w:val="single" w:sz="4" w:space="0" w:color="D9D9D9"/>
            </w:tcBorders>
            <w:shd w:val="clear" w:color="auto" w:fill="6E9ECA"/>
          </w:tcPr>
          <w:p w:rsidR="001C2BBC" w:rsidRPr="001C2BBC" w:rsidRDefault="001C2BBC" w:rsidP="001C2BBC">
            <w:pPr>
              <w:spacing w:before="21"/>
              <w:ind w:left="796"/>
              <w:jc w:val="left"/>
              <w:rPr>
                <w:rFonts w:ascii="Calibri" w:hAnsi="Calibri" w:cs="Calibri"/>
              </w:rPr>
            </w:pPr>
            <w:r w:rsidRPr="001C2BBC">
              <w:rPr>
                <w:rFonts w:ascii="Calibri" w:hAnsi="Calibri"/>
                <w:b/>
                <w:color w:val="FFFFFF"/>
                <w:spacing w:val="-1"/>
              </w:rPr>
              <w:t>AYRILMA</w:t>
            </w:r>
            <w:r w:rsidRPr="001C2BBC">
              <w:rPr>
                <w:rFonts w:ascii="Calibri" w:hAnsi="Calibri"/>
                <w:b/>
                <w:color w:val="FFFFFF"/>
                <w:spacing w:val="-9"/>
              </w:rPr>
              <w:t xml:space="preserve"> </w:t>
            </w:r>
            <w:r w:rsidRPr="001C2BBC">
              <w:rPr>
                <w:rFonts w:ascii="Calibri" w:hAnsi="Calibri"/>
                <w:b/>
                <w:color w:val="FFFFFF"/>
                <w:spacing w:val="-1"/>
              </w:rPr>
              <w:t>NEDENİ</w:t>
            </w:r>
          </w:p>
        </w:tc>
      </w:tr>
      <w:tr w:rsidR="001C2BBC" w:rsidRPr="001C2BBC" w:rsidTr="00FC2252">
        <w:trPr>
          <w:trHeight w:val="1461"/>
        </w:trPr>
        <w:tc>
          <w:tcPr>
            <w:tcW w:w="2802" w:type="dxa"/>
            <w:vMerge/>
            <w:tcBorders>
              <w:left w:val="single" w:sz="4" w:space="0" w:color="D9D9D9"/>
              <w:bottom w:val="single" w:sz="4" w:space="0" w:color="D9D9D9"/>
              <w:right w:val="single" w:sz="4" w:space="0" w:color="D9D9D9"/>
            </w:tcBorders>
            <w:shd w:val="clear" w:color="auto" w:fill="6E9ECA"/>
          </w:tcPr>
          <w:p w:rsidR="001C2BBC" w:rsidRPr="001C2BBC" w:rsidRDefault="001C2BBC" w:rsidP="001C2BBC">
            <w:pPr>
              <w:rPr>
                <w:rFonts w:ascii="Calibri" w:hAnsi="Calibri"/>
              </w:rPr>
            </w:pPr>
          </w:p>
        </w:tc>
        <w:tc>
          <w:tcPr>
            <w:tcW w:w="663" w:type="dxa"/>
            <w:vMerge/>
            <w:tcBorders>
              <w:left w:val="single" w:sz="4" w:space="0" w:color="D9D9D9"/>
              <w:bottom w:val="single" w:sz="4" w:space="0" w:color="D9D9D9"/>
              <w:right w:val="single" w:sz="4" w:space="0" w:color="D9D9D9"/>
            </w:tcBorders>
            <w:shd w:val="clear" w:color="auto" w:fill="6E9ECA"/>
          </w:tcPr>
          <w:p w:rsidR="001C2BBC" w:rsidRPr="001C2BBC" w:rsidRDefault="001C2BBC" w:rsidP="001C2BBC">
            <w:pPr>
              <w:rPr>
                <w:rFonts w:ascii="Calibri" w:hAnsi="Calibri"/>
              </w:rPr>
            </w:pPr>
          </w:p>
        </w:tc>
        <w:tc>
          <w:tcPr>
            <w:tcW w:w="476" w:type="dxa"/>
            <w:tcBorders>
              <w:top w:val="single" w:sz="4" w:space="0" w:color="D9D9D9"/>
              <w:left w:val="single" w:sz="4" w:space="0" w:color="D9D9D9"/>
              <w:bottom w:val="single" w:sz="4" w:space="0" w:color="D9D9D9"/>
              <w:right w:val="single" w:sz="4" w:space="0" w:color="D9D9D9"/>
            </w:tcBorders>
            <w:shd w:val="clear" w:color="auto" w:fill="6E9ECA"/>
            <w:textDirection w:val="btLr"/>
          </w:tcPr>
          <w:p w:rsidR="001C2BBC" w:rsidRPr="001C2BBC" w:rsidRDefault="001C2BBC" w:rsidP="001C2BBC">
            <w:pPr>
              <w:spacing w:before="78"/>
              <w:ind w:left="28"/>
              <w:jc w:val="left"/>
              <w:rPr>
                <w:rFonts w:ascii="Calibri" w:hAnsi="Calibri" w:cs="Calibri"/>
              </w:rPr>
            </w:pPr>
            <w:r w:rsidRPr="001C2BBC">
              <w:rPr>
                <w:rFonts w:ascii="Calibri" w:hAnsi="Calibri"/>
                <w:b/>
                <w:color w:val="FFFFFF"/>
                <w:spacing w:val="-1"/>
              </w:rPr>
              <w:t>ORTAÖĞRETİM</w:t>
            </w:r>
          </w:p>
        </w:tc>
        <w:tc>
          <w:tcPr>
            <w:tcW w:w="476" w:type="dxa"/>
            <w:tcBorders>
              <w:top w:val="single" w:sz="4" w:space="0" w:color="D9D9D9"/>
              <w:left w:val="single" w:sz="4" w:space="0" w:color="D9D9D9"/>
              <w:bottom w:val="single" w:sz="4" w:space="0" w:color="D9D9D9"/>
              <w:right w:val="single" w:sz="4" w:space="0" w:color="D9D9D9"/>
            </w:tcBorders>
            <w:shd w:val="clear" w:color="auto" w:fill="6E9ECA"/>
            <w:textDirection w:val="btLr"/>
          </w:tcPr>
          <w:p w:rsidR="001C2BBC" w:rsidRPr="001C2BBC" w:rsidRDefault="001C2BBC" w:rsidP="001C2BBC">
            <w:pPr>
              <w:spacing w:before="65"/>
              <w:ind w:left="160"/>
              <w:jc w:val="left"/>
              <w:rPr>
                <w:rFonts w:ascii="Calibri" w:hAnsi="Calibri" w:cs="Calibri"/>
              </w:rPr>
            </w:pPr>
            <w:r w:rsidRPr="001C2BBC">
              <w:rPr>
                <w:rFonts w:ascii="Calibri" w:hAnsi="Calibri"/>
                <w:b/>
                <w:color w:val="FFFFFF"/>
              </w:rPr>
              <w:t>2</w:t>
            </w:r>
            <w:r w:rsidRPr="001C2BBC">
              <w:rPr>
                <w:rFonts w:ascii="Calibri" w:hAnsi="Calibri"/>
                <w:b/>
                <w:color w:val="FFFFFF"/>
                <w:spacing w:val="-6"/>
              </w:rPr>
              <w:t xml:space="preserve"> </w:t>
            </w:r>
            <w:r w:rsidRPr="001C2BBC">
              <w:rPr>
                <w:rFonts w:ascii="Calibri" w:hAnsi="Calibri"/>
                <w:b/>
                <w:color w:val="FFFFFF"/>
                <w:spacing w:val="-1"/>
              </w:rPr>
              <w:t>YILLIK</w:t>
            </w:r>
            <w:r w:rsidRPr="001C2BBC">
              <w:rPr>
                <w:rFonts w:ascii="Calibri" w:hAnsi="Calibri"/>
                <w:b/>
                <w:color w:val="FFFFFF"/>
                <w:spacing w:val="-5"/>
              </w:rPr>
              <w:t xml:space="preserve"> </w:t>
            </w:r>
            <w:r w:rsidRPr="001C2BBC">
              <w:rPr>
                <w:rFonts w:ascii="Calibri" w:hAnsi="Calibri"/>
                <w:b/>
                <w:color w:val="FFFFFF"/>
              </w:rPr>
              <w:t>Y.O.</w:t>
            </w:r>
          </w:p>
        </w:tc>
        <w:tc>
          <w:tcPr>
            <w:tcW w:w="476" w:type="dxa"/>
            <w:tcBorders>
              <w:top w:val="single" w:sz="4" w:space="0" w:color="D9D9D9"/>
              <w:left w:val="single" w:sz="4" w:space="0" w:color="D9D9D9"/>
              <w:bottom w:val="single" w:sz="4" w:space="0" w:color="D9D9D9"/>
              <w:right w:val="single" w:sz="4" w:space="0" w:color="D9D9D9"/>
            </w:tcBorders>
            <w:shd w:val="clear" w:color="auto" w:fill="6E9ECA"/>
            <w:textDirection w:val="btLr"/>
          </w:tcPr>
          <w:p w:rsidR="001C2BBC" w:rsidRPr="001C2BBC" w:rsidRDefault="001C2BBC" w:rsidP="001C2BBC">
            <w:pPr>
              <w:spacing w:before="78"/>
              <w:ind w:left="160"/>
              <w:jc w:val="left"/>
              <w:rPr>
                <w:rFonts w:ascii="Calibri" w:hAnsi="Calibri" w:cs="Calibri"/>
              </w:rPr>
            </w:pPr>
            <w:r w:rsidRPr="001C2BBC">
              <w:rPr>
                <w:rFonts w:ascii="Calibri" w:hAnsi="Calibri"/>
                <w:b/>
                <w:color w:val="FFFFFF"/>
              </w:rPr>
              <w:t>4</w:t>
            </w:r>
            <w:r w:rsidRPr="001C2BBC">
              <w:rPr>
                <w:rFonts w:ascii="Calibri" w:hAnsi="Calibri"/>
                <w:b/>
                <w:color w:val="FFFFFF"/>
                <w:spacing w:val="-6"/>
              </w:rPr>
              <w:t xml:space="preserve"> </w:t>
            </w:r>
            <w:r w:rsidRPr="001C2BBC">
              <w:rPr>
                <w:rFonts w:ascii="Calibri" w:hAnsi="Calibri"/>
                <w:b/>
                <w:color w:val="FFFFFF"/>
                <w:spacing w:val="-1"/>
              </w:rPr>
              <w:t>YILLIK</w:t>
            </w:r>
            <w:r w:rsidRPr="001C2BBC">
              <w:rPr>
                <w:rFonts w:ascii="Calibri" w:hAnsi="Calibri"/>
                <w:b/>
                <w:color w:val="FFFFFF"/>
                <w:spacing w:val="-5"/>
              </w:rPr>
              <w:t xml:space="preserve"> </w:t>
            </w:r>
            <w:r w:rsidRPr="001C2BBC">
              <w:rPr>
                <w:rFonts w:ascii="Calibri" w:hAnsi="Calibri"/>
                <w:b/>
                <w:color w:val="FFFFFF"/>
              </w:rPr>
              <w:t>Y.O.</w:t>
            </w:r>
          </w:p>
        </w:tc>
        <w:tc>
          <w:tcPr>
            <w:tcW w:w="476" w:type="dxa"/>
            <w:tcBorders>
              <w:top w:val="single" w:sz="4" w:space="0" w:color="D9D9D9"/>
              <w:left w:val="single" w:sz="4" w:space="0" w:color="D9D9D9"/>
              <w:bottom w:val="single" w:sz="4" w:space="0" w:color="D9D9D9"/>
              <w:right w:val="single" w:sz="4" w:space="0" w:color="D9D9D9"/>
            </w:tcBorders>
            <w:shd w:val="clear" w:color="auto" w:fill="6E9ECA"/>
            <w:textDirection w:val="btLr"/>
          </w:tcPr>
          <w:p w:rsidR="001C2BBC" w:rsidRPr="001C2BBC" w:rsidRDefault="001C2BBC" w:rsidP="001C2BBC">
            <w:pPr>
              <w:spacing w:before="78"/>
              <w:ind w:left="340"/>
              <w:jc w:val="left"/>
              <w:rPr>
                <w:rFonts w:ascii="Calibri" w:hAnsi="Calibri" w:cs="Calibri"/>
              </w:rPr>
            </w:pPr>
            <w:r w:rsidRPr="001C2BBC">
              <w:rPr>
                <w:rFonts w:ascii="Calibri" w:hAnsi="Calibri"/>
                <w:b/>
                <w:color w:val="FFFFFF"/>
              </w:rPr>
              <w:t>MASTER</w:t>
            </w:r>
          </w:p>
        </w:tc>
        <w:tc>
          <w:tcPr>
            <w:tcW w:w="480" w:type="dxa"/>
            <w:tcBorders>
              <w:top w:val="single" w:sz="4" w:space="0" w:color="D9D9D9"/>
              <w:left w:val="single" w:sz="4" w:space="0" w:color="D9D9D9"/>
              <w:bottom w:val="single" w:sz="4" w:space="0" w:color="D9D9D9"/>
              <w:right w:val="single" w:sz="4" w:space="0" w:color="D9D9D9"/>
            </w:tcBorders>
            <w:shd w:val="clear" w:color="auto" w:fill="6E9ECA"/>
            <w:textDirection w:val="btLr"/>
          </w:tcPr>
          <w:p w:rsidR="001C2BBC" w:rsidRPr="001C2BBC" w:rsidRDefault="001C2BBC" w:rsidP="001C2BBC">
            <w:pPr>
              <w:spacing w:before="65"/>
              <w:ind w:left="264"/>
              <w:jc w:val="left"/>
              <w:rPr>
                <w:rFonts w:ascii="Calibri" w:hAnsi="Calibri" w:cs="Calibri"/>
              </w:rPr>
            </w:pPr>
            <w:r w:rsidRPr="001C2BBC">
              <w:rPr>
                <w:rFonts w:ascii="Calibri" w:hAnsi="Calibri"/>
                <w:b/>
                <w:color w:val="FFFFFF"/>
                <w:spacing w:val="-1"/>
              </w:rPr>
              <w:t>DOKTORA</w:t>
            </w:r>
          </w:p>
        </w:tc>
        <w:tc>
          <w:tcPr>
            <w:tcW w:w="507" w:type="dxa"/>
            <w:tcBorders>
              <w:top w:val="single" w:sz="4" w:space="0" w:color="D9D9D9"/>
              <w:left w:val="single" w:sz="4" w:space="0" w:color="D9D9D9"/>
              <w:bottom w:val="single" w:sz="4" w:space="0" w:color="D9D9D9"/>
              <w:right w:val="single" w:sz="4" w:space="0" w:color="D9D9D9"/>
            </w:tcBorders>
            <w:shd w:val="clear" w:color="auto" w:fill="6E9ECA"/>
            <w:textDirection w:val="btLr"/>
          </w:tcPr>
          <w:p w:rsidR="001C2BBC" w:rsidRPr="001C2BBC" w:rsidRDefault="001C2BBC" w:rsidP="001C2BBC">
            <w:pPr>
              <w:spacing w:before="65"/>
              <w:ind w:left="427"/>
              <w:jc w:val="left"/>
              <w:rPr>
                <w:rFonts w:ascii="Calibri" w:hAnsi="Calibri" w:cs="Calibri"/>
              </w:rPr>
            </w:pPr>
            <w:r w:rsidRPr="001C2BBC">
              <w:rPr>
                <w:rFonts w:ascii="Calibri" w:hAnsi="Calibri"/>
                <w:b/>
                <w:color w:val="FFFFFF"/>
              </w:rPr>
              <w:t>KADIN</w:t>
            </w:r>
          </w:p>
        </w:tc>
        <w:tc>
          <w:tcPr>
            <w:tcW w:w="509" w:type="dxa"/>
            <w:tcBorders>
              <w:top w:val="single" w:sz="4" w:space="0" w:color="D9D9D9"/>
              <w:left w:val="single" w:sz="4" w:space="0" w:color="D9D9D9"/>
              <w:bottom w:val="single" w:sz="4" w:space="0" w:color="D9D9D9"/>
              <w:right w:val="single" w:sz="4" w:space="0" w:color="D9D9D9"/>
            </w:tcBorders>
            <w:shd w:val="clear" w:color="auto" w:fill="6E9ECA"/>
            <w:textDirection w:val="btLr"/>
          </w:tcPr>
          <w:p w:rsidR="001C2BBC" w:rsidRPr="001C2BBC" w:rsidRDefault="001C2BBC" w:rsidP="001C2BBC">
            <w:pPr>
              <w:spacing w:before="65"/>
              <w:ind w:left="435"/>
              <w:jc w:val="left"/>
              <w:rPr>
                <w:rFonts w:ascii="Calibri" w:hAnsi="Calibri" w:cs="Calibri"/>
              </w:rPr>
            </w:pPr>
            <w:r w:rsidRPr="001C2BBC">
              <w:rPr>
                <w:rFonts w:ascii="Calibri" w:hAnsi="Calibri"/>
                <w:b/>
                <w:color w:val="FFFFFF"/>
                <w:spacing w:val="-1"/>
              </w:rPr>
              <w:t>ERKEK</w:t>
            </w:r>
          </w:p>
        </w:tc>
        <w:tc>
          <w:tcPr>
            <w:tcW w:w="507" w:type="dxa"/>
            <w:tcBorders>
              <w:top w:val="single" w:sz="4" w:space="0" w:color="D9D9D9"/>
              <w:left w:val="single" w:sz="4" w:space="0" w:color="D9D9D9"/>
              <w:bottom w:val="single" w:sz="4" w:space="0" w:color="D9D9D9"/>
              <w:right w:val="single" w:sz="4" w:space="0" w:color="D9D9D9"/>
            </w:tcBorders>
            <w:shd w:val="clear" w:color="auto" w:fill="6E9ECA"/>
            <w:textDirection w:val="btLr"/>
          </w:tcPr>
          <w:p w:rsidR="001C2BBC" w:rsidRPr="001C2BBC" w:rsidRDefault="001C2BBC" w:rsidP="001C2BBC">
            <w:pPr>
              <w:spacing w:before="65"/>
              <w:ind w:left="443"/>
              <w:jc w:val="left"/>
              <w:rPr>
                <w:rFonts w:ascii="Calibri" w:hAnsi="Calibri" w:cs="Calibri"/>
              </w:rPr>
            </w:pPr>
            <w:r w:rsidRPr="001C2BBC">
              <w:rPr>
                <w:rFonts w:ascii="Calibri" w:hAnsi="Calibri"/>
                <w:b/>
                <w:color w:val="FFFFFF"/>
                <w:spacing w:val="-1"/>
              </w:rPr>
              <w:t>İSTİFA</w:t>
            </w:r>
          </w:p>
        </w:tc>
        <w:tc>
          <w:tcPr>
            <w:tcW w:w="507" w:type="dxa"/>
            <w:tcBorders>
              <w:top w:val="single" w:sz="4" w:space="0" w:color="D9D9D9"/>
              <w:left w:val="single" w:sz="4" w:space="0" w:color="D9D9D9"/>
              <w:bottom w:val="single" w:sz="4" w:space="0" w:color="D9D9D9"/>
              <w:right w:val="single" w:sz="4" w:space="0" w:color="D9D9D9"/>
            </w:tcBorders>
            <w:shd w:val="clear" w:color="auto" w:fill="6E9ECA"/>
            <w:textDirection w:val="btLr"/>
          </w:tcPr>
          <w:p w:rsidR="001C2BBC" w:rsidRPr="001C2BBC" w:rsidRDefault="001C2BBC" w:rsidP="001C2BBC">
            <w:pPr>
              <w:spacing w:before="65"/>
              <w:ind w:left="250"/>
              <w:jc w:val="left"/>
              <w:rPr>
                <w:rFonts w:ascii="Calibri" w:hAnsi="Calibri" w:cs="Calibri"/>
              </w:rPr>
            </w:pPr>
            <w:r w:rsidRPr="001C2BBC">
              <w:rPr>
                <w:rFonts w:ascii="Calibri" w:hAnsi="Calibri"/>
                <w:b/>
                <w:color w:val="FFFFFF"/>
                <w:spacing w:val="-1"/>
              </w:rPr>
              <w:t>EMEKLİLİK</w:t>
            </w:r>
          </w:p>
        </w:tc>
        <w:tc>
          <w:tcPr>
            <w:tcW w:w="507" w:type="dxa"/>
            <w:tcBorders>
              <w:top w:val="single" w:sz="4" w:space="0" w:color="D9D9D9"/>
              <w:left w:val="single" w:sz="4" w:space="0" w:color="D9D9D9"/>
              <w:bottom w:val="single" w:sz="4" w:space="0" w:color="D9D9D9"/>
              <w:right w:val="single" w:sz="4" w:space="0" w:color="D9D9D9"/>
            </w:tcBorders>
            <w:shd w:val="clear" w:color="auto" w:fill="6E9ECA"/>
            <w:textDirection w:val="btLr"/>
          </w:tcPr>
          <w:p w:rsidR="001C2BBC" w:rsidRPr="001C2BBC" w:rsidRDefault="001C2BBC" w:rsidP="001C2BBC">
            <w:pPr>
              <w:spacing w:before="94"/>
              <w:ind w:left="450"/>
              <w:jc w:val="left"/>
              <w:rPr>
                <w:rFonts w:ascii="Calibri" w:hAnsi="Calibri" w:cs="Calibri"/>
              </w:rPr>
            </w:pPr>
            <w:r w:rsidRPr="001C2BBC">
              <w:rPr>
                <w:rFonts w:ascii="Calibri" w:hAnsi="Calibri"/>
                <w:b/>
                <w:color w:val="FFFFFF"/>
                <w:spacing w:val="-1"/>
              </w:rPr>
              <w:t>NAKİL</w:t>
            </w:r>
          </w:p>
        </w:tc>
        <w:tc>
          <w:tcPr>
            <w:tcW w:w="507" w:type="dxa"/>
            <w:tcBorders>
              <w:top w:val="single" w:sz="4" w:space="0" w:color="D9D9D9"/>
              <w:left w:val="single" w:sz="4" w:space="0" w:color="D9D9D9"/>
              <w:bottom w:val="single" w:sz="4" w:space="0" w:color="D9D9D9"/>
              <w:right w:val="single" w:sz="4" w:space="0" w:color="D9D9D9"/>
            </w:tcBorders>
            <w:shd w:val="clear" w:color="auto" w:fill="6E9ECA"/>
            <w:textDirection w:val="btLr"/>
          </w:tcPr>
          <w:p w:rsidR="001C2BBC" w:rsidRPr="001C2BBC" w:rsidRDefault="001C2BBC" w:rsidP="001C2BBC">
            <w:pPr>
              <w:spacing w:before="65"/>
              <w:ind w:left="439"/>
              <w:jc w:val="left"/>
              <w:rPr>
                <w:rFonts w:ascii="Calibri" w:hAnsi="Calibri" w:cs="Calibri"/>
              </w:rPr>
            </w:pPr>
            <w:r w:rsidRPr="001C2BBC">
              <w:rPr>
                <w:rFonts w:ascii="Calibri" w:hAnsi="Calibri"/>
                <w:b/>
                <w:color w:val="FFFFFF"/>
                <w:spacing w:val="-1"/>
              </w:rPr>
              <w:t>İHRAÇ</w:t>
            </w:r>
          </w:p>
        </w:tc>
        <w:tc>
          <w:tcPr>
            <w:tcW w:w="507" w:type="dxa"/>
            <w:tcBorders>
              <w:top w:val="single" w:sz="4" w:space="0" w:color="D9D9D9"/>
              <w:left w:val="single" w:sz="4" w:space="0" w:color="D9D9D9"/>
              <w:bottom w:val="single" w:sz="4" w:space="0" w:color="D9D9D9"/>
              <w:right w:val="single" w:sz="4" w:space="0" w:color="D9D9D9"/>
            </w:tcBorders>
            <w:shd w:val="clear" w:color="auto" w:fill="6E9ECA"/>
            <w:textDirection w:val="btLr"/>
          </w:tcPr>
          <w:p w:rsidR="001C2BBC" w:rsidRPr="001C2BBC" w:rsidRDefault="001C2BBC" w:rsidP="001C2BBC">
            <w:pPr>
              <w:spacing w:before="65"/>
              <w:ind w:left="304"/>
              <w:jc w:val="left"/>
              <w:rPr>
                <w:rFonts w:ascii="Calibri" w:hAnsi="Calibri" w:cs="Calibri"/>
              </w:rPr>
            </w:pPr>
            <w:r w:rsidRPr="001C2BBC">
              <w:rPr>
                <w:rFonts w:ascii="Calibri" w:hAnsi="Calibri"/>
                <w:b/>
                <w:color w:val="FFFFFF"/>
              </w:rPr>
              <w:t>MÜSTAFİ</w:t>
            </w:r>
          </w:p>
        </w:tc>
        <w:tc>
          <w:tcPr>
            <w:tcW w:w="511" w:type="dxa"/>
            <w:tcBorders>
              <w:top w:val="single" w:sz="4" w:space="0" w:color="D9D9D9"/>
              <w:left w:val="single" w:sz="4" w:space="0" w:color="D9D9D9"/>
              <w:bottom w:val="single" w:sz="4" w:space="0" w:color="D9D9D9"/>
              <w:right w:val="single" w:sz="4" w:space="0" w:color="D9D9D9"/>
            </w:tcBorders>
            <w:shd w:val="clear" w:color="auto" w:fill="6E9ECA"/>
            <w:textDirection w:val="btLr"/>
          </w:tcPr>
          <w:p w:rsidR="001C2BBC" w:rsidRPr="001C2BBC" w:rsidRDefault="001C2BBC" w:rsidP="001C2BBC">
            <w:pPr>
              <w:spacing w:before="65"/>
              <w:ind w:left="436"/>
              <w:jc w:val="left"/>
              <w:rPr>
                <w:rFonts w:ascii="Calibri" w:hAnsi="Calibri" w:cs="Calibri"/>
              </w:rPr>
            </w:pPr>
            <w:r w:rsidRPr="001C2BBC">
              <w:rPr>
                <w:rFonts w:ascii="Calibri" w:hAnsi="Calibri"/>
                <w:b/>
                <w:color w:val="FFFFFF"/>
                <w:spacing w:val="-1"/>
              </w:rPr>
              <w:t>ÖLÜM</w:t>
            </w:r>
          </w:p>
        </w:tc>
      </w:tr>
      <w:tr w:rsidR="006540F6" w:rsidRPr="001C2BBC" w:rsidTr="006540F6">
        <w:trPr>
          <w:trHeight w:hRule="exact" w:val="407"/>
        </w:trPr>
        <w:tc>
          <w:tcPr>
            <w:tcW w:w="2802" w:type="dxa"/>
            <w:tcBorders>
              <w:top w:val="single" w:sz="4" w:space="0" w:color="D9D9D9"/>
              <w:left w:val="single" w:sz="4" w:space="0" w:color="D9D9D9"/>
              <w:bottom w:val="single" w:sz="4" w:space="0" w:color="D9D9D9"/>
              <w:right w:val="single" w:sz="4" w:space="0" w:color="D9D9D9"/>
            </w:tcBorders>
          </w:tcPr>
          <w:p w:rsidR="006540F6" w:rsidRPr="001C2BBC" w:rsidRDefault="006540F6" w:rsidP="006540F6">
            <w:pPr>
              <w:spacing w:before="88"/>
              <w:ind w:left="65"/>
              <w:jc w:val="left"/>
              <w:rPr>
                <w:rFonts w:ascii="Calibri" w:hAnsi="Calibri" w:cs="Calibri"/>
              </w:rPr>
            </w:pPr>
            <w:r w:rsidRPr="001C2BBC">
              <w:rPr>
                <w:rFonts w:ascii="Calibri" w:hAnsi="Calibri"/>
              </w:rPr>
              <w:t>Büro</w:t>
            </w:r>
            <w:r w:rsidRPr="001C2BBC">
              <w:rPr>
                <w:rFonts w:ascii="Calibri" w:hAnsi="Calibri"/>
                <w:spacing w:val="-4"/>
              </w:rPr>
              <w:t xml:space="preserve"> </w:t>
            </w:r>
            <w:r w:rsidRPr="001C2BBC">
              <w:rPr>
                <w:rFonts w:ascii="Calibri" w:hAnsi="Calibri"/>
                <w:spacing w:val="-1"/>
              </w:rPr>
              <w:t>Personeli</w:t>
            </w:r>
          </w:p>
        </w:tc>
        <w:tc>
          <w:tcPr>
            <w:tcW w:w="663" w:type="dxa"/>
            <w:tcBorders>
              <w:top w:val="single" w:sz="4" w:space="0" w:color="D9D9D9"/>
              <w:left w:val="single" w:sz="4" w:space="0" w:color="D9D9D9"/>
              <w:bottom w:val="single" w:sz="4" w:space="0" w:color="D9D9D9"/>
              <w:right w:val="single" w:sz="4" w:space="0" w:color="D9D9D9"/>
            </w:tcBorders>
            <w:vAlign w:val="center"/>
          </w:tcPr>
          <w:p w:rsidR="006540F6" w:rsidRPr="001C2BBC" w:rsidRDefault="006540F6" w:rsidP="006540F6">
            <w:pPr>
              <w:spacing w:before="44"/>
              <w:jc w:val="center"/>
              <w:rPr>
                <w:rFonts w:ascii="Calibri" w:hAnsi="Calibri" w:cs="Calibri"/>
              </w:rPr>
            </w:pPr>
            <w:r>
              <w:rPr>
                <w:rFonts w:ascii="Calibri" w:hAnsi="Calibri"/>
              </w:rPr>
              <w:t>1</w:t>
            </w:r>
          </w:p>
        </w:tc>
        <w:tc>
          <w:tcPr>
            <w:tcW w:w="476" w:type="dxa"/>
            <w:tcBorders>
              <w:top w:val="single" w:sz="4" w:space="0" w:color="D9D9D9"/>
              <w:left w:val="single" w:sz="4" w:space="0" w:color="D9D9D9"/>
              <w:bottom w:val="single" w:sz="4" w:space="0" w:color="D9D9D9"/>
              <w:right w:val="single" w:sz="4" w:space="0" w:color="D9D9D9"/>
            </w:tcBorders>
            <w:vAlign w:val="center"/>
          </w:tcPr>
          <w:p w:rsidR="006540F6" w:rsidRPr="001C2BBC" w:rsidRDefault="006540F6" w:rsidP="006540F6">
            <w:pPr>
              <w:jc w:val="center"/>
              <w:rPr>
                <w:rFonts w:ascii="Calibri" w:hAnsi="Calibri"/>
              </w:rPr>
            </w:pPr>
            <w:r>
              <w:rPr>
                <w:rFonts w:ascii="Calibri" w:hAnsi="Calibri"/>
              </w:rPr>
              <w:t>1</w:t>
            </w:r>
          </w:p>
        </w:tc>
        <w:tc>
          <w:tcPr>
            <w:tcW w:w="476" w:type="dxa"/>
            <w:tcBorders>
              <w:top w:val="single" w:sz="4" w:space="0" w:color="D9D9D9"/>
              <w:left w:val="single" w:sz="4" w:space="0" w:color="D9D9D9"/>
              <w:bottom w:val="single" w:sz="4" w:space="0" w:color="D9D9D9"/>
              <w:right w:val="single" w:sz="4" w:space="0" w:color="D9D9D9"/>
            </w:tcBorders>
            <w:vAlign w:val="center"/>
          </w:tcPr>
          <w:p w:rsidR="006540F6" w:rsidRPr="001C2BBC" w:rsidRDefault="006540F6" w:rsidP="006540F6">
            <w:pPr>
              <w:spacing w:before="44"/>
              <w:jc w:val="center"/>
              <w:rPr>
                <w:rFonts w:ascii="Calibri" w:hAnsi="Calibri" w:cs="Calibri"/>
              </w:rPr>
            </w:pPr>
          </w:p>
        </w:tc>
        <w:tc>
          <w:tcPr>
            <w:tcW w:w="476" w:type="dxa"/>
            <w:tcBorders>
              <w:top w:val="single" w:sz="4" w:space="0" w:color="D9D9D9"/>
              <w:left w:val="single" w:sz="4" w:space="0" w:color="D9D9D9"/>
              <w:bottom w:val="single" w:sz="4" w:space="0" w:color="D9D9D9"/>
              <w:right w:val="single" w:sz="4" w:space="0" w:color="D9D9D9"/>
            </w:tcBorders>
            <w:vAlign w:val="center"/>
          </w:tcPr>
          <w:p w:rsidR="006540F6" w:rsidRPr="001C2BBC" w:rsidRDefault="006540F6" w:rsidP="006540F6">
            <w:pPr>
              <w:spacing w:before="44"/>
              <w:jc w:val="center"/>
              <w:rPr>
                <w:rFonts w:ascii="Calibri" w:hAnsi="Calibri" w:cs="Calibri"/>
              </w:rPr>
            </w:pPr>
          </w:p>
        </w:tc>
        <w:tc>
          <w:tcPr>
            <w:tcW w:w="476" w:type="dxa"/>
            <w:tcBorders>
              <w:top w:val="single" w:sz="4" w:space="0" w:color="D9D9D9"/>
              <w:left w:val="single" w:sz="4" w:space="0" w:color="D9D9D9"/>
              <w:bottom w:val="single" w:sz="4" w:space="0" w:color="D9D9D9"/>
              <w:right w:val="single" w:sz="4" w:space="0" w:color="D9D9D9"/>
            </w:tcBorders>
            <w:vAlign w:val="center"/>
          </w:tcPr>
          <w:p w:rsidR="006540F6" w:rsidRPr="001C2BBC" w:rsidRDefault="006540F6" w:rsidP="006540F6">
            <w:pPr>
              <w:jc w:val="center"/>
              <w:rPr>
                <w:rFonts w:ascii="Calibri" w:hAnsi="Calibri"/>
              </w:rPr>
            </w:pPr>
          </w:p>
        </w:tc>
        <w:tc>
          <w:tcPr>
            <w:tcW w:w="480" w:type="dxa"/>
            <w:tcBorders>
              <w:top w:val="single" w:sz="4" w:space="0" w:color="D9D9D9"/>
              <w:left w:val="single" w:sz="4" w:space="0" w:color="D9D9D9"/>
              <w:bottom w:val="single" w:sz="4" w:space="0" w:color="D9D9D9"/>
              <w:right w:val="single" w:sz="4" w:space="0" w:color="D9D9D9"/>
            </w:tcBorders>
            <w:vAlign w:val="center"/>
          </w:tcPr>
          <w:p w:rsidR="006540F6" w:rsidRPr="001C2BBC" w:rsidRDefault="006540F6" w:rsidP="006540F6">
            <w:pPr>
              <w:jc w:val="center"/>
              <w:rPr>
                <w:rFonts w:ascii="Calibri" w:hAnsi="Calibri"/>
              </w:rPr>
            </w:pPr>
          </w:p>
        </w:tc>
        <w:tc>
          <w:tcPr>
            <w:tcW w:w="507" w:type="dxa"/>
            <w:tcBorders>
              <w:top w:val="single" w:sz="4" w:space="0" w:color="D9D9D9"/>
              <w:left w:val="single" w:sz="4" w:space="0" w:color="D9D9D9"/>
              <w:bottom w:val="single" w:sz="4" w:space="0" w:color="D9D9D9"/>
              <w:right w:val="single" w:sz="4" w:space="0" w:color="D9D9D9"/>
            </w:tcBorders>
            <w:vAlign w:val="center"/>
          </w:tcPr>
          <w:p w:rsidR="006540F6" w:rsidRPr="001C2BBC" w:rsidRDefault="006540F6" w:rsidP="006540F6">
            <w:pPr>
              <w:spacing w:before="44"/>
              <w:jc w:val="center"/>
              <w:rPr>
                <w:rFonts w:ascii="Calibri" w:hAnsi="Calibri" w:cs="Calibri"/>
              </w:rPr>
            </w:pPr>
            <w:r>
              <w:rPr>
                <w:rFonts w:ascii="Calibri" w:hAnsi="Calibri"/>
              </w:rPr>
              <w:t>1</w:t>
            </w:r>
          </w:p>
        </w:tc>
        <w:tc>
          <w:tcPr>
            <w:tcW w:w="509" w:type="dxa"/>
            <w:tcBorders>
              <w:top w:val="single" w:sz="4" w:space="0" w:color="D9D9D9"/>
              <w:left w:val="single" w:sz="4" w:space="0" w:color="D9D9D9"/>
              <w:bottom w:val="single" w:sz="4" w:space="0" w:color="D9D9D9"/>
              <w:right w:val="single" w:sz="4" w:space="0" w:color="D9D9D9"/>
            </w:tcBorders>
            <w:vAlign w:val="center"/>
          </w:tcPr>
          <w:p w:rsidR="006540F6" w:rsidRPr="001C2BBC" w:rsidRDefault="006540F6" w:rsidP="006540F6">
            <w:pPr>
              <w:spacing w:before="44"/>
              <w:jc w:val="center"/>
              <w:rPr>
                <w:rFonts w:ascii="Calibri" w:hAnsi="Calibri" w:cs="Calibri"/>
              </w:rPr>
            </w:pPr>
          </w:p>
        </w:tc>
        <w:tc>
          <w:tcPr>
            <w:tcW w:w="507" w:type="dxa"/>
            <w:tcBorders>
              <w:top w:val="single" w:sz="4" w:space="0" w:color="D9D9D9"/>
              <w:left w:val="single" w:sz="4" w:space="0" w:color="D9D9D9"/>
              <w:bottom w:val="single" w:sz="4" w:space="0" w:color="D9D9D9"/>
              <w:right w:val="single" w:sz="4" w:space="0" w:color="D9D9D9"/>
            </w:tcBorders>
            <w:vAlign w:val="center"/>
          </w:tcPr>
          <w:p w:rsidR="006540F6" w:rsidRPr="001C2BBC" w:rsidRDefault="006540F6" w:rsidP="006540F6">
            <w:pPr>
              <w:jc w:val="center"/>
              <w:rPr>
                <w:rFonts w:ascii="Calibri" w:hAnsi="Calibri"/>
              </w:rPr>
            </w:pPr>
          </w:p>
        </w:tc>
        <w:tc>
          <w:tcPr>
            <w:tcW w:w="507" w:type="dxa"/>
            <w:tcBorders>
              <w:top w:val="single" w:sz="4" w:space="0" w:color="D9D9D9"/>
              <w:left w:val="single" w:sz="4" w:space="0" w:color="D9D9D9"/>
              <w:bottom w:val="single" w:sz="4" w:space="0" w:color="D9D9D9"/>
              <w:right w:val="single" w:sz="4" w:space="0" w:color="D9D9D9"/>
            </w:tcBorders>
            <w:vAlign w:val="center"/>
          </w:tcPr>
          <w:p w:rsidR="006540F6" w:rsidRPr="001C2BBC" w:rsidRDefault="006540F6" w:rsidP="006540F6">
            <w:pPr>
              <w:spacing w:before="44"/>
              <w:jc w:val="center"/>
              <w:rPr>
                <w:rFonts w:ascii="Calibri" w:hAnsi="Calibri" w:cs="Calibri"/>
              </w:rPr>
            </w:pPr>
            <w:r>
              <w:rPr>
                <w:rFonts w:ascii="Calibri" w:hAnsi="Calibri"/>
              </w:rPr>
              <w:t>1</w:t>
            </w:r>
          </w:p>
        </w:tc>
        <w:tc>
          <w:tcPr>
            <w:tcW w:w="507" w:type="dxa"/>
            <w:tcBorders>
              <w:top w:val="single" w:sz="4" w:space="0" w:color="D9D9D9"/>
              <w:left w:val="single" w:sz="4" w:space="0" w:color="D9D9D9"/>
              <w:bottom w:val="single" w:sz="4" w:space="0" w:color="D9D9D9"/>
              <w:right w:val="single" w:sz="4" w:space="0" w:color="D9D9D9"/>
            </w:tcBorders>
            <w:vAlign w:val="center"/>
          </w:tcPr>
          <w:p w:rsidR="006540F6" w:rsidRPr="001C2BBC" w:rsidRDefault="006540F6" w:rsidP="006540F6">
            <w:pPr>
              <w:jc w:val="center"/>
              <w:rPr>
                <w:rFonts w:ascii="Calibri" w:hAnsi="Calibri"/>
              </w:rPr>
            </w:pPr>
          </w:p>
        </w:tc>
        <w:tc>
          <w:tcPr>
            <w:tcW w:w="507" w:type="dxa"/>
            <w:tcBorders>
              <w:top w:val="single" w:sz="4" w:space="0" w:color="D9D9D9"/>
              <w:left w:val="single" w:sz="4" w:space="0" w:color="D9D9D9"/>
              <w:bottom w:val="single" w:sz="4" w:space="0" w:color="D9D9D9"/>
              <w:right w:val="single" w:sz="4" w:space="0" w:color="D9D9D9"/>
            </w:tcBorders>
            <w:vAlign w:val="center"/>
          </w:tcPr>
          <w:p w:rsidR="006540F6" w:rsidRPr="001C2BBC" w:rsidRDefault="006540F6" w:rsidP="006540F6">
            <w:pPr>
              <w:jc w:val="center"/>
              <w:rPr>
                <w:rFonts w:ascii="Calibri" w:hAnsi="Calibri"/>
              </w:rPr>
            </w:pPr>
          </w:p>
        </w:tc>
        <w:tc>
          <w:tcPr>
            <w:tcW w:w="507" w:type="dxa"/>
            <w:tcBorders>
              <w:top w:val="single" w:sz="4" w:space="0" w:color="D9D9D9"/>
              <w:left w:val="single" w:sz="4" w:space="0" w:color="D9D9D9"/>
              <w:bottom w:val="single" w:sz="4" w:space="0" w:color="D9D9D9"/>
              <w:right w:val="single" w:sz="4" w:space="0" w:color="D9D9D9"/>
            </w:tcBorders>
            <w:vAlign w:val="center"/>
          </w:tcPr>
          <w:p w:rsidR="006540F6" w:rsidRPr="001C2BBC" w:rsidRDefault="006540F6" w:rsidP="006540F6">
            <w:pPr>
              <w:jc w:val="center"/>
              <w:rPr>
                <w:rFonts w:ascii="Calibri" w:hAnsi="Calibri"/>
              </w:rPr>
            </w:pPr>
          </w:p>
        </w:tc>
        <w:tc>
          <w:tcPr>
            <w:tcW w:w="511" w:type="dxa"/>
            <w:tcBorders>
              <w:top w:val="single" w:sz="4" w:space="0" w:color="D9D9D9"/>
              <w:left w:val="single" w:sz="4" w:space="0" w:color="D9D9D9"/>
              <w:bottom w:val="single" w:sz="4" w:space="0" w:color="D9D9D9"/>
              <w:right w:val="single" w:sz="4" w:space="0" w:color="D9D9D9"/>
            </w:tcBorders>
            <w:vAlign w:val="center"/>
          </w:tcPr>
          <w:p w:rsidR="006540F6" w:rsidRDefault="006540F6" w:rsidP="006540F6">
            <w:pPr>
              <w:jc w:val="center"/>
              <w:rPr>
                <w:rFonts w:ascii="Calibri" w:hAnsi="Calibri" w:cs="Calibri"/>
              </w:rPr>
            </w:pPr>
          </w:p>
          <w:p w:rsidR="006540F6" w:rsidRDefault="006540F6" w:rsidP="006540F6">
            <w:pPr>
              <w:jc w:val="center"/>
              <w:rPr>
                <w:rFonts w:ascii="Calibri" w:hAnsi="Calibri" w:cs="Calibri"/>
              </w:rPr>
            </w:pPr>
          </w:p>
          <w:p w:rsidR="006540F6" w:rsidRPr="001C2BBC" w:rsidRDefault="006540F6" w:rsidP="006540F6">
            <w:pPr>
              <w:jc w:val="center"/>
              <w:rPr>
                <w:rFonts w:ascii="Calibri" w:hAnsi="Calibri" w:cs="Calibri"/>
              </w:rPr>
            </w:pPr>
          </w:p>
        </w:tc>
      </w:tr>
      <w:tr w:rsidR="006540F6" w:rsidRPr="001C2BBC" w:rsidTr="006540F6">
        <w:trPr>
          <w:trHeight w:hRule="exact" w:val="407"/>
        </w:trPr>
        <w:tc>
          <w:tcPr>
            <w:tcW w:w="2802" w:type="dxa"/>
            <w:tcBorders>
              <w:top w:val="single" w:sz="4" w:space="0" w:color="D9D9D9"/>
              <w:left w:val="single" w:sz="4" w:space="0" w:color="D9D9D9"/>
              <w:bottom w:val="single" w:sz="4" w:space="0" w:color="D9D9D9"/>
              <w:right w:val="single" w:sz="4" w:space="0" w:color="D9D9D9"/>
            </w:tcBorders>
          </w:tcPr>
          <w:p w:rsidR="006540F6" w:rsidRPr="001C2BBC" w:rsidRDefault="006540F6" w:rsidP="006540F6">
            <w:pPr>
              <w:spacing w:before="88"/>
              <w:ind w:left="65"/>
              <w:jc w:val="left"/>
              <w:rPr>
                <w:rFonts w:ascii="Calibri" w:hAnsi="Calibri"/>
              </w:rPr>
            </w:pPr>
            <w:r w:rsidRPr="001C2BBC">
              <w:rPr>
                <w:rFonts w:cstheme="minorHAnsi"/>
                <w:color w:val="000000" w:themeColor="text1"/>
              </w:rPr>
              <w:t>Hizmet Personeli</w:t>
            </w:r>
          </w:p>
        </w:tc>
        <w:tc>
          <w:tcPr>
            <w:tcW w:w="663" w:type="dxa"/>
            <w:tcBorders>
              <w:top w:val="single" w:sz="4" w:space="0" w:color="D9D9D9"/>
              <w:left w:val="single" w:sz="4" w:space="0" w:color="D9D9D9"/>
              <w:bottom w:val="single" w:sz="4" w:space="0" w:color="D9D9D9"/>
              <w:right w:val="single" w:sz="4" w:space="0" w:color="D9D9D9"/>
            </w:tcBorders>
            <w:vAlign w:val="center"/>
          </w:tcPr>
          <w:p w:rsidR="006540F6" w:rsidRPr="001C2BBC" w:rsidRDefault="006540F6" w:rsidP="006540F6">
            <w:pPr>
              <w:spacing w:before="44"/>
              <w:jc w:val="center"/>
              <w:rPr>
                <w:rFonts w:ascii="Calibri" w:hAnsi="Calibri"/>
              </w:rPr>
            </w:pPr>
            <w:r w:rsidRPr="001C2BBC">
              <w:rPr>
                <w:rFonts w:ascii="Calibri" w:hAnsi="Calibri"/>
              </w:rPr>
              <w:t>2</w:t>
            </w:r>
          </w:p>
        </w:tc>
        <w:tc>
          <w:tcPr>
            <w:tcW w:w="476" w:type="dxa"/>
            <w:tcBorders>
              <w:top w:val="single" w:sz="4" w:space="0" w:color="D9D9D9"/>
              <w:left w:val="single" w:sz="4" w:space="0" w:color="D9D9D9"/>
              <w:bottom w:val="single" w:sz="4" w:space="0" w:color="D9D9D9"/>
              <w:right w:val="single" w:sz="4" w:space="0" w:color="D9D9D9"/>
            </w:tcBorders>
            <w:vAlign w:val="center"/>
          </w:tcPr>
          <w:p w:rsidR="006540F6" w:rsidRPr="001C2BBC" w:rsidRDefault="006540F6" w:rsidP="006540F6">
            <w:pPr>
              <w:jc w:val="center"/>
              <w:rPr>
                <w:rFonts w:ascii="Calibri" w:hAnsi="Calibri"/>
              </w:rPr>
            </w:pPr>
            <w:r>
              <w:rPr>
                <w:rFonts w:ascii="Calibri" w:hAnsi="Calibri"/>
              </w:rPr>
              <w:t>2</w:t>
            </w:r>
          </w:p>
        </w:tc>
        <w:tc>
          <w:tcPr>
            <w:tcW w:w="476" w:type="dxa"/>
            <w:tcBorders>
              <w:top w:val="single" w:sz="4" w:space="0" w:color="D9D9D9"/>
              <w:left w:val="single" w:sz="4" w:space="0" w:color="D9D9D9"/>
              <w:bottom w:val="single" w:sz="4" w:space="0" w:color="D9D9D9"/>
              <w:right w:val="single" w:sz="4" w:space="0" w:color="D9D9D9"/>
            </w:tcBorders>
            <w:vAlign w:val="center"/>
          </w:tcPr>
          <w:p w:rsidR="006540F6" w:rsidRPr="001C2BBC" w:rsidRDefault="006540F6" w:rsidP="006540F6">
            <w:pPr>
              <w:spacing w:before="44"/>
              <w:jc w:val="center"/>
              <w:rPr>
                <w:rFonts w:ascii="Calibri" w:hAnsi="Calibri"/>
              </w:rPr>
            </w:pPr>
          </w:p>
        </w:tc>
        <w:tc>
          <w:tcPr>
            <w:tcW w:w="476" w:type="dxa"/>
            <w:tcBorders>
              <w:top w:val="single" w:sz="4" w:space="0" w:color="D9D9D9"/>
              <w:left w:val="single" w:sz="4" w:space="0" w:color="D9D9D9"/>
              <w:bottom w:val="single" w:sz="4" w:space="0" w:color="D9D9D9"/>
              <w:right w:val="single" w:sz="4" w:space="0" w:color="D9D9D9"/>
            </w:tcBorders>
            <w:vAlign w:val="center"/>
          </w:tcPr>
          <w:p w:rsidR="006540F6" w:rsidRPr="001C2BBC" w:rsidRDefault="006540F6" w:rsidP="006540F6">
            <w:pPr>
              <w:spacing w:before="44"/>
              <w:jc w:val="center"/>
              <w:rPr>
                <w:rFonts w:ascii="Calibri" w:hAnsi="Calibri"/>
              </w:rPr>
            </w:pPr>
          </w:p>
        </w:tc>
        <w:tc>
          <w:tcPr>
            <w:tcW w:w="476" w:type="dxa"/>
            <w:tcBorders>
              <w:top w:val="single" w:sz="4" w:space="0" w:color="D9D9D9"/>
              <w:left w:val="single" w:sz="4" w:space="0" w:color="D9D9D9"/>
              <w:bottom w:val="single" w:sz="4" w:space="0" w:color="D9D9D9"/>
              <w:right w:val="single" w:sz="4" w:space="0" w:color="D9D9D9"/>
            </w:tcBorders>
            <w:vAlign w:val="center"/>
          </w:tcPr>
          <w:p w:rsidR="006540F6" w:rsidRPr="001C2BBC" w:rsidRDefault="006540F6" w:rsidP="006540F6">
            <w:pPr>
              <w:jc w:val="center"/>
              <w:rPr>
                <w:rFonts w:ascii="Calibri" w:hAnsi="Calibri"/>
              </w:rPr>
            </w:pPr>
          </w:p>
        </w:tc>
        <w:tc>
          <w:tcPr>
            <w:tcW w:w="480" w:type="dxa"/>
            <w:tcBorders>
              <w:top w:val="single" w:sz="4" w:space="0" w:color="D9D9D9"/>
              <w:left w:val="single" w:sz="4" w:space="0" w:color="D9D9D9"/>
              <w:bottom w:val="single" w:sz="4" w:space="0" w:color="D9D9D9"/>
              <w:right w:val="single" w:sz="4" w:space="0" w:color="D9D9D9"/>
            </w:tcBorders>
            <w:vAlign w:val="center"/>
          </w:tcPr>
          <w:p w:rsidR="006540F6" w:rsidRPr="001C2BBC" w:rsidRDefault="006540F6" w:rsidP="006540F6">
            <w:pPr>
              <w:jc w:val="center"/>
              <w:rPr>
                <w:rFonts w:ascii="Calibri" w:hAnsi="Calibri"/>
              </w:rPr>
            </w:pPr>
          </w:p>
        </w:tc>
        <w:tc>
          <w:tcPr>
            <w:tcW w:w="507" w:type="dxa"/>
            <w:tcBorders>
              <w:top w:val="single" w:sz="4" w:space="0" w:color="D9D9D9"/>
              <w:left w:val="single" w:sz="4" w:space="0" w:color="D9D9D9"/>
              <w:bottom w:val="single" w:sz="4" w:space="0" w:color="D9D9D9"/>
              <w:right w:val="single" w:sz="4" w:space="0" w:color="D9D9D9"/>
            </w:tcBorders>
            <w:vAlign w:val="center"/>
          </w:tcPr>
          <w:p w:rsidR="006540F6" w:rsidRPr="001C2BBC" w:rsidRDefault="006540F6" w:rsidP="006540F6">
            <w:pPr>
              <w:spacing w:before="44"/>
              <w:jc w:val="center"/>
              <w:rPr>
                <w:rFonts w:ascii="Calibri" w:hAnsi="Calibri"/>
              </w:rPr>
            </w:pPr>
            <w:r>
              <w:rPr>
                <w:rFonts w:ascii="Calibri" w:hAnsi="Calibri"/>
              </w:rPr>
              <w:t>1</w:t>
            </w:r>
          </w:p>
        </w:tc>
        <w:tc>
          <w:tcPr>
            <w:tcW w:w="509" w:type="dxa"/>
            <w:tcBorders>
              <w:top w:val="single" w:sz="4" w:space="0" w:color="D9D9D9"/>
              <w:left w:val="single" w:sz="4" w:space="0" w:color="D9D9D9"/>
              <w:bottom w:val="single" w:sz="4" w:space="0" w:color="D9D9D9"/>
              <w:right w:val="single" w:sz="4" w:space="0" w:color="D9D9D9"/>
            </w:tcBorders>
            <w:vAlign w:val="center"/>
          </w:tcPr>
          <w:p w:rsidR="006540F6" w:rsidRPr="001C2BBC" w:rsidRDefault="006540F6" w:rsidP="006540F6">
            <w:pPr>
              <w:spacing w:before="44"/>
              <w:jc w:val="center"/>
              <w:rPr>
                <w:rFonts w:ascii="Calibri" w:hAnsi="Calibri" w:cs="Calibri"/>
              </w:rPr>
            </w:pPr>
            <w:r>
              <w:rPr>
                <w:rFonts w:ascii="Calibri" w:hAnsi="Calibri" w:cs="Calibri"/>
              </w:rPr>
              <w:t>1</w:t>
            </w:r>
          </w:p>
        </w:tc>
        <w:tc>
          <w:tcPr>
            <w:tcW w:w="507" w:type="dxa"/>
            <w:tcBorders>
              <w:top w:val="single" w:sz="4" w:space="0" w:color="D9D9D9"/>
              <w:left w:val="single" w:sz="4" w:space="0" w:color="D9D9D9"/>
              <w:bottom w:val="single" w:sz="4" w:space="0" w:color="D9D9D9"/>
              <w:right w:val="single" w:sz="4" w:space="0" w:color="D9D9D9"/>
            </w:tcBorders>
            <w:vAlign w:val="center"/>
          </w:tcPr>
          <w:p w:rsidR="006540F6" w:rsidRPr="001C2BBC" w:rsidRDefault="006540F6" w:rsidP="006540F6">
            <w:pPr>
              <w:jc w:val="center"/>
              <w:rPr>
                <w:rFonts w:ascii="Calibri" w:hAnsi="Calibri"/>
              </w:rPr>
            </w:pPr>
          </w:p>
        </w:tc>
        <w:tc>
          <w:tcPr>
            <w:tcW w:w="507" w:type="dxa"/>
            <w:tcBorders>
              <w:top w:val="single" w:sz="4" w:space="0" w:color="D9D9D9"/>
              <w:left w:val="single" w:sz="4" w:space="0" w:color="D9D9D9"/>
              <w:bottom w:val="single" w:sz="4" w:space="0" w:color="D9D9D9"/>
              <w:right w:val="single" w:sz="4" w:space="0" w:color="D9D9D9"/>
            </w:tcBorders>
            <w:vAlign w:val="center"/>
          </w:tcPr>
          <w:p w:rsidR="006540F6" w:rsidRPr="001C2BBC" w:rsidRDefault="006540F6" w:rsidP="006540F6">
            <w:pPr>
              <w:spacing w:before="44"/>
              <w:jc w:val="center"/>
              <w:rPr>
                <w:rFonts w:ascii="Calibri" w:hAnsi="Calibri"/>
              </w:rPr>
            </w:pPr>
            <w:r>
              <w:rPr>
                <w:rFonts w:ascii="Calibri" w:hAnsi="Calibri"/>
              </w:rPr>
              <w:t>2</w:t>
            </w:r>
          </w:p>
        </w:tc>
        <w:tc>
          <w:tcPr>
            <w:tcW w:w="507" w:type="dxa"/>
            <w:tcBorders>
              <w:top w:val="single" w:sz="4" w:space="0" w:color="D9D9D9"/>
              <w:left w:val="single" w:sz="4" w:space="0" w:color="D9D9D9"/>
              <w:bottom w:val="single" w:sz="4" w:space="0" w:color="D9D9D9"/>
              <w:right w:val="single" w:sz="4" w:space="0" w:color="D9D9D9"/>
            </w:tcBorders>
            <w:vAlign w:val="center"/>
          </w:tcPr>
          <w:p w:rsidR="006540F6" w:rsidRPr="001C2BBC" w:rsidRDefault="006540F6" w:rsidP="006540F6">
            <w:pPr>
              <w:jc w:val="center"/>
              <w:rPr>
                <w:rFonts w:ascii="Calibri" w:hAnsi="Calibri"/>
              </w:rPr>
            </w:pPr>
          </w:p>
        </w:tc>
        <w:tc>
          <w:tcPr>
            <w:tcW w:w="507" w:type="dxa"/>
            <w:tcBorders>
              <w:top w:val="single" w:sz="4" w:space="0" w:color="D9D9D9"/>
              <w:left w:val="single" w:sz="4" w:space="0" w:color="D9D9D9"/>
              <w:bottom w:val="single" w:sz="4" w:space="0" w:color="D9D9D9"/>
              <w:right w:val="single" w:sz="4" w:space="0" w:color="D9D9D9"/>
            </w:tcBorders>
            <w:vAlign w:val="center"/>
          </w:tcPr>
          <w:p w:rsidR="006540F6" w:rsidRPr="001C2BBC" w:rsidRDefault="006540F6" w:rsidP="006540F6">
            <w:pPr>
              <w:jc w:val="center"/>
              <w:rPr>
                <w:rFonts w:ascii="Calibri" w:hAnsi="Calibri"/>
              </w:rPr>
            </w:pPr>
          </w:p>
        </w:tc>
        <w:tc>
          <w:tcPr>
            <w:tcW w:w="507" w:type="dxa"/>
            <w:tcBorders>
              <w:top w:val="single" w:sz="4" w:space="0" w:color="D9D9D9"/>
              <w:left w:val="single" w:sz="4" w:space="0" w:color="D9D9D9"/>
              <w:bottom w:val="single" w:sz="4" w:space="0" w:color="D9D9D9"/>
              <w:right w:val="single" w:sz="4" w:space="0" w:color="D9D9D9"/>
            </w:tcBorders>
            <w:vAlign w:val="center"/>
          </w:tcPr>
          <w:p w:rsidR="006540F6" w:rsidRPr="001C2BBC" w:rsidRDefault="006540F6" w:rsidP="006540F6">
            <w:pPr>
              <w:jc w:val="center"/>
              <w:rPr>
                <w:rFonts w:ascii="Calibri" w:hAnsi="Calibri"/>
              </w:rPr>
            </w:pPr>
          </w:p>
        </w:tc>
        <w:tc>
          <w:tcPr>
            <w:tcW w:w="511" w:type="dxa"/>
            <w:tcBorders>
              <w:top w:val="single" w:sz="4" w:space="0" w:color="D9D9D9"/>
              <w:left w:val="single" w:sz="4" w:space="0" w:color="D9D9D9"/>
              <w:bottom w:val="single" w:sz="4" w:space="0" w:color="D9D9D9"/>
              <w:right w:val="single" w:sz="4" w:space="0" w:color="D9D9D9"/>
            </w:tcBorders>
            <w:vAlign w:val="center"/>
          </w:tcPr>
          <w:p w:rsidR="006540F6" w:rsidRDefault="006540F6" w:rsidP="006540F6">
            <w:pPr>
              <w:jc w:val="center"/>
              <w:rPr>
                <w:rFonts w:ascii="Calibri" w:hAnsi="Calibri" w:cs="Calibri"/>
              </w:rPr>
            </w:pPr>
          </w:p>
          <w:p w:rsidR="006540F6" w:rsidRDefault="006540F6" w:rsidP="006540F6">
            <w:pPr>
              <w:jc w:val="center"/>
              <w:rPr>
                <w:rFonts w:ascii="Calibri" w:hAnsi="Calibri" w:cs="Calibri"/>
              </w:rPr>
            </w:pPr>
          </w:p>
          <w:p w:rsidR="006540F6" w:rsidRPr="001C2BBC" w:rsidRDefault="006540F6" w:rsidP="006540F6">
            <w:pPr>
              <w:jc w:val="center"/>
              <w:rPr>
                <w:rFonts w:ascii="Calibri" w:hAnsi="Calibri" w:cs="Calibri"/>
              </w:rPr>
            </w:pPr>
          </w:p>
        </w:tc>
      </w:tr>
      <w:tr w:rsidR="006540F6" w:rsidRPr="001C2BBC" w:rsidTr="006540F6">
        <w:trPr>
          <w:trHeight w:hRule="exact" w:val="407"/>
        </w:trPr>
        <w:tc>
          <w:tcPr>
            <w:tcW w:w="2802" w:type="dxa"/>
            <w:tcBorders>
              <w:top w:val="single" w:sz="4" w:space="0" w:color="D9D9D9"/>
              <w:left w:val="single" w:sz="4" w:space="0" w:color="D9D9D9"/>
              <w:bottom w:val="single" w:sz="4" w:space="0" w:color="D9D9D9"/>
              <w:right w:val="single" w:sz="4" w:space="0" w:color="D9D9D9"/>
            </w:tcBorders>
          </w:tcPr>
          <w:p w:rsidR="006540F6" w:rsidRPr="001C2BBC" w:rsidRDefault="006540F6" w:rsidP="006540F6">
            <w:pPr>
              <w:spacing w:before="88"/>
              <w:ind w:left="65"/>
              <w:jc w:val="left"/>
              <w:rPr>
                <w:rFonts w:ascii="Calibri" w:hAnsi="Calibri" w:cs="Calibri"/>
              </w:rPr>
            </w:pPr>
            <w:r w:rsidRPr="001C2BBC">
              <w:rPr>
                <w:rFonts w:ascii="Calibri" w:hAnsi="Calibri"/>
                <w:b/>
                <w:spacing w:val="-1"/>
              </w:rPr>
              <w:t>TOPLAM</w:t>
            </w:r>
          </w:p>
        </w:tc>
        <w:tc>
          <w:tcPr>
            <w:tcW w:w="663" w:type="dxa"/>
            <w:tcBorders>
              <w:top w:val="single" w:sz="4" w:space="0" w:color="D9D9D9"/>
              <w:left w:val="single" w:sz="4" w:space="0" w:color="D9D9D9"/>
              <w:bottom w:val="single" w:sz="4" w:space="0" w:color="D9D9D9"/>
              <w:right w:val="single" w:sz="4" w:space="0" w:color="D9D9D9"/>
            </w:tcBorders>
            <w:vAlign w:val="center"/>
          </w:tcPr>
          <w:p w:rsidR="006540F6" w:rsidRPr="001C2BBC" w:rsidRDefault="006540F6" w:rsidP="006540F6">
            <w:pPr>
              <w:spacing w:before="44"/>
              <w:jc w:val="center"/>
              <w:rPr>
                <w:rFonts w:ascii="Calibri" w:hAnsi="Calibri" w:cs="Calibri"/>
              </w:rPr>
            </w:pPr>
            <w:r>
              <w:rPr>
                <w:rFonts w:ascii="Calibri" w:hAnsi="Calibri"/>
                <w:b/>
              </w:rPr>
              <w:t>3</w:t>
            </w:r>
          </w:p>
        </w:tc>
        <w:tc>
          <w:tcPr>
            <w:tcW w:w="476" w:type="dxa"/>
            <w:tcBorders>
              <w:top w:val="single" w:sz="4" w:space="0" w:color="D9D9D9"/>
              <w:left w:val="single" w:sz="4" w:space="0" w:color="D9D9D9"/>
              <w:bottom w:val="single" w:sz="4" w:space="0" w:color="D9D9D9"/>
              <w:right w:val="single" w:sz="4" w:space="0" w:color="D9D9D9"/>
            </w:tcBorders>
            <w:vAlign w:val="center"/>
          </w:tcPr>
          <w:p w:rsidR="006540F6" w:rsidRPr="001C2BBC" w:rsidRDefault="006540F6" w:rsidP="006540F6">
            <w:pPr>
              <w:spacing w:before="44"/>
              <w:jc w:val="center"/>
              <w:rPr>
                <w:rFonts w:ascii="Calibri" w:hAnsi="Calibri" w:cs="Calibri"/>
              </w:rPr>
            </w:pPr>
            <w:r>
              <w:rPr>
                <w:rFonts w:ascii="Calibri" w:hAnsi="Calibri"/>
                <w:b/>
              </w:rPr>
              <w:t>3</w:t>
            </w:r>
          </w:p>
        </w:tc>
        <w:tc>
          <w:tcPr>
            <w:tcW w:w="476" w:type="dxa"/>
            <w:tcBorders>
              <w:top w:val="single" w:sz="4" w:space="0" w:color="D9D9D9"/>
              <w:left w:val="single" w:sz="4" w:space="0" w:color="D9D9D9"/>
              <w:bottom w:val="single" w:sz="4" w:space="0" w:color="D9D9D9"/>
              <w:right w:val="single" w:sz="4" w:space="0" w:color="D9D9D9"/>
            </w:tcBorders>
            <w:vAlign w:val="center"/>
          </w:tcPr>
          <w:p w:rsidR="006540F6" w:rsidRPr="001C2BBC" w:rsidRDefault="006540F6" w:rsidP="006540F6">
            <w:pPr>
              <w:spacing w:before="44"/>
              <w:jc w:val="center"/>
              <w:rPr>
                <w:rFonts w:ascii="Calibri" w:hAnsi="Calibri" w:cs="Calibri"/>
              </w:rPr>
            </w:pPr>
            <w:r w:rsidRPr="001C2BBC">
              <w:rPr>
                <w:rFonts w:ascii="Calibri" w:hAnsi="Calibri"/>
                <w:b/>
              </w:rPr>
              <w:t>-</w:t>
            </w:r>
          </w:p>
        </w:tc>
        <w:tc>
          <w:tcPr>
            <w:tcW w:w="476" w:type="dxa"/>
            <w:tcBorders>
              <w:top w:val="single" w:sz="4" w:space="0" w:color="D9D9D9"/>
              <w:left w:val="single" w:sz="4" w:space="0" w:color="D9D9D9"/>
              <w:bottom w:val="single" w:sz="4" w:space="0" w:color="D9D9D9"/>
              <w:right w:val="single" w:sz="4" w:space="0" w:color="D9D9D9"/>
            </w:tcBorders>
            <w:vAlign w:val="center"/>
          </w:tcPr>
          <w:p w:rsidR="006540F6" w:rsidRPr="001C2BBC" w:rsidRDefault="006540F6" w:rsidP="006540F6">
            <w:pPr>
              <w:spacing w:before="44"/>
              <w:jc w:val="center"/>
              <w:rPr>
                <w:rFonts w:ascii="Calibri" w:hAnsi="Calibri" w:cs="Calibri"/>
              </w:rPr>
            </w:pPr>
            <w:r w:rsidRPr="001C2BBC">
              <w:rPr>
                <w:rFonts w:ascii="Calibri" w:hAnsi="Calibri"/>
                <w:b/>
              </w:rPr>
              <w:t>-</w:t>
            </w:r>
          </w:p>
        </w:tc>
        <w:tc>
          <w:tcPr>
            <w:tcW w:w="476" w:type="dxa"/>
            <w:tcBorders>
              <w:top w:val="single" w:sz="4" w:space="0" w:color="D9D9D9"/>
              <w:left w:val="single" w:sz="4" w:space="0" w:color="D9D9D9"/>
              <w:bottom w:val="single" w:sz="4" w:space="0" w:color="D9D9D9"/>
              <w:right w:val="single" w:sz="4" w:space="0" w:color="D9D9D9"/>
            </w:tcBorders>
            <w:vAlign w:val="center"/>
          </w:tcPr>
          <w:p w:rsidR="006540F6" w:rsidRPr="001C2BBC" w:rsidRDefault="006540F6" w:rsidP="006540F6">
            <w:pPr>
              <w:spacing w:before="44"/>
              <w:jc w:val="center"/>
              <w:rPr>
                <w:rFonts w:ascii="Calibri" w:hAnsi="Calibri" w:cs="Calibri"/>
              </w:rPr>
            </w:pPr>
            <w:r w:rsidRPr="001C2BBC">
              <w:rPr>
                <w:rFonts w:ascii="Calibri" w:hAnsi="Calibri"/>
                <w:b/>
              </w:rPr>
              <w:t>-</w:t>
            </w:r>
          </w:p>
        </w:tc>
        <w:tc>
          <w:tcPr>
            <w:tcW w:w="480" w:type="dxa"/>
            <w:tcBorders>
              <w:top w:val="single" w:sz="4" w:space="0" w:color="D9D9D9"/>
              <w:left w:val="single" w:sz="4" w:space="0" w:color="D9D9D9"/>
              <w:bottom w:val="single" w:sz="4" w:space="0" w:color="D9D9D9"/>
              <w:right w:val="single" w:sz="4" w:space="0" w:color="D9D9D9"/>
            </w:tcBorders>
            <w:vAlign w:val="center"/>
          </w:tcPr>
          <w:p w:rsidR="006540F6" w:rsidRPr="001C2BBC" w:rsidRDefault="006540F6" w:rsidP="006540F6">
            <w:pPr>
              <w:spacing w:before="44"/>
              <w:jc w:val="center"/>
              <w:rPr>
                <w:rFonts w:ascii="Calibri" w:hAnsi="Calibri" w:cs="Calibri"/>
              </w:rPr>
            </w:pPr>
            <w:r w:rsidRPr="001C2BBC">
              <w:rPr>
                <w:rFonts w:ascii="Calibri" w:hAnsi="Calibri"/>
                <w:b/>
              </w:rPr>
              <w:t>-</w:t>
            </w:r>
          </w:p>
        </w:tc>
        <w:tc>
          <w:tcPr>
            <w:tcW w:w="507" w:type="dxa"/>
            <w:tcBorders>
              <w:top w:val="single" w:sz="4" w:space="0" w:color="D9D9D9"/>
              <w:left w:val="single" w:sz="4" w:space="0" w:color="D9D9D9"/>
              <w:bottom w:val="single" w:sz="4" w:space="0" w:color="D9D9D9"/>
              <w:right w:val="single" w:sz="4" w:space="0" w:color="D9D9D9"/>
            </w:tcBorders>
            <w:vAlign w:val="center"/>
          </w:tcPr>
          <w:p w:rsidR="006540F6" w:rsidRPr="001C2BBC" w:rsidRDefault="006540F6" w:rsidP="006540F6">
            <w:pPr>
              <w:spacing w:before="44"/>
              <w:jc w:val="center"/>
              <w:rPr>
                <w:rFonts w:ascii="Calibri" w:hAnsi="Calibri" w:cs="Calibri"/>
              </w:rPr>
            </w:pPr>
            <w:r>
              <w:rPr>
                <w:rFonts w:ascii="Calibri" w:hAnsi="Calibri"/>
                <w:b/>
              </w:rPr>
              <w:t>2</w:t>
            </w:r>
          </w:p>
        </w:tc>
        <w:tc>
          <w:tcPr>
            <w:tcW w:w="509" w:type="dxa"/>
            <w:tcBorders>
              <w:top w:val="single" w:sz="4" w:space="0" w:color="D9D9D9"/>
              <w:left w:val="single" w:sz="4" w:space="0" w:color="D9D9D9"/>
              <w:bottom w:val="single" w:sz="4" w:space="0" w:color="D9D9D9"/>
              <w:right w:val="single" w:sz="4" w:space="0" w:color="D9D9D9"/>
            </w:tcBorders>
            <w:vAlign w:val="center"/>
          </w:tcPr>
          <w:p w:rsidR="006540F6" w:rsidRPr="001C2BBC" w:rsidRDefault="006540F6" w:rsidP="006540F6">
            <w:pPr>
              <w:spacing w:before="44"/>
              <w:jc w:val="center"/>
              <w:rPr>
                <w:rFonts w:ascii="Calibri" w:hAnsi="Calibri" w:cs="Calibri"/>
              </w:rPr>
            </w:pPr>
            <w:r>
              <w:rPr>
                <w:rFonts w:ascii="Calibri" w:hAnsi="Calibri"/>
                <w:b/>
              </w:rPr>
              <w:t>1</w:t>
            </w:r>
          </w:p>
        </w:tc>
        <w:tc>
          <w:tcPr>
            <w:tcW w:w="507" w:type="dxa"/>
            <w:tcBorders>
              <w:top w:val="single" w:sz="4" w:space="0" w:color="D9D9D9"/>
              <w:left w:val="single" w:sz="4" w:space="0" w:color="D9D9D9"/>
              <w:bottom w:val="single" w:sz="4" w:space="0" w:color="D9D9D9"/>
              <w:right w:val="single" w:sz="4" w:space="0" w:color="D9D9D9"/>
            </w:tcBorders>
            <w:vAlign w:val="center"/>
          </w:tcPr>
          <w:p w:rsidR="006540F6" w:rsidRPr="001C2BBC" w:rsidRDefault="006540F6" w:rsidP="006540F6">
            <w:pPr>
              <w:spacing w:before="44"/>
              <w:jc w:val="center"/>
              <w:rPr>
                <w:rFonts w:ascii="Calibri" w:hAnsi="Calibri" w:cs="Calibri"/>
              </w:rPr>
            </w:pPr>
            <w:r w:rsidRPr="001C2BBC">
              <w:rPr>
                <w:rFonts w:ascii="Calibri" w:hAnsi="Calibri"/>
                <w:b/>
              </w:rPr>
              <w:t>-</w:t>
            </w:r>
          </w:p>
        </w:tc>
        <w:tc>
          <w:tcPr>
            <w:tcW w:w="507" w:type="dxa"/>
            <w:tcBorders>
              <w:top w:val="single" w:sz="4" w:space="0" w:color="D9D9D9"/>
              <w:left w:val="single" w:sz="4" w:space="0" w:color="D9D9D9"/>
              <w:bottom w:val="single" w:sz="4" w:space="0" w:color="D9D9D9"/>
              <w:right w:val="single" w:sz="4" w:space="0" w:color="D9D9D9"/>
            </w:tcBorders>
            <w:vAlign w:val="center"/>
          </w:tcPr>
          <w:p w:rsidR="006540F6" w:rsidRPr="001C2BBC" w:rsidRDefault="006540F6" w:rsidP="006540F6">
            <w:pPr>
              <w:spacing w:before="44"/>
              <w:jc w:val="center"/>
              <w:rPr>
                <w:rFonts w:ascii="Calibri" w:hAnsi="Calibri" w:cs="Calibri"/>
              </w:rPr>
            </w:pPr>
            <w:r>
              <w:rPr>
                <w:rFonts w:ascii="Calibri" w:hAnsi="Calibri"/>
                <w:b/>
              </w:rPr>
              <w:t>3</w:t>
            </w:r>
          </w:p>
        </w:tc>
        <w:tc>
          <w:tcPr>
            <w:tcW w:w="507" w:type="dxa"/>
            <w:tcBorders>
              <w:top w:val="single" w:sz="4" w:space="0" w:color="D9D9D9"/>
              <w:left w:val="single" w:sz="4" w:space="0" w:color="D9D9D9"/>
              <w:bottom w:val="single" w:sz="4" w:space="0" w:color="D9D9D9"/>
              <w:right w:val="single" w:sz="4" w:space="0" w:color="D9D9D9"/>
            </w:tcBorders>
            <w:vAlign w:val="center"/>
          </w:tcPr>
          <w:p w:rsidR="006540F6" w:rsidRPr="001C2BBC" w:rsidRDefault="006540F6" w:rsidP="006540F6">
            <w:pPr>
              <w:spacing w:before="44"/>
              <w:jc w:val="center"/>
              <w:rPr>
                <w:rFonts w:ascii="Calibri" w:hAnsi="Calibri" w:cs="Calibri"/>
              </w:rPr>
            </w:pPr>
            <w:r w:rsidRPr="001C2BBC">
              <w:rPr>
                <w:rFonts w:ascii="Calibri" w:hAnsi="Calibri"/>
                <w:b/>
              </w:rPr>
              <w:t>-</w:t>
            </w:r>
          </w:p>
        </w:tc>
        <w:tc>
          <w:tcPr>
            <w:tcW w:w="507" w:type="dxa"/>
            <w:tcBorders>
              <w:top w:val="single" w:sz="4" w:space="0" w:color="D9D9D9"/>
              <w:left w:val="single" w:sz="4" w:space="0" w:color="D9D9D9"/>
              <w:bottom w:val="single" w:sz="4" w:space="0" w:color="D9D9D9"/>
              <w:right w:val="single" w:sz="4" w:space="0" w:color="D9D9D9"/>
            </w:tcBorders>
            <w:vAlign w:val="center"/>
          </w:tcPr>
          <w:p w:rsidR="006540F6" w:rsidRPr="001C2BBC" w:rsidRDefault="006540F6" w:rsidP="006540F6">
            <w:pPr>
              <w:spacing w:before="44"/>
              <w:jc w:val="center"/>
              <w:rPr>
                <w:rFonts w:ascii="Calibri" w:hAnsi="Calibri" w:cs="Calibri"/>
              </w:rPr>
            </w:pPr>
            <w:r w:rsidRPr="001C2BBC">
              <w:rPr>
                <w:rFonts w:ascii="Calibri" w:hAnsi="Calibri"/>
                <w:b/>
              </w:rPr>
              <w:t>-</w:t>
            </w:r>
          </w:p>
        </w:tc>
        <w:tc>
          <w:tcPr>
            <w:tcW w:w="507" w:type="dxa"/>
            <w:tcBorders>
              <w:top w:val="single" w:sz="4" w:space="0" w:color="D9D9D9"/>
              <w:left w:val="single" w:sz="4" w:space="0" w:color="D9D9D9"/>
              <w:bottom w:val="single" w:sz="4" w:space="0" w:color="D9D9D9"/>
              <w:right w:val="single" w:sz="4" w:space="0" w:color="D9D9D9"/>
            </w:tcBorders>
            <w:vAlign w:val="center"/>
          </w:tcPr>
          <w:p w:rsidR="006540F6" w:rsidRPr="001C2BBC" w:rsidRDefault="006540F6" w:rsidP="006540F6">
            <w:pPr>
              <w:spacing w:before="44"/>
              <w:jc w:val="center"/>
              <w:rPr>
                <w:rFonts w:ascii="Calibri" w:hAnsi="Calibri" w:cs="Calibri"/>
              </w:rPr>
            </w:pPr>
            <w:r w:rsidRPr="001C2BBC">
              <w:rPr>
                <w:rFonts w:ascii="Calibri" w:hAnsi="Calibri"/>
                <w:b/>
              </w:rPr>
              <w:t>-</w:t>
            </w:r>
          </w:p>
        </w:tc>
        <w:tc>
          <w:tcPr>
            <w:tcW w:w="511" w:type="dxa"/>
            <w:tcBorders>
              <w:top w:val="single" w:sz="4" w:space="0" w:color="D9D9D9"/>
              <w:left w:val="single" w:sz="4" w:space="0" w:color="D9D9D9"/>
              <w:bottom w:val="single" w:sz="4" w:space="0" w:color="D9D9D9"/>
              <w:right w:val="single" w:sz="4" w:space="0" w:color="D9D9D9"/>
            </w:tcBorders>
            <w:vAlign w:val="center"/>
          </w:tcPr>
          <w:p w:rsidR="006540F6" w:rsidRPr="001C2BBC" w:rsidRDefault="006540F6" w:rsidP="006540F6">
            <w:pPr>
              <w:spacing w:before="44"/>
              <w:jc w:val="center"/>
              <w:rPr>
                <w:rFonts w:ascii="Calibri" w:hAnsi="Calibri" w:cs="Calibri"/>
              </w:rPr>
            </w:pPr>
            <w:r w:rsidRPr="001C2BBC">
              <w:rPr>
                <w:rFonts w:ascii="Calibri" w:hAnsi="Calibri"/>
                <w:b/>
              </w:rPr>
              <w:t>-</w:t>
            </w:r>
          </w:p>
        </w:tc>
      </w:tr>
    </w:tbl>
    <w:p w:rsidR="00633B0C" w:rsidRDefault="00633B0C" w:rsidP="00633B0C">
      <w:pPr>
        <w:spacing w:after="0"/>
      </w:pPr>
    </w:p>
    <w:p w:rsidR="00633B0C" w:rsidRPr="001C2BBC" w:rsidRDefault="00633B0C" w:rsidP="0035089D">
      <w:pPr>
        <w:pStyle w:val="Balk5"/>
        <w:spacing w:before="120" w:after="240"/>
        <w:jc w:val="center"/>
        <w:rPr>
          <w:rFonts w:asciiTheme="minorHAnsi" w:hAnsiTheme="minorHAnsi"/>
          <w:b/>
          <w:color w:val="auto"/>
        </w:rPr>
      </w:pPr>
      <w:bookmarkStart w:id="469" w:name="_Toc132713974"/>
      <w:r w:rsidRPr="001C2BBC">
        <w:rPr>
          <w:rFonts w:asciiTheme="minorHAnsi" w:hAnsiTheme="minorHAnsi"/>
          <w:b/>
          <w:color w:val="auto"/>
        </w:rPr>
        <w:t>Tablo 1</w:t>
      </w:r>
      <w:r w:rsidR="00456863">
        <w:rPr>
          <w:rFonts w:asciiTheme="minorHAnsi" w:hAnsiTheme="minorHAnsi"/>
          <w:b/>
          <w:color w:val="auto"/>
        </w:rPr>
        <w:t>3</w:t>
      </w:r>
      <w:r w:rsidRPr="001C2BBC">
        <w:rPr>
          <w:rFonts w:asciiTheme="minorHAnsi" w:hAnsiTheme="minorHAnsi"/>
          <w:b/>
          <w:color w:val="auto"/>
        </w:rPr>
        <w:t>.</w:t>
      </w:r>
      <w:r w:rsidR="00992142">
        <w:rPr>
          <w:rFonts w:asciiTheme="minorHAnsi" w:hAnsiTheme="minorHAnsi"/>
          <w:b/>
          <w:color w:val="auto"/>
        </w:rPr>
        <w:t>6</w:t>
      </w:r>
      <w:r w:rsidRPr="001C2BBC">
        <w:rPr>
          <w:rFonts w:asciiTheme="minorHAnsi" w:hAnsiTheme="minorHAnsi"/>
          <w:b/>
          <w:color w:val="auto"/>
        </w:rPr>
        <w:t>: Kurum Personeli Kadro Dağılımı (Sürekli İşçi)</w:t>
      </w:r>
      <w:bookmarkEnd w:id="469"/>
    </w:p>
    <w:tbl>
      <w:tblPr>
        <w:tblW w:w="4788"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000" w:firstRow="0" w:lastRow="0" w:firstColumn="0" w:lastColumn="0" w:noHBand="0" w:noVBand="0"/>
      </w:tblPr>
      <w:tblGrid>
        <w:gridCol w:w="2719"/>
        <w:gridCol w:w="978"/>
        <w:gridCol w:w="839"/>
        <w:gridCol w:w="611"/>
        <w:gridCol w:w="611"/>
        <w:gridCol w:w="611"/>
        <w:gridCol w:w="611"/>
        <w:gridCol w:w="611"/>
        <w:gridCol w:w="619"/>
        <w:gridCol w:w="653"/>
        <w:gridCol w:w="628"/>
      </w:tblGrid>
      <w:tr w:rsidR="00633B0C" w:rsidRPr="001C2BBC" w:rsidTr="001C2BBC">
        <w:trPr>
          <w:trHeight w:val="227"/>
          <w:tblHeader/>
          <w:jc w:val="center"/>
        </w:trPr>
        <w:tc>
          <w:tcPr>
            <w:tcW w:w="1432" w:type="pct"/>
            <w:vMerge w:val="restart"/>
            <w:shd w:val="clear" w:color="auto" w:fill="6E9ECA"/>
            <w:noWrap/>
            <w:vAlign w:val="center"/>
          </w:tcPr>
          <w:p w:rsidR="00633B0C" w:rsidRPr="001C2BBC" w:rsidRDefault="00633B0C" w:rsidP="00162B0C">
            <w:pPr>
              <w:spacing w:after="0"/>
              <w:jc w:val="center"/>
              <w:rPr>
                <w:rFonts w:cstheme="minorHAnsi"/>
                <w:b/>
                <w:bCs/>
                <w:color w:val="FFFFFF" w:themeColor="background1"/>
              </w:rPr>
            </w:pPr>
            <w:r w:rsidRPr="001C2BBC">
              <w:rPr>
                <w:rFonts w:cstheme="minorHAnsi"/>
                <w:b/>
                <w:bCs/>
                <w:color w:val="FFFFFF" w:themeColor="background1"/>
              </w:rPr>
              <w:t>KADRO UNVANLARI</w:t>
            </w:r>
          </w:p>
        </w:tc>
        <w:tc>
          <w:tcPr>
            <w:tcW w:w="515" w:type="pct"/>
            <w:vMerge w:val="restart"/>
            <w:shd w:val="clear" w:color="auto" w:fill="6E9ECA"/>
            <w:vAlign w:val="center"/>
          </w:tcPr>
          <w:p w:rsidR="00633B0C" w:rsidRPr="001C2BBC" w:rsidRDefault="00633B0C" w:rsidP="00162B0C">
            <w:pPr>
              <w:spacing w:after="0"/>
              <w:jc w:val="center"/>
              <w:rPr>
                <w:rFonts w:cstheme="minorHAnsi"/>
                <w:b/>
                <w:bCs/>
                <w:color w:val="FFFFFF" w:themeColor="background1"/>
              </w:rPr>
            </w:pPr>
            <w:r w:rsidRPr="001C2BBC">
              <w:rPr>
                <w:rFonts w:cstheme="minorHAnsi"/>
                <w:b/>
                <w:bCs/>
                <w:color w:val="FFFFFF" w:themeColor="background1"/>
              </w:rPr>
              <w:t xml:space="preserve">TOPLAM KADRO </w:t>
            </w:r>
            <w:r w:rsidRPr="001C2BBC">
              <w:rPr>
                <w:rFonts w:cstheme="minorHAnsi"/>
                <w:b/>
                <w:bCs/>
                <w:color w:val="FFFFFF" w:themeColor="background1"/>
              </w:rPr>
              <w:br/>
              <w:t>SAYISI</w:t>
            </w:r>
          </w:p>
        </w:tc>
        <w:tc>
          <w:tcPr>
            <w:tcW w:w="442" w:type="pct"/>
            <w:vMerge w:val="restart"/>
            <w:shd w:val="clear" w:color="auto" w:fill="6E9ECA"/>
            <w:vAlign w:val="center"/>
          </w:tcPr>
          <w:p w:rsidR="00633B0C" w:rsidRPr="001C2BBC" w:rsidRDefault="00633B0C" w:rsidP="00162B0C">
            <w:pPr>
              <w:spacing w:after="0"/>
              <w:jc w:val="center"/>
              <w:rPr>
                <w:rFonts w:cstheme="minorHAnsi"/>
                <w:b/>
                <w:bCs/>
                <w:color w:val="FFFFFF" w:themeColor="background1"/>
              </w:rPr>
            </w:pPr>
            <w:r w:rsidRPr="001C2BBC">
              <w:rPr>
                <w:rFonts w:cstheme="minorHAnsi"/>
                <w:b/>
                <w:bCs/>
                <w:color w:val="FFFFFF" w:themeColor="background1"/>
              </w:rPr>
              <w:t xml:space="preserve">DOLU KADRO </w:t>
            </w:r>
            <w:r w:rsidRPr="001C2BBC">
              <w:rPr>
                <w:rFonts w:cstheme="minorHAnsi"/>
                <w:b/>
                <w:bCs/>
                <w:color w:val="FFFFFF" w:themeColor="background1"/>
              </w:rPr>
              <w:br/>
              <w:t>SAYISI</w:t>
            </w:r>
          </w:p>
        </w:tc>
        <w:tc>
          <w:tcPr>
            <w:tcW w:w="1936" w:type="pct"/>
            <w:gridSpan w:val="6"/>
            <w:shd w:val="clear" w:color="auto" w:fill="6E9ECA"/>
            <w:vAlign w:val="center"/>
          </w:tcPr>
          <w:p w:rsidR="00633B0C" w:rsidRPr="001C2BBC" w:rsidRDefault="00633B0C" w:rsidP="00162B0C">
            <w:pPr>
              <w:spacing w:after="0"/>
              <w:jc w:val="center"/>
              <w:rPr>
                <w:rFonts w:cstheme="minorHAnsi"/>
                <w:b/>
                <w:bCs/>
                <w:color w:val="FFFFFF" w:themeColor="background1"/>
              </w:rPr>
            </w:pPr>
            <w:r w:rsidRPr="001C2BBC">
              <w:rPr>
                <w:rFonts w:cstheme="minorHAnsi"/>
                <w:b/>
                <w:bCs/>
                <w:color w:val="FFFFFF" w:themeColor="background1"/>
              </w:rPr>
              <w:t>ÖĞRENİM DURUMU</w:t>
            </w:r>
          </w:p>
        </w:tc>
        <w:tc>
          <w:tcPr>
            <w:tcW w:w="675" w:type="pct"/>
            <w:gridSpan w:val="2"/>
            <w:shd w:val="clear" w:color="auto" w:fill="6E9ECA"/>
            <w:noWrap/>
            <w:vAlign w:val="center"/>
          </w:tcPr>
          <w:p w:rsidR="00633B0C" w:rsidRPr="001C2BBC" w:rsidRDefault="00633B0C" w:rsidP="00162B0C">
            <w:pPr>
              <w:spacing w:after="0"/>
              <w:jc w:val="center"/>
              <w:rPr>
                <w:rFonts w:cstheme="minorHAnsi"/>
                <w:b/>
                <w:bCs/>
                <w:color w:val="FFFFFF" w:themeColor="background1"/>
              </w:rPr>
            </w:pPr>
            <w:r w:rsidRPr="001C2BBC">
              <w:rPr>
                <w:rFonts w:cstheme="minorHAnsi"/>
                <w:b/>
                <w:bCs/>
                <w:color w:val="FFFFFF" w:themeColor="background1"/>
              </w:rPr>
              <w:t>CİNSİYETİ</w:t>
            </w:r>
          </w:p>
        </w:tc>
      </w:tr>
      <w:tr w:rsidR="00633B0C" w:rsidRPr="001C2BBC" w:rsidTr="001C2BBC">
        <w:trPr>
          <w:trHeight w:val="1549"/>
          <w:tblHeader/>
          <w:jc w:val="center"/>
        </w:trPr>
        <w:tc>
          <w:tcPr>
            <w:tcW w:w="1432" w:type="pct"/>
            <w:vMerge/>
            <w:shd w:val="clear" w:color="auto" w:fill="6E9ECA"/>
            <w:vAlign w:val="center"/>
          </w:tcPr>
          <w:p w:rsidR="00633B0C" w:rsidRPr="001C2BBC" w:rsidRDefault="00633B0C" w:rsidP="00162B0C">
            <w:pPr>
              <w:spacing w:after="0"/>
              <w:rPr>
                <w:rFonts w:cstheme="minorHAnsi"/>
                <w:b/>
                <w:bCs/>
                <w:color w:val="FFFFFF" w:themeColor="background1"/>
              </w:rPr>
            </w:pPr>
          </w:p>
        </w:tc>
        <w:tc>
          <w:tcPr>
            <w:tcW w:w="515" w:type="pct"/>
            <w:vMerge/>
            <w:shd w:val="clear" w:color="auto" w:fill="6E9ECA"/>
            <w:vAlign w:val="center"/>
          </w:tcPr>
          <w:p w:rsidR="00633B0C" w:rsidRPr="001C2BBC" w:rsidRDefault="00633B0C" w:rsidP="00162B0C">
            <w:pPr>
              <w:spacing w:after="0"/>
              <w:jc w:val="center"/>
              <w:rPr>
                <w:rFonts w:cstheme="minorHAnsi"/>
                <w:b/>
                <w:bCs/>
                <w:color w:val="FFFFFF" w:themeColor="background1"/>
              </w:rPr>
            </w:pPr>
          </w:p>
        </w:tc>
        <w:tc>
          <w:tcPr>
            <w:tcW w:w="442" w:type="pct"/>
            <w:vMerge/>
            <w:shd w:val="clear" w:color="auto" w:fill="6E9ECA"/>
            <w:vAlign w:val="center"/>
          </w:tcPr>
          <w:p w:rsidR="00633B0C" w:rsidRPr="001C2BBC" w:rsidRDefault="00633B0C" w:rsidP="00162B0C">
            <w:pPr>
              <w:spacing w:after="0"/>
              <w:jc w:val="center"/>
              <w:rPr>
                <w:rFonts w:cstheme="minorHAnsi"/>
                <w:b/>
                <w:bCs/>
                <w:color w:val="FFFFFF" w:themeColor="background1"/>
              </w:rPr>
            </w:pPr>
          </w:p>
        </w:tc>
        <w:tc>
          <w:tcPr>
            <w:tcW w:w="322" w:type="pct"/>
            <w:shd w:val="clear" w:color="auto" w:fill="6E9ECA"/>
            <w:noWrap/>
            <w:textDirection w:val="btLr"/>
            <w:vAlign w:val="center"/>
          </w:tcPr>
          <w:p w:rsidR="00633B0C" w:rsidRPr="001C2BBC" w:rsidRDefault="00633B0C" w:rsidP="00162B0C">
            <w:pPr>
              <w:spacing w:after="0"/>
              <w:jc w:val="center"/>
              <w:rPr>
                <w:rFonts w:cstheme="minorHAnsi"/>
                <w:b/>
                <w:bCs/>
                <w:color w:val="FFFFFF" w:themeColor="background1"/>
              </w:rPr>
            </w:pPr>
            <w:r w:rsidRPr="001C2BBC">
              <w:rPr>
                <w:rFonts w:cstheme="minorHAnsi"/>
                <w:b/>
                <w:bCs/>
                <w:color w:val="FFFFFF" w:themeColor="background1"/>
              </w:rPr>
              <w:t>İLKÖĞRETİM</w:t>
            </w:r>
          </w:p>
        </w:tc>
        <w:tc>
          <w:tcPr>
            <w:tcW w:w="322" w:type="pct"/>
            <w:shd w:val="clear" w:color="auto" w:fill="6E9ECA"/>
            <w:textDirection w:val="btLr"/>
            <w:vAlign w:val="center"/>
          </w:tcPr>
          <w:p w:rsidR="00633B0C" w:rsidRPr="001C2BBC" w:rsidRDefault="00633B0C" w:rsidP="00162B0C">
            <w:pPr>
              <w:spacing w:after="0"/>
              <w:jc w:val="center"/>
              <w:rPr>
                <w:rFonts w:cstheme="minorHAnsi"/>
                <w:b/>
                <w:bCs/>
                <w:color w:val="FFFFFF" w:themeColor="background1"/>
              </w:rPr>
            </w:pPr>
            <w:r w:rsidRPr="001C2BBC">
              <w:rPr>
                <w:rFonts w:cstheme="minorHAnsi"/>
                <w:b/>
                <w:bCs/>
                <w:color w:val="FFFFFF" w:themeColor="background1"/>
              </w:rPr>
              <w:t>ORTAÖĞRETİM</w:t>
            </w:r>
          </w:p>
        </w:tc>
        <w:tc>
          <w:tcPr>
            <w:tcW w:w="322" w:type="pct"/>
            <w:shd w:val="clear" w:color="auto" w:fill="6E9ECA"/>
            <w:textDirection w:val="btLr"/>
            <w:vAlign w:val="center"/>
          </w:tcPr>
          <w:p w:rsidR="00633B0C" w:rsidRPr="001C2BBC" w:rsidRDefault="00633B0C" w:rsidP="00162B0C">
            <w:pPr>
              <w:spacing w:after="0"/>
              <w:jc w:val="center"/>
              <w:rPr>
                <w:rFonts w:cstheme="minorHAnsi"/>
                <w:b/>
                <w:bCs/>
                <w:color w:val="FFFFFF" w:themeColor="background1"/>
              </w:rPr>
            </w:pPr>
            <w:r w:rsidRPr="001C2BBC">
              <w:rPr>
                <w:rFonts w:cstheme="minorHAnsi"/>
                <w:b/>
                <w:bCs/>
                <w:color w:val="FFFFFF" w:themeColor="background1"/>
              </w:rPr>
              <w:t>ÖNLİSANS</w:t>
            </w:r>
          </w:p>
        </w:tc>
        <w:tc>
          <w:tcPr>
            <w:tcW w:w="322" w:type="pct"/>
            <w:shd w:val="clear" w:color="auto" w:fill="6E9ECA"/>
            <w:textDirection w:val="btLr"/>
            <w:vAlign w:val="center"/>
          </w:tcPr>
          <w:p w:rsidR="00633B0C" w:rsidRPr="001C2BBC" w:rsidRDefault="00633B0C" w:rsidP="00162B0C">
            <w:pPr>
              <w:spacing w:after="0"/>
              <w:jc w:val="center"/>
              <w:rPr>
                <w:rFonts w:cstheme="minorHAnsi"/>
                <w:b/>
                <w:bCs/>
                <w:color w:val="FFFFFF" w:themeColor="background1"/>
              </w:rPr>
            </w:pPr>
            <w:r w:rsidRPr="001C2BBC">
              <w:rPr>
                <w:rFonts w:cstheme="minorHAnsi"/>
                <w:b/>
                <w:bCs/>
                <w:color w:val="FFFFFF" w:themeColor="background1"/>
              </w:rPr>
              <w:t>LİSANS</w:t>
            </w:r>
          </w:p>
        </w:tc>
        <w:tc>
          <w:tcPr>
            <w:tcW w:w="322" w:type="pct"/>
            <w:shd w:val="clear" w:color="auto" w:fill="6E9ECA"/>
            <w:textDirection w:val="btLr"/>
            <w:vAlign w:val="center"/>
          </w:tcPr>
          <w:p w:rsidR="00633B0C" w:rsidRPr="001C2BBC" w:rsidRDefault="00633B0C" w:rsidP="00162B0C">
            <w:pPr>
              <w:spacing w:after="0"/>
              <w:jc w:val="center"/>
              <w:rPr>
                <w:rFonts w:cstheme="minorHAnsi"/>
                <w:b/>
                <w:bCs/>
                <w:color w:val="FFFFFF" w:themeColor="background1"/>
              </w:rPr>
            </w:pPr>
            <w:r w:rsidRPr="001C2BBC">
              <w:rPr>
                <w:rFonts w:cstheme="minorHAnsi"/>
                <w:b/>
                <w:bCs/>
                <w:color w:val="FFFFFF" w:themeColor="background1"/>
              </w:rPr>
              <w:t>MASTER</w:t>
            </w:r>
          </w:p>
        </w:tc>
        <w:tc>
          <w:tcPr>
            <w:tcW w:w="326" w:type="pct"/>
            <w:shd w:val="clear" w:color="auto" w:fill="6E9ECA"/>
            <w:textDirection w:val="btLr"/>
            <w:vAlign w:val="center"/>
          </w:tcPr>
          <w:p w:rsidR="00633B0C" w:rsidRPr="001C2BBC" w:rsidRDefault="00633B0C" w:rsidP="00162B0C">
            <w:pPr>
              <w:spacing w:after="0"/>
              <w:jc w:val="center"/>
              <w:rPr>
                <w:rFonts w:cstheme="minorHAnsi"/>
                <w:b/>
                <w:bCs/>
                <w:color w:val="FFFFFF" w:themeColor="background1"/>
              </w:rPr>
            </w:pPr>
            <w:r w:rsidRPr="001C2BBC">
              <w:rPr>
                <w:rFonts w:cstheme="minorHAnsi"/>
                <w:b/>
                <w:bCs/>
                <w:color w:val="FFFFFF" w:themeColor="background1"/>
              </w:rPr>
              <w:t>DOKTORA</w:t>
            </w:r>
          </w:p>
        </w:tc>
        <w:tc>
          <w:tcPr>
            <w:tcW w:w="344" w:type="pct"/>
            <w:shd w:val="clear" w:color="auto" w:fill="6E9ECA"/>
            <w:textDirection w:val="btLr"/>
            <w:vAlign w:val="center"/>
          </w:tcPr>
          <w:p w:rsidR="00633B0C" w:rsidRPr="001C2BBC" w:rsidRDefault="00633B0C" w:rsidP="00162B0C">
            <w:pPr>
              <w:spacing w:after="0"/>
              <w:jc w:val="center"/>
              <w:rPr>
                <w:rFonts w:cstheme="minorHAnsi"/>
                <w:b/>
                <w:bCs/>
                <w:color w:val="FFFFFF" w:themeColor="background1"/>
              </w:rPr>
            </w:pPr>
            <w:r w:rsidRPr="001C2BBC">
              <w:rPr>
                <w:rFonts w:cstheme="minorHAnsi"/>
                <w:b/>
                <w:bCs/>
                <w:color w:val="FFFFFF" w:themeColor="background1"/>
              </w:rPr>
              <w:t>KADIN</w:t>
            </w:r>
          </w:p>
        </w:tc>
        <w:tc>
          <w:tcPr>
            <w:tcW w:w="331" w:type="pct"/>
            <w:shd w:val="clear" w:color="auto" w:fill="6E9ECA"/>
            <w:textDirection w:val="btLr"/>
            <w:vAlign w:val="center"/>
          </w:tcPr>
          <w:p w:rsidR="00633B0C" w:rsidRPr="001C2BBC" w:rsidRDefault="00633B0C" w:rsidP="00162B0C">
            <w:pPr>
              <w:spacing w:after="0"/>
              <w:jc w:val="center"/>
              <w:rPr>
                <w:rFonts w:cstheme="minorHAnsi"/>
                <w:b/>
                <w:bCs/>
                <w:color w:val="FFFFFF" w:themeColor="background1"/>
              </w:rPr>
            </w:pPr>
            <w:r w:rsidRPr="001C2BBC">
              <w:rPr>
                <w:rFonts w:cstheme="minorHAnsi"/>
                <w:b/>
                <w:bCs/>
                <w:color w:val="FFFFFF" w:themeColor="background1"/>
              </w:rPr>
              <w:t>ERKEK</w:t>
            </w:r>
          </w:p>
        </w:tc>
      </w:tr>
      <w:tr w:rsidR="006540F6" w:rsidRPr="001C2BBC" w:rsidTr="001C2BBC">
        <w:trPr>
          <w:trHeight w:val="227"/>
          <w:jc w:val="center"/>
        </w:trPr>
        <w:tc>
          <w:tcPr>
            <w:tcW w:w="1432" w:type="pct"/>
            <w:shd w:val="clear" w:color="auto" w:fill="auto"/>
            <w:noWrap/>
            <w:vAlign w:val="center"/>
          </w:tcPr>
          <w:p w:rsidR="006540F6" w:rsidRPr="001C2BBC" w:rsidRDefault="006540F6" w:rsidP="006540F6">
            <w:pPr>
              <w:spacing w:after="0"/>
              <w:rPr>
                <w:rFonts w:cstheme="minorHAnsi"/>
                <w:color w:val="000000" w:themeColor="text1"/>
              </w:rPr>
            </w:pPr>
            <w:bookmarkStart w:id="470" w:name="_Hlk286234746"/>
            <w:r w:rsidRPr="001C2BBC">
              <w:rPr>
                <w:rFonts w:cstheme="minorHAnsi"/>
                <w:color w:val="000000" w:themeColor="text1"/>
              </w:rPr>
              <w:t>Büro Personeli</w:t>
            </w:r>
          </w:p>
        </w:tc>
        <w:tc>
          <w:tcPr>
            <w:tcW w:w="515" w:type="pct"/>
            <w:tcBorders>
              <w:top w:val="single" w:sz="4" w:space="0" w:color="D9D9D9"/>
              <w:left w:val="single" w:sz="4" w:space="0" w:color="D9D9D9"/>
              <w:bottom w:val="single" w:sz="4" w:space="0" w:color="D9D9D9"/>
              <w:right w:val="single" w:sz="4" w:space="0" w:color="D9D9D9"/>
            </w:tcBorders>
            <w:noWrap/>
          </w:tcPr>
          <w:p w:rsidR="006540F6" w:rsidRPr="001C2BBC" w:rsidRDefault="006540F6" w:rsidP="006540F6">
            <w:pPr>
              <w:spacing w:after="0"/>
              <w:jc w:val="center"/>
              <w:rPr>
                <w:rFonts w:cstheme="minorHAnsi"/>
                <w:color w:val="000000" w:themeColor="text1"/>
              </w:rPr>
            </w:pPr>
            <w:r>
              <w:rPr>
                <w:rFonts w:ascii="Calibri"/>
              </w:rPr>
              <w:t>56</w:t>
            </w:r>
          </w:p>
        </w:tc>
        <w:tc>
          <w:tcPr>
            <w:tcW w:w="442" w:type="pct"/>
            <w:tcBorders>
              <w:top w:val="single" w:sz="4" w:space="0" w:color="D9D9D9"/>
              <w:left w:val="single" w:sz="4" w:space="0" w:color="D9D9D9"/>
              <w:bottom w:val="single" w:sz="4" w:space="0" w:color="D9D9D9"/>
              <w:right w:val="single" w:sz="4" w:space="0" w:color="D9D9D9"/>
            </w:tcBorders>
            <w:noWrap/>
          </w:tcPr>
          <w:p w:rsidR="006540F6" w:rsidRPr="001C2BBC" w:rsidRDefault="006540F6" w:rsidP="006540F6">
            <w:pPr>
              <w:spacing w:after="0"/>
              <w:jc w:val="center"/>
              <w:rPr>
                <w:rFonts w:cstheme="minorHAnsi"/>
                <w:color w:val="000000" w:themeColor="text1"/>
              </w:rPr>
            </w:pPr>
            <w:r>
              <w:rPr>
                <w:rFonts w:ascii="Calibri"/>
              </w:rPr>
              <w:t>56</w:t>
            </w:r>
          </w:p>
        </w:tc>
        <w:tc>
          <w:tcPr>
            <w:tcW w:w="322" w:type="pct"/>
            <w:tcBorders>
              <w:top w:val="single" w:sz="4" w:space="0" w:color="D9D9D9"/>
              <w:left w:val="single" w:sz="4" w:space="0" w:color="D9D9D9"/>
              <w:bottom w:val="single" w:sz="4" w:space="0" w:color="D9D9D9"/>
              <w:right w:val="single" w:sz="4" w:space="0" w:color="D9D9D9"/>
            </w:tcBorders>
            <w:noWrap/>
          </w:tcPr>
          <w:p w:rsidR="006540F6" w:rsidRPr="001C2BBC" w:rsidRDefault="006540F6" w:rsidP="006540F6">
            <w:pPr>
              <w:spacing w:after="0"/>
              <w:jc w:val="center"/>
              <w:rPr>
                <w:rFonts w:cstheme="minorHAnsi"/>
                <w:color w:val="000000" w:themeColor="text1"/>
              </w:rPr>
            </w:pPr>
          </w:p>
        </w:tc>
        <w:tc>
          <w:tcPr>
            <w:tcW w:w="322" w:type="pct"/>
            <w:tcBorders>
              <w:top w:val="single" w:sz="4" w:space="0" w:color="D9D9D9"/>
              <w:left w:val="single" w:sz="4" w:space="0" w:color="D9D9D9"/>
              <w:bottom w:val="single" w:sz="4" w:space="0" w:color="D9D9D9"/>
              <w:right w:val="single" w:sz="4" w:space="0" w:color="D9D9D9"/>
            </w:tcBorders>
          </w:tcPr>
          <w:p w:rsidR="006540F6" w:rsidRPr="001C2BBC" w:rsidRDefault="006540F6" w:rsidP="006540F6">
            <w:pPr>
              <w:spacing w:after="0"/>
              <w:jc w:val="center"/>
              <w:rPr>
                <w:rFonts w:cstheme="minorHAnsi"/>
                <w:color w:val="000000" w:themeColor="text1"/>
              </w:rPr>
            </w:pPr>
            <w:r>
              <w:rPr>
                <w:rFonts w:ascii="Calibri"/>
              </w:rPr>
              <w:t>16</w:t>
            </w:r>
          </w:p>
        </w:tc>
        <w:tc>
          <w:tcPr>
            <w:tcW w:w="322" w:type="pct"/>
            <w:tcBorders>
              <w:top w:val="single" w:sz="4" w:space="0" w:color="D9D9D9"/>
              <w:left w:val="single" w:sz="4" w:space="0" w:color="D9D9D9"/>
              <w:bottom w:val="single" w:sz="4" w:space="0" w:color="D9D9D9"/>
              <w:right w:val="single" w:sz="4" w:space="0" w:color="D9D9D9"/>
            </w:tcBorders>
            <w:noWrap/>
          </w:tcPr>
          <w:p w:rsidR="006540F6" w:rsidRPr="001C2BBC" w:rsidRDefault="006540F6" w:rsidP="006540F6">
            <w:pPr>
              <w:spacing w:after="0"/>
              <w:jc w:val="center"/>
              <w:rPr>
                <w:rFonts w:cstheme="minorHAnsi"/>
                <w:color w:val="000000" w:themeColor="text1"/>
              </w:rPr>
            </w:pPr>
            <w:r>
              <w:rPr>
                <w:rFonts w:ascii="Calibri"/>
              </w:rPr>
              <w:t>8</w:t>
            </w:r>
          </w:p>
        </w:tc>
        <w:tc>
          <w:tcPr>
            <w:tcW w:w="322" w:type="pct"/>
            <w:tcBorders>
              <w:top w:val="single" w:sz="4" w:space="0" w:color="D9D9D9"/>
              <w:left w:val="single" w:sz="4" w:space="0" w:color="D9D9D9"/>
              <w:bottom w:val="single" w:sz="4" w:space="0" w:color="D9D9D9"/>
              <w:right w:val="single" w:sz="4" w:space="0" w:color="D9D9D9"/>
            </w:tcBorders>
            <w:noWrap/>
          </w:tcPr>
          <w:p w:rsidR="006540F6" w:rsidRPr="001C2BBC" w:rsidRDefault="006540F6" w:rsidP="006540F6">
            <w:pPr>
              <w:spacing w:after="0"/>
              <w:jc w:val="center"/>
              <w:rPr>
                <w:rFonts w:cstheme="minorHAnsi"/>
                <w:color w:val="000000" w:themeColor="text1"/>
              </w:rPr>
            </w:pPr>
            <w:r w:rsidRPr="001C2BBC">
              <w:rPr>
                <w:rFonts w:ascii="Calibri"/>
              </w:rPr>
              <w:t>32</w:t>
            </w:r>
          </w:p>
        </w:tc>
        <w:tc>
          <w:tcPr>
            <w:tcW w:w="322" w:type="pct"/>
            <w:tcBorders>
              <w:top w:val="single" w:sz="4" w:space="0" w:color="D9D9D9"/>
              <w:left w:val="single" w:sz="4" w:space="0" w:color="D9D9D9"/>
              <w:bottom w:val="single" w:sz="4" w:space="0" w:color="D9D9D9"/>
              <w:right w:val="single" w:sz="4" w:space="0" w:color="D9D9D9"/>
            </w:tcBorders>
            <w:noWrap/>
          </w:tcPr>
          <w:p w:rsidR="006540F6" w:rsidRPr="001C2BBC" w:rsidRDefault="006540F6" w:rsidP="006540F6">
            <w:pPr>
              <w:spacing w:after="0"/>
              <w:jc w:val="center"/>
              <w:rPr>
                <w:rFonts w:cstheme="minorHAnsi"/>
                <w:color w:val="000000" w:themeColor="text1"/>
              </w:rPr>
            </w:pPr>
          </w:p>
        </w:tc>
        <w:tc>
          <w:tcPr>
            <w:tcW w:w="326" w:type="pct"/>
            <w:tcBorders>
              <w:top w:val="single" w:sz="4" w:space="0" w:color="D9D9D9"/>
              <w:left w:val="single" w:sz="4" w:space="0" w:color="D9D9D9"/>
              <w:bottom w:val="single" w:sz="4" w:space="0" w:color="D9D9D9"/>
              <w:right w:val="single" w:sz="4" w:space="0" w:color="D9D9D9"/>
            </w:tcBorders>
            <w:noWrap/>
          </w:tcPr>
          <w:p w:rsidR="006540F6" w:rsidRPr="001C2BBC" w:rsidRDefault="006540F6" w:rsidP="006540F6">
            <w:pPr>
              <w:spacing w:after="0"/>
              <w:jc w:val="center"/>
              <w:rPr>
                <w:rFonts w:cstheme="minorHAnsi"/>
                <w:color w:val="000000" w:themeColor="text1"/>
              </w:rPr>
            </w:pPr>
          </w:p>
        </w:tc>
        <w:tc>
          <w:tcPr>
            <w:tcW w:w="344" w:type="pct"/>
            <w:tcBorders>
              <w:top w:val="single" w:sz="4" w:space="0" w:color="D9D9D9"/>
              <w:left w:val="single" w:sz="4" w:space="0" w:color="D9D9D9"/>
              <w:bottom w:val="single" w:sz="4" w:space="0" w:color="D9D9D9"/>
              <w:right w:val="single" w:sz="4" w:space="0" w:color="D9D9D9"/>
            </w:tcBorders>
            <w:noWrap/>
          </w:tcPr>
          <w:p w:rsidR="006540F6" w:rsidRPr="001C2BBC" w:rsidRDefault="006540F6" w:rsidP="006540F6">
            <w:pPr>
              <w:spacing w:after="0"/>
              <w:jc w:val="center"/>
              <w:rPr>
                <w:rFonts w:cstheme="minorHAnsi"/>
                <w:color w:val="000000" w:themeColor="text1"/>
              </w:rPr>
            </w:pPr>
            <w:r>
              <w:rPr>
                <w:rFonts w:ascii="Calibri"/>
              </w:rPr>
              <w:t>35</w:t>
            </w:r>
          </w:p>
        </w:tc>
        <w:tc>
          <w:tcPr>
            <w:tcW w:w="331" w:type="pct"/>
            <w:tcBorders>
              <w:top w:val="single" w:sz="4" w:space="0" w:color="D9D9D9"/>
              <w:left w:val="single" w:sz="4" w:space="0" w:color="D9D9D9"/>
              <w:bottom w:val="single" w:sz="4" w:space="0" w:color="D9D9D9"/>
              <w:right w:val="single" w:sz="4" w:space="0" w:color="D9D9D9"/>
            </w:tcBorders>
            <w:noWrap/>
          </w:tcPr>
          <w:p w:rsidR="006540F6" w:rsidRPr="001C2BBC" w:rsidRDefault="006540F6" w:rsidP="006540F6">
            <w:pPr>
              <w:spacing w:after="0"/>
              <w:jc w:val="center"/>
              <w:rPr>
                <w:rFonts w:cstheme="minorHAnsi"/>
                <w:color w:val="000000" w:themeColor="text1"/>
              </w:rPr>
            </w:pPr>
            <w:r w:rsidRPr="001C2BBC">
              <w:rPr>
                <w:rFonts w:ascii="Calibri"/>
              </w:rPr>
              <w:t>21</w:t>
            </w:r>
          </w:p>
        </w:tc>
      </w:tr>
      <w:tr w:rsidR="006540F6" w:rsidRPr="001C2BBC" w:rsidTr="001C2BBC">
        <w:trPr>
          <w:trHeight w:val="227"/>
          <w:jc w:val="center"/>
        </w:trPr>
        <w:tc>
          <w:tcPr>
            <w:tcW w:w="1432" w:type="pct"/>
            <w:shd w:val="clear" w:color="auto" w:fill="auto"/>
            <w:vAlign w:val="center"/>
          </w:tcPr>
          <w:p w:rsidR="006540F6" w:rsidRPr="001C2BBC" w:rsidRDefault="006540F6" w:rsidP="006540F6">
            <w:pPr>
              <w:autoSpaceDE w:val="0"/>
              <w:autoSpaceDN w:val="0"/>
              <w:adjustRightInd w:val="0"/>
              <w:spacing w:after="0" w:line="240" w:lineRule="auto"/>
              <w:rPr>
                <w:rFonts w:cstheme="minorHAnsi"/>
                <w:color w:val="000000" w:themeColor="text1"/>
              </w:rPr>
            </w:pPr>
            <w:r w:rsidRPr="001C2BBC">
              <w:rPr>
                <w:rFonts w:cstheme="minorHAnsi"/>
                <w:color w:val="000000" w:themeColor="text1"/>
              </w:rPr>
              <w:t>Güvenlik Personeli</w:t>
            </w:r>
          </w:p>
        </w:tc>
        <w:tc>
          <w:tcPr>
            <w:tcW w:w="515" w:type="pct"/>
            <w:tcBorders>
              <w:top w:val="single" w:sz="4" w:space="0" w:color="D9D9D9"/>
              <w:left w:val="single" w:sz="4" w:space="0" w:color="D9D9D9"/>
              <w:bottom w:val="single" w:sz="4" w:space="0" w:color="D9D9D9"/>
              <w:right w:val="single" w:sz="4" w:space="0" w:color="D9D9D9"/>
            </w:tcBorders>
          </w:tcPr>
          <w:p w:rsidR="006540F6" w:rsidRPr="001C2BBC" w:rsidRDefault="006540F6" w:rsidP="006540F6">
            <w:pPr>
              <w:spacing w:after="0"/>
              <w:jc w:val="center"/>
              <w:rPr>
                <w:rFonts w:cstheme="minorHAnsi"/>
                <w:color w:val="000000" w:themeColor="text1"/>
              </w:rPr>
            </w:pPr>
            <w:r w:rsidRPr="001C2BBC">
              <w:rPr>
                <w:rFonts w:ascii="Calibri"/>
              </w:rPr>
              <w:t>50</w:t>
            </w:r>
          </w:p>
        </w:tc>
        <w:tc>
          <w:tcPr>
            <w:tcW w:w="442" w:type="pct"/>
            <w:tcBorders>
              <w:top w:val="single" w:sz="4" w:space="0" w:color="D9D9D9"/>
              <w:left w:val="single" w:sz="4" w:space="0" w:color="D9D9D9"/>
              <w:bottom w:val="single" w:sz="4" w:space="0" w:color="D9D9D9"/>
              <w:right w:val="single" w:sz="4" w:space="0" w:color="D9D9D9"/>
            </w:tcBorders>
            <w:noWrap/>
          </w:tcPr>
          <w:p w:rsidR="006540F6" w:rsidRPr="001C2BBC" w:rsidRDefault="006540F6" w:rsidP="006540F6">
            <w:pPr>
              <w:spacing w:after="0"/>
              <w:jc w:val="center"/>
              <w:rPr>
                <w:rFonts w:cstheme="minorHAnsi"/>
                <w:color w:val="000000" w:themeColor="text1"/>
              </w:rPr>
            </w:pPr>
            <w:r w:rsidRPr="001C2BBC">
              <w:rPr>
                <w:rFonts w:ascii="Calibri"/>
              </w:rPr>
              <w:t>50</w:t>
            </w:r>
          </w:p>
        </w:tc>
        <w:tc>
          <w:tcPr>
            <w:tcW w:w="322" w:type="pct"/>
            <w:tcBorders>
              <w:top w:val="single" w:sz="4" w:space="0" w:color="D9D9D9"/>
              <w:left w:val="single" w:sz="4" w:space="0" w:color="D9D9D9"/>
              <w:bottom w:val="single" w:sz="4" w:space="0" w:color="D9D9D9"/>
              <w:right w:val="single" w:sz="4" w:space="0" w:color="D9D9D9"/>
            </w:tcBorders>
            <w:noWrap/>
          </w:tcPr>
          <w:p w:rsidR="006540F6" w:rsidRPr="001C2BBC" w:rsidRDefault="006540F6" w:rsidP="006540F6">
            <w:pPr>
              <w:spacing w:after="0"/>
              <w:jc w:val="center"/>
              <w:rPr>
                <w:rFonts w:cstheme="minorHAnsi"/>
                <w:color w:val="000000" w:themeColor="text1"/>
              </w:rPr>
            </w:pPr>
          </w:p>
        </w:tc>
        <w:tc>
          <w:tcPr>
            <w:tcW w:w="322" w:type="pct"/>
            <w:tcBorders>
              <w:top w:val="single" w:sz="4" w:space="0" w:color="D9D9D9"/>
              <w:left w:val="single" w:sz="4" w:space="0" w:color="D9D9D9"/>
              <w:bottom w:val="single" w:sz="4" w:space="0" w:color="D9D9D9"/>
              <w:right w:val="single" w:sz="4" w:space="0" w:color="D9D9D9"/>
            </w:tcBorders>
          </w:tcPr>
          <w:p w:rsidR="006540F6" w:rsidRPr="001C2BBC" w:rsidRDefault="006540F6" w:rsidP="006540F6">
            <w:pPr>
              <w:spacing w:after="0"/>
              <w:jc w:val="center"/>
              <w:rPr>
                <w:rFonts w:cstheme="minorHAnsi"/>
                <w:color w:val="000000" w:themeColor="text1"/>
              </w:rPr>
            </w:pPr>
            <w:r>
              <w:rPr>
                <w:rFonts w:ascii="Calibri"/>
              </w:rPr>
              <w:t>42</w:t>
            </w:r>
          </w:p>
        </w:tc>
        <w:tc>
          <w:tcPr>
            <w:tcW w:w="322" w:type="pct"/>
            <w:tcBorders>
              <w:top w:val="single" w:sz="4" w:space="0" w:color="D9D9D9"/>
              <w:left w:val="single" w:sz="4" w:space="0" w:color="D9D9D9"/>
              <w:bottom w:val="single" w:sz="4" w:space="0" w:color="D9D9D9"/>
              <w:right w:val="single" w:sz="4" w:space="0" w:color="D9D9D9"/>
            </w:tcBorders>
            <w:noWrap/>
          </w:tcPr>
          <w:p w:rsidR="006540F6" w:rsidRPr="001C2BBC" w:rsidRDefault="006540F6" w:rsidP="006540F6">
            <w:pPr>
              <w:spacing w:after="0"/>
              <w:jc w:val="center"/>
              <w:rPr>
                <w:rFonts w:cstheme="minorHAnsi"/>
                <w:color w:val="000000" w:themeColor="text1"/>
              </w:rPr>
            </w:pPr>
            <w:r>
              <w:rPr>
                <w:rFonts w:ascii="Calibri"/>
              </w:rPr>
              <w:t>6</w:t>
            </w:r>
          </w:p>
        </w:tc>
        <w:tc>
          <w:tcPr>
            <w:tcW w:w="322" w:type="pct"/>
            <w:tcBorders>
              <w:top w:val="single" w:sz="4" w:space="0" w:color="D9D9D9"/>
              <w:left w:val="single" w:sz="4" w:space="0" w:color="D9D9D9"/>
              <w:bottom w:val="single" w:sz="4" w:space="0" w:color="D9D9D9"/>
              <w:right w:val="single" w:sz="4" w:space="0" w:color="D9D9D9"/>
            </w:tcBorders>
            <w:noWrap/>
          </w:tcPr>
          <w:p w:rsidR="006540F6" w:rsidRPr="001C2BBC" w:rsidRDefault="006540F6" w:rsidP="006540F6">
            <w:pPr>
              <w:spacing w:after="0"/>
              <w:jc w:val="center"/>
              <w:rPr>
                <w:rFonts w:cstheme="minorHAnsi"/>
                <w:color w:val="000000" w:themeColor="text1"/>
              </w:rPr>
            </w:pPr>
            <w:r w:rsidRPr="001C2BBC">
              <w:rPr>
                <w:rFonts w:ascii="Calibri"/>
              </w:rPr>
              <w:t>2</w:t>
            </w:r>
          </w:p>
        </w:tc>
        <w:tc>
          <w:tcPr>
            <w:tcW w:w="322" w:type="pct"/>
            <w:tcBorders>
              <w:top w:val="single" w:sz="4" w:space="0" w:color="D9D9D9"/>
              <w:left w:val="single" w:sz="4" w:space="0" w:color="D9D9D9"/>
              <w:bottom w:val="single" w:sz="4" w:space="0" w:color="D9D9D9"/>
              <w:right w:val="single" w:sz="4" w:space="0" w:color="D9D9D9"/>
            </w:tcBorders>
            <w:noWrap/>
          </w:tcPr>
          <w:p w:rsidR="006540F6" w:rsidRPr="001C2BBC" w:rsidRDefault="006540F6" w:rsidP="006540F6">
            <w:pPr>
              <w:spacing w:after="0"/>
              <w:jc w:val="center"/>
              <w:rPr>
                <w:rFonts w:cstheme="minorHAnsi"/>
                <w:color w:val="000000" w:themeColor="text1"/>
              </w:rPr>
            </w:pPr>
          </w:p>
        </w:tc>
        <w:tc>
          <w:tcPr>
            <w:tcW w:w="326" w:type="pct"/>
            <w:tcBorders>
              <w:top w:val="single" w:sz="4" w:space="0" w:color="D9D9D9"/>
              <w:left w:val="single" w:sz="4" w:space="0" w:color="D9D9D9"/>
              <w:bottom w:val="single" w:sz="4" w:space="0" w:color="D9D9D9"/>
              <w:right w:val="single" w:sz="4" w:space="0" w:color="D9D9D9"/>
            </w:tcBorders>
            <w:noWrap/>
          </w:tcPr>
          <w:p w:rsidR="006540F6" w:rsidRPr="001C2BBC" w:rsidRDefault="006540F6" w:rsidP="006540F6">
            <w:pPr>
              <w:spacing w:after="0"/>
              <w:jc w:val="center"/>
              <w:rPr>
                <w:rFonts w:cstheme="minorHAnsi"/>
                <w:color w:val="000000" w:themeColor="text1"/>
              </w:rPr>
            </w:pPr>
          </w:p>
        </w:tc>
        <w:tc>
          <w:tcPr>
            <w:tcW w:w="344" w:type="pct"/>
            <w:tcBorders>
              <w:top w:val="single" w:sz="4" w:space="0" w:color="D9D9D9"/>
              <w:left w:val="single" w:sz="4" w:space="0" w:color="D9D9D9"/>
              <w:bottom w:val="single" w:sz="4" w:space="0" w:color="D9D9D9"/>
              <w:right w:val="single" w:sz="4" w:space="0" w:color="D9D9D9"/>
            </w:tcBorders>
            <w:noWrap/>
          </w:tcPr>
          <w:p w:rsidR="006540F6" w:rsidRPr="001C2BBC" w:rsidRDefault="006540F6" w:rsidP="006540F6">
            <w:pPr>
              <w:spacing w:after="0"/>
              <w:jc w:val="center"/>
              <w:rPr>
                <w:rFonts w:cstheme="minorHAnsi"/>
                <w:color w:val="000000" w:themeColor="text1"/>
              </w:rPr>
            </w:pPr>
            <w:r w:rsidRPr="001C2BBC">
              <w:rPr>
                <w:rFonts w:ascii="Calibri"/>
              </w:rPr>
              <w:t>8</w:t>
            </w:r>
          </w:p>
        </w:tc>
        <w:tc>
          <w:tcPr>
            <w:tcW w:w="331" w:type="pct"/>
            <w:tcBorders>
              <w:top w:val="single" w:sz="4" w:space="0" w:color="D9D9D9"/>
              <w:left w:val="single" w:sz="4" w:space="0" w:color="D9D9D9"/>
              <w:bottom w:val="single" w:sz="4" w:space="0" w:color="D9D9D9"/>
              <w:right w:val="single" w:sz="4" w:space="0" w:color="D9D9D9"/>
            </w:tcBorders>
            <w:noWrap/>
          </w:tcPr>
          <w:p w:rsidR="006540F6" w:rsidRPr="001C2BBC" w:rsidRDefault="006540F6" w:rsidP="006540F6">
            <w:pPr>
              <w:spacing w:after="0"/>
              <w:jc w:val="center"/>
              <w:rPr>
                <w:rFonts w:cstheme="minorHAnsi"/>
                <w:color w:val="000000" w:themeColor="text1"/>
              </w:rPr>
            </w:pPr>
            <w:r w:rsidRPr="001C2BBC">
              <w:rPr>
                <w:rFonts w:ascii="Calibri"/>
              </w:rPr>
              <w:t>42</w:t>
            </w:r>
          </w:p>
        </w:tc>
      </w:tr>
      <w:tr w:rsidR="006540F6" w:rsidRPr="001C2BBC" w:rsidTr="001C2BBC">
        <w:trPr>
          <w:trHeight w:val="227"/>
          <w:jc w:val="center"/>
        </w:trPr>
        <w:tc>
          <w:tcPr>
            <w:tcW w:w="1432" w:type="pct"/>
            <w:shd w:val="clear" w:color="auto" w:fill="auto"/>
            <w:vAlign w:val="center"/>
          </w:tcPr>
          <w:p w:rsidR="006540F6" w:rsidRPr="001C2BBC" w:rsidRDefault="006540F6" w:rsidP="006540F6">
            <w:pPr>
              <w:autoSpaceDE w:val="0"/>
              <w:autoSpaceDN w:val="0"/>
              <w:adjustRightInd w:val="0"/>
              <w:spacing w:after="0" w:line="240" w:lineRule="auto"/>
              <w:rPr>
                <w:rFonts w:cstheme="minorHAnsi"/>
                <w:color w:val="000000" w:themeColor="text1"/>
              </w:rPr>
            </w:pPr>
            <w:r w:rsidRPr="001C2BBC">
              <w:rPr>
                <w:rFonts w:cstheme="minorHAnsi"/>
                <w:color w:val="000000" w:themeColor="text1"/>
              </w:rPr>
              <w:t>Hizmet Personeli</w:t>
            </w:r>
          </w:p>
        </w:tc>
        <w:tc>
          <w:tcPr>
            <w:tcW w:w="515" w:type="pct"/>
            <w:tcBorders>
              <w:top w:val="single" w:sz="4" w:space="0" w:color="D9D9D9"/>
              <w:left w:val="single" w:sz="4" w:space="0" w:color="D9D9D9"/>
              <w:bottom w:val="single" w:sz="4" w:space="0" w:color="D9D9D9"/>
              <w:right w:val="single" w:sz="4" w:space="0" w:color="D9D9D9"/>
            </w:tcBorders>
          </w:tcPr>
          <w:p w:rsidR="006540F6" w:rsidRPr="001C2BBC" w:rsidRDefault="006540F6" w:rsidP="006540F6">
            <w:pPr>
              <w:spacing w:after="0"/>
              <w:jc w:val="center"/>
              <w:rPr>
                <w:rFonts w:cstheme="minorHAnsi"/>
                <w:color w:val="000000" w:themeColor="text1"/>
              </w:rPr>
            </w:pPr>
            <w:r>
              <w:rPr>
                <w:rFonts w:ascii="Calibri"/>
              </w:rPr>
              <w:t>109</w:t>
            </w:r>
          </w:p>
        </w:tc>
        <w:tc>
          <w:tcPr>
            <w:tcW w:w="442" w:type="pct"/>
            <w:tcBorders>
              <w:top w:val="single" w:sz="4" w:space="0" w:color="D9D9D9"/>
              <w:left w:val="single" w:sz="4" w:space="0" w:color="D9D9D9"/>
              <w:bottom w:val="single" w:sz="4" w:space="0" w:color="D9D9D9"/>
              <w:right w:val="single" w:sz="4" w:space="0" w:color="D9D9D9"/>
            </w:tcBorders>
            <w:noWrap/>
          </w:tcPr>
          <w:p w:rsidR="006540F6" w:rsidRPr="001C2BBC" w:rsidRDefault="006540F6" w:rsidP="006540F6">
            <w:pPr>
              <w:spacing w:after="0"/>
              <w:jc w:val="center"/>
              <w:rPr>
                <w:rFonts w:cstheme="minorHAnsi"/>
                <w:color w:val="000000" w:themeColor="text1"/>
              </w:rPr>
            </w:pPr>
            <w:r>
              <w:rPr>
                <w:rFonts w:ascii="Calibri"/>
              </w:rPr>
              <w:t>109</w:t>
            </w:r>
          </w:p>
        </w:tc>
        <w:tc>
          <w:tcPr>
            <w:tcW w:w="322" w:type="pct"/>
            <w:tcBorders>
              <w:top w:val="single" w:sz="4" w:space="0" w:color="D9D9D9"/>
              <w:left w:val="single" w:sz="4" w:space="0" w:color="D9D9D9"/>
              <w:bottom w:val="single" w:sz="4" w:space="0" w:color="D9D9D9"/>
              <w:right w:val="single" w:sz="4" w:space="0" w:color="D9D9D9"/>
            </w:tcBorders>
            <w:noWrap/>
          </w:tcPr>
          <w:p w:rsidR="006540F6" w:rsidRPr="001C2BBC" w:rsidRDefault="006540F6" w:rsidP="006540F6">
            <w:pPr>
              <w:spacing w:after="0"/>
              <w:jc w:val="center"/>
              <w:rPr>
                <w:rFonts w:cstheme="minorHAnsi"/>
                <w:color w:val="000000" w:themeColor="text1"/>
              </w:rPr>
            </w:pPr>
            <w:r>
              <w:rPr>
                <w:rFonts w:ascii="Calibri"/>
              </w:rPr>
              <w:t>29</w:t>
            </w:r>
          </w:p>
        </w:tc>
        <w:tc>
          <w:tcPr>
            <w:tcW w:w="322" w:type="pct"/>
            <w:tcBorders>
              <w:top w:val="single" w:sz="4" w:space="0" w:color="D9D9D9"/>
              <w:left w:val="single" w:sz="4" w:space="0" w:color="D9D9D9"/>
              <w:bottom w:val="single" w:sz="4" w:space="0" w:color="D9D9D9"/>
              <w:right w:val="single" w:sz="4" w:space="0" w:color="D9D9D9"/>
            </w:tcBorders>
          </w:tcPr>
          <w:p w:rsidR="006540F6" w:rsidRPr="001C2BBC" w:rsidRDefault="006540F6" w:rsidP="006540F6">
            <w:pPr>
              <w:spacing w:after="0"/>
              <w:jc w:val="center"/>
              <w:rPr>
                <w:rFonts w:cstheme="minorHAnsi"/>
                <w:color w:val="000000" w:themeColor="text1"/>
              </w:rPr>
            </w:pPr>
            <w:r>
              <w:rPr>
                <w:rFonts w:ascii="Calibri"/>
              </w:rPr>
              <w:t>60</w:t>
            </w:r>
          </w:p>
        </w:tc>
        <w:tc>
          <w:tcPr>
            <w:tcW w:w="322" w:type="pct"/>
            <w:tcBorders>
              <w:top w:val="single" w:sz="4" w:space="0" w:color="D9D9D9"/>
              <w:left w:val="single" w:sz="4" w:space="0" w:color="D9D9D9"/>
              <w:bottom w:val="single" w:sz="4" w:space="0" w:color="D9D9D9"/>
              <w:right w:val="single" w:sz="4" w:space="0" w:color="D9D9D9"/>
            </w:tcBorders>
            <w:noWrap/>
          </w:tcPr>
          <w:p w:rsidR="006540F6" w:rsidRPr="001C2BBC" w:rsidRDefault="006540F6" w:rsidP="006540F6">
            <w:pPr>
              <w:spacing w:after="0"/>
              <w:jc w:val="center"/>
              <w:rPr>
                <w:rFonts w:cstheme="minorHAnsi"/>
                <w:color w:val="000000" w:themeColor="text1"/>
              </w:rPr>
            </w:pPr>
            <w:r>
              <w:rPr>
                <w:rFonts w:ascii="Calibri"/>
              </w:rPr>
              <w:t>11</w:t>
            </w:r>
          </w:p>
        </w:tc>
        <w:tc>
          <w:tcPr>
            <w:tcW w:w="322" w:type="pct"/>
            <w:tcBorders>
              <w:top w:val="single" w:sz="4" w:space="0" w:color="D9D9D9"/>
              <w:left w:val="single" w:sz="4" w:space="0" w:color="D9D9D9"/>
              <w:bottom w:val="single" w:sz="4" w:space="0" w:color="D9D9D9"/>
              <w:right w:val="single" w:sz="4" w:space="0" w:color="D9D9D9"/>
            </w:tcBorders>
            <w:noWrap/>
          </w:tcPr>
          <w:p w:rsidR="006540F6" w:rsidRPr="001C2BBC" w:rsidRDefault="006540F6" w:rsidP="006540F6">
            <w:pPr>
              <w:spacing w:after="0"/>
              <w:jc w:val="center"/>
              <w:rPr>
                <w:rFonts w:cstheme="minorHAnsi"/>
                <w:color w:val="000000" w:themeColor="text1"/>
              </w:rPr>
            </w:pPr>
            <w:r>
              <w:rPr>
                <w:rFonts w:ascii="Calibri"/>
              </w:rPr>
              <w:t>8</w:t>
            </w:r>
          </w:p>
        </w:tc>
        <w:tc>
          <w:tcPr>
            <w:tcW w:w="322" w:type="pct"/>
            <w:tcBorders>
              <w:top w:val="single" w:sz="4" w:space="0" w:color="D9D9D9"/>
              <w:left w:val="single" w:sz="4" w:space="0" w:color="D9D9D9"/>
              <w:bottom w:val="single" w:sz="4" w:space="0" w:color="D9D9D9"/>
              <w:right w:val="single" w:sz="4" w:space="0" w:color="D9D9D9"/>
            </w:tcBorders>
            <w:noWrap/>
          </w:tcPr>
          <w:p w:rsidR="006540F6" w:rsidRPr="001C2BBC" w:rsidRDefault="006540F6" w:rsidP="006540F6">
            <w:pPr>
              <w:spacing w:after="0"/>
              <w:jc w:val="center"/>
              <w:rPr>
                <w:rFonts w:cstheme="minorHAnsi"/>
                <w:color w:val="000000" w:themeColor="text1"/>
              </w:rPr>
            </w:pPr>
            <w:r>
              <w:rPr>
                <w:rFonts w:cstheme="minorHAnsi"/>
                <w:color w:val="000000" w:themeColor="text1"/>
              </w:rPr>
              <w:t>1</w:t>
            </w:r>
          </w:p>
        </w:tc>
        <w:tc>
          <w:tcPr>
            <w:tcW w:w="326" w:type="pct"/>
            <w:tcBorders>
              <w:top w:val="single" w:sz="4" w:space="0" w:color="D9D9D9"/>
              <w:left w:val="single" w:sz="4" w:space="0" w:color="D9D9D9"/>
              <w:bottom w:val="single" w:sz="4" w:space="0" w:color="D9D9D9"/>
              <w:right w:val="single" w:sz="4" w:space="0" w:color="D9D9D9"/>
            </w:tcBorders>
            <w:noWrap/>
          </w:tcPr>
          <w:p w:rsidR="006540F6" w:rsidRPr="001C2BBC" w:rsidRDefault="006540F6" w:rsidP="006540F6">
            <w:pPr>
              <w:spacing w:after="0"/>
              <w:jc w:val="center"/>
              <w:rPr>
                <w:rFonts w:cstheme="minorHAnsi"/>
                <w:color w:val="000000" w:themeColor="text1"/>
              </w:rPr>
            </w:pPr>
          </w:p>
        </w:tc>
        <w:tc>
          <w:tcPr>
            <w:tcW w:w="344" w:type="pct"/>
            <w:tcBorders>
              <w:top w:val="single" w:sz="4" w:space="0" w:color="D9D9D9"/>
              <w:left w:val="single" w:sz="4" w:space="0" w:color="D9D9D9"/>
              <w:bottom w:val="single" w:sz="4" w:space="0" w:color="D9D9D9"/>
              <w:right w:val="single" w:sz="4" w:space="0" w:color="D9D9D9"/>
            </w:tcBorders>
            <w:noWrap/>
          </w:tcPr>
          <w:p w:rsidR="006540F6" w:rsidRPr="001C2BBC" w:rsidRDefault="006540F6" w:rsidP="006540F6">
            <w:pPr>
              <w:spacing w:after="0"/>
              <w:jc w:val="center"/>
              <w:rPr>
                <w:rFonts w:cstheme="minorHAnsi"/>
                <w:color w:val="000000" w:themeColor="text1"/>
              </w:rPr>
            </w:pPr>
            <w:r>
              <w:rPr>
                <w:rFonts w:ascii="Calibri"/>
              </w:rPr>
              <w:t>47</w:t>
            </w:r>
          </w:p>
        </w:tc>
        <w:tc>
          <w:tcPr>
            <w:tcW w:w="331" w:type="pct"/>
            <w:tcBorders>
              <w:top w:val="single" w:sz="4" w:space="0" w:color="D9D9D9"/>
              <w:left w:val="single" w:sz="4" w:space="0" w:color="D9D9D9"/>
              <w:bottom w:val="single" w:sz="4" w:space="0" w:color="D9D9D9"/>
              <w:right w:val="single" w:sz="4" w:space="0" w:color="D9D9D9"/>
            </w:tcBorders>
            <w:noWrap/>
          </w:tcPr>
          <w:p w:rsidR="006540F6" w:rsidRPr="001C2BBC" w:rsidRDefault="006540F6" w:rsidP="006540F6">
            <w:pPr>
              <w:spacing w:after="0"/>
              <w:jc w:val="center"/>
              <w:rPr>
                <w:rFonts w:cstheme="minorHAnsi"/>
                <w:color w:val="000000" w:themeColor="text1"/>
              </w:rPr>
            </w:pPr>
            <w:r>
              <w:rPr>
                <w:rFonts w:ascii="Calibri"/>
              </w:rPr>
              <w:t>62</w:t>
            </w:r>
          </w:p>
        </w:tc>
      </w:tr>
      <w:tr w:rsidR="006540F6" w:rsidRPr="001C2BBC" w:rsidTr="001C2BBC">
        <w:trPr>
          <w:trHeight w:val="227"/>
          <w:jc w:val="center"/>
        </w:trPr>
        <w:tc>
          <w:tcPr>
            <w:tcW w:w="1432" w:type="pct"/>
            <w:shd w:val="clear" w:color="auto" w:fill="auto"/>
            <w:vAlign w:val="center"/>
          </w:tcPr>
          <w:p w:rsidR="006540F6" w:rsidRPr="001C2BBC" w:rsidRDefault="006540F6" w:rsidP="006540F6">
            <w:pPr>
              <w:autoSpaceDE w:val="0"/>
              <w:autoSpaceDN w:val="0"/>
              <w:adjustRightInd w:val="0"/>
              <w:spacing w:after="0" w:line="240" w:lineRule="auto"/>
              <w:rPr>
                <w:rFonts w:cstheme="minorHAnsi"/>
                <w:color w:val="000000" w:themeColor="text1"/>
              </w:rPr>
            </w:pPr>
            <w:r w:rsidRPr="001C2BBC">
              <w:rPr>
                <w:rFonts w:cstheme="minorHAnsi"/>
                <w:color w:val="000000" w:themeColor="text1"/>
              </w:rPr>
              <w:t>Şoför</w:t>
            </w:r>
          </w:p>
        </w:tc>
        <w:tc>
          <w:tcPr>
            <w:tcW w:w="515" w:type="pct"/>
            <w:tcBorders>
              <w:top w:val="single" w:sz="4" w:space="0" w:color="D9D9D9"/>
              <w:left w:val="single" w:sz="4" w:space="0" w:color="D9D9D9"/>
              <w:bottom w:val="single" w:sz="4" w:space="0" w:color="D9D9D9"/>
              <w:right w:val="single" w:sz="4" w:space="0" w:color="D9D9D9"/>
            </w:tcBorders>
          </w:tcPr>
          <w:p w:rsidR="006540F6" w:rsidRPr="001C2BBC" w:rsidRDefault="006540F6" w:rsidP="006540F6">
            <w:pPr>
              <w:spacing w:after="0"/>
              <w:jc w:val="center"/>
              <w:rPr>
                <w:rFonts w:cstheme="minorHAnsi"/>
                <w:color w:val="000000" w:themeColor="text1"/>
              </w:rPr>
            </w:pPr>
            <w:r w:rsidRPr="001C2BBC">
              <w:rPr>
                <w:rFonts w:ascii="Calibri"/>
              </w:rPr>
              <w:t>1</w:t>
            </w:r>
          </w:p>
        </w:tc>
        <w:tc>
          <w:tcPr>
            <w:tcW w:w="442" w:type="pct"/>
            <w:tcBorders>
              <w:top w:val="single" w:sz="4" w:space="0" w:color="D9D9D9"/>
              <w:left w:val="single" w:sz="4" w:space="0" w:color="D9D9D9"/>
              <w:bottom w:val="single" w:sz="4" w:space="0" w:color="D9D9D9"/>
              <w:right w:val="single" w:sz="4" w:space="0" w:color="D9D9D9"/>
            </w:tcBorders>
            <w:noWrap/>
          </w:tcPr>
          <w:p w:rsidR="006540F6" w:rsidRPr="001C2BBC" w:rsidRDefault="006540F6" w:rsidP="006540F6">
            <w:pPr>
              <w:spacing w:after="0"/>
              <w:jc w:val="center"/>
              <w:rPr>
                <w:rFonts w:cstheme="minorHAnsi"/>
                <w:color w:val="000000" w:themeColor="text1"/>
              </w:rPr>
            </w:pPr>
            <w:r w:rsidRPr="001C2BBC">
              <w:rPr>
                <w:rFonts w:ascii="Calibri"/>
              </w:rPr>
              <w:t>1</w:t>
            </w:r>
          </w:p>
        </w:tc>
        <w:tc>
          <w:tcPr>
            <w:tcW w:w="322" w:type="pct"/>
            <w:tcBorders>
              <w:top w:val="single" w:sz="4" w:space="0" w:color="D9D9D9"/>
              <w:left w:val="single" w:sz="4" w:space="0" w:color="D9D9D9"/>
              <w:bottom w:val="single" w:sz="4" w:space="0" w:color="D9D9D9"/>
              <w:right w:val="single" w:sz="4" w:space="0" w:color="D9D9D9"/>
            </w:tcBorders>
            <w:noWrap/>
          </w:tcPr>
          <w:p w:rsidR="006540F6" w:rsidRPr="001C2BBC" w:rsidRDefault="006540F6" w:rsidP="006540F6">
            <w:pPr>
              <w:spacing w:after="0"/>
              <w:jc w:val="center"/>
              <w:rPr>
                <w:rFonts w:cstheme="minorHAnsi"/>
                <w:color w:val="000000" w:themeColor="text1"/>
              </w:rPr>
            </w:pPr>
            <w:r w:rsidRPr="001C2BBC">
              <w:rPr>
                <w:rFonts w:ascii="Calibri"/>
              </w:rPr>
              <w:t>1</w:t>
            </w:r>
          </w:p>
        </w:tc>
        <w:tc>
          <w:tcPr>
            <w:tcW w:w="322" w:type="pct"/>
            <w:tcBorders>
              <w:top w:val="single" w:sz="4" w:space="0" w:color="D9D9D9"/>
              <w:left w:val="single" w:sz="4" w:space="0" w:color="D9D9D9"/>
              <w:bottom w:val="single" w:sz="4" w:space="0" w:color="D9D9D9"/>
              <w:right w:val="single" w:sz="4" w:space="0" w:color="D9D9D9"/>
            </w:tcBorders>
          </w:tcPr>
          <w:p w:rsidR="006540F6" w:rsidRPr="001C2BBC" w:rsidRDefault="006540F6" w:rsidP="006540F6">
            <w:pPr>
              <w:spacing w:after="0"/>
              <w:jc w:val="center"/>
              <w:rPr>
                <w:rFonts w:cstheme="minorHAnsi"/>
                <w:color w:val="000000" w:themeColor="text1"/>
              </w:rPr>
            </w:pPr>
          </w:p>
        </w:tc>
        <w:tc>
          <w:tcPr>
            <w:tcW w:w="322" w:type="pct"/>
            <w:tcBorders>
              <w:top w:val="single" w:sz="4" w:space="0" w:color="D9D9D9"/>
              <w:left w:val="single" w:sz="4" w:space="0" w:color="D9D9D9"/>
              <w:bottom w:val="single" w:sz="4" w:space="0" w:color="D9D9D9"/>
              <w:right w:val="single" w:sz="4" w:space="0" w:color="D9D9D9"/>
            </w:tcBorders>
            <w:noWrap/>
          </w:tcPr>
          <w:p w:rsidR="006540F6" w:rsidRPr="001C2BBC" w:rsidRDefault="006540F6" w:rsidP="006540F6">
            <w:pPr>
              <w:spacing w:after="0"/>
              <w:jc w:val="center"/>
              <w:rPr>
                <w:rFonts w:cstheme="minorHAnsi"/>
                <w:color w:val="000000" w:themeColor="text1"/>
              </w:rPr>
            </w:pPr>
          </w:p>
        </w:tc>
        <w:tc>
          <w:tcPr>
            <w:tcW w:w="322" w:type="pct"/>
            <w:tcBorders>
              <w:top w:val="single" w:sz="4" w:space="0" w:color="D9D9D9"/>
              <w:left w:val="single" w:sz="4" w:space="0" w:color="D9D9D9"/>
              <w:bottom w:val="single" w:sz="4" w:space="0" w:color="D9D9D9"/>
              <w:right w:val="single" w:sz="4" w:space="0" w:color="D9D9D9"/>
            </w:tcBorders>
            <w:noWrap/>
          </w:tcPr>
          <w:p w:rsidR="006540F6" w:rsidRPr="001C2BBC" w:rsidRDefault="006540F6" w:rsidP="006540F6">
            <w:pPr>
              <w:spacing w:after="0"/>
              <w:jc w:val="center"/>
              <w:rPr>
                <w:rFonts w:cstheme="minorHAnsi"/>
                <w:color w:val="000000" w:themeColor="text1"/>
              </w:rPr>
            </w:pPr>
          </w:p>
        </w:tc>
        <w:tc>
          <w:tcPr>
            <w:tcW w:w="322" w:type="pct"/>
            <w:tcBorders>
              <w:top w:val="single" w:sz="4" w:space="0" w:color="D9D9D9"/>
              <w:left w:val="single" w:sz="4" w:space="0" w:color="D9D9D9"/>
              <w:bottom w:val="single" w:sz="4" w:space="0" w:color="D9D9D9"/>
              <w:right w:val="single" w:sz="4" w:space="0" w:color="D9D9D9"/>
            </w:tcBorders>
            <w:noWrap/>
          </w:tcPr>
          <w:p w:rsidR="006540F6" w:rsidRPr="001C2BBC" w:rsidRDefault="006540F6" w:rsidP="006540F6">
            <w:pPr>
              <w:spacing w:after="0"/>
              <w:jc w:val="center"/>
              <w:rPr>
                <w:rFonts w:cstheme="minorHAnsi"/>
                <w:color w:val="000000" w:themeColor="text1"/>
              </w:rPr>
            </w:pPr>
          </w:p>
        </w:tc>
        <w:tc>
          <w:tcPr>
            <w:tcW w:w="326" w:type="pct"/>
            <w:tcBorders>
              <w:top w:val="single" w:sz="4" w:space="0" w:color="D9D9D9"/>
              <w:left w:val="single" w:sz="4" w:space="0" w:color="D9D9D9"/>
              <w:bottom w:val="single" w:sz="4" w:space="0" w:color="D9D9D9"/>
              <w:right w:val="single" w:sz="4" w:space="0" w:color="D9D9D9"/>
            </w:tcBorders>
            <w:noWrap/>
          </w:tcPr>
          <w:p w:rsidR="006540F6" w:rsidRPr="001C2BBC" w:rsidRDefault="006540F6" w:rsidP="006540F6">
            <w:pPr>
              <w:spacing w:after="0"/>
              <w:jc w:val="center"/>
              <w:rPr>
                <w:rFonts w:cstheme="minorHAnsi"/>
                <w:color w:val="000000" w:themeColor="text1"/>
              </w:rPr>
            </w:pPr>
          </w:p>
        </w:tc>
        <w:tc>
          <w:tcPr>
            <w:tcW w:w="344" w:type="pct"/>
            <w:tcBorders>
              <w:top w:val="single" w:sz="4" w:space="0" w:color="D9D9D9"/>
              <w:left w:val="single" w:sz="4" w:space="0" w:color="D9D9D9"/>
              <w:bottom w:val="single" w:sz="4" w:space="0" w:color="D9D9D9"/>
              <w:right w:val="single" w:sz="4" w:space="0" w:color="D9D9D9"/>
            </w:tcBorders>
            <w:noWrap/>
          </w:tcPr>
          <w:p w:rsidR="006540F6" w:rsidRPr="001C2BBC" w:rsidRDefault="006540F6" w:rsidP="006540F6">
            <w:pPr>
              <w:spacing w:after="0"/>
              <w:jc w:val="center"/>
              <w:rPr>
                <w:rFonts w:cstheme="minorHAnsi"/>
                <w:color w:val="000000" w:themeColor="text1"/>
              </w:rPr>
            </w:pPr>
          </w:p>
        </w:tc>
        <w:tc>
          <w:tcPr>
            <w:tcW w:w="331" w:type="pct"/>
            <w:tcBorders>
              <w:top w:val="single" w:sz="4" w:space="0" w:color="D9D9D9"/>
              <w:left w:val="single" w:sz="4" w:space="0" w:color="D9D9D9"/>
              <w:bottom w:val="single" w:sz="4" w:space="0" w:color="D9D9D9"/>
              <w:right w:val="single" w:sz="4" w:space="0" w:color="D9D9D9"/>
            </w:tcBorders>
            <w:noWrap/>
          </w:tcPr>
          <w:p w:rsidR="006540F6" w:rsidRPr="001C2BBC" w:rsidRDefault="006540F6" w:rsidP="006540F6">
            <w:pPr>
              <w:spacing w:after="0"/>
              <w:jc w:val="center"/>
              <w:rPr>
                <w:rFonts w:cstheme="minorHAnsi"/>
                <w:color w:val="000000" w:themeColor="text1"/>
              </w:rPr>
            </w:pPr>
            <w:r w:rsidRPr="001C2BBC">
              <w:rPr>
                <w:rFonts w:ascii="Calibri"/>
              </w:rPr>
              <w:t>1</w:t>
            </w:r>
          </w:p>
        </w:tc>
      </w:tr>
      <w:tr w:rsidR="006540F6" w:rsidRPr="00E41857" w:rsidTr="001C2BBC">
        <w:trPr>
          <w:trHeight w:val="227"/>
          <w:jc w:val="center"/>
        </w:trPr>
        <w:tc>
          <w:tcPr>
            <w:tcW w:w="1432" w:type="pct"/>
            <w:shd w:val="clear" w:color="auto" w:fill="auto"/>
            <w:vAlign w:val="center"/>
          </w:tcPr>
          <w:p w:rsidR="006540F6" w:rsidRPr="001C2BBC" w:rsidRDefault="006540F6" w:rsidP="006540F6">
            <w:pPr>
              <w:spacing w:after="0"/>
              <w:rPr>
                <w:rFonts w:cstheme="minorHAnsi"/>
                <w:b/>
                <w:bCs/>
                <w:color w:val="000000" w:themeColor="text1"/>
              </w:rPr>
            </w:pPr>
            <w:bookmarkStart w:id="471" w:name="_Hlk316290464"/>
            <w:r w:rsidRPr="001C2BBC">
              <w:rPr>
                <w:rFonts w:cstheme="minorHAnsi"/>
                <w:b/>
                <w:bCs/>
                <w:color w:val="000000" w:themeColor="text1"/>
              </w:rPr>
              <w:t>TOPLAM</w:t>
            </w:r>
          </w:p>
        </w:tc>
        <w:tc>
          <w:tcPr>
            <w:tcW w:w="515" w:type="pct"/>
            <w:tcBorders>
              <w:top w:val="single" w:sz="4" w:space="0" w:color="D9D9D9"/>
              <w:left w:val="single" w:sz="4" w:space="0" w:color="D9D9D9"/>
              <w:bottom w:val="single" w:sz="4" w:space="0" w:color="D9D9D9"/>
              <w:right w:val="single" w:sz="4" w:space="0" w:color="D9D9D9"/>
            </w:tcBorders>
          </w:tcPr>
          <w:p w:rsidR="006540F6" w:rsidRPr="001C2BBC" w:rsidRDefault="006540F6" w:rsidP="006540F6">
            <w:pPr>
              <w:spacing w:after="0"/>
              <w:jc w:val="center"/>
              <w:rPr>
                <w:rFonts w:cstheme="minorHAnsi"/>
                <w:b/>
                <w:color w:val="000000" w:themeColor="text1"/>
              </w:rPr>
            </w:pPr>
            <w:r>
              <w:rPr>
                <w:rFonts w:ascii="Calibri"/>
                <w:b/>
              </w:rPr>
              <w:t>216</w:t>
            </w:r>
          </w:p>
        </w:tc>
        <w:tc>
          <w:tcPr>
            <w:tcW w:w="442" w:type="pct"/>
            <w:tcBorders>
              <w:top w:val="single" w:sz="4" w:space="0" w:color="D9D9D9"/>
              <w:left w:val="single" w:sz="4" w:space="0" w:color="D9D9D9"/>
              <w:bottom w:val="single" w:sz="4" w:space="0" w:color="D9D9D9"/>
              <w:right w:val="single" w:sz="4" w:space="0" w:color="D9D9D9"/>
            </w:tcBorders>
            <w:noWrap/>
          </w:tcPr>
          <w:p w:rsidR="006540F6" w:rsidRPr="001C2BBC" w:rsidRDefault="006540F6" w:rsidP="006540F6">
            <w:pPr>
              <w:spacing w:after="0"/>
              <w:jc w:val="center"/>
              <w:rPr>
                <w:rFonts w:cstheme="minorHAnsi"/>
                <w:b/>
                <w:color w:val="000000" w:themeColor="text1"/>
              </w:rPr>
            </w:pPr>
            <w:r>
              <w:rPr>
                <w:rFonts w:ascii="Calibri"/>
                <w:b/>
              </w:rPr>
              <w:t>216</w:t>
            </w:r>
          </w:p>
        </w:tc>
        <w:tc>
          <w:tcPr>
            <w:tcW w:w="322" w:type="pct"/>
            <w:tcBorders>
              <w:top w:val="single" w:sz="4" w:space="0" w:color="D9D9D9"/>
              <w:left w:val="single" w:sz="4" w:space="0" w:color="D9D9D9"/>
              <w:bottom w:val="single" w:sz="4" w:space="0" w:color="D9D9D9"/>
              <w:right w:val="single" w:sz="4" w:space="0" w:color="D9D9D9"/>
            </w:tcBorders>
            <w:noWrap/>
          </w:tcPr>
          <w:p w:rsidR="006540F6" w:rsidRPr="001C2BBC" w:rsidRDefault="006540F6" w:rsidP="006540F6">
            <w:pPr>
              <w:spacing w:after="0"/>
              <w:jc w:val="center"/>
              <w:rPr>
                <w:rFonts w:cstheme="minorHAnsi"/>
                <w:b/>
                <w:color w:val="000000" w:themeColor="text1"/>
              </w:rPr>
            </w:pPr>
            <w:r>
              <w:rPr>
                <w:rFonts w:ascii="Calibri"/>
                <w:b/>
              </w:rPr>
              <w:t>30</w:t>
            </w:r>
          </w:p>
        </w:tc>
        <w:tc>
          <w:tcPr>
            <w:tcW w:w="322" w:type="pct"/>
            <w:tcBorders>
              <w:top w:val="single" w:sz="4" w:space="0" w:color="D9D9D9"/>
              <w:left w:val="single" w:sz="4" w:space="0" w:color="D9D9D9"/>
              <w:bottom w:val="single" w:sz="4" w:space="0" w:color="D9D9D9"/>
              <w:right w:val="single" w:sz="4" w:space="0" w:color="D9D9D9"/>
            </w:tcBorders>
          </w:tcPr>
          <w:p w:rsidR="006540F6" w:rsidRPr="001C2BBC" w:rsidRDefault="006540F6" w:rsidP="006540F6">
            <w:pPr>
              <w:spacing w:after="0"/>
              <w:jc w:val="center"/>
              <w:rPr>
                <w:rFonts w:cstheme="minorHAnsi"/>
                <w:b/>
                <w:color w:val="000000" w:themeColor="text1"/>
              </w:rPr>
            </w:pPr>
            <w:r>
              <w:rPr>
                <w:rFonts w:ascii="Calibri"/>
                <w:b/>
              </w:rPr>
              <w:t>118</w:t>
            </w:r>
          </w:p>
        </w:tc>
        <w:tc>
          <w:tcPr>
            <w:tcW w:w="322" w:type="pct"/>
            <w:tcBorders>
              <w:top w:val="single" w:sz="4" w:space="0" w:color="D9D9D9"/>
              <w:left w:val="single" w:sz="4" w:space="0" w:color="D9D9D9"/>
              <w:bottom w:val="single" w:sz="4" w:space="0" w:color="D9D9D9"/>
              <w:right w:val="single" w:sz="4" w:space="0" w:color="D9D9D9"/>
            </w:tcBorders>
            <w:noWrap/>
          </w:tcPr>
          <w:p w:rsidR="006540F6" w:rsidRPr="001C2BBC" w:rsidRDefault="006540F6" w:rsidP="006540F6">
            <w:pPr>
              <w:spacing w:after="0"/>
              <w:jc w:val="center"/>
              <w:rPr>
                <w:rFonts w:cstheme="minorHAnsi"/>
                <w:b/>
                <w:color w:val="000000" w:themeColor="text1"/>
              </w:rPr>
            </w:pPr>
            <w:r>
              <w:rPr>
                <w:rFonts w:ascii="Calibri"/>
                <w:b/>
              </w:rPr>
              <w:t>25</w:t>
            </w:r>
          </w:p>
        </w:tc>
        <w:tc>
          <w:tcPr>
            <w:tcW w:w="322" w:type="pct"/>
            <w:tcBorders>
              <w:top w:val="single" w:sz="4" w:space="0" w:color="D9D9D9"/>
              <w:left w:val="single" w:sz="4" w:space="0" w:color="D9D9D9"/>
              <w:bottom w:val="single" w:sz="4" w:space="0" w:color="D9D9D9"/>
              <w:right w:val="single" w:sz="4" w:space="0" w:color="D9D9D9"/>
            </w:tcBorders>
            <w:noWrap/>
          </w:tcPr>
          <w:p w:rsidR="006540F6" w:rsidRPr="001C2BBC" w:rsidRDefault="006540F6" w:rsidP="006540F6">
            <w:pPr>
              <w:spacing w:after="0"/>
              <w:jc w:val="center"/>
              <w:rPr>
                <w:rFonts w:cstheme="minorHAnsi"/>
                <w:b/>
                <w:color w:val="000000" w:themeColor="text1"/>
              </w:rPr>
            </w:pPr>
            <w:r>
              <w:rPr>
                <w:rFonts w:ascii="Calibri"/>
                <w:b/>
              </w:rPr>
              <w:t>42</w:t>
            </w:r>
          </w:p>
        </w:tc>
        <w:tc>
          <w:tcPr>
            <w:tcW w:w="322" w:type="pct"/>
            <w:tcBorders>
              <w:top w:val="single" w:sz="4" w:space="0" w:color="D9D9D9"/>
              <w:left w:val="single" w:sz="4" w:space="0" w:color="D9D9D9"/>
              <w:bottom w:val="single" w:sz="4" w:space="0" w:color="D9D9D9"/>
              <w:right w:val="single" w:sz="4" w:space="0" w:color="D9D9D9"/>
            </w:tcBorders>
            <w:noWrap/>
          </w:tcPr>
          <w:p w:rsidR="006540F6" w:rsidRPr="001C2BBC" w:rsidRDefault="006540F6" w:rsidP="006540F6">
            <w:pPr>
              <w:spacing w:after="0"/>
              <w:jc w:val="center"/>
              <w:rPr>
                <w:rFonts w:cstheme="minorHAnsi"/>
                <w:b/>
                <w:color w:val="000000" w:themeColor="text1"/>
              </w:rPr>
            </w:pPr>
            <w:r>
              <w:rPr>
                <w:rFonts w:cstheme="minorHAnsi"/>
                <w:b/>
                <w:color w:val="000000" w:themeColor="text1"/>
              </w:rPr>
              <w:t>1</w:t>
            </w:r>
          </w:p>
        </w:tc>
        <w:tc>
          <w:tcPr>
            <w:tcW w:w="326" w:type="pct"/>
            <w:tcBorders>
              <w:top w:val="single" w:sz="4" w:space="0" w:color="D9D9D9"/>
              <w:left w:val="single" w:sz="4" w:space="0" w:color="D9D9D9"/>
              <w:bottom w:val="single" w:sz="4" w:space="0" w:color="D9D9D9"/>
              <w:right w:val="single" w:sz="4" w:space="0" w:color="D9D9D9"/>
            </w:tcBorders>
            <w:noWrap/>
          </w:tcPr>
          <w:p w:rsidR="006540F6" w:rsidRPr="001C2BBC" w:rsidRDefault="006540F6" w:rsidP="006540F6">
            <w:pPr>
              <w:spacing w:after="0"/>
              <w:jc w:val="center"/>
              <w:rPr>
                <w:rFonts w:cstheme="minorHAnsi"/>
                <w:b/>
                <w:color w:val="000000" w:themeColor="text1"/>
              </w:rPr>
            </w:pPr>
          </w:p>
        </w:tc>
        <w:tc>
          <w:tcPr>
            <w:tcW w:w="344" w:type="pct"/>
            <w:tcBorders>
              <w:top w:val="single" w:sz="4" w:space="0" w:color="D9D9D9"/>
              <w:left w:val="single" w:sz="4" w:space="0" w:color="D9D9D9"/>
              <w:bottom w:val="single" w:sz="4" w:space="0" w:color="D9D9D9"/>
              <w:right w:val="single" w:sz="4" w:space="0" w:color="D9D9D9"/>
            </w:tcBorders>
            <w:noWrap/>
          </w:tcPr>
          <w:p w:rsidR="006540F6" w:rsidRPr="001C2BBC" w:rsidRDefault="006540F6" w:rsidP="006540F6">
            <w:pPr>
              <w:spacing w:after="0"/>
              <w:jc w:val="center"/>
              <w:rPr>
                <w:rFonts w:cstheme="minorHAnsi"/>
                <w:b/>
                <w:color w:val="000000" w:themeColor="text1"/>
              </w:rPr>
            </w:pPr>
            <w:r>
              <w:rPr>
                <w:rFonts w:ascii="Calibri"/>
                <w:b/>
              </w:rPr>
              <w:t>90</w:t>
            </w:r>
          </w:p>
        </w:tc>
        <w:tc>
          <w:tcPr>
            <w:tcW w:w="331" w:type="pct"/>
            <w:tcBorders>
              <w:top w:val="single" w:sz="4" w:space="0" w:color="D9D9D9"/>
              <w:left w:val="single" w:sz="4" w:space="0" w:color="D9D9D9"/>
              <w:bottom w:val="single" w:sz="4" w:space="0" w:color="D9D9D9"/>
              <w:right w:val="single" w:sz="4" w:space="0" w:color="D9D9D9"/>
            </w:tcBorders>
            <w:noWrap/>
          </w:tcPr>
          <w:p w:rsidR="006540F6" w:rsidRPr="00E41857" w:rsidRDefault="006540F6" w:rsidP="006540F6">
            <w:pPr>
              <w:spacing w:after="0"/>
              <w:jc w:val="center"/>
              <w:rPr>
                <w:rFonts w:cstheme="minorHAnsi"/>
                <w:b/>
                <w:color w:val="000000" w:themeColor="text1"/>
              </w:rPr>
            </w:pPr>
            <w:r>
              <w:rPr>
                <w:rFonts w:ascii="Calibri"/>
                <w:b/>
              </w:rPr>
              <w:t>126</w:t>
            </w:r>
          </w:p>
        </w:tc>
      </w:tr>
    </w:tbl>
    <w:p w:rsidR="005747D2" w:rsidRPr="00E9291A" w:rsidRDefault="005747D2" w:rsidP="00045A80">
      <w:pPr>
        <w:pStyle w:val="Balk2"/>
        <w:numPr>
          <w:ilvl w:val="1"/>
          <w:numId w:val="11"/>
        </w:numPr>
        <w:spacing w:before="120" w:after="120" w:line="240" w:lineRule="auto"/>
        <w:ind w:left="357" w:hanging="357"/>
        <w:rPr>
          <w:rFonts w:asciiTheme="minorHAnsi" w:hAnsiTheme="minorHAnsi"/>
          <w:color w:val="000000" w:themeColor="text1"/>
          <w:sz w:val="22"/>
          <w:szCs w:val="22"/>
        </w:rPr>
      </w:pPr>
      <w:bookmarkStart w:id="472" w:name="_Toc132713875"/>
      <w:bookmarkEnd w:id="470"/>
      <w:bookmarkEnd w:id="471"/>
      <w:r w:rsidRPr="00E9291A">
        <w:rPr>
          <w:rFonts w:asciiTheme="minorHAnsi" w:hAnsiTheme="minorHAnsi"/>
          <w:color w:val="000000" w:themeColor="text1"/>
          <w:sz w:val="22"/>
          <w:szCs w:val="22"/>
        </w:rPr>
        <w:lastRenderedPageBreak/>
        <w:t>Eğitim Faaliyetleri</w:t>
      </w:r>
      <w:bookmarkEnd w:id="467"/>
      <w:bookmarkEnd w:id="472"/>
    </w:p>
    <w:p w:rsidR="0072201B" w:rsidRPr="00E9291A" w:rsidRDefault="0072201B" w:rsidP="0072201B">
      <w:pPr>
        <w:spacing w:after="240"/>
      </w:pPr>
      <w:r w:rsidRPr="00E9291A">
        <w:t xml:space="preserve">Bu bölümde Kurum personeline yönelik eğitim faaliyetleri ile Kurumda staj yapan kişilere ait bilgiler yer almaktadır. Müteakip sayfalarda yer alan tablolardan da anlaşılacağı üzere Kurum, eğitim faaliyetleri için </w:t>
      </w:r>
      <w:r>
        <w:t>önemli</w:t>
      </w:r>
      <w:r w:rsidRPr="00E9291A">
        <w:t xml:space="preserve"> zaman ve mali kaynak ayırmaktadır.</w:t>
      </w:r>
    </w:p>
    <w:p w:rsidR="00433748" w:rsidRDefault="0072201B" w:rsidP="00433748">
      <w:pPr>
        <w:pStyle w:val="Balk3"/>
        <w:numPr>
          <w:ilvl w:val="2"/>
          <w:numId w:val="11"/>
        </w:numPr>
        <w:spacing w:before="0" w:after="240"/>
        <w:rPr>
          <w:rFonts w:asciiTheme="minorHAnsi" w:hAnsiTheme="minorHAnsi"/>
          <w:color w:val="000000" w:themeColor="text1"/>
        </w:rPr>
      </w:pPr>
      <w:bookmarkStart w:id="473" w:name="_Toc442431328"/>
      <w:bookmarkStart w:id="474" w:name="_Toc132713876"/>
      <w:r w:rsidRPr="00E9291A">
        <w:rPr>
          <w:rFonts w:asciiTheme="minorHAnsi" w:hAnsiTheme="minorHAnsi"/>
          <w:color w:val="000000" w:themeColor="text1"/>
        </w:rPr>
        <w:t>Hizmet içi Eğitim Faaliyetleri</w:t>
      </w:r>
      <w:bookmarkEnd w:id="473"/>
      <w:bookmarkEnd w:id="474"/>
    </w:p>
    <w:p w:rsidR="00433748" w:rsidRDefault="00433748" w:rsidP="0035089D">
      <w:pPr>
        <w:pStyle w:val="Balk5"/>
        <w:spacing w:before="0" w:after="240"/>
        <w:jc w:val="center"/>
        <w:rPr>
          <w:rFonts w:asciiTheme="minorHAnsi" w:hAnsiTheme="minorHAnsi"/>
          <w:b/>
          <w:color w:val="auto"/>
        </w:rPr>
      </w:pPr>
      <w:bookmarkStart w:id="475" w:name="_Toc129192026"/>
      <w:bookmarkStart w:id="476" w:name="_Toc132713975"/>
      <w:bookmarkStart w:id="477" w:name="_Toc416447628"/>
      <w:bookmarkStart w:id="478" w:name="_Toc442441779"/>
      <w:bookmarkStart w:id="479" w:name="_Toc442431329"/>
      <w:r w:rsidRPr="00E9291A">
        <w:rPr>
          <w:rFonts w:asciiTheme="minorHAnsi" w:hAnsiTheme="minorHAnsi"/>
          <w:b/>
          <w:color w:val="auto"/>
        </w:rPr>
        <w:t xml:space="preserve">Tablo </w:t>
      </w:r>
      <w:r w:rsidRPr="00FA1354">
        <w:rPr>
          <w:rFonts w:asciiTheme="minorHAnsi" w:hAnsiTheme="minorHAnsi"/>
          <w:b/>
          <w:color w:val="auto"/>
        </w:rPr>
        <w:t>1</w:t>
      </w:r>
      <w:r>
        <w:rPr>
          <w:rFonts w:asciiTheme="minorHAnsi" w:hAnsiTheme="minorHAnsi"/>
          <w:b/>
          <w:color w:val="auto"/>
        </w:rPr>
        <w:t>3</w:t>
      </w:r>
      <w:r w:rsidRPr="00FA1354">
        <w:rPr>
          <w:rFonts w:asciiTheme="minorHAnsi" w:hAnsiTheme="minorHAnsi"/>
          <w:b/>
          <w:color w:val="auto"/>
        </w:rPr>
        <w:t>.</w:t>
      </w:r>
      <w:r>
        <w:rPr>
          <w:rFonts w:asciiTheme="minorHAnsi" w:hAnsiTheme="minorHAnsi"/>
          <w:b/>
          <w:color w:val="auto"/>
        </w:rPr>
        <w:t>7</w:t>
      </w:r>
      <w:r w:rsidRPr="00FA1354">
        <w:rPr>
          <w:rFonts w:asciiTheme="minorHAnsi" w:hAnsiTheme="minorHAnsi"/>
          <w:b/>
          <w:color w:val="auto"/>
        </w:rPr>
        <w:t>: 202</w:t>
      </w:r>
      <w:r>
        <w:rPr>
          <w:rFonts w:asciiTheme="minorHAnsi" w:hAnsiTheme="minorHAnsi"/>
          <w:b/>
          <w:color w:val="auto"/>
        </w:rPr>
        <w:t>2</w:t>
      </w:r>
      <w:r w:rsidRPr="00FA1354">
        <w:rPr>
          <w:rFonts w:asciiTheme="minorHAnsi" w:hAnsiTheme="minorHAnsi"/>
          <w:b/>
          <w:color w:val="auto"/>
        </w:rPr>
        <w:t xml:space="preserve"> Yılında Yapılan Hizmet İçi Eğitim Faaliyetleri</w:t>
      </w:r>
      <w:bookmarkEnd w:id="475"/>
      <w:bookmarkEnd w:id="476"/>
      <w:r w:rsidRPr="00E9291A">
        <w:rPr>
          <w:rFonts w:asciiTheme="minorHAnsi" w:hAnsiTheme="minorHAnsi"/>
          <w:b/>
          <w:color w:val="auto"/>
        </w:rPr>
        <w:t xml:space="preserve"> </w:t>
      </w:r>
      <w:bookmarkEnd w:id="477"/>
      <w:bookmarkEnd w:id="478"/>
    </w:p>
    <w:tbl>
      <w:tblPr>
        <w:tblW w:w="5030"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02"/>
        <w:gridCol w:w="4136"/>
        <w:gridCol w:w="2132"/>
      </w:tblGrid>
      <w:tr w:rsidR="00433748" w:rsidRPr="001614E6" w:rsidTr="0035089D">
        <w:trPr>
          <w:cantSplit/>
          <w:trHeight w:val="395"/>
          <w:tblHeader/>
          <w:jc w:val="center"/>
        </w:trPr>
        <w:tc>
          <w:tcPr>
            <w:tcW w:w="1857" w:type="pct"/>
            <w:shd w:val="clear" w:color="auto" w:fill="6E9ECA"/>
            <w:vAlign w:val="center"/>
          </w:tcPr>
          <w:p w:rsidR="00433748" w:rsidRPr="001614E6" w:rsidRDefault="00433748" w:rsidP="00561D09">
            <w:pPr>
              <w:jc w:val="center"/>
              <w:rPr>
                <w:rFonts w:ascii="Calibri" w:hAnsi="Calibri" w:cs="Calibri"/>
                <w:b/>
                <w:color w:val="FFFFFF"/>
              </w:rPr>
            </w:pPr>
            <w:r w:rsidRPr="001614E6">
              <w:rPr>
                <w:rFonts w:ascii="Calibri" w:hAnsi="Calibri" w:cs="Calibri"/>
                <w:b/>
                <w:color w:val="FFFFFF"/>
              </w:rPr>
              <w:t>Eğitim Veren Kurum veya Kuruluş</w:t>
            </w:r>
          </w:p>
        </w:tc>
        <w:tc>
          <w:tcPr>
            <w:tcW w:w="2074" w:type="pct"/>
            <w:shd w:val="clear" w:color="auto" w:fill="6E9ECA"/>
            <w:vAlign w:val="center"/>
          </w:tcPr>
          <w:p w:rsidR="00433748" w:rsidRPr="001614E6" w:rsidRDefault="00433748" w:rsidP="00561D09">
            <w:pPr>
              <w:jc w:val="center"/>
              <w:rPr>
                <w:rFonts w:ascii="Calibri" w:hAnsi="Calibri" w:cs="Calibri"/>
                <w:b/>
                <w:color w:val="FFFFFF"/>
              </w:rPr>
            </w:pPr>
            <w:r w:rsidRPr="001614E6">
              <w:rPr>
                <w:rFonts w:ascii="Calibri" w:hAnsi="Calibri" w:cs="Calibri"/>
                <w:b/>
                <w:color w:val="FFFFFF"/>
              </w:rPr>
              <w:t>Eğitimin Adı</w:t>
            </w:r>
          </w:p>
        </w:tc>
        <w:tc>
          <w:tcPr>
            <w:tcW w:w="1069" w:type="pct"/>
            <w:shd w:val="clear" w:color="auto" w:fill="6E9ECA"/>
            <w:vAlign w:val="center"/>
          </w:tcPr>
          <w:p w:rsidR="00433748" w:rsidRPr="001614E6" w:rsidRDefault="00433748" w:rsidP="00561D09">
            <w:pPr>
              <w:jc w:val="center"/>
              <w:rPr>
                <w:rFonts w:ascii="Calibri" w:hAnsi="Calibri" w:cs="Calibri"/>
                <w:b/>
                <w:color w:val="FFFFFF"/>
              </w:rPr>
            </w:pPr>
            <w:r w:rsidRPr="001614E6">
              <w:rPr>
                <w:rFonts w:ascii="Calibri" w:hAnsi="Calibri" w:cs="Calibri"/>
                <w:b/>
                <w:color w:val="FFFFFF"/>
              </w:rPr>
              <w:t>Katılan Kişi Sayısı</w:t>
            </w:r>
          </w:p>
        </w:tc>
      </w:tr>
      <w:tr w:rsidR="00433748" w:rsidRPr="001614E6" w:rsidTr="0035089D">
        <w:trPr>
          <w:cantSplit/>
          <w:trHeight w:val="199"/>
          <w:jc w:val="center"/>
        </w:trPr>
        <w:tc>
          <w:tcPr>
            <w:tcW w:w="1857" w:type="pct"/>
          </w:tcPr>
          <w:p w:rsidR="00433748" w:rsidRPr="00B91FC8" w:rsidRDefault="00433748" w:rsidP="00561D09">
            <w:pPr>
              <w:rPr>
                <w:rFonts w:ascii="Calibri" w:hAnsi="Calibri" w:cs="Calibri"/>
              </w:rPr>
            </w:pPr>
            <w:r w:rsidRPr="00B91FC8">
              <w:rPr>
                <w:rFonts w:ascii="Calibri" w:hAnsi="Calibri" w:cs="Calibri"/>
              </w:rPr>
              <w:t>Banka Ve Ticaret Hukuku Araştırma Enstitüsü</w:t>
            </w:r>
          </w:p>
        </w:tc>
        <w:tc>
          <w:tcPr>
            <w:tcW w:w="2074" w:type="pct"/>
          </w:tcPr>
          <w:p w:rsidR="00433748" w:rsidRPr="00B91FC8" w:rsidRDefault="00433748" w:rsidP="00561D09">
            <w:pPr>
              <w:rPr>
                <w:rFonts w:ascii="Calibri" w:hAnsi="Calibri" w:cs="Calibri"/>
              </w:rPr>
            </w:pPr>
            <w:r w:rsidRPr="00B91FC8">
              <w:rPr>
                <w:rFonts w:ascii="Calibri" w:hAnsi="Calibri" w:cs="Calibri"/>
              </w:rPr>
              <w:t>Ekonomi Ve Ticaret Hukuku Sertifika Programı</w:t>
            </w:r>
          </w:p>
        </w:tc>
        <w:tc>
          <w:tcPr>
            <w:tcW w:w="1069" w:type="pct"/>
          </w:tcPr>
          <w:p w:rsidR="00433748" w:rsidRPr="00B91FC8" w:rsidRDefault="00433748" w:rsidP="00561D09">
            <w:pPr>
              <w:jc w:val="center"/>
              <w:rPr>
                <w:rFonts w:ascii="Calibri" w:hAnsi="Calibri" w:cs="Calibri"/>
              </w:rPr>
            </w:pPr>
            <w:r w:rsidRPr="00B91FC8">
              <w:rPr>
                <w:rFonts w:ascii="Calibri" w:hAnsi="Calibri" w:cs="Calibri"/>
              </w:rPr>
              <w:t>59 Personel</w:t>
            </w:r>
          </w:p>
        </w:tc>
      </w:tr>
      <w:tr w:rsidR="00433748" w:rsidRPr="001614E6" w:rsidTr="0035089D">
        <w:trPr>
          <w:cantSplit/>
          <w:trHeight w:val="18"/>
          <w:jc w:val="center"/>
        </w:trPr>
        <w:tc>
          <w:tcPr>
            <w:tcW w:w="1857" w:type="pct"/>
          </w:tcPr>
          <w:p w:rsidR="00433748" w:rsidRPr="00B91FC8" w:rsidRDefault="00433748" w:rsidP="00561D09">
            <w:pPr>
              <w:rPr>
                <w:rFonts w:ascii="Calibri" w:hAnsi="Calibri" w:cs="Calibri"/>
              </w:rPr>
            </w:pPr>
            <w:r w:rsidRPr="00B91FC8">
              <w:rPr>
                <w:rFonts w:ascii="Calibri" w:hAnsi="Calibri" w:cs="Calibri"/>
              </w:rPr>
              <w:t>Banka Ve Ticaret Hukuku Araştırma Enstitüsü</w:t>
            </w:r>
          </w:p>
        </w:tc>
        <w:tc>
          <w:tcPr>
            <w:tcW w:w="2074" w:type="pct"/>
          </w:tcPr>
          <w:p w:rsidR="00433748" w:rsidRPr="00B91FC8" w:rsidRDefault="00433748" w:rsidP="00561D09">
            <w:pPr>
              <w:autoSpaceDE w:val="0"/>
              <w:autoSpaceDN w:val="0"/>
              <w:adjustRightInd w:val="0"/>
              <w:rPr>
                <w:rFonts w:ascii="Calibri" w:hAnsi="Calibri" w:cs="Calibri"/>
              </w:rPr>
            </w:pPr>
            <w:r w:rsidRPr="00B91FC8">
              <w:rPr>
                <w:rFonts w:ascii="Calibri" w:hAnsi="Calibri" w:cs="Calibri"/>
              </w:rPr>
              <w:t xml:space="preserve">Enerji Hukuku Sertifika Programı </w:t>
            </w:r>
          </w:p>
        </w:tc>
        <w:tc>
          <w:tcPr>
            <w:tcW w:w="1069" w:type="pct"/>
          </w:tcPr>
          <w:p w:rsidR="00433748" w:rsidRPr="00B91FC8" w:rsidRDefault="00433748" w:rsidP="00561D09">
            <w:pPr>
              <w:jc w:val="center"/>
              <w:rPr>
                <w:rFonts w:ascii="Calibri" w:hAnsi="Calibri" w:cs="Calibri"/>
              </w:rPr>
            </w:pPr>
            <w:r w:rsidRPr="00B91FC8">
              <w:rPr>
                <w:rFonts w:ascii="Calibri" w:hAnsi="Calibri" w:cs="Calibri"/>
              </w:rPr>
              <w:t>1 Personel</w:t>
            </w:r>
          </w:p>
        </w:tc>
      </w:tr>
      <w:tr w:rsidR="00433748" w:rsidRPr="001614E6" w:rsidTr="0035089D">
        <w:trPr>
          <w:cantSplit/>
          <w:trHeight w:val="184"/>
          <w:jc w:val="center"/>
        </w:trPr>
        <w:tc>
          <w:tcPr>
            <w:tcW w:w="1857" w:type="pct"/>
          </w:tcPr>
          <w:p w:rsidR="00433748" w:rsidRPr="00B91FC8" w:rsidRDefault="00433748" w:rsidP="00561D09">
            <w:pPr>
              <w:rPr>
                <w:rFonts w:ascii="Calibri" w:hAnsi="Calibri" w:cs="Calibri"/>
              </w:rPr>
            </w:pPr>
            <w:r w:rsidRPr="00B91FC8">
              <w:rPr>
                <w:rFonts w:ascii="Calibri" w:hAnsi="Calibri" w:cs="Calibri"/>
              </w:rPr>
              <w:t>Kamu İhale Kurumu / Kızılcahamam Çam Otel</w:t>
            </w:r>
          </w:p>
        </w:tc>
        <w:tc>
          <w:tcPr>
            <w:tcW w:w="2074" w:type="pct"/>
          </w:tcPr>
          <w:p w:rsidR="00433748" w:rsidRPr="00B91FC8" w:rsidRDefault="00433748" w:rsidP="00561D09">
            <w:pPr>
              <w:rPr>
                <w:rFonts w:ascii="Calibri" w:hAnsi="Calibri" w:cs="Calibri"/>
              </w:rPr>
            </w:pPr>
            <w:r w:rsidRPr="00B91FC8">
              <w:rPr>
                <w:rFonts w:ascii="Calibri" w:hAnsi="Calibri" w:cs="Calibri"/>
              </w:rPr>
              <w:t>Kamu İhale Mevzuatı Eğitimi/Eğitmen Selin Yangın, Eğitmen Türkan Zehir</w:t>
            </w:r>
          </w:p>
        </w:tc>
        <w:tc>
          <w:tcPr>
            <w:tcW w:w="1069" w:type="pct"/>
          </w:tcPr>
          <w:p w:rsidR="00433748" w:rsidRPr="00B91FC8" w:rsidRDefault="00433748" w:rsidP="00561D09">
            <w:pPr>
              <w:jc w:val="center"/>
              <w:rPr>
                <w:rFonts w:ascii="Calibri" w:hAnsi="Calibri" w:cs="Calibri"/>
              </w:rPr>
            </w:pPr>
            <w:r w:rsidRPr="00B91FC8">
              <w:rPr>
                <w:rFonts w:ascii="Calibri" w:hAnsi="Calibri" w:cs="Calibri"/>
              </w:rPr>
              <w:t>40 Kurum Personeli</w:t>
            </w:r>
          </w:p>
        </w:tc>
      </w:tr>
      <w:tr w:rsidR="00433748" w:rsidRPr="001614E6" w:rsidTr="0035089D">
        <w:trPr>
          <w:cantSplit/>
          <w:trHeight w:val="18"/>
          <w:jc w:val="center"/>
        </w:trPr>
        <w:tc>
          <w:tcPr>
            <w:tcW w:w="1857" w:type="pct"/>
          </w:tcPr>
          <w:p w:rsidR="00433748" w:rsidRPr="00B91FC8" w:rsidRDefault="00433748" w:rsidP="00561D09">
            <w:pPr>
              <w:rPr>
                <w:rFonts w:ascii="Calibri" w:hAnsi="Calibri" w:cs="Calibri"/>
              </w:rPr>
            </w:pPr>
            <w:r w:rsidRPr="00B91FC8">
              <w:rPr>
                <w:rFonts w:ascii="Calibri" w:hAnsi="Calibri" w:cs="Calibri"/>
              </w:rPr>
              <w:t>Başkent Ünv. Eğitim Ve Danışmanlık Hizmetleri Merkezi</w:t>
            </w:r>
          </w:p>
        </w:tc>
        <w:tc>
          <w:tcPr>
            <w:tcW w:w="2074" w:type="pct"/>
          </w:tcPr>
          <w:p w:rsidR="00433748" w:rsidRPr="00B91FC8" w:rsidRDefault="00433748" w:rsidP="00561D09">
            <w:pPr>
              <w:rPr>
                <w:rFonts w:ascii="Calibri" w:hAnsi="Calibri" w:cs="Calibri"/>
              </w:rPr>
            </w:pPr>
            <w:r w:rsidRPr="00B91FC8">
              <w:rPr>
                <w:rFonts w:ascii="Calibri" w:hAnsi="Calibri" w:cs="Calibri"/>
              </w:rPr>
              <w:t>Temel Muhasebe Ve Mali Tablolar Analizi - Proje Finansmanı</w:t>
            </w:r>
          </w:p>
        </w:tc>
        <w:tc>
          <w:tcPr>
            <w:tcW w:w="1069" w:type="pct"/>
          </w:tcPr>
          <w:p w:rsidR="00433748" w:rsidRPr="00B91FC8" w:rsidRDefault="00433748" w:rsidP="00561D09">
            <w:pPr>
              <w:jc w:val="center"/>
              <w:rPr>
                <w:rFonts w:ascii="Calibri" w:hAnsi="Calibri" w:cs="Calibri"/>
              </w:rPr>
            </w:pPr>
            <w:r w:rsidRPr="00B91FC8">
              <w:rPr>
                <w:rFonts w:ascii="Calibri" w:hAnsi="Calibri" w:cs="Calibri"/>
              </w:rPr>
              <w:t>20 Kurum Personeli</w:t>
            </w:r>
          </w:p>
        </w:tc>
      </w:tr>
      <w:tr w:rsidR="00433748" w:rsidRPr="001614E6" w:rsidTr="0035089D">
        <w:trPr>
          <w:cantSplit/>
          <w:trHeight w:val="18"/>
          <w:jc w:val="center"/>
        </w:trPr>
        <w:tc>
          <w:tcPr>
            <w:tcW w:w="1857" w:type="pct"/>
          </w:tcPr>
          <w:p w:rsidR="00433748" w:rsidRPr="00B91FC8" w:rsidRDefault="0035089D" w:rsidP="00561D09">
            <w:pPr>
              <w:rPr>
                <w:rFonts w:ascii="Calibri" w:hAnsi="Calibri" w:cs="Calibri"/>
              </w:rPr>
            </w:pPr>
            <w:r>
              <w:rPr>
                <w:rFonts w:ascii="Calibri" w:hAnsi="Calibri" w:cs="Calibri"/>
              </w:rPr>
              <w:t>İTÜ</w:t>
            </w:r>
            <w:r w:rsidR="00433748" w:rsidRPr="00B91FC8">
              <w:rPr>
                <w:rFonts w:ascii="Calibri" w:hAnsi="Calibri" w:cs="Calibri"/>
              </w:rPr>
              <w:t xml:space="preserve"> - Mindset Eğitim Danışmanlık Org. Hiz. </w:t>
            </w:r>
            <w:r>
              <w:rPr>
                <w:rFonts w:ascii="Calibri" w:hAnsi="Calibri" w:cs="Calibri"/>
              </w:rPr>
              <w:t>v</w:t>
            </w:r>
            <w:r w:rsidR="00433748" w:rsidRPr="00B91FC8">
              <w:rPr>
                <w:rFonts w:ascii="Calibri" w:hAnsi="Calibri" w:cs="Calibri"/>
              </w:rPr>
              <w:t>e Tic. Ltd. Şti</w:t>
            </w:r>
          </w:p>
        </w:tc>
        <w:tc>
          <w:tcPr>
            <w:tcW w:w="2074" w:type="pct"/>
          </w:tcPr>
          <w:p w:rsidR="00433748" w:rsidRPr="00B91FC8" w:rsidRDefault="00433748" w:rsidP="00561D09">
            <w:pPr>
              <w:rPr>
                <w:rFonts w:ascii="Calibri" w:hAnsi="Calibri" w:cs="Calibri"/>
              </w:rPr>
            </w:pPr>
            <w:r w:rsidRPr="00B91FC8">
              <w:rPr>
                <w:rFonts w:ascii="Calibri" w:hAnsi="Calibri" w:cs="Calibri"/>
                <w:bCs/>
              </w:rPr>
              <w:t>Büyük Veri Ve İş Analitiği Uzmanlığı Sertifika Programı</w:t>
            </w:r>
          </w:p>
        </w:tc>
        <w:tc>
          <w:tcPr>
            <w:tcW w:w="1069" w:type="pct"/>
          </w:tcPr>
          <w:p w:rsidR="00433748" w:rsidRPr="00B91FC8" w:rsidRDefault="00433748" w:rsidP="00561D09">
            <w:pPr>
              <w:jc w:val="center"/>
              <w:rPr>
                <w:rFonts w:ascii="Calibri" w:hAnsi="Calibri" w:cs="Calibri"/>
              </w:rPr>
            </w:pPr>
            <w:r w:rsidRPr="00B91FC8">
              <w:rPr>
                <w:rFonts w:ascii="Calibri" w:hAnsi="Calibri" w:cs="Calibri"/>
              </w:rPr>
              <w:t>1 Personel</w:t>
            </w:r>
          </w:p>
        </w:tc>
      </w:tr>
      <w:tr w:rsidR="00433748" w:rsidRPr="001614E6" w:rsidTr="0035089D">
        <w:trPr>
          <w:cantSplit/>
          <w:trHeight w:val="18"/>
          <w:jc w:val="center"/>
        </w:trPr>
        <w:tc>
          <w:tcPr>
            <w:tcW w:w="1857" w:type="pct"/>
          </w:tcPr>
          <w:p w:rsidR="00433748" w:rsidRPr="00B91FC8" w:rsidRDefault="00433748" w:rsidP="00561D09">
            <w:pPr>
              <w:rPr>
                <w:rFonts w:ascii="Calibri" w:hAnsi="Calibri" w:cs="Calibri"/>
                <w:lang w:bidi="he-IL"/>
              </w:rPr>
            </w:pPr>
            <w:r w:rsidRPr="00B91FC8">
              <w:rPr>
                <w:rFonts w:ascii="Calibri" w:hAnsi="Calibri" w:cs="Calibri"/>
              </w:rPr>
              <w:t>Dijital Vizyon Bilişim Ve Bilgisayar Danışmanlık Hizmetleri Tic. Ltd. Şti</w:t>
            </w:r>
          </w:p>
        </w:tc>
        <w:tc>
          <w:tcPr>
            <w:tcW w:w="2074" w:type="pct"/>
          </w:tcPr>
          <w:p w:rsidR="00433748" w:rsidRPr="00B91FC8" w:rsidRDefault="00433748" w:rsidP="00561D09">
            <w:pPr>
              <w:autoSpaceDE w:val="0"/>
              <w:autoSpaceDN w:val="0"/>
              <w:adjustRightInd w:val="0"/>
              <w:rPr>
                <w:rFonts w:ascii="Calibri" w:hAnsi="Calibri" w:cs="Calibri"/>
              </w:rPr>
            </w:pPr>
            <w:r w:rsidRPr="00B91FC8">
              <w:rPr>
                <w:rFonts w:ascii="Calibri" w:hAnsi="Calibri" w:cs="Calibri"/>
              </w:rPr>
              <w:t xml:space="preserve">HTML, CSS </w:t>
            </w:r>
            <w:r w:rsidR="0035089D">
              <w:rPr>
                <w:rFonts w:ascii="Calibri" w:hAnsi="Calibri" w:cs="Calibri"/>
              </w:rPr>
              <w:t>v</w:t>
            </w:r>
            <w:r w:rsidRPr="00B91FC8">
              <w:rPr>
                <w:rFonts w:ascii="Calibri" w:hAnsi="Calibri" w:cs="Calibri"/>
              </w:rPr>
              <w:t xml:space="preserve">e Java Script Eğitimi </w:t>
            </w:r>
          </w:p>
        </w:tc>
        <w:tc>
          <w:tcPr>
            <w:tcW w:w="1069" w:type="pct"/>
          </w:tcPr>
          <w:p w:rsidR="00433748" w:rsidRPr="00B91FC8" w:rsidRDefault="00433748" w:rsidP="00561D09">
            <w:pPr>
              <w:jc w:val="center"/>
              <w:rPr>
                <w:rFonts w:ascii="Calibri" w:hAnsi="Calibri" w:cs="Calibri"/>
              </w:rPr>
            </w:pPr>
            <w:r w:rsidRPr="00B91FC8">
              <w:rPr>
                <w:rFonts w:ascii="Calibri" w:hAnsi="Calibri" w:cs="Calibri"/>
              </w:rPr>
              <w:t>5 Kurum Personeli</w:t>
            </w:r>
          </w:p>
        </w:tc>
      </w:tr>
      <w:tr w:rsidR="00433748" w:rsidRPr="001614E6" w:rsidTr="0035089D">
        <w:trPr>
          <w:cantSplit/>
          <w:trHeight w:val="18"/>
          <w:jc w:val="center"/>
        </w:trPr>
        <w:tc>
          <w:tcPr>
            <w:tcW w:w="1857" w:type="pct"/>
          </w:tcPr>
          <w:p w:rsidR="00433748" w:rsidRPr="00B91FC8" w:rsidRDefault="00433748" w:rsidP="00561D09">
            <w:pPr>
              <w:autoSpaceDE w:val="0"/>
              <w:autoSpaceDN w:val="0"/>
              <w:adjustRightInd w:val="0"/>
              <w:rPr>
                <w:rFonts w:ascii="Calibri" w:hAnsi="Calibri" w:cs="Calibri"/>
              </w:rPr>
            </w:pPr>
            <w:r w:rsidRPr="00B91FC8">
              <w:rPr>
                <w:rFonts w:ascii="Calibri" w:hAnsi="Calibri" w:cs="Calibri"/>
              </w:rPr>
              <w:t>Cumhurbaşkanlığı İnsan Kaynakları Ofisi (C</w:t>
            </w:r>
            <w:r w:rsidR="0035089D">
              <w:rPr>
                <w:rFonts w:ascii="Calibri" w:hAnsi="Calibri" w:cs="Calibri"/>
              </w:rPr>
              <w:t>BİKO</w:t>
            </w:r>
            <w:r w:rsidRPr="00B91FC8">
              <w:rPr>
                <w:rFonts w:ascii="Calibri" w:hAnsi="Calibri" w:cs="Calibri"/>
              </w:rPr>
              <w:t>)</w:t>
            </w:r>
          </w:p>
        </w:tc>
        <w:tc>
          <w:tcPr>
            <w:tcW w:w="2074" w:type="pct"/>
          </w:tcPr>
          <w:p w:rsidR="00433748" w:rsidRPr="00B91FC8" w:rsidRDefault="00433748" w:rsidP="00561D09">
            <w:pPr>
              <w:autoSpaceDE w:val="0"/>
              <w:autoSpaceDN w:val="0"/>
              <w:adjustRightInd w:val="0"/>
              <w:rPr>
                <w:rFonts w:ascii="Calibri" w:hAnsi="Calibri" w:cs="Calibri"/>
              </w:rPr>
            </w:pPr>
            <w:r w:rsidRPr="00B91FC8">
              <w:rPr>
                <w:rFonts w:ascii="Calibri" w:hAnsi="Calibri" w:cs="Calibri"/>
                <w:bCs/>
                <w:iCs/>
              </w:rPr>
              <w:t xml:space="preserve">Ulusal Staj Seferberliği - Yaz Dönemi Staj </w:t>
            </w:r>
          </w:p>
        </w:tc>
        <w:tc>
          <w:tcPr>
            <w:tcW w:w="1069" w:type="pct"/>
          </w:tcPr>
          <w:p w:rsidR="00433748" w:rsidRPr="00B91FC8" w:rsidRDefault="00433748" w:rsidP="00561D09">
            <w:pPr>
              <w:jc w:val="center"/>
              <w:rPr>
                <w:rFonts w:ascii="Calibri" w:hAnsi="Calibri" w:cs="Calibri"/>
              </w:rPr>
            </w:pPr>
            <w:r w:rsidRPr="00B91FC8">
              <w:rPr>
                <w:rFonts w:ascii="Calibri" w:hAnsi="Calibri" w:cs="Calibri"/>
                <w:bCs/>
                <w:iCs/>
              </w:rPr>
              <w:t>45 Üniversite Öğrencisi</w:t>
            </w:r>
          </w:p>
        </w:tc>
      </w:tr>
      <w:tr w:rsidR="00433748" w:rsidRPr="001614E6" w:rsidTr="0035089D">
        <w:trPr>
          <w:cantSplit/>
          <w:trHeight w:val="18"/>
          <w:jc w:val="center"/>
        </w:trPr>
        <w:tc>
          <w:tcPr>
            <w:tcW w:w="1857" w:type="pct"/>
          </w:tcPr>
          <w:p w:rsidR="00433748" w:rsidRPr="00B91FC8" w:rsidRDefault="00433748" w:rsidP="00561D09">
            <w:pPr>
              <w:autoSpaceDE w:val="0"/>
              <w:autoSpaceDN w:val="0"/>
              <w:adjustRightInd w:val="0"/>
              <w:rPr>
                <w:rFonts w:ascii="Calibri" w:hAnsi="Calibri" w:cs="Calibri"/>
              </w:rPr>
            </w:pPr>
            <w:r w:rsidRPr="00B91FC8">
              <w:rPr>
                <w:rFonts w:ascii="Calibri" w:hAnsi="Calibri" w:cs="Calibri"/>
              </w:rPr>
              <w:t>T</w:t>
            </w:r>
            <w:r w:rsidR="0035089D">
              <w:rPr>
                <w:rFonts w:ascii="Calibri" w:hAnsi="Calibri" w:cs="Calibri"/>
              </w:rPr>
              <w:t>BD</w:t>
            </w:r>
            <w:r w:rsidRPr="00B91FC8">
              <w:rPr>
                <w:rFonts w:ascii="Calibri" w:hAnsi="Calibri" w:cs="Calibri"/>
              </w:rPr>
              <w:t xml:space="preserve"> Kamu-Bib’25-Bimy’29 Bütünleşik Etkinliği</w:t>
            </w:r>
          </w:p>
        </w:tc>
        <w:tc>
          <w:tcPr>
            <w:tcW w:w="2074" w:type="pct"/>
          </w:tcPr>
          <w:p w:rsidR="00433748" w:rsidRPr="00B91FC8" w:rsidRDefault="00433748" w:rsidP="00561D09">
            <w:pPr>
              <w:autoSpaceDE w:val="0"/>
              <w:autoSpaceDN w:val="0"/>
              <w:adjustRightInd w:val="0"/>
              <w:rPr>
                <w:rFonts w:ascii="Calibri" w:hAnsi="Calibri" w:cs="Calibri"/>
              </w:rPr>
            </w:pPr>
            <w:r w:rsidRPr="00B91FC8">
              <w:rPr>
                <w:rFonts w:ascii="Calibri" w:hAnsi="Calibri" w:cs="Calibri"/>
              </w:rPr>
              <w:t>Tbd Kamu-Bib’25-Bimy’29 Bütünleşik Etkinliği</w:t>
            </w:r>
          </w:p>
        </w:tc>
        <w:tc>
          <w:tcPr>
            <w:tcW w:w="1069" w:type="pct"/>
          </w:tcPr>
          <w:p w:rsidR="00433748" w:rsidRPr="00B91FC8" w:rsidRDefault="00433748" w:rsidP="00561D09">
            <w:pPr>
              <w:jc w:val="center"/>
              <w:rPr>
                <w:rFonts w:ascii="Calibri" w:hAnsi="Calibri" w:cs="Calibri"/>
              </w:rPr>
            </w:pPr>
            <w:r w:rsidRPr="00B91FC8">
              <w:rPr>
                <w:rFonts w:ascii="Calibri" w:hAnsi="Calibri" w:cs="Calibri"/>
              </w:rPr>
              <w:t xml:space="preserve">6 Personel </w:t>
            </w:r>
          </w:p>
        </w:tc>
      </w:tr>
      <w:tr w:rsidR="00433748" w:rsidRPr="001614E6" w:rsidTr="0035089D">
        <w:trPr>
          <w:cantSplit/>
          <w:trHeight w:val="18"/>
          <w:jc w:val="center"/>
        </w:trPr>
        <w:tc>
          <w:tcPr>
            <w:tcW w:w="1857" w:type="pct"/>
          </w:tcPr>
          <w:p w:rsidR="00433748" w:rsidRPr="00B91FC8" w:rsidRDefault="00433748" w:rsidP="00561D09">
            <w:pPr>
              <w:autoSpaceDE w:val="0"/>
              <w:autoSpaceDN w:val="0"/>
              <w:adjustRightInd w:val="0"/>
              <w:rPr>
                <w:rFonts w:ascii="Calibri" w:hAnsi="Calibri" w:cs="Calibri"/>
              </w:rPr>
            </w:pPr>
            <w:r w:rsidRPr="00B91FC8">
              <w:rPr>
                <w:rFonts w:ascii="Calibri" w:hAnsi="Calibri" w:cs="Calibri"/>
              </w:rPr>
              <w:t>Türk Standartları Enstitüsü (T</w:t>
            </w:r>
            <w:r w:rsidR="0035089D">
              <w:rPr>
                <w:rFonts w:ascii="Calibri" w:hAnsi="Calibri" w:cs="Calibri"/>
              </w:rPr>
              <w:t>SE</w:t>
            </w:r>
            <w:r w:rsidRPr="00B91FC8">
              <w:rPr>
                <w:rFonts w:ascii="Calibri" w:hAnsi="Calibri" w:cs="Calibri"/>
              </w:rPr>
              <w:t>)</w:t>
            </w:r>
          </w:p>
        </w:tc>
        <w:tc>
          <w:tcPr>
            <w:tcW w:w="2074" w:type="pct"/>
          </w:tcPr>
          <w:p w:rsidR="00433748" w:rsidRPr="00B91FC8" w:rsidRDefault="00433748" w:rsidP="00561D09">
            <w:pPr>
              <w:autoSpaceDE w:val="0"/>
              <w:autoSpaceDN w:val="0"/>
              <w:adjustRightInd w:val="0"/>
              <w:rPr>
                <w:rFonts w:ascii="Calibri" w:hAnsi="Calibri" w:cs="Calibri"/>
              </w:rPr>
            </w:pPr>
            <w:r w:rsidRPr="00B91FC8">
              <w:rPr>
                <w:rFonts w:ascii="Calibri" w:hAnsi="Calibri" w:cs="Calibri"/>
              </w:rPr>
              <w:t>Bgys Temel Eğitimi Hizmet Alımı</w:t>
            </w:r>
          </w:p>
        </w:tc>
        <w:tc>
          <w:tcPr>
            <w:tcW w:w="1069" w:type="pct"/>
          </w:tcPr>
          <w:p w:rsidR="00433748" w:rsidRPr="00B91FC8" w:rsidRDefault="00433748" w:rsidP="00561D09">
            <w:pPr>
              <w:jc w:val="center"/>
              <w:rPr>
                <w:rFonts w:ascii="Calibri" w:hAnsi="Calibri" w:cs="Calibri"/>
              </w:rPr>
            </w:pPr>
            <w:r w:rsidRPr="00B91FC8">
              <w:rPr>
                <w:rFonts w:ascii="Calibri" w:hAnsi="Calibri" w:cs="Calibri"/>
              </w:rPr>
              <w:t>1 Personel</w:t>
            </w:r>
          </w:p>
        </w:tc>
      </w:tr>
      <w:tr w:rsidR="00433748" w:rsidRPr="001614E6" w:rsidTr="0035089D">
        <w:trPr>
          <w:cantSplit/>
          <w:trHeight w:val="18"/>
          <w:jc w:val="center"/>
        </w:trPr>
        <w:tc>
          <w:tcPr>
            <w:tcW w:w="1857" w:type="pct"/>
          </w:tcPr>
          <w:p w:rsidR="00433748" w:rsidRPr="00B91FC8" w:rsidRDefault="00433748" w:rsidP="00561D09">
            <w:pPr>
              <w:rPr>
                <w:rFonts w:ascii="Calibri" w:hAnsi="Calibri" w:cs="Calibri"/>
              </w:rPr>
            </w:pPr>
            <w:r w:rsidRPr="00B91FC8">
              <w:rPr>
                <w:rFonts w:ascii="Calibri" w:hAnsi="Calibri" w:cs="Calibri"/>
              </w:rPr>
              <w:t>Cyberwisesiber Güvenlik Ticaret Anonim Şirketi</w:t>
            </w:r>
          </w:p>
        </w:tc>
        <w:tc>
          <w:tcPr>
            <w:tcW w:w="2074" w:type="pct"/>
          </w:tcPr>
          <w:p w:rsidR="00433748" w:rsidRPr="00B91FC8" w:rsidRDefault="00433748" w:rsidP="00561D09">
            <w:pPr>
              <w:rPr>
                <w:rFonts w:ascii="Calibri" w:hAnsi="Calibri" w:cs="Calibri"/>
              </w:rPr>
            </w:pPr>
            <w:r w:rsidRPr="00B91FC8">
              <w:rPr>
                <w:rFonts w:ascii="Calibri" w:hAnsi="Calibri" w:cs="Calibri"/>
              </w:rPr>
              <w:t>Yazılım Kaynak Kod Analizi Ve Eğitim Hizmeti Alımı</w:t>
            </w:r>
          </w:p>
        </w:tc>
        <w:tc>
          <w:tcPr>
            <w:tcW w:w="1069" w:type="pct"/>
          </w:tcPr>
          <w:p w:rsidR="00433748" w:rsidRPr="00B91FC8" w:rsidRDefault="00433748" w:rsidP="00561D09">
            <w:pPr>
              <w:jc w:val="center"/>
              <w:rPr>
                <w:rFonts w:ascii="Calibri" w:hAnsi="Calibri" w:cs="Calibri"/>
              </w:rPr>
            </w:pPr>
            <w:r w:rsidRPr="00B91FC8">
              <w:rPr>
                <w:rFonts w:ascii="Calibri" w:hAnsi="Calibri" w:cs="Calibri"/>
              </w:rPr>
              <w:t>Bilgi İşlem Dairesi Başkanlığı Personeli</w:t>
            </w:r>
          </w:p>
        </w:tc>
      </w:tr>
      <w:tr w:rsidR="00433748" w:rsidRPr="001614E6" w:rsidTr="0035089D">
        <w:trPr>
          <w:cantSplit/>
          <w:trHeight w:val="18"/>
          <w:jc w:val="center"/>
        </w:trPr>
        <w:tc>
          <w:tcPr>
            <w:tcW w:w="1857" w:type="pct"/>
          </w:tcPr>
          <w:p w:rsidR="00433748" w:rsidRPr="00B91FC8" w:rsidRDefault="00433748" w:rsidP="00561D09">
            <w:pPr>
              <w:rPr>
                <w:rFonts w:ascii="Calibri" w:hAnsi="Calibri" w:cs="Calibri"/>
              </w:rPr>
            </w:pPr>
            <w:r w:rsidRPr="00B91FC8">
              <w:rPr>
                <w:rFonts w:ascii="Calibri" w:hAnsi="Calibri" w:cs="Calibri"/>
              </w:rPr>
              <w:t>Kişisel Verileri Koruma Kurumu Başkanlığı</w:t>
            </w:r>
          </w:p>
        </w:tc>
        <w:tc>
          <w:tcPr>
            <w:tcW w:w="2074" w:type="pct"/>
          </w:tcPr>
          <w:p w:rsidR="00433748" w:rsidRPr="00B91FC8" w:rsidRDefault="00433748" w:rsidP="00561D09">
            <w:pPr>
              <w:rPr>
                <w:rFonts w:ascii="Calibri" w:hAnsi="Calibri" w:cs="Calibri"/>
              </w:rPr>
            </w:pPr>
            <w:r w:rsidRPr="00B91FC8">
              <w:rPr>
                <w:rFonts w:ascii="Calibri" w:hAnsi="Calibri" w:cs="Calibri"/>
              </w:rPr>
              <w:t>Kişisel Verileri Koruma Kanunu Hk.</w:t>
            </w:r>
          </w:p>
        </w:tc>
        <w:tc>
          <w:tcPr>
            <w:tcW w:w="1069" w:type="pct"/>
          </w:tcPr>
          <w:p w:rsidR="00433748" w:rsidRPr="00B91FC8" w:rsidRDefault="00433748" w:rsidP="00561D09">
            <w:pPr>
              <w:jc w:val="center"/>
              <w:rPr>
                <w:rFonts w:ascii="Calibri" w:hAnsi="Calibri" w:cs="Calibri"/>
              </w:rPr>
            </w:pPr>
            <w:r w:rsidRPr="00B91FC8">
              <w:rPr>
                <w:rFonts w:ascii="Calibri" w:hAnsi="Calibri" w:cs="Calibri"/>
              </w:rPr>
              <w:t>52 Personel</w:t>
            </w:r>
          </w:p>
        </w:tc>
      </w:tr>
      <w:tr w:rsidR="00433748" w:rsidRPr="001614E6" w:rsidTr="0035089D">
        <w:trPr>
          <w:cantSplit/>
          <w:trHeight w:val="18"/>
          <w:jc w:val="center"/>
        </w:trPr>
        <w:tc>
          <w:tcPr>
            <w:tcW w:w="1857" w:type="pct"/>
          </w:tcPr>
          <w:p w:rsidR="00433748" w:rsidRPr="00B91FC8" w:rsidRDefault="00433748" w:rsidP="00561D09">
            <w:pPr>
              <w:rPr>
                <w:rFonts w:ascii="Calibri" w:hAnsi="Calibri" w:cs="Calibri"/>
              </w:rPr>
            </w:pPr>
            <w:r w:rsidRPr="00B91FC8">
              <w:rPr>
                <w:rFonts w:ascii="Calibri" w:hAnsi="Calibri" w:cs="Calibri"/>
              </w:rPr>
              <w:t>Enerji ve Tabii Kaynaklar Bakanlığı</w:t>
            </w:r>
          </w:p>
        </w:tc>
        <w:tc>
          <w:tcPr>
            <w:tcW w:w="2074" w:type="pct"/>
          </w:tcPr>
          <w:p w:rsidR="00433748" w:rsidRPr="00B91FC8" w:rsidRDefault="00433748" w:rsidP="00561D09">
            <w:pPr>
              <w:rPr>
                <w:rFonts w:ascii="Calibri" w:hAnsi="Calibri" w:cs="Calibri"/>
              </w:rPr>
            </w:pPr>
            <w:r w:rsidRPr="00B91FC8">
              <w:rPr>
                <w:rFonts w:ascii="Calibri" w:hAnsi="Calibri" w:cs="Calibri"/>
              </w:rPr>
              <w:t>ETK Uzman Yardımcıları Özel Çalışma ve Yetiştirme Planı</w:t>
            </w:r>
          </w:p>
        </w:tc>
        <w:tc>
          <w:tcPr>
            <w:tcW w:w="1069" w:type="pct"/>
          </w:tcPr>
          <w:p w:rsidR="00433748" w:rsidRPr="00B91FC8" w:rsidRDefault="00433748" w:rsidP="00561D09">
            <w:pPr>
              <w:jc w:val="center"/>
              <w:rPr>
                <w:rFonts w:ascii="Calibri" w:hAnsi="Calibri" w:cs="Calibri"/>
              </w:rPr>
            </w:pPr>
            <w:r w:rsidRPr="00B91FC8">
              <w:rPr>
                <w:rFonts w:ascii="Calibri" w:hAnsi="Calibri" w:cs="Calibri"/>
              </w:rPr>
              <w:t>20 ETK Uzman Yardımcısı</w:t>
            </w:r>
          </w:p>
        </w:tc>
      </w:tr>
      <w:tr w:rsidR="00433748" w:rsidRPr="001614E6" w:rsidTr="0035089D">
        <w:trPr>
          <w:cantSplit/>
          <w:trHeight w:val="18"/>
          <w:jc w:val="center"/>
        </w:trPr>
        <w:tc>
          <w:tcPr>
            <w:tcW w:w="1857" w:type="pct"/>
          </w:tcPr>
          <w:p w:rsidR="00433748" w:rsidRPr="00B91FC8" w:rsidRDefault="00433748" w:rsidP="00561D09">
            <w:pPr>
              <w:rPr>
                <w:rFonts w:ascii="Calibri" w:hAnsi="Calibri" w:cs="Calibri"/>
              </w:rPr>
            </w:pPr>
            <w:r w:rsidRPr="00B91FC8">
              <w:rPr>
                <w:rFonts w:ascii="Calibri" w:hAnsi="Calibri" w:cs="Calibri"/>
              </w:rPr>
              <w:t>Enerji ve Tabii Kaynaklar Bakanlığı</w:t>
            </w:r>
          </w:p>
        </w:tc>
        <w:tc>
          <w:tcPr>
            <w:tcW w:w="2074" w:type="pct"/>
          </w:tcPr>
          <w:p w:rsidR="00433748" w:rsidRPr="00B91FC8" w:rsidRDefault="00433748" w:rsidP="00561D09">
            <w:pPr>
              <w:rPr>
                <w:rFonts w:ascii="Calibri" w:hAnsi="Calibri" w:cs="Calibri"/>
              </w:rPr>
            </w:pPr>
            <w:r w:rsidRPr="00B91FC8">
              <w:rPr>
                <w:rFonts w:ascii="Calibri" w:hAnsi="Calibri" w:cs="Calibri"/>
              </w:rPr>
              <w:t>Enerji Verimliliği Eğitimi Hk.</w:t>
            </w:r>
          </w:p>
        </w:tc>
        <w:tc>
          <w:tcPr>
            <w:tcW w:w="1069" w:type="pct"/>
          </w:tcPr>
          <w:p w:rsidR="00433748" w:rsidRPr="00B91FC8" w:rsidRDefault="00433748" w:rsidP="00561D09">
            <w:pPr>
              <w:jc w:val="center"/>
              <w:rPr>
                <w:rFonts w:ascii="Calibri" w:hAnsi="Calibri" w:cs="Calibri"/>
              </w:rPr>
            </w:pPr>
            <w:r w:rsidRPr="00B91FC8">
              <w:rPr>
                <w:rFonts w:ascii="Calibri" w:hAnsi="Calibri" w:cs="Calibri"/>
              </w:rPr>
              <w:t>74 Personel</w:t>
            </w:r>
          </w:p>
        </w:tc>
      </w:tr>
      <w:tr w:rsidR="00433748" w:rsidRPr="001614E6" w:rsidTr="0035089D">
        <w:trPr>
          <w:cantSplit/>
          <w:trHeight w:val="18"/>
          <w:jc w:val="center"/>
        </w:trPr>
        <w:tc>
          <w:tcPr>
            <w:tcW w:w="1857" w:type="pct"/>
          </w:tcPr>
          <w:p w:rsidR="00433748" w:rsidRPr="00B91FC8" w:rsidRDefault="00433748" w:rsidP="00561D09">
            <w:pPr>
              <w:rPr>
                <w:rFonts w:ascii="Calibri" w:hAnsi="Calibri" w:cs="Calibri"/>
              </w:rPr>
            </w:pPr>
            <w:r w:rsidRPr="00B91FC8">
              <w:rPr>
                <w:rFonts w:ascii="Calibri" w:hAnsi="Calibri" w:cs="Calibri"/>
              </w:rPr>
              <w:lastRenderedPageBreak/>
              <w:t>Kurum Tanıtım Eğitimi</w:t>
            </w:r>
          </w:p>
        </w:tc>
        <w:tc>
          <w:tcPr>
            <w:tcW w:w="2074" w:type="pct"/>
          </w:tcPr>
          <w:p w:rsidR="00433748" w:rsidRPr="00B91FC8" w:rsidRDefault="00433748" w:rsidP="00561D09">
            <w:pPr>
              <w:rPr>
                <w:rFonts w:ascii="Calibri" w:hAnsi="Calibri" w:cs="Calibri"/>
              </w:rPr>
            </w:pPr>
            <w:r w:rsidRPr="00B91FC8">
              <w:rPr>
                <w:rFonts w:ascii="Calibri" w:hAnsi="Calibri" w:cs="Calibri"/>
              </w:rPr>
              <w:t>Enerji Piyasası Düzenleme Kurumu</w:t>
            </w:r>
          </w:p>
        </w:tc>
        <w:tc>
          <w:tcPr>
            <w:tcW w:w="1069" w:type="pct"/>
          </w:tcPr>
          <w:p w:rsidR="00433748" w:rsidRPr="00B91FC8" w:rsidRDefault="00433748" w:rsidP="00561D09">
            <w:pPr>
              <w:jc w:val="center"/>
              <w:rPr>
                <w:rFonts w:ascii="Calibri" w:hAnsi="Calibri" w:cs="Calibri"/>
              </w:rPr>
            </w:pPr>
            <w:r w:rsidRPr="00B91FC8">
              <w:rPr>
                <w:rFonts w:ascii="Calibri" w:hAnsi="Calibri" w:cs="Calibri"/>
              </w:rPr>
              <w:t>28 Üniversite Öğrencisi</w:t>
            </w:r>
          </w:p>
        </w:tc>
      </w:tr>
      <w:tr w:rsidR="00433748" w:rsidRPr="001614E6" w:rsidTr="0035089D">
        <w:trPr>
          <w:cantSplit/>
          <w:trHeight w:val="18"/>
          <w:jc w:val="center"/>
        </w:trPr>
        <w:tc>
          <w:tcPr>
            <w:tcW w:w="1857" w:type="pct"/>
          </w:tcPr>
          <w:p w:rsidR="00433748" w:rsidRPr="00B91FC8" w:rsidRDefault="00433748" w:rsidP="00561D09">
            <w:pPr>
              <w:tabs>
                <w:tab w:val="left" w:pos="1073"/>
              </w:tabs>
              <w:rPr>
                <w:rFonts w:ascii="Calibri" w:hAnsi="Calibri" w:cs="Calibri"/>
              </w:rPr>
            </w:pPr>
            <w:r w:rsidRPr="00B91FC8">
              <w:rPr>
                <w:rFonts w:ascii="Calibri" w:hAnsi="Calibri" w:cs="Calibri"/>
              </w:rPr>
              <w:t>Türkiye İnsan Hakları ve Eşitlik Kurumu Başkanlığı</w:t>
            </w:r>
          </w:p>
        </w:tc>
        <w:tc>
          <w:tcPr>
            <w:tcW w:w="2074" w:type="pct"/>
          </w:tcPr>
          <w:p w:rsidR="00433748" w:rsidRPr="00B91FC8" w:rsidRDefault="00433748" w:rsidP="00561D09">
            <w:pPr>
              <w:rPr>
                <w:rFonts w:ascii="Calibri" w:hAnsi="Calibri" w:cs="Calibri"/>
              </w:rPr>
            </w:pPr>
            <w:r w:rsidRPr="00B91FC8">
              <w:rPr>
                <w:rFonts w:ascii="Calibri" w:hAnsi="Calibri" w:cs="Calibri"/>
              </w:rPr>
              <w:t>İklim Değişikliği ve Gıda Hakkı Sempozyumu</w:t>
            </w:r>
          </w:p>
        </w:tc>
        <w:tc>
          <w:tcPr>
            <w:tcW w:w="1069" w:type="pct"/>
          </w:tcPr>
          <w:p w:rsidR="00433748" w:rsidRPr="00B91FC8" w:rsidRDefault="00433748" w:rsidP="00561D09">
            <w:pPr>
              <w:jc w:val="center"/>
              <w:rPr>
                <w:rFonts w:ascii="Calibri" w:hAnsi="Calibri" w:cs="Calibri"/>
              </w:rPr>
            </w:pPr>
            <w:r w:rsidRPr="00B91FC8">
              <w:rPr>
                <w:rFonts w:ascii="Calibri" w:hAnsi="Calibri" w:cs="Calibri"/>
              </w:rPr>
              <w:t>2 Kurum Personeli</w:t>
            </w:r>
          </w:p>
        </w:tc>
      </w:tr>
      <w:tr w:rsidR="00433748" w:rsidRPr="001614E6" w:rsidTr="0035089D">
        <w:trPr>
          <w:cantSplit/>
          <w:trHeight w:val="18"/>
          <w:jc w:val="center"/>
        </w:trPr>
        <w:tc>
          <w:tcPr>
            <w:tcW w:w="1857" w:type="pct"/>
          </w:tcPr>
          <w:p w:rsidR="00433748" w:rsidRPr="00B91FC8" w:rsidRDefault="00433748" w:rsidP="00561D09">
            <w:pPr>
              <w:autoSpaceDE w:val="0"/>
              <w:autoSpaceDN w:val="0"/>
              <w:adjustRightInd w:val="0"/>
              <w:spacing w:after="0" w:line="240" w:lineRule="auto"/>
              <w:rPr>
                <w:rFonts w:ascii="Calibri" w:hAnsi="Calibri" w:cs="Calibri"/>
              </w:rPr>
            </w:pPr>
            <w:r w:rsidRPr="00B91FC8">
              <w:rPr>
                <w:rFonts w:ascii="Calibri" w:hAnsi="Calibri" w:cs="Calibri"/>
              </w:rPr>
              <w:t xml:space="preserve">Enerjisa Üretim ile Sabancı Üniversitesi </w:t>
            </w:r>
            <w:r w:rsidR="0035089D">
              <w:rPr>
                <w:rFonts w:ascii="Calibri" w:hAnsi="Calibri" w:cs="Calibri"/>
              </w:rPr>
              <w:t>İ</w:t>
            </w:r>
            <w:r w:rsidRPr="00B91FC8">
              <w:rPr>
                <w:rFonts w:ascii="Calibri" w:hAnsi="Calibri" w:cs="Calibri"/>
              </w:rPr>
              <w:t>şbirliği</w:t>
            </w:r>
          </w:p>
        </w:tc>
        <w:tc>
          <w:tcPr>
            <w:tcW w:w="2074" w:type="pct"/>
          </w:tcPr>
          <w:p w:rsidR="00433748" w:rsidRPr="00B91FC8" w:rsidRDefault="00433748" w:rsidP="00561D09">
            <w:pPr>
              <w:tabs>
                <w:tab w:val="left" w:pos="992"/>
              </w:tabs>
              <w:autoSpaceDE w:val="0"/>
              <w:autoSpaceDN w:val="0"/>
              <w:adjustRightInd w:val="0"/>
              <w:spacing w:after="0" w:line="240" w:lineRule="auto"/>
              <w:rPr>
                <w:rFonts w:ascii="Calibri" w:hAnsi="Calibri" w:cs="Calibri"/>
              </w:rPr>
            </w:pPr>
            <w:r w:rsidRPr="00B91FC8">
              <w:rPr>
                <w:rFonts w:ascii="Calibri" w:hAnsi="Calibri" w:cs="Calibri"/>
              </w:rPr>
              <w:t>Power MBA Eğitim Programı</w:t>
            </w:r>
          </w:p>
        </w:tc>
        <w:tc>
          <w:tcPr>
            <w:tcW w:w="1069" w:type="pct"/>
            <w:vMerge w:val="restart"/>
          </w:tcPr>
          <w:p w:rsidR="00433748" w:rsidRPr="00B91FC8" w:rsidRDefault="00433748" w:rsidP="00561D09">
            <w:pPr>
              <w:jc w:val="center"/>
              <w:rPr>
                <w:rFonts w:ascii="Calibri" w:hAnsi="Calibri" w:cs="Calibri"/>
              </w:rPr>
            </w:pPr>
            <w:r w:rsidRPr="00B91FC8">
              <w:rPr>
                <w:rFonts w:ascii="Calibri" w:hAnsi="Calibri" w:cs="Calibri"/>
              </w:rPr>
              <w:t>5 Kurum Personeli</w:t>
            </w:r>
          </w:p>
        </w:tc>
      </w:tr>
      <w:tr w:rsidR="00433748" w:rsidRPr="001614E6" w:rsidTr="0035089D">
        <w:trPr>
          <w:cantSplit/>
          <w:trHeight w:val="503"/>
          <w:jc w:val="center"/>
        </w:trPr>
        <w:tc>
          <w:tcPr>
            <w:tcW w:w="1857" w:type="pct"/>
          </w:tcPr>
          <w:p w:rsidR="00433748" w:rsidRPr="00B91FC8" w:rsidRDefault="00433748" w:rsidP="00561D09">
            <w:pPr>
              <w:rPr>
                <w:rFonts w:ascii="Calibri" w:hAnsi="Calibri" w:cs="Calibri"/>
              </w:rPr>
            </w:pPr>
            <w:r w:rsidRPr="00B91FC8">
              <w:rPr>
                <w:rFonts w:ascii="Calibri" w:hAnsi="Calibri" w:cs="Calibri"/>
              </w:rPr>
              <w:t xml:space="preserve">Enerjisa Üretim ile Sabancı Üniversitesi </w:t>
            </w:r>
            <w:r w:rsidR="0035089D">
              <w:rPr>
                <w:rFonts w:ascii="Calibri" w:hAnsi="Calibri" w:cs="Calibri"/>
              </w:rPr>
              <w:t>İ</w:t>
            </w:r>
            <w:r w:rsidRPr="00B91FC8">
              <w:rPr>
                <w:rFonts w:ascii="Calibri" w:hAnsi="Calibri" w:cs="Calibri"/>
              </w:rPr>
              <w:t>şbirliği</w:t>
            </w:r>
          </w:p>
        </w:tc>
        <w:tc>
          <w:tcPr>
            <w:tcW w:w="2074" w:type="pct"/>
          </w:tcPr>
          <w:p w:rsidR="00433748" w:rsidRPr="00B91FC8" w:rsidRDefault="00433748" w:rsidP="00561D09">
            <w:pPr>
              <w:rPr>
                <w:rFonts w:ascii="Calibri" w:hAnsi="Calibri" w:cs="Calibri"/>
              </w:rPr>
            </w:pPr>
            <w:r w:rsidRPr="00B91FC8">
              <w:rPr>
                <w:rFonts w:ascii="Calibri" w:hAnsi="Calibri" w:cs="Calibri"/>
              </w:rPr>
              <w:t>Power MBA Eğitim Programı</w:t>
            </w:r>
          </w:p>
        </w:tc>
        <w:tc>
          <w:tcPr>
            <w:tcW w:w="1069" w:type="pct"/>
            <w:vMerge/>
          </w:tcPr>
          <w:p w:rsidR="00433748" w:rsidRPr="00B91FC8" w:rsidRDefault="00433748" w:rsidP="00561D09">
            <w:pPr>
              <w:jc w:val="center"/>
              <w:rPr>
                <w:rFonts w:ascii="Calibri" w:hAnsi="Calibri" w:cs="Calibri"/>
              </w:rPr>
            </w:pPr>
          </w:p>
        </w:tc>
      </w:tr>
      <w:tr w:rsidR="00433748" w:rsidRPr="001614E6" w:rsidTr="0035089D">
        <w:trPr>
          <w:cantSplit/>
          <w:trHeight w:val="18"/>
          <w:jc w:val="center"/>
        </w:trPr>
        <w:tc>
          <w:tcPr>
            <w:tcW w:w="1857" w:type="pct"/>
          </w:tcPr>
          <w:p w:rsidR="00433748" w:rsidRPr="00B91FC8" w:rsidRDefault="00433748" w:rsidP="00561D09">
            <w:pPr>
              <w:rPr>
                <w:rFonts w:ascii="Calibri" w:hAnsi="Calibri" w:cs="Calibri"/>
              </w:rPr>
            </w:pPr>
            <w:r w:rsidRPr="00B91FC8">
              <w:rPr>
                <w:rFonts w:ascii="Calibri" w:hAnsi="Calibri" w:cs="Calibri"/>
              </w:rPr>
              <w:t>Ulusal Uzman (SNE) ve Profesyonel Eğitimde Ulusal Uzman (NEPT)</w:t>
            </w:r>
          </w:p>
        </w:tc>
        <w:tc>
          <w:tcPr>
            <w:tcW w:w="2074" w:type="pct"/>
          </w:tcPr>
          <w:p w:rsidR="00433748" w:rsidRPr="00B91FC8" w:rsidRDefault="00433748" w:rsidP="00561D09">
            <w:pPr>
              <w:rPr>
                <w:rFonts w:ascii="Calibri" w:hAnsi="Calibri" w:cs="Calibri"/>
              </w:rPr>
            </w:pPr>
            <w:r w:rsidRPr="00B91FC8">
              <w:t>Ulusal Uzman (NEPT)</w:t>
            </w:r>
          </w:p>
        </w:tc>
        <w:tc>
          <w:tcPr>
            <w:tcW w:w="1069" w:type="pct"/>
          </w:tcPr>
          <w:p w:rsidR="00433748" w:rsidRPr="00B91FC8" w:rsidRDefault="00433748" w:rsidP="00561D09">
            <w:pPr>
              <w:jc w:val="center"/>
              <w:rPr>
                <w:rFonts w:ascii="Calibri" w:hAnsi="Calibri" w:cs="Calibri"/>
              </w:rPr>
            </w:pPr>
            <w:r w:rsidRPr="00B91FC8">
              <w:rPr>
                <w:rFonts w:ascii="Calibri" w:hAnsi="Calibri" w:cs="Calibri"/>
              </w:rPr>
              <w:t>1 Kurum Personeli</w:t>
            </w:r>
          </w:p>
        </w:tc>
      </w:tr>
      <w:tr w:rsidR="00433748" w:rsidRPr="001614E6" w:rsidTr="0035089D">
        <w:trPr>
          <w:cantSplit/>
          <w:trHeight w:val="18"/>
          <w:jc w:val="center"/>
        </w:trPr>
        <w:tc>
          <w:tcPr>
            <w:tcW w:w="1857" w:type="pct"/>
          </w:tcPr>
          <w:p w:rsidR="00433748" w:rsidRPr="00B91FC8" w:rsidRDefault="00433748" w:rsidP="00561D09">
            <w:pPr>
              <w:rPr>
                <w:rFonts w:ascii="Calibri" w:hAnsi="Calibri" w:cs="Calibri"/>
              </w:rPr>
            </w:pPr>
            <w:r w:rsidRPr="00B91FC8">
              <w:rPr>
                <w:rFonts w:ascii="Calibri" w:hAnsi="Calibri" w:cs="Calibri"/>
              </w:rPr>
              <w:t xml:space="preserve">Cumhurbaşkanlığı İletişim Başkanlığı Kamu Diplomasisi Dairesi Başkanlığı </w:t>
            </w:r>
          </w:p>
        </w:tc>
        <w:tc>
          <w:tcPr>
            <w:tcW w:w="2074" w:type="pct"/>
          </w:tcPr>
          <w:p w:rsidR="00433748" w:rsidRPr="00B91FC8" w:rsidRDefault="00433748" w:rsidP="00561D09">
            <w:pPr>
              <w:rPr>
                <w:rFonts w:ascii="Calibri" w:hAnsi="Calibri" w:cs="Calibri"/>
              </w:rPr>
            </w:pPr>
            <w:r w:rsidRPr="00B91FC8">
              <w:rPr>
                <w:rFonts w:ascii="Calibri" w:hAnsi="Calibri" w:cs="Calibri"/>
              </w:rPr>
              <w:t>Uluslararası Hukuk ve Tarih Perspektifinden 1915 Olayları" Başlıklı Konferans</w:t>
            </w:r>
          </w:p>
        </w:tc>
        <w:tc>
          <w:tcPr>
            <w:tcW w:w="1069" w:type="pct"/>
          </w:tcPr>
          <w:p w:rsidR="00433748" w:rsidRPr="00B91FC8" w:rsidRDefault="00433748" w:rsidP="00561D09">
            <w:pPr>
              <w:jc w:val="center"/>
              <w:rPr>
                <w:rFonts w:ascii="Calibri" w:hAnsi="Calibri" w:cs="Calibri"/>
              </w:rPr>
            </w:pPr>
            <w:r w:rsidRPr="00B91FC8">
              <w:rPr>
                <w:rFonts w:ascii="Calibri" w:hAnsi="Calibri" w:cs="Calibri"/>
              </w:rPr>
              <w:t>2 Kurum Personeli</w:t>
            </w:r>
          </w:p>
        </w:tc>
      </w:tr>
      <w:tr w:rsidR="00433748" w:rsidRPr="001614E6" w:rsidTr="0035089D">
        <w:trPr>
          <w:cantSplit/>
          <w:trHeight w:val="18"/>
          <w:jc w:val="center"/>
        </w:trPr>
        <w:tc>
          <w:tcPr>
            <w:tcW w:w="1857" w:type="pct"/>
          </w:tcPr>
          <w:p w:rsidR="00433748" w:rsidRPr="00B91FC8" w:rsidRDefault="00433748" w:rsidP="00561D09">
            <w:pPr>
              <w:rPr>
                <w:rFonts w:ascii="Calibri" w:hAnsi="Calibri" w:cs="Calibri"/>
              </w:rPr>
            </w:pPr>
            <w:r w:rsidRPr="00B91FC8">
              <w:rPr>
                <w:rFonts w:ascii="Calibri" w:hAnsi="Calibri" w:cs="Calibri"/>
              </w:rPr>
              <w:t>Enerji Piyasası Düzenleme Kurumu</w:t>
            </w:r>
          </w:p>
        </w:tc>
        <w:tc>
          <w:tcPr>
            <w:tcW w:w="2074" w:type="pct"/>
          </w:tcPr>
          <w:p w:rsidR="00433748" w:rsidRPr="00B91FC8" w:rsidRDefault="00433748" w:rsidP="00561D09">
            <w:pPr>
              <w:rPr>
                <w:rFonts w:ascii="Calibri" w:hAnsi="Calibri" w:cs="Calibri"/>
              </w:rPr>
            </w:pPr>
            <w:r w:rsidRPr="00B91FC8">
              <w:rPr>
                <w:rFonts w:ascii="Calibri" w:hAnsi="Calibri" w:cs="Calibri"/>
              </w:rPr>
              <w:t>2022 Yılı Temel ve Hazırlayıcı Eğitim Programı</w:t>
            </w:r>
          </w:p>
        </w:tc>
        <w:tc>
          <w:tcPr>
            <w:tcW w:w="1069" w:type="pct"/>
          </w:tcPr>
          <w:p w:rsidR="00433748" w:rsidRPr="00B91FC8" w:rsidRDefault="00433748" w:rsidP="00561D09">
            <w:pPr>
              <w:jc w:val="center"/>
              <w:rPr>
                <w:rFonts w:ascii="Calibri" w:hAnsi="Calibri" w:cs="Calibri"/>
              </w:rPr>
            </w:pPr>
            <w:r w:rsidRPr="00B91FC8">
              <w:rPr>
                <w:rFonts w:ascii="Calibri" w:hAnsi="Calibri" w:cs="Calibri"/>
              </w:rPr>
              <w:t>39 Kurum Personeli</w:t>
            </w:r>
          </w:p>
        </w:tc>
      </w:tr>
      <w:tr w:rsidR="00433748" w:rsidRPr="001614E6" w:rsidTr="0035089D">
        <w:trPr>
          <w:cantSplit/>
          <w:trHeight w:val="18"/>
          <w:jc w:val="center"/>
        </w:trPr>
        <w:tc>
          <w:tcPr>
            <w:tcW w:w="1857" w:type="pct"/>
          </w:tcPr>
          <w:p w:rsidR="00433748" w:rsidRPr="00B91FC8" w:rsidRDefault="00433748" w:rsidP="00561D09">
            <w:pPr>
              <w:rPr>
                <w:rFonts w:ascii="Calibri" w:hAnsi="Calibri" w:cs="Calibri"/>
              </w:rPr>
            </w:pPr>
            <w:r w:rsidRPr="00B91FC8">
              <w:rPr>
                <w:rFonts w:ascii="Calibri" w:hAnsi="Calibri" w:cs="Calibri"/>
              </w:rPr>
              <w:t>TÜRK STANDARTLARI ENSTİTÜSÜ</w:t>
            </w:r>
          </w:p>
        </w:tc>
        <w:tc>
          <w:tcPr>
            <w:tcW w:w="2074" w:type="pct"/>
          </w:tcPr>
          <w:p w:rsidR="00433748" w:rsidRPr="00B91FC8" w:rsidRDefault="00433748" w:rsidP="00561D09">
            <w:pPr>
              <w:tabs>
                <w:tab w:val="left" w:pos="1100"/>
              </w:tabs>
              <w:rPr>
                <w:rFonts w:ascii="Calibri" w:hAnsi="Calibri" w:cs="Calibri"/>
              </w:rPr>
            </w:pPr>
            <w:r w:rsidRPr="00B91FC8">
              <w:rPr>
                <w:rFonts w:ascii="Calibri" w:hAnsi="Calibri" w:cs="Calibri"/>
              </w:rPr>
              <w:t>50001 Enerji Yönetim Sistemi Belgesi</w:t>
            </w:r>
          </w:p>
        </w:tc>
        <w:tc>
          <w:tcPr>
            <w:tcW w:w="1069" w:type="pct"/>
          </w:tcPr>
          <w:p w:rsidR="00433748" w:rsidRPr="00B91FC8" w:rsidRDefault="00433748" w:rsidP="00561D09">
            <w:pPr>
              <w:jc w:val="center"/>
              <w:rPr>
                <w:rFonts w:ascii="Calibri" w:hAnsi="Calibri" w:cs="Calibri"/>
              </w:rPr>
            </w:pPr>
            <w:r w:rsidRPr="00B91FC8">
              <w:rPr>
                <w:rFonts w:ascii="Calibri" w:hAnsi="Calibri" w:cs="Calibri"/>
              </w:rPr>
              <w:t>1 Kurum Personeli</w:t>
            </w:r>
          </w:p>
        </w:tc>
      </w:tr>
      <w:tr w:rsidR="00433748" w:rsidRPr="001614E6" w:rsidTr="0035089D">
        <w:trPr>
          <w:cantSplit/>
          <w:trHeight w:val="18"/>
          <w:jc w:val="center"/>
        </w:trPr>
        <w:tc>
          <w:tcPr>
            <w:tcW w:w="1857" w:type="pct"/>
          </w:tcPr>
          <w:p w:rsidR="00433748" w:rsidRPr="00B91FC8" w:rsidRDefault="00433748" w:rsidP="00561D09">
            <w:pPr>
              <w:rPr>
                <w:rFonts w:ascii="Calibri" w:hAnsi="Calibri" w:cs="Calibri"/>
              </w:rPr>
            </w:pPr>
            <w:r w:rsidRPr="00B91FC8">
              <w:rPr>
                <w:rFonts w:ascii="Calibri" w:hAnsi="Calibri" w:cs="Calibri"/>
              </w:rPr>
              <w:t>Profelis Bilişim ve Danışmanlık Tic. Ve San. Ltd. Şti.</w:t>
            </w:r>
          </w:p>
        </w:tc>
        <w:tc>
          <w:tcPr>
            <w:tcW w:w="2074" w:type="pct"/>
          </w:tcPr>
          <w:p w:rsidR="00433748" w:rsidRPr="00B91FC8" w:rsidRDefault="00433748" w:rsidP="00561D09">
            <w:pPr>
              <w:tabs>
                <w:tab w:val="left" w:pos="1100"/>
              </w:tabs>
              <w:rPr>
                <w:rFonts w:ascii="Calibri" w:hAnsi="Calibri" w:cs="Calibri"/>
              </w:rPr>
            </w:pPr>
            <w:r w:rsidRPr="00B91FC8">
              <w:rPr>
                <w:rFonts w:ascii="Calibri" w:hAnsi="Calibri" w:cs="Calibri"/>
              </w:rPr>
              <w:t>PostgreSQL Veritabanı Eğitimi Temel PostgreSQL Eğitimi, PostgreSQL Sistem Yöneticisi Eğitimi, PostgreSQL İleri Sistem Yöneticisi Eğitimi</w:t>
            </w:r>
          </w:p>
        </w:tc>
        <w:tc>
          <w:tcPr>
            <w:tcW w:w="1069" w:type="pct"/>
          </w:tcPr>
          <w:p w:rsidR="00433748" w:rsidRPr="00B91FC8" w:rsidRDefault="00433748" w:rsidP="00561D09">
            <w:pPr>
              <w:jc w:val="center"/>
              <w:rPr>
                <w:rFonts w:ascii="Calibri" w:hAnsi="Calibri" w:cs="Calibri"/>
              </w:rPr>
            </w:pPr>
            <w:r w:rsidRPr="00B91FC8">
              <w:rPr>
                <w:rFonts w:ascii="Calibri" w:hAnsi="Calibri" w:cs="Calibri"/>
              </w:rPr>
              <w:t>Bilgi İşlem Dairesi Başkanlığı Personeli</w:t>
            </w:r>
          </w:p>
        </w:tc>
      </w:tr>
      <w:tr w:rsidR="00433748" w:rsidRPr="001614E6" w:rsidTr="0035089D">
        <w:trPr>
          <w:cantSplit/>
          <w:trHeight w:val="18"/>
          <w:jc w:val="center"/>
        </w:trPr>
        <w:tc>
          <w:tcPr>
            <w:tcW w:w="1857" w:type="pct"/>
          </w:tcPr>
          <w:p w:rsidR="00433748" w:rsidRPr="00B91FC8" w:rsidRDefault="00433748" w:rsidP="00561D09">
            <w:pPr>
              <w:rPr>
                <w:rFonts w:ascii="Calibri" w:hAnsi="Calibri" w:cs="Calibri"/>
                <w:b/>
              </w:rPr>
            </w:pPr>
            <w:r w:rsidRPr="00B91FC8">
              <w:rPr>
                <w:rFonts w:ascii="Calibri" w:hAnsi="Calibri" w:cs="Calibri"/>
                <w:b/>
              </w:rPr>
              <w:t>Toplam Maliyet</w:t>
            </w:r>
          </w:p>
        </w:tc>
        <w:tc>
          <w:tcPr>
            <w:tcW w:w="3143" w:type="pct"/>
            <w:gridSpan w:val="2"/>
            <w:vAlign w:val="center"/>
          </w:tcPr>
          <w:p w:rsidR="00433748" w:rsidRPr="00B91FC8" w:rsidRDefault="00433748" w:rsidP="00561D09">
            <w:pPr>
              <w:jc w:val="center"/>
              <w:rPr>
                <w:rFonts w:ascii="Calibri" w:hAnsi="Calibri" w:cs="Calibri"/>
                <w:b/>
              </w:rPr>
            </w:pPr>
            <w:r w:rsidRPr="00B91FC8">
              <w:rPr>
                <w:rFonts w:ascii="Calibri" w:hAnsi="Calibri" w:cs="Calibri"/>
                <w:b/>
              </w:rPr>
              <w:t>665.110,562 TL</w:t>
            </w:r>
          </w:p>
        </w:tc>
      </w:tr>
    </w:tbl>
    <w:p w:rsidR="00433748" w:rsidRDefault="00433748" w:rsidP="00433748">
      <w:pPr>
        <w:spacing w:after="0" w:line="269" w:lineRule="auto"/>
        <w:rPr>
          <w:sz w:val="20"/>
          <w:szCs w:val="20"/>
        </w:rPr>
      </w:pPr>
      <w:r>
        <w:rPr>
          <w:sz w:val="20"/>
          <w:szCs w:val="20"/>
        </w:rPr>
        <w:t xml:space="preserve">* </w:t>
      </w:r>
      <w:r w:rsidRPr="00B36621">
        <w:rPr>
          <w:i/>
          <w:sz w:val="20"/>
          <w:szCs w:val="20"/>
        </w:rPr>
        <w:t>Yeni başlayan personel için “Aday Memurluk Temel Eğitim” programı çevrimiçi olarak gerçekleştirilmiştir</w:t>
      </w:r>
      <w:r>
        <w:rPr>
          <w:sz w:val="20"/>
          <w:szCs w:val="20"/>
        </w:rPr>
        <w:t>.</w:t>
      </w:r>
    </w:p>
    <w:p w:rsidR="00433748" w:rsidRDefault="00433748" w:rsidP="00433748">
      <w:pPr>
        <w:spacing w:after="0" w:line="269" w:lineRule="auto"/>
        <w:rPr>
          <w:sz w:val="20"/>
          <w:szCs w:val="20"/>
        </w:rPr>
      </w:pPr>
    </w:p>
    <w:p w:rsidR="0072201B" w:rsidRPr="00E9291A" w:rsidRDefault="0072201B" w:rsidP="000A5A56">
      <w:pPr>
        <w:pStyle w:val="Balk3"/>
        <w:numPr>
          <w:ilvl w:val="2"/>
          <w:numId w:val="11"/>
        </w:numPr>
        <w:spacing w:before="0" w:after="240"/>
        <w:rPr>
          <w:rFonts w:asciiTheme="minorHAnsi" w:hAnsiTheme="minorHAnsi"/>
          <w:color w:val="000000" w:themeColor="text1"/>
        </w:rPr>
      </w:pPr>
      <w:bookmarkStart w:id="480" w:name="_Toc132713877"/>
      <w:r w:rsidRPr="00E9291A">
        <w:rPr>
          <w:rFonts w:asciiTheme="minorHAnsi" w:hAnsiTheme="minorHAnsi"/>
          <w:color w:val="000000" w:themeColor="text1"/>
        </w:rPr>
        <w:t>Diğer Eğitim Faaliyetleri</w:t>
      </w:r>
      <w:bookmarkEnd w:id="479"/>
      <w:bookmarkEnd w:id="480"/>
    </w:p>
    <w:p w:rsidR="0072201B" w:rsidRDefault="0072201B" w:rsidP="0072201B">
      <w:pPr>
        <w:spacing w:after="0"/>
      </w:pPr>
      <w:r w:rsidRPr="00E9291A">
        <w:t>Kurum, her yıl ilgili mevzuat çerçevesinde, hizmet yılı ve yabancı dil ölçütlerini dikkate alarak belirli sayıdaki personelini bilgi ve görgü artırma amaçlı kısa süreli eğitimlere ve yüksek lisans çalışmaları yapmak üzere uzun süreli eğitimlere göndermektedir. Ayrıca dünya enerji piyasasında yaşanan gelişmelerin daha yakından takip edilebilmesi amacıyla,</w:t>
      </w:r>
      <w:r>
        <w:t xml:space="preserve"> </w:t>
      </w:r>
      <w:r w:rsidRPr="00E9291A">
        <w:t>Kurum personelinin yabancı dil bilgisi seviyesinin yükseltilmesi amaçlı eğitimlere katılması teşvik edilmektedir. Bu kapsamda yapılan çalışmalara dair bilgiler aşağı</w:t>
      </w:r>
      <w:r>
        <w:t>daki tablolarda yer almaktadır.</w:t>
      </w:r>
    </w:p>
    <w:p w:rsidR="004A53A0" w:rsidRDefault="004A53A0" w:rsidP="0072201B">
      <w:pPr>
        <w:spacing w:after="0"/>
      </w:pPr>
    </w:p>
    <w:p w:rsidR="00FF24CA" w:rsidRDefault="00FF24CA" w:rsidP="00FF24CA">
      <w:pPr>
        <w:pStyle w:val="Balk5"/>
        <w:jc w:val="center"/>
        <w:rPr>
          <w:rFonts w:asciiTheme="minorHAnsi" w:hAnsiTheme="minorHAnsi"/>
          <w:b/>
          <w:color w:val="auto"/>
          <w:lang w:eastAsia="tr-TR"/>
        </w:rPr>
      </w:pPr>
      <w:bookmarkStart w:id="481" w:name="_Toc132713976"/>
      <w:r>
        <w:rPr>
          <w:rFonts w:asciiTheme="minorHAnsi" w:hAnsiTheme="minorHAnsi"/>
          <w:b/>
          <w:color w:val="auto"/>
          <w:lang w:eastAsia="tr-TR"/>
        </w:rPr>
        <w:t>Tablo 13.8</w:t>
      </w:r>
      <w:r w:rsidRPr="00FA1354">
        <w:rPr>
          <w:rFonts w:asciiTheme="minorHAnsi" w:hAnsiTheme="minorHAnsi"/>
          <w:b/>
          <w:color w:val="auto"/>
          <w:lang w:eastAsia="tr-TR"/>
        </w:rPr>
        <w:t>: 202</w:t>
      </w:r>
      <w:r>
        <w:rPr>
          <w:rFonts w:asciiTheme="minorHAnsi" w:hAnsiTheme="minorHAnsi"/>
          <w:b/>
          <w:color w:val="auto"/>
          <w:lang w:eastAsia="tr-TR"/>
        </w:rPr>
        <w:t>2</w:t>
      </w:r>
      <w:r w:rsidRPr="00FA1354">
        <w:rPr>
          <w:rFonts w:asciiTheme="minorHAnsi" w:hAnsiTheme="minorHAnsi"/>
          <w:b/>
          <w:color w:val="auto"/>
          <w:lang w:eastAsia="tr-TR"/>
        </w:rPr>
        <w:t xml:space="preserve"> Yılında Yapılan Yurt Dışı Eğitim Faaliyetleri</w:t>
      </w:r>
      <w:bookmarkEnd w:id="481"/>
    </w:p>
    <w:tbl>
      <w:tblPr>
        <w:tblW w:w="5000" w:type="pct"/>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4014"/>
        <w:gridCol w:w="4571"/>
        <w:gridCol w:w="1326"/>
      </w:tblGrid>
      <w:tr w:rsidR="00FF24CA" w:rsidRPr="001614E6" w:rsidTr="00FF24CA">
        <w:trPr>
          <w:trHeight w:val="397"/>
          <w:tblHeader/>
        </w:trPr>
        <w:tc>
          <w:tcPr>
            <w:tcW w:w="2025" w:type="pct"/>
            <w:shd w:val="clear" w:color="auto" w:fill="6E9ECA"/>
            <w:vAlign w:val="center"/>
          </w:tcPr>
          <w:p w:rsidR="00FF24CA" w:rsidRPr="001614E6" w:rsidRDefault="00FF24CA" w:rsidP="00FF24CA">
            <w:pPr>
              <w:jc w:val="center"/>
              <w:rPr>
                <w:rFonts w:ascii="Calibri" w:hAnsi="Calibri" w:cs="Calibri"/>
                <w:b/>
                <w:color w:val="FFFFFF"/>
              </w:rPr>
            </w:pPr>
            <w:r w:rsidRPr="001614E6">
              <w:rPr>
                <w:rFonts w:ascii="Calibri" w:hAnsi="Calibri" w:cs="Calibri"/>
                <w:b/>
                <w:color w:val="FFFFFF"/>
              </w:rPr>
              <w:t>Eğitimin Kategorisi</w:t>
            </w:r>
          </w:p>
        </w:tc>
        <w:tc>
          <w:tcPr>
            <w:tcW w:w="2306" w:type="pct"/>
            <w:shd w:val="clear" w:color="auto" w:fill="6E9ECA"/>
            <w:vAlign w:val="center"/>
          </w:tcPr>
          <w:p w:rsidR="00FF24CA" w:rsidRPr="001614E6" w:rsidRDefault="00FF24CA" w:rsidP="00FF24CA">
            <w:pPr>
              <w:jc w:val="center"/>
              <w:rPr>
                <w:rFonts w:ascii="Calibri" w:hAnsi="Calibri" w:cs="Calibri"/>
                <w:b/>
                <w:color w:val="FFFFFF"/>
              </w:rPr>
            </w:pPr>
            <w:r w:rsidRPr="001614E6">
              <w:rPr>
                <w:rFonts w:ascii="Calibri" w:hAnsi="Calibri" w:cs="Calibri"/>
                <w:b/>
                <w:color w:val="FFFFFF"/>
              </w:rPr>
              <w:t>Eğitimin Adı</w:t>
            </w:r>
          </w:p>
        </w:tc>
        <w:tc>
          <w:tcPr>
            <w:tcW w:w="669" w:type="pct"/>
            <w:shd w:val="clear" w:color="auto" w:fill="6E9ECA"/>
            <w:vAlign w:val="center"/>
          </w:tcPr>
          <w:p w:rsidR="00FF24CA" w:rsidRPr="001614E6" w:rsidRDefault="00FF24CA" w:rsidP="00FF24CA">
            <w:pPr>
              <w:jc w:val="center"/>
              <w:rPr>
                <w:rFonts w:ascii="Calibri" w:hAnsi="Calibri" w:cs="Calibri"/>
                <w:b/>
                <w:color w:val="FFFFFF"/>
              </w:rPr>
            </w:pPr>
            <w:r w:rsidRPr="001614E6">
              <w:rPr>
                <w:rFonts w:ascii="Calibri" w:hAnsi="Calibri" w:cs="Calibri"/>
                <w:b/>
                <w:color w:val="FFFFFF"/>
              </w:rPr>
              <w:t>Yararlanan Kişi Sayısı</w:t>
            </w:r>
          </w:p>
        </w:tc>
      </w:tr>
      <w:tr w:rsidR="00FF24CA" w:rsidRPr="001614E6" w:rsidTr="00FF24CA">
        <w:trPr>
          <w:trHeight w:val="397"/>
        </w:trPr>
        <w:tc>
          <w:tcPr>
            <w:tcW w:w="2025" w:type="pct"/>
          </w:tcPr>
          <w:p w:rsidR="00FF24CA" w:rsidRPr="0095642B" w:rsidRDefault="00FF24CA" w:rsidP="00FF24CA">
            <w:pPr>
              <w:rPr>
                <w:rFonts w:ascii="Calibri" w:hAnsi="Calibri" w:cs="Calibri"/>
              </w:rPr>
            </w:pPr>
            <w:r w:rsidRPr="0095642B">
              <w:rPr>
                <w:rFonts w:ascii="Calibri" w:hAnsi="Calibri" w:cs="Calibri"/>
              </w:rPr>
              <w:t>ERRA</w:t>
            </w:r>
          </w:p>
        </w:tc>
        <w:tc>
          <w:tcPr>
            <w:tcW w:w="2306" w:type="pct"/>
          </w:tcPr>
          <w:p w:rsidR="00FF24CA" w:rsidRPr="0095642B" w:rsidRDefault="00FF24CA" w:rsidP="00FF24CA">
            <w:pPr>
              <w:rPr>
                <w:rFonts w:ascii="Calibri" w:hAnsi="Calibri" w:cs="Calibri"/>
              </w:rPr>
            </w:pPr>
            <w:r w:rsidRPr="0095642B">
              <w:rPr>
                <w:rFonts w:ascii="Calibri" w:hAnsi="Calibri" w:cs="Calibri"/>
              </w:rPr>
              <w:t>Enerji Regülasyonuna Giriş</w:t>
            </w:r>
          </w:p>
        </w:tc>
        <w:tc>
          <w:tcPr>
            <w:tcW w:w="669" w:type="pct"/>
            <w:vAlign w:val="center"/>
          </w:tcPr>
          <w:p w:rsidR="00FF24CA" w:rsidRPr="0095642B" w:rsidRDefault="00FF24CA" w:rsidP="00FF24CA">
            <w:pPr>
              <w:jc w:val="center"/>
              <w:rPr>
                <w:rFonts w:ascii="Calibri" w:hAnsi="Calibri" w:cs="Calibri"/>
              </w:rPr>
            </w:pPr>
            <w:r w:rsidRPr="0095642B">
              <w:rPr>
                <w:rFonts w:ascii="Calibri" w:hAnsi="Calibri" w:cs="Calibri"/>
              </w:rPr>
              <w:t>15</w:t>
            </w:r>
          </w:p>
        </w:tc>
      </w:tr>
      <w:tr w:rsidR="00FF24CA" w:rsidRPr="001614E6" w:rsidTr="00FF24CA">
        <w:trPr>
          <w:trHeight w:val="200"/>
        </w:trPr>
        <w:tc>
          <w:tcPr>
            <w:tcW w:w="2025" w:type="pct"/>
            <w:vMerge w:val="restart"/>
            <w:vAlign w:val="center"/>
          </w:tcPr>
          <w:p w:rsidR="00FF24CA" w:rsidRPr="0095642B" w:rsidRDefault="00FF24CA" w:rsidP="00FF24CA">
            <w:pPr>
              <w:rPr>
                <w:rFonts w:ascii="Calibri" w:hAnsi="Calibri" w:cs="Calibri"/>
              </w:rPr>
            </w:pPr>
            <w:r w:rsidRPr="0095642B">
              <w:rPr>
                <w:rFonts w:ascii="Calibri" w:hAnsi="Calibri" w:cs="Calibri"/>
              </w:rPr>
              <w:t xml:space="preserve">Avrupa Birliği Jean Monnet Burs Programı </w:t>
            </w:r>
          </w:p>
        </w:tc>
        <w:tc>
          <w:tcPr>
            <w:tcW w:w="2306" w:type="pct"/>
            <w:tcBorders>
              <w:bottom w:val="single" w:sz="4" w:space="0" w:color="auto"/>
            </w:tcBorders>
          </w:tcPr>
          <w:p w:rsidR="00FF24CA" w:rsidRPr="0095642B" w:rsidRDefault="00FF24CA" w:rsidP="00FF24CA">
            <w:pPr>
              <w:rPr>
                <w:rFonts w:ascii="Calibri" w:hAnsi="Calibri" w:cs="Calibri"/>
              </w:rPr>
            </w:pPr>
            <w:r w:rsidRPr="0095642B">
              <w:rPr>
                <w:rFonts w:ascii="Calibri" w:hAnsi="Calibri" w:cs="Calibri"/>
              </w:rPr>
              <w:t>Enerji Hukuku</w:t>
            </w:r>
          </w:p>
        </w:tc>
        <w:tc>
          <w:tcPr>
            <w:tcW w:w="669" w:type="pct"/>
            <w:vMerge w:val="restart"/>
            <w:vAlign w:val="center"/>
          </w:tcPr>
          <w:p w:rsidR="00FF24CA" w:rsidRPr="0095642B" w:rsidRDefault="00FF24CA" w:rsidP="00FF24CA">
            <w:pPr>
              <w:jc w:val="center"/>
              <w:rPr>
                <w:rFonts w:ascii="Calibri" w:hAnsi="Calibri" w:cs="Calibri"/>
              </w:rPr>
            </w:pPr>
            <w:r w:rsidRPr="0095642B">
              <w:rPr>
                <w:rFonts w:ascii="Calibri" w:hAnsi="Calibri" w:cs="Calibri"/>
              </w:rPr>
              <w:t>3</w:t>
            </w:r>
          </w:p>
        </w:tc>
      </w:tr>
      <w:tr w:rsidR="00FF24CA" w:rsidRPr="001614E6" w:rsidTr="00FF24CA">
        <w:trPr>
          <w:trHeight w:val="301"/>
        </w:trPr>
        <w:tc>
          <w:tcPr>
            <w:tcW w:w="2025" w:type="pct"/>
            <w:vMerge/>
            <w:vAlign w:val="center"/>
          </w:tcPr>
          <w:p w:rsidR="00FF24CA" w:rsidRDefault="00FF24CA" w:rsidP="00FF24CA">
            <w:pPr>
              <w:rPr>
                <w:rFonts w:ascii="Calibri" w:hAnsi="Calibri" w:cs="Calibri"/>
                <w:color w:val="FF0000"/>
              </w:rPr>
            </w:pPr>
          </w:p>
        </w:tc>
        <w:tc>
          <w:tcPr>
            <w:tcW w:w="2306" w:type="pct"/>
            <w:tcBorders>
              <w:top w:val="single" w:sz="4" w:space="0" w:color="auto"/>
            </w:tcBorders>
          </w:tcPr>
          <w:p w:rsidR="00FF24CA" w:rsidRPr="0095642B" w:rsidRDefault="00FF24CA" w:rsidP="00FF24CA">
            <w:pPr>
              <w:rPr>
                <w:rFonts w:ascii="Calibri" w:hAnsi="Calibri" w:cs="Calibri"/>
              </w:rPr>
            </w:pPr>
            <w:r w:rsidRPr="0095642B">
              <w:rPr>
                <w:rFonts w:ascii="Calibri" w:hAnsi="Calibri" w:cs="Calibri"/>
              </w:rPr>
              <w:t>Enerji ve İklim Politikaları</w:t>
            </w:r>
          </w:p>
        </w:tc>
        <w:tc>
          <w:tcPr>
            <w:tcW w:w="669" w:type="pct"/>
            <w:vMerge/>
            <w:vAlign w:val="center"/>
          </w:tcPr>
          <w:p w:rsidR="00FF24CA" w:rsidRPr="00BA37BB" w:rsidRDefault="00FF24CA" w:rsidP="00FF24CA">
            <w:pPr>
              <w:jc w:val="center"/>
              <w:rPr>
                <w:rFonts w:ascii="Calibri" w:hAnsi="Calibri" w:cs="Calibri"/>
                <w:color w:val="FF0000"/>
              </w:rPr>
            </w:pPr>
          </w:p>
        </w:tc>
      </w:tr>
      <w:tr w:rsidR="00FF24CA" w:rsidRPr="001614E6" w:rsidTr="00FF24CA">
        <w:trPr>
          <w:trHeight w:val="397"/>
        </w:trPr>
        <w:tc>
          <w:tcPr>
            <w:tcW w:w="2025" w:type="pct"/>
            <w:vAlign w:val="center"/>
          </w:tcPr>
          <w:p w:rsidR="00FF24CA" w:rsidRPr="001614E6" w:rsidRDefault="00FF24CA" w:rsidP="00FF24CA">
            <w:pPr>
              <w:rPr>
                <w:rFonts w:ascii="Calibri" w:hAnsi="Calibri" w:cs="Calibri"/>
                <w:b/>
              </w:rPr>
            </w:pPr>
            <w:r w:rsidRPr="001614E6">
              <w:rPr>
                <w:rFonts w:ascii="Calibri" w:hAnsi="Calibri" w:cs="Calibri"/>
                <w:b/>
              </w:rPr>
              <w:t>Toplam Maliyet</w:t>
            </w:r>
          </w:p>
        </w:tc>
        <w:tc>
          <w:tcPr>
            <w:tcW w:w="2975" w:type="pct"/>
            <w:gridSpan w:val="2"/>
            <w:vAlign w:val="center"/>
          </w:tcPr>
          <w:p w:rsidR="00FF24CA" w:rsidRPr="001614E6" w:rsidRDefault="00FF24CA" w:rsidP="00FF24CA">
            <w:pPr>
              <w:jc w:val="center"/>
              <w:rPr>
                <w:rFonts w:ascii="Calibri" w:hAnsi="Calibri" w:cs="Calibri"/>
                <w:b/>
              </w:rPr>
            </w:pPr>
            <w:r>
              <w:rPr>
                <w:rFonts w:ascii="Calibri" w:hAnsi="Calibri" w:cs="Calibri"/>
                <w:b/>
              </w:rPr>
              <w:t>272</w:t>
            </w:r>
            <w:r w:rsidRPr="001614E6">
              <w:rPr>
                <w:rFonts w:ascii="Calibri" w:hAnsi="Calibri" w:cs="Calibri"/>
                <w:b/>
              </w:rPr>
              <w:t>.</w:t>
            </w:r>
            <w:r>
              <w:rPr>
                <w:rFonts w:ascii="Calibri" w:hAnsi="Calibri" w:cs="Calibri"/>
                <w:b/>
              </w:rPr>
              <w:t>788</w:t>
            </w:r>
            <w:r w:rsidRPr="001614E6">
              <w:rPr>
                <w:rFonts w:ascii="Calibri" w:hAnsi="Calibri" w:cs="Calibri"/>
                <w:b/>
              </w:rPr>
              <w:t>,</w:t>
            </w:r>
            <w:r>
              <w:rPr>
                <w:rFonts w:ascii="Calibri" w:hAnsi="Calibri" w:cs="Calibri"/>
                <w:b/>
              </w:rPr>
              <w:t>80</w:t>
            </w:r>
            <w:r w:rsidRPr="001614E6">
              <w:rPr>
                <w:rFonts w:ascii="Calibri" w:hAnsi="Calibri" w:cs="Calibri"/>
                <w:b/>
              </w:rPr>
              <w:t xml:space="preserve"> TL</w:t>
            </w:r>
          </w:p>
        </w:tc>
      </w:tr>
    </w:tbl>
    <w:p w:rsidR="00FF24CA" w:rsidRPr="00410C2E" w:rsidRDefault="00FF24CA" w:rsidP="00FF24CA">
      <w:pPr>
        <w:rPr>
          <w:lang w:eastAsia="tr-TR"/>
        </w:rPr>
      </w:pPr>
    </w:p>
    <w:p w:rsidR="00FF24CA" w:rsidRDefault="00FF24CA" w:rsidP="00FF24CA">
      <w:pPr>
        <w:pStyle w:val="Balk5"/>
        <w:jc w:val="center"/>
        <w:rPr>
          <w:rFonts w:asciiTheme="minorHAnsi" w:hAnsiTheme="minorHAnsi"/>
          <w:b/>
          <w:color w:val="auto"/>
        </w:rPr>
      </w:pPr>
      <w:bookmarkStart w:id="482" w:name="_Toc132713977"/>
      <w:r w:rsidRPr="00FA1354">
        <w:rPr>
          <w:rFonts w:asciiTheme="minorHAnsi" w:hAnsiTheme="minorHAnsi"/>
          <w:b/>
          <w:color w:val="auto"/>
        </w:rPr>
        <w:t>Tablo 1</w:t>
      </w:r>
      <w:r>
        <w:rPr>
          <w:rFonts w:asciiTheme="minorHAnsi" w:hAnsiTheme="minorHAnsi"/>
          <w:b/>
          <w:color w:val="auto"/>
        </w:rPr>
        <w:t>3</w:t>
      </w:r>
      <w:r w:rsidRPr="00FA1354">
        <w:rPr>
          <w:rFonts w:asciiTheme="minorHAnsi" w:hAnsiTheme="minorHAnsi"/>
          <w:b/>
          <w:color w:val="auto"/>
        </w:rPr>
        <w:t>.</w:t>
      </w:r>
      <w:r>
        <w:rPr>
          <w:rFonts w:asciiTheme="minorHAnsi" w:hAnsiTheme="minorHAnsi"/>
          <w:b/>
          <w:color w:val="auto"/>
        </w:rPr>
        <w:t>9</w:t>
      </w:r>
      <w:r w:rsidRPr="00FA1354">
        <w:rPr>
          <w:rFonts w:asciiTheme="minorHAnsi" w:hAnsiTheme="minorHAnsi"/>
          <w:b/>
          <w:color w:val="auto"/>
        </w:rPr>
        <w:t>: 202</w:t>
      </w:r>
      <w:r>
        <w:rPr>
          <w:rFonts w:asciiTheme="minorHAnsi" w:hAnsiTheme="minorHAnsi"/>
          <w:b/>
          <w:color w:val="auto"/>
        </w:rPr>
        <w:t>2</w:t>
      </w:r>
      <w:r w:rsidRPr="00FA1354">
        <w:rPr>
          <w:rFonts w:asciiTheme="minorHAnsi" w:hAnsiTheme="minorHAnsi"/>
          <w:b/>
          <w:color w:val="auto"/>
        </w:rPr>
        <w:t xml:space="preserve"> Yılında Alınan Yabancı Dil Eğitim Faaliyetleri</w:t>
      </w:r>
      <w:bookmarkEnd w:id="482"/>
    </w:p>
    <w:tbl>
      <w:tblPr>
        <w:tblW w:w="4503"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161"/>
        <w:gridCol w:w="2323"/>
        <w:gridCol w:w="2442"/>
      </w:tblGrid>
      <w:tr w:rsidR="00FF24CA" w:rsidRPr="001614E6" w:rsidTr="00FF24CA">
        <w:trPr>
          <w:trHeight w:val="227"/>
          <w:tblHeader/>
          <w:jc w:val="center"/>
        </w:trPr>
        <w:tc>
          <w:tcPr>
            <w:tcW w:w="2331" w:type="pct"/>
            <w:shd w:val="clear" w:color="auto" w:fill="6E9ECA"/>
          </w:tcPr>
          <w:p w:rsidR="00FF24CA" w:rsidRPr="001614E6" w:rsidRDefault="00FF24CA" w:rsidP="00FF24CA">
            <w:pPr>
              <w:jc w:val="center"/>
              <w:rPr>
                <w:rFonts w:ascii="Calibri" w:hAnsi="Calibri" w:cs="Calibri"/>
                <w:bCs/>
                <w:color w:val="FFFFFF"/>
              </w:rPr>
            </w:pPr>
            <w:r w:rsidRPr="001614E6">
              <w:rPr>
                <w:rFonts w:ascii="Calibri" w:hAnsi="Calibri" w:cs="Calibri"/>
                <w:bCs/>
                <w:color w:val="FFFFFF"/>
              </w:rPr>
              <w:t>Eğitim Veren Kurum veya Kuruluş</w:t>
            </w:r>
          </w:p>
        </w:tc>
        <w:tc>
          <w:tcPr>
            <w:tcW w:w="1301" w:type="pct"/>
            <w:shd w:val="clear" w:color="auto" w:fill="6E9ECA"/>
          </w:tcPr>
          <w:p w:rsidR="00FF24CA" w:rsidRPr="001614E6" w:rsidRDefault="00FF24CA" w:rsidP="00FF24CA">
            <w:pPr>
              <w:jc w:val="center"/>
              <w:rPr>
                <w:rFonts w:ascii="Calibri" w:hAnsi="Calibri" w:cs="Calibri"/>
                <w:bCs/>
                <w:color w:val="FFFFFF"/>
              </w:rPr>
            </w:pPr>
            <w:r w:rsidRPr="001614E6">
              <w:rPr>
                <w:rFonts w:ascii="Calibri" w:hAnsi="Calibri" w:cs="Calibri"/>
                <w:bCs/>
                <w:color w:val="FFFFFF"/>
              </w:rPr>
              <w:t>Eğitimin Adı</w:t>
            </w:r>
          </w:p>
        </w:tc>
        <w:tc>
          <w:tcPr>
            <w:tcW w:w="1368" w:type="pct"/>
            <w:shd w:val="clear" w:color="auto" w:fill="6E9ECA"/>
          </w:tcPr>
          <w:p w:rsidR="00FF24CA" w:rsidRPr="001614E6" w:rsidRDefault="00FF24CA" w:rsidP="00FF24CA">
            <w:pPr>
              <w:jc w:val="center"/>
              <w:rPr>
                <w:rFonts w:ascii="Calibri" w:hAnsi="Calibri" w:cs="Calibri"/>
                <w:bCs/>
                <w:color w:val="FFFFFF"/>
              </w:rPr>
            </w:pPr>
            <w:r w:rsidRPr="001614E6">
              <w:rPr>
                <w:rFonts w:ascii="Calibri" w:hAnsi="Calibri" w:cs="Calibri"/>
                <w:bCs/>
                <w:color w:val="FFFFFF"/>
              </w:rPr>
              <w:t>Katılan Kişi Sayısı</w:t>
            </w:r>
          </w:p>
        </w:tc>
      </w:tr>
      <w:tr w:rsidR="00FF24CA" w:rsidRPr="001614E6" w:rsidTr="00FF24CA">
        <w:trPr>
          <w:trHeight w:val="312"/>
          <w:jc w:val="center"/>
        </w:trPr>
        <w:tc>
          <w:tcPr>
            <w:tcW w:w="2331" w:type="pct"/>
          </w:tcPr>
          <w:p w:rsidR="00FF24CA" w:rsidRPr="002628F0" w:rsidRDefault="00FF24CA" w:rsidP="00FF24CA">
            <w:pPr>
              <w:rPr>
                <w:rFonts w:ascii="Calibri" w:hAnsi="Calibri" w:cs="Calibri"/>
                <w:bCs/>
              </w:rPr>
            </w:pPr>
            <w:r w:rsidRPr="002628F0">
              <w:rPr>
                <w:rFonts w:ascii="Calibri" w:hAnsi="Calibri" w:cs="Calibri"/>
                <w:bCs/>
              </w:rPr>
              <w:t>Ankara Dil Akademisi Danışmanlık</w:t>
            </w:r>
          </w:p>
        </w:tc>
        <w:tc>
          <w:tcPr>
            <w:tcW w:w="1301" w:type="pct"/>
            <w:vAlign w:val="center"/>
          </w:tcPr>
          <w:p w:rsidR="00FF24CA" w:rsidRPr="002628F0" w:rsidRDefault="00FF24CA" w:rsidP="00FF24CA">
            <w:pPr>
              <w:jc w:val="center"/>
              <w:rPr>
                <w:rFonts w:ascii="Calibri" w:hAnsi="Calibri" w:cs="Calibri"/>
                <w:bCs/>
              </w:rPr>
            </w:pPr>
            <w:r w:rsidRPr="002628F0">
              <w:rPr>
                <w:rFonts w:ascii="Calibri" w:hAnsi="Calibri" w:cs="Calibri"/>
                <w:bCs/>
              </w:rPr>
              <w:t>İngilizce Kursu</w:t>
            </w:r>
          </w:p>
        </w:tc>
        <w:tc>
          <w:tcPr>
            <w:tcW w:w="1368" w:type="pct"/>
            <w:vAlign w:val="center"/>
          </w:tcPr>
          <w:p w:rsidR="00FF24CA" w:rsidRPr="002628F0" w:rsidRDefault="00FF24CA" w:rsidP="00FF24CA">
            <w:pPr>
              <w:jc w:val="center"/>
              <w:rPr>
                <w:rFonts w:ascii="Calibri" w:hAnsi="Calibri" w:cs="Calibri"/>
                <w:bCs/>
              </w:rPr>
            </w:pPr>
            <w:r w:rsidRPr="002628F0">
              <w:rPr>
                <w:rFonts w:ascii="Calibri" w:hAnsi="Calibri" w:cs="Calibri"/>
                <w:bCs/>
              </w:rPr>
              <w:t>3</w:t>
            </w:r>
          </w:p>
        </w:tc>
      </w:tr>
      <w:tr w:rsidR="00FF24CA" w:rsidRPr="001614E6" w:rsidTr="00FF24CA">
        <w:trPr>
          <w:trHeight w:val="227"/>
          <w:jc w:val="center"/>
        </w:trPr>
        <w:tc>
          <w:tcPr>
            <w:tcW w:w="2331" w:type="pct"/>
          </w:tcPr>
          <w:p w:rsidR="00FF24CA" w:rsidRPr="002628F0" w:rsidRDefault="00FF24CA" w:rsidP="00FF24CA">
            <w:pPr>
              <w:rPr>
                <w:rFonts w:ascii="Calibri" w:hAnsi="Calibri" w:cs="Calibri"/>
              </w:rPr>
            </w:pPr>
            <w:r w:rsidRPr="002628F0">
              <w:rPr>
                <w:rFonts w:ascii="Calibri" w:hAnsi="Calibri" w:cs="Calibri"/>
              </w:rPr>
              <w:t>Advanced English Centre Yabancı Dil Kursu</w:t>
            </w:r>
          </w:p>
        </w:tc>
        <w:tc>
          <w:tcPr>
            <w:tcW w:w="1301" w:type="pct"/>
            <w:vAlign w:val="center"/>
          </w:tcPr>
          <w:p w:rsidR="00FF24CA" w:rsidRPr="002628F0" w:rsidRDefault="00FF24CA" w:rsidP="00FF24CA">
            <w:pPr>
              <w:jc w:val="center"/>
              <w:rPr>
                <w:rFonts w:ascii="Calibri" w:hAnsi="Calibri" w:cs="Calibri"/>
              </w:rPr>
            </w:pPr>
            <w:r w:rsidRPr="002628F0">
              <w:rPr>
                <w:rFonts w:ascii="Calibri" w:hAnsi="Calibri" w:cs="Calibri"/>
              </w:rPr>
              <w:t>İngilizce Kursu</w:t>
            </w:r>
          </w:p>
        </w:tc>
        <w:tc>
          <w:tcPr>
            <w:tcW w:w="1368" w:type="pct"/>
            <w:vAlign w:val="center"/>
          </w:tcPr>
          <w:p w:rsidR="00FF24CA" w:rsidRPr="002628F0" w:rsidRDefault="00FF24CA" w:rsidP="00FF24CA">
            <w:pPr>
              <w:jc w:val="center"/>
              <w:rPr>
                <w:rFonts w:ascii="Calibri" w:hAnsi="Calibri" w:cs="Calibri"/>
              </w:rPr>
            </w:pPr>
            <w:r w:rsidRPr="002628F0">
              <w:rPr>
                <w:rFonts w:ascii="Calibri" w:hAnsi="Calibri" w:cs="Calibri"/>
              </w:rPr>
              <w:t>1</w:t>
            </w:r>
          </w:p>
        </w:tc>
      </w:tr>
      <w:tr w:rsidR="00FF24CA" w:rsidRPr="001614E6" w:rsidTr="00FF24CA">
        <w:trPr>
          <w:trHeight w:val="227"/>
          <w:jc w:val="center"/>
        </w:trPr>
        <w:tc>
          <w:tcPr>
            <w:tcW w:w="2331" w:type="pct"/>
            <w:vAlign w:val="bottom"/>
          </w:tcPr>
          <w:p w:rsidR="00FF24CA" w:rsidRPr="002628F0" w:rsidRDefault="00FF24CA" w:rsidP="00FF24CA">
            <w:pPr>
              <w:rPr>
                <w:rFonts w:ascii="Calibri" w:hAnsi="Calibri" w:cs="Calibri"/>
              </w:rPr>
            </w:pPr>
            <w:r w:rsidRPr="002628F0">
              <w:rPr>
                <w:rFonts w:ascii="Calibri" w:hAnsi="Calibri" w:cs="Calibri"/>
              </w:rPr>
              <w:t>Özel Just For Speaking (JFS) Yabancı Dil Kursu</w:t>
            </w:r>
          </w:p>
        </w:tc>
        <w:tc>
          <w:tcPr>
            <w:tcW w:w="1301" w:type="pct"/>
            <w:vAlign w:val="center"/>
          </w:tcPr>
          <w:p w:rsidR="00FF24CA" w:rsidRPr="002628F0" w:rsidRDefault="00FF24CA" w:rsidP="00FF24CA">
            <w:pPr>
              <w:jc w:val="center"/>
              <w:rPr>
                <w:rFonts w:ascii="Calibri" w:hAnsi="Calibri" w:cs="Calibri"/>
              </w:rPr>
            </w:pPr>
            <w:r w:rsidRPr="002628F0">
              <w:rPr>
                <w:rFonts w:ascii="Calibri" w:hAnsi="Calibri" w:cs="Calibri"/>
              </w:rPr>
              <w:t>İngilizce Kursu</w:t>
            </w:r>
          </w:p>
        </w:tc>
        <w:tc>
          <w:tcPr>
            <w:tcW w:w="1368" w:type="pct"/>
            <w:vAlign w:val="center"/>
          </w:tcPr>
          <w:p w:rsidR="00FF24CA" w:rsidRPr="002628F0" w:rsidRDefault="00FF24CA" w:rsidP="00FF24CA">
            <w:pPr>
              <w:jc w:val="center"/>
              <w:rPr>
                <w:rFonts w:ascii="Calibri" w:hAnsi="Calibri" w:cs="Calibri"/>
              </w:rPr>
            </w:pPr>
            <w:r w:rsidRPr="002628F0">
              <w:rPr>
                <w:rFonts w:ascii="Calibri" w:hAnsi="Calibri" w:cs="Calibri"/>
              </w:rPr>
              <w:t>1</w:t>
            </w:r>
          </w:p>
        </w:tc>
      </w:tr>
      <w:tr w:rsidR="00FF24CA" w:rsidRPr="001614E6" w:rsidTr="00FF24CA">
        <w:trPr>
          <w:trHeight w:val="227"/>
          <w:jc w:val="center"/>
        </w:trPr>
        <w:tc>
          <w:tcPr>
            <w:tcW w:w="2331" w:type="pct"/>
            <w:vAlign w:val="bottom"/>
          </w:tcPr>
          <w:p w:rsidR="00FF24CA" w:rsidRPr="002628F0" w:rsidRDefault="00FF24CA" w:rsidP="00FF24CA">
            <w:pPr>
              <w:rPr>
                <w:rFonts w:ascii="Calibri" w:hAnsi="Calibri" w:cs="Calibri"/>
              </w:rPr>
            </w:pPr>
            <w:r w:rsidRPr="002628F0">
              <w:rPr>
                <w:rFonts w:ascii="Calibri" w:hAnsi="Calibri" w:cs="Calibri"/>
              </w:rPr>
              <w:t>Renkli Fikirler Bilişim ve Eğitim (www.konusarakogren.com)</w:t>
            </w:r>
          </w:p>
        </w:tc>
        <w:tc>
          <w:tcPr>
            <w:tcW w:w="1301" w:type="pct"/>
          </w:tcPr>
          <w:p w:rsidR="00FF24CA" w:rsidRPr="002628F0" w:rsidRDefault="00FF24CA" w:rsidP="00FF24CA">
            <w:pPr>
              <w:jc w:val="center"/>
              <w:rPr>
                <w:rFonts w:ascii="Calibri" w:hAnsi="Calibri" w:cs="Calibri"/>
              </w:rPr>
            </w:pPr>
            <w:r w:rsidRPr="002628F0">
              <w:rPr>
                <w:rFonts w:ascii="Calibri" w:hAnsi="Calibri" w:cs="Calibri"/>
              </w:rPr>
              <w:t>İngilizce Kursu</w:t>
            </w:r>
          </w:p>
        </w:tc>
        <w:tc>
          <w:tcPr>
            <w:tcW w:w="1368" w:type="pct"/>
            <w:vAlign w:val="center"/>
          </w:tcPr>
          <w:p w:rsidR="00FF24CA" w:rsidRPr="002628F0" w:rsidRDefault="00FF24CA" w:rsidP="00FF24CA">
            <w:pPr>
              <w:jc w:val="center"/>
              <w:rPr>
                <w:rFonts w:ascii="Calibri" w:hAnsi="Calibri" w:cs="Calibri"/>
              </w:rPr>
            </w:pPr>
            <w:r w:rsidRPr="002628F0">
              <w:rPr>
                <w:rFonts w:ascii="Calibri" w:hAnsi="Calibri" w:cs="Calibri"/>
              </w:rPr>
              <w:t>1</w:t>
            </w:r>
          </w:p>
        </w:tc>
      </w:tr>
      <w:tr w:rsidR="00FF24CA" w:rsidRPr="001614E6" w:rsidTr="00FF24CA">
        <w:trPr>
          <w:trHeight w:val="227"/>
          <w:jc w:val="center"/>
        </w:trPr>
        <w:tc>
          <w:tcPr>
            <w:tcW w:w="2331" w:type="pct"/>
            <w:vAlign w:val="bottom"/>
          </w:tcPr>
          <w:p w:rsidR="00FF24CA" w:rsidRPr="002628F0" w:rsidRDefault="00FF24CA" w:rsidP="00FF24CA">
            <w:pPr>
              <w:rPr>
                <w:rFonts w:ascii="Calibri" w:hAnsi="Calibri" w:cs="Calibri"/>
              </w:rPr>
            </w:pPr>
            <w:r w:rsidRPr="002628F0">
              <w:rPr>
                <w:rFonts w:ascii="Calibri" w:hAnsi="Calibri" w:cs="Calibri"/>
              </w:rPr>
              <w:t>Suat Gürcan Rıdvan Gürbüz Moda Dil Yabancı Dil Kursu</w:t>
            </w:r>
          </w:p>
        </w:tc>
        <w:tc>
          <w:tcPr>
            <w:tcW w:w="1301" w:type="pct"/>
          </w:tcPr>
          <w:p w:rsidR="00FF24CA" w:rsidRPr="002628F0" w:rsidRDefault="00FF24CA" w:rsidP="00FF24CA">
            <w:pPr>
              <w:jc w:val="center"/>
              <w:rPr>
                <w:rFonts w:ascii="Calibri" w:hAnsi="Calibri" w:cs="Calibri"/>
              </w:rPr>
            </w:pPr>
            <w:r w:rsidRPr="002628F0">
              <w:rPr>
                <w:rFonts w:ascii="Calibri" w:hAnsi="Calibri" w:cs="Calibri"/>
              </w:rPr>
              <w:t>İngilizce Kursu</w:t>
            </w:r>
          </w:p>
        </w:tc>
        <w:tc>
          <w:tcPr>
            <w:tcW w:w="1368" w:type="pct"/>
            <w:vAlign w:val="center"/>
          </w:tcPr>
          <w:p w:rsidR="00FF24CA" w:rsidRPr="002628F0" w:rsidRDefault="00FF24CA" w:rsidP="00FF24CA">
            <w:pPr>
              <w:jc w:val="center"/>
              <w:rPr>
                <w:rFonts w:ascii="Calibri" w:hAnsi="Calibri" w:cs="Calibri"/>
              </w:rPr>
            </w:pPr>
            <w:r w:rsidRPr="002628F0">
              <w:rPr>
                <w:rFonts w:ascii="Calibri" w:hAnsi="Calibri" w:cs="Calibri"/>
              </w:rPr>
              <w:t>1</w:t>
            </w:r>
          </w:p>
        </w:tc>
      </w:tr>
      <w:tr w:rsidR="00FF24CA" w:rsidRPr="001614E6" w:rsidTr="00FF24CA">
        <w:trPr>
          <w:trHeight w:val="227"/>
          <w:jc w:val="center"/>
        </w:trPr>
        <w:tc>
          <w:tcPr>
            <w:tcW w:w="2331" w:type="pct"/>
            <w:vAlign w:val="bottom"/>
          </w:tcPr>
          <w:p w:rsidR="00FF24CA" w:rsidRPr="002628F0" w:rsidRDefault="00FF24CA" w:rsidP="00FF24CA">
            <w:pPr>
              <w:rPr>
                <w:rFonts w:ascii="Calibri" w:hAnsi="Calibri" w:cs="Calibri"/>
              </w:rPr>
            </w:pPr>
            <w:r w:rsidRPr="002628F0">
              <w:rPr>
                <w:rFonts w:ascii="Calibri" w:hAnsi="Calibri" w:cs="Calibri"/>
              </w:rPr>
              <w:t>Wall Street English Yabancı Dil Kursu</w:t>
            </w:r>
          </w:p>
        </w:tc>
        <w:tc>
          <w:tcPr>
            <w:tcW w:w="1301" w:type="pct"/>
          </w:tcPr>
          <w:p w:rsidR="00FF24CA" w:rsidRPr="002628F0" w:rsidRDefault="00FF24CA" w:rsidP="00FF24CA">
            <w:pPr>
              <w:jc w:val="center"/>
              <w:rPr>
                <w:rFonts w:ascii="Calibri" w:hAnsi="Calibri" w:cs="Calibri"/>
              </w:rPr>
            </w:pPr>
            <w:r w:rsidRPr="002628F0">
              <w:rPr>
                <w:rFonts w:ascii="Calibri" w:hAnsi="Calibri" w:cs="Calibri"/>
              </w:rPr>
              <w:t>İngilizce Kursu</w:t>
            </w:r>
          </w:p>
        </w:tc>
        <w:tc>
          <w:tcPr>
            <w:tcW w:w="1368" w:type="pct"/>
            <w:vAlign w:val="center"/>
          </w:tcPr>
          <w:p w:rsidR="00FF24CA" w:rsidRPr="002628F0" w:rsidRDefault="00FF24CA" w:rsidP="00FF24CA">
            <w:pPr>
              <w:jc w:val="center"/>
              <w:rPr>
                <w:rFonts w:ascii="Calibri" w:hAnsi="Calibri" w:cs="Calibri"/>
              </w:rPr>
            </w:pPr>
            <w:r w:rsidRPr="002628F0">
              <w:rPr>
                <w:rFonts w:ascii="Calibri" w:hAnsi="Calibri" w:cs="Calibri"/>
              </w:rPr>
              <w:t>2</w:t>
            </w:r>
          </w:p>
        </w:tc>
      </w:tr>
      <w:tr w:rsidR="00FF24CA" w:rsidRPr="001614E6" w:rsidTr="00FF24CA">
        <w:trPr>
          <w:trHeight w:val="227"/>
          <w:jc w:val="center"/>
        </w:trPr>
        <w:tc>
          <w:tcPr>
            <w:tcW w:w="2331" w:type="pct"/>
          </w:tcPr>
          <w:p w:rsidR="00FF24CA" w:rsidRPr="002628F0" w:rsidRDefault="00FF24CA" w:rsidP="00FF24CA">
            <w:pPr>
              <w:rPr>
                <w:rFonts w:ascii="Calibri" w:hAnsi="Calibri" w:cs="Calibri"/>
              </w:rPr>
            </w:pPr>
            <w:r w:rsidRPr="002628F0">
              <w:rPr>
                <w:rFonts w:ascii="Calibri" w:hAnsi="Calibri" w:cs="Calibri"/>
              </w:rPr>
              <w:t>TAC Yabancı Dil Kursu</w:t>
            </w:r>
          </w:p>
        </w:tc>
        <w:tc>
          <w:tcPr>
            <w:tcW w:w="1301" w:type="pct"/>
          </w:tcPr>
          <w:p w:rsidR="00FF24CA" w:rsidRPr="002628F0" w:rsidRDefault="00FF24CA" w:rsidP="00FF24CA">
            <w:pPr>
              <w:jc w:val="center"/>
              <w:rPr>
                <w:rFonts w:ascii="Calibri" w:hAnsi="Calibri" w:cs="Calibri"/>
              </w:rPr>
            </w:pPr>
            <w:r w:rsidRPr="002628F0">
              <w:rPr>
                <w:rFonts w:ascii="Calibri" w:hAnsi="Calibri" w:cs="Calibri"/>
              </w:rPr>
              <w:t>İngilizce Kursu</w:t>
            </w:r>
          </w:p>
        </w:tc>
        <w:tc>
          <w:tcPr>
            <w:tcW w:w="1368" w:type="pct"/>
            <w:vAlign w:val="center"/>
          </w:tcPr>
          <w:p w:rsidR="00FF24CA" w:rsidRPr="002628F0" w:rsidRDefault="00FF24CA" w:rsidP="00FF24CA">
            <w:pPr>
              <w:jc w:val="center"/>
              <w:rPr>
                <w:rFonts w:ascii="Calibri" w:hAnsi="Calibri" w:cs="Calibri"/>
              </w:rPr>
            </w:pPr>
            <w:r w:rsidRPr="002628F0">
              <w:rPr>
                <w:rFonts w:ascii="Calibri" w:hAnsi="Calibri" w:cs="Calibri"/>
              </w:rPr>
              <w:t>1</w:t>
            </w:r>
          </w:p>
        </w:tc>
      </w:tr>
      <w:tr w:rsidR="00FF24CA" w:rsidRPr="001614E6" w:rsidTr="00FF24CA">
        <w:trPr>
          <w:trHeight w:val="197"/>
          <w:jc w:val="center"/>
        </w:trPr>
        <w:tc>
          <w:tcPr>
            <w:tcW w:w="2331" w:type="pct"/>
          </w:tcPr>
          <w:p w:rsidR="00FF24CA" w:rsidRPr="002628F0" w:rsidRDefault="00FF24CA" w:rsidP="00FF24CA">
            <w:pPr>
              <w:rPr>
                <w:rFonts w:ascii="Calibri" w:hAnsi="Calibri" w:cs="Calibri"/>
                <w:b/>
              </w:rPr>
            </w:pPr>
            <w:r w:rsidRPr="002628F0">
              <w:rPr>
                <w:rFonts w:ascii="Calibri" w:hAnsi="Calibri" w:cs="Calibri"/>
                <w:b/>
              </w:rPr>
              <w:t>Toplam Maliyet</w:t>
            </w:r>
          </w:p>
        </w:tc>
        <w:tc>
          <w:tcPr>
            <w:tcW w:w="2669" w:type="pct"/>
            <w:gridSpan w:val="2"/>
            <w:vAlign w:val="center"/>
          </w:tcPr>
          <w:p w:rsidR="00FF24CA" w:rsidRPr="002628F0" w:rsidRDefault="00FF24CA" w:rsidP="00FF24CA">
            <w:pPr>
              <w:jc w:val="center"/>
              <w:rPr>
                <w:rFonts w:ascii="Calibri" w:hAnsi="Calibri" w:cs="Calibri"/>
                <w:b/>
              </w:rPr>
            </w:pPr>
            <w:r w:rsidRPr="002628F0">
              <w:rPr>
                <w:rFonts w:ascii="Calibri" w:hAnsi="Calibri" w:cs="Calibri"/>
                <w:b/>
              </w:rPr>
              <w:t>30.437,5 TL</w:t>
            </w:r>
          </w:p>
        </w:tc>
      </w:tr>
    </w:tbl>
    <w:p w:rsidR="00FF24CA" w:rsidRDefault="00FF24CA" w:rsidP="00FF24CA"/>
    <w:p w:rsidR="001853AE" w:rsidRDefault="001853AE" w:rsidP="001853AE">
      <w:r w:rsidRPr="00E9291A">
        <w:t>Üniversitelerin değişik bölümlerinden öğrenciler, Kurumda sta</w:t>
      </w:r>
      <w:r>
        <w:t xml:space="preserve">j yapmaktadır. Bu kapsamda </w:t>
      </w:r>
      <w:r w:rsidR="00FF24CA">
        <w:t xml:space="preserve">2022 </w:t>
      </w:r>
      <w:r w:rsidRPr="00E9291A">
        <w:t>yılında Kurumda staj yapan kişi sayısı ve staj süreleri aşağıdaki tabloda yer almaktadır.</w:t>
      </w:r>
    </w:p>
    <w:p w:rsidR="00FF24CA" w:rsidRPr="00FC758B" w:rsidRDefault="00FF24CA" w:rsidP="00FF24CA">
      <w:pPr>
        <w:pStyle w:val="Balk5"/>
        <w:jc w:val="center"/>
        <w:rPr>
          <w:rFonts w:asciiTheme="minorHAnsi" w:hAnsiTheme="minorHAnsi"/>
          <w:b/>
          <w:bCs/>
          <w:color w:val="auto"/>
        </w:rPr>
      </w:pPr>
      <w:bookmarkStart w:id="483" w:name="_Toc132713978"/>
      <w:r w:rsidRPr="00FC758B">
        <w:rPr>
          <w:rFonts w:asciiTheme="minorHAnsi" w:hAnsiTheme="minorHAnsi"/>
          <w:b/>
          <w:bCs/>
          <w:color w:val="auto"/>
        </w:rPr>
        <w:t>Tablo 1</w:t>
      </w:r>
      <w:r>
        <w:rPr>
          <w:rFonts w:asciiTheme="minorHAnsi" w:hAnsiTheme="minorHAnsi"/>
          <w:b/>
          <w:bCs/>
          <w:color w:val="auto"/>
        </w:rPr>
        <w:t>3</w:t>
      </w:r>
      <w:r w:rsidRPr="00FC758B">
        <w:rPr>
          <w:rFonts w:asciiTheme="minorHAnsi" w:hAnsiTheme="minorHAnsi"/>
          <w:b/>
          <w:bCs/>
          <w:color w:val="auto"/>
        </w:rPr>
        <w:t>.1</w:t>
      </w:r>
      <w:r>
        <w:rPr>
          <w:rFonts w:asciiTheme="minorHAnsi" w:hAnsiTheme="minorHAnsi"/>
          <w:b/>
          <w:bCs/>
          <w:color w:val="auto"/>
        </w:rPr>
        <w:t>0</w:t>
      </w:r>
      <w:r w:rsidRPr="00FC758B">
        <w:rPr>
          <w:rFonts w:asciiTheme="minorHAnsi" w:hAnsiTheme="minorHAnsi"/>
          <w:b/>
          <w:bCs/>
          <w:color w:val="auto"/>
        </w:rPr>
        <w:t>: 202</w:t>
      </w:r>
      <w:r>
        <w:rPr>
          <w:rFonts w:asciiTheme="minorHAnsi" w:hAnsiTheme="minorHAnsi"/>
          <w:b/>
          <w:bCs/>
          <w:color w:val="auto"/>
        </w:rPr>
        <w:t>2</w:t>
      </w:r>
      <w:r w:rsidRPr="00FC758B">
        <w:rPr>
          <w:rFonts w:asciiTheme="minorHAnsi" w:hAnsiTheme="minorHAnsi"/>
          <w:b/>
          <w:bCs/>
          <w:color w:val="auto"/>
        </w:rPr>
        <w:t xml:space="preserve"> Yılında Kurumda Staj Yapan Kişi Bilgileri</w:t>
      </w:r>
      <w:bookmarkEnd w:id="483"/>
    </w:p>
    <w:tbl>
      <w:tblPr>
        <w:tblW w:w="2502"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172"/>
        <w:gridCol w:w="1787"/>
      </w:tblGrid>
      <w:tr w:rsidR="00FF24CA" w:rsidRPr="00FC758B" w:rsidTr="00FF24CA">
        <w:trPr>
          <w:trHeight w:val="227"/>
          <w:tblHeader/>
          <w:jc w:val="center"/>
        </w:trPr>
        <w:tc>
          <w:tcPr>
            <w:tcW w:w="3198" w:type="pct"/>
            <w:vMerge w:val="restart"/>
            <w:shd w:val="clear" w:color="auto" w:fill="6E9ECA"/>
            <w:vAlign w:val="center"/>
          </w:tcPr>
          <w:p w:rsidR="00FF24CA" w:rsidRPr="00FC758B" w:rsidRDefault="00FF24CA" w:rsidP="00FF24CA">
            <w:pPr>
              <w:jc w:val="center"/>
              <w:rPr>
                <w:rFonts w:ascii="Calibri" w:hAnsi="Calibri" w:cs="Calibri"/>
                <w:b/>
                <w:color w:val="FFFFFF"/>
              </w:rPr>
            </w:pPr>
            <w:r w:rsidRPr="00FC758B">
              <w:rPr>
                <w:rFonts w:ascii="Calibri" w:hAnsi="Calibri" w:cs="Calibri"/>
                <w:b/>
                <w:color w:val="FFFFFF"/>
              </w:rPr>
              <w:t>Üniversite Adı</w:t>
            </w:r>
          </w:p>
        </w:tc>
        <w:tc>
          <w:tcPr>
            <w:tcW w:w="1802" w:type="pct"/>
            <w:shd w:val="clear" w:color="auto" w:fill="6E9ECA"/>
          </w:tcPr>
          <w:p w:rsidR="00FF24CA" w:rsidRPr="00FC758B" w:rsidRDefault="00FF24CA" w:rsidP="00FF24CA">
            <w:pPr>
              <w:jc w:val="center"/>
              <w:rPr>
                <w:rFonts w:ascii="Calibri" w:hAnsi="Calibri" w:cs="Calibri"/>
                <w:b/>
                <w:color w:val="FFFFFF"/>
              </w:rPr>
            </w:pPr>
            <w:r w:rsidRPr="00FC758B">
              <w:rPr>
                <w:rFonts w:ascii="Calibri" w:hAnsi="Calibri" w:cs="Calibri"/>
                <w:b/>
                <w:color w:val="FFFFFF"/>
              </w:rPr>
              <w:t>Stajyer Sayısı</w:t>
            </w:r>
          </w:p>
        </w:tc>
      </w:tr>
      <w:tr w:rsidR="00FF24CA" w:rsidRPr="00FC758B" w:rsidTr="00FF24CA">
        <w:trPr>
          <w:trHeight w:val="227"/>
          <w:tblHeader/>
          <w:jc w:val="center"/>
        </w:trPr>
        <w:tc>
          <w:tcPr>
            <w:tcW w:w="3198" w:type="pct"/>
            <w:vMerge/>
            <w:shd w:val="clear" w:color="auto" w:fill="6E9ECA"/>
          </w:tcPr>
          <w:p w:rsidR="00FF24CA" w:rsidRPr="00FC758B" w:rsidRDefault="00FF24CA" w:rsidP="00FF24CA">
            <w:pPr>
              <w:rPr>
                <w:rFonts w:ascii="Calibri" w:hAnsi="Calibri" w:cs="Calibri"/>
                <w:color w:val="FFFFFF"/>
              </w:rPr>
            </w:pPr>
          </w:p>
        </w:tc>
        <w:tc>
          <w:tcPr>
            <w:tcW w:w="1802" w:type="pct"/>
            <w:shd w:val="clear" w:color="auto" w:fill="6E9ECA"/>
            <w:vAlign w:val="center"/>
          </w:tcPr>
          <w:p w:rsidR="00FF24CA" w:rsidRPr="00FC758B" w:rsidRDefault="00FF24CA" w:rsidP="00FF24CA">
            <w:pPr>
              <w:jc w:val="center"/>
              <w:rPr>
                <w:rFonts w:ascii="Calibri" w:hAnsi="Calibri" w:cs="Calibri"/>
                <w:b/>
                <w:color w:val="FFFFFF"/>
              </w:rPr>
            </w:pPr>
            <w:r w:rsidRPr="00FC758B">
              <w:rPr>
                <w:rFonts w:ascii="Calibri" w:hAnsi="Calibri" w:cs="Calibri"/>
                <w:b/>
                <w:color w:val="FFFFFF"/>
              </w:rPr>
              <w:t>Zorunlu Staj</w:t>
            </w:r>
          </w:p>
        </w:tc>
      </w:tr>
      <w:tr w:rsidR="00FF24CA" w:rsidRPr="00FC758B" w:rsidTr="00FF24CA">
        <w:trPr>
          <w:trHeight w:val="227"/>
          <w:jc w:val="center"/>
        </w:trPr>
        <w:tc>
          <w:tcPr>
            <w:tcW w:w="3198" w:type="pct"/>
            <w:vAlign w:val="center"/>
          </w:tcPr>
          <w:p w:rsidR="00FF24CA" w:rsidRPr="00154A08" w:rsidRDefault="00FF24CA" w:rsidP="00FF24CA">
            <w:pPr>
              <w:rPr>
                <w:rFonts w:ascii="Calibri" w:hAnsi="Calibri" w:cs="Calibri"/>
              </w:rPr>
            </w:pPr>
            <w:r w:rsidRPr="00154A08">
              <w:rPr>
                <w:rFonts w:ascii="Calibri" w:hAnsi="Calibri" w:cs="Calibri"/>
              </w:rPr>
              <w:t>Ankara Üniversitesi</w:t>
            </w:r>
          </w:p>
        </w:tc>
        <w:tc>
          <w:tcPr>
            <w:tcW w:w="1802" w:type="pct"/>
            <w:vAlign w:val="center"/>
          </w:tcPr>
          <w:p w:rsidR="00FF24CA" w:rsidRPr="00154A08" w:rsidRDefault="00FF24CA" w:rsidP="00FF24CA">
            <w:pPr>
              <w:jc w:val="center"/>
              <w:rPr>
                <w:rFonts w:ascii="Calibri" w:hAnsi="Calibri" w:cs="Calibri"/>
              </w:rPr>
            </w:pPr>
            <w:r>
              <w:rPr>
                <w:rFonts w:ascii="Calibri" w:hAnsi="Calibri" w:cs="Calibri"/>
              </w:rPr>
              <w:t>5</w:t>
            </w:r>
          </w:p>
        </w:tc>
      </w:tr>
      <w:tr w:rsidR="00FF24CA" w:rsidRPr="00FC758B" w:rsidTr="00FF24CA">
        <w:trPr>
          <w:trHeight w:val="227"/>
          <w:jc w:val="center"/>
        </w:trPr>
        <w:tc>
          <w:tcPr>
            <w:tcW w:w="3198" w:type="pct"/>
            <w:vAlign w:val="center"/>
          </w:tcPr>
          <w:p w:rsidR="00FF24CA" w:rsidRPr="00154A08" w:rsidRDefault="00FF24CA" w:rsidP="00FF24CA">
            <w:pPr>
              <w:rPr>
                <w:rFonts w:ascii="Calibri" w:hAnsi="Calibri" w:cs="Calibri"/>
              </w:rPr>
            </w:pPr>
            <w:r w:rsidRPr="00154A08">
              <w:rPr>
                <w:rFonts w:ascii="Calibri" w:hAnsi="Calibri" w:cs="Calibri"/>
              </w:rPr>
              <w:t>Ankara Hacı Bayram Üniversitesi</w:t>
            </w:r>
          </w:p>
        </w:tc>
        <w:tc>
          <w:tcPr>
            <w:tcW w:w="1802" w:type="pct"/>
            <w:vAlign w:val="center"/>
          </w:tcPr>
          <w:p w:rsidR="00FF24CA" w:rsidRPr="00154A08" w:rsidRDefault="00FF24CA" w:rsidP="00FF24CA">
            <w:pPr>
              <w:jc w:val="center"/>
              <w:rPr>
                <w:rFonts w:ascii="Calibri" w:hAnsi="Calibri" w:cs="Calibri"/>
              </w:rPr>
            </w:pPr>
            <w:r>
              <w:rPr>
                <w:rFonts w:ascii="Calibri" w:hAnsi="Calibri" w:cs="Calibri"/>
              </w:rPr>
              <w:t>1</w:t>
            </w:r>
          </w:p>
        </w:tc>
      </w:tr>
      <w:tr w:rsidR="00FF24CA" w:rsidRPr="00FC758B" w:rsidTr="00FF24CA">
        <w:trPr>
          <w:trHeight w:val="227"/>
          <w:jc w:val="center"/>
        </w:trPr>
        <w:tc>
          <w:tcPr>
            <w:tcW w:w="3198" w:type="pct"/>
            <w:vAlign w:val="center"/>
          </w:tcPr>
          <w:p w:rsidR="00FF24CA" w:rsidRPr="00154A08" w:rsidRDefault="00FF24CA" w:rsidP="00FF24CA">
            <w:pPr>
              <w:rPr>
                <w:rFonts w:ascii="Calibri" w:hAnsi="Calibri" w:cs="Calibri"/>
              </w:rPr>
            </w:pPr>
            <w:r w:rsidRPr="00154A08">
              <w:rPr>
                <w:rFonts w:ascii="Calibri" w:hAnsi="Calibri" w:cs="Calibri"/>
              </w:rPr>
              <w:t>Bilkent Üniversitesi</w:t>
            </w:r>
          </w:p>
        </w:tc>
        <w:tc>
          <w:tcPr>
            <w:tcW w:w="1802" w:type="pct"/>
            <w:vAlign w:val="center"/>
          </w:tcPr>
          <w:p w:rsidR="00FF24CA" w:rsidRPr="00154A08" w:rsidRDefault="00FF24CA" w:rsidP="00FF24CA">
            <w:pPr>
              <w:jc w:val="center"/>
              <w:rPr>
                <w:rFonts w:ascii="Calibri" w:hAnsi="Calibri" w:cs="Calibri"/>
              </w:rPr>
            </w:pPr>
            <w:r w:rsidRPr="00154A08">
              <w:rPr>
                <w:rFonts w:ascii="Calibri" w:hAnsi="Calibri" w:cs="Calibri"/>
              </w:rPr>
              <w:t>1</w:t>
            </w:r>
          </w:p>
        </w:tc>
      </w:tr>
      <w:tr w:rsidR="00FF24CA" w:rsidRPr="00FC758B" w:rsidTr="00FF24CA">
        <w:trPr>
          <w:trHeight w:val="227"/>
          <w:jc w:val="center"/>
        </w:trPr>
        <w:tc>
          <w:tcPr>
            <w:tcW w:w="3198" w:type="pct"/>
            <w:vAlign w:val="center"/>
          </w:tcPr>
          <w:p w:rsidR="00FF24CA" w:rsidRPr="00154A08" w:rsidRDefault="00FF24CA" w:rsidP="00FF24CA">
            <w:pPr>
              <w:rPr>
                <w:rFonts w:ascii="Calibri" w:hAnsi="Calibri" w:cs="Calibri"/>
              </w:rPr>
            </w:pPr>
            <w:r w:rsidRPr="00154A08">
              <w:rPr>
                <w:rFonts w:ascii="Calibri" w:hAnsi="Calibri" w:cs="Calibri"/>
              </w:rPr>
              <w:t>Çankaya Üniversitesi</w:t>
            </w:r>
          </w:p>
        </w:tc>
        <w:tc>
          <w:tcPr>
            <w:tcW w:w="1802" w:type="pct"/>
            <w:vAlign w:val="center"/>
          </w:tcPr>
          <w:p w:rsidR="00FF24CA" w:rsidRPr="00154A08" w:rsidRDefault="00FF24CA" w:rsidP="00FF24CA">
            <w:pPr>
              <w:jc w:val="center"/>
              <w:rPr>
                <w:rFonts w:ascii="Calibri" w:hAnsi="Calibri" w:cs="Calibri"/>
              </w:rPr>
            </w:pPr>
            <w:r w:rsidRPr="00154A08">
              <w:rPr>
                <w:rFonts w:ascii="Calibri" w:hAnsi="Calibri" w:cs="Calibri"/>
              </w:rPr>
              <w:t>1</w:t>
            </w:r>
          </w:p>
        </w:tc>
      </w:tr>
      <w:tr w:rsidR="00FF24CA" w:rsidRPr="00FC758B" w:rsidTr="00FF24CA">
        <w:trPr>
          <w:trHeight w:val="227"/>
          <w:jc w:val="center"/>
        </w:trPr>
        <w:tc>
          <w:tcPr>
            <w:tcW w:w="3198" w:type="pct"/>
            <w:vAlign w:val="center"/>
          </w:tcPr>
          <w:p w:rsidR="00FF24CA" w:rsidRPr="00154A08" w:rsidRDefault="00FF24CA" w:rsidP="00FF24CA">
            <w:pPr>
              <w:rPr>
                <w:rFonts w:ascii="Calibri" w:hAnsi="Calibri" w:cs="Calibri"/>
              </w:rPr>
            </w:pPr>
            <w:r w:rsidRPr="00154A08">
              <w:rPr>
                <w:rFonts w:ascii="Calibri" w:hAnsi="Calibri" w:cs="Calibri"/>
              </w:rPr>
              <w:t>Çukurova Üniversitesi</w:t>
            </w:r>
          </w:p>
        </w:tc>
        <w:tc>
          <w:tcPr>
            <w:tcW w:w="1802" w:type="pct"/>
            <w:vAlign w:val="center"/>
          </w:tcPr>
          <w:p w:rsidR="00FF24CA" w:rsidRPr="00154A08" w:rsidRDefault="00FF24CA" w:rsidP="00FF24CA">
            <w:pPr>
              <w:jc w:val="center"/>
              <w:rPr>
                <w:rFonts w:ascii="Calibri" w:hAnsi="Calibri" w:cs="Calibri"/>
              </w:rPr>
            </w:pPr>
            <w:r w:rsidRPr="00154A08">
              <w:rPr>
                <w:rFonts w:ascii="Calibri" w:hAnsi="Calibri" w:cs="Calibri"/>
              </w:rPr>
              <w:t>1</w:t>
            </w:r>
          </w:p>
        </w:tc>
      </w:tr>
      <w:tr w:rsidR="00FF24CA" w:rsidRPr="00FC758B" w:rsidTr="00FF24CA">
        <w:trPr>
          <w:trHeight w:val="227"/>
          <w:jc w:val="center"/>
        </w:trPr>
        <w:tc>
          <w:tcPr>
            <w:tcW w:w="3198" w:type="pct"/>
            <w:vAlign w:val="center"/>
          </w:tcPr>
          <w:p w:rsidR="00FF24CA" w:rsidRPr="00154A08" w:rsidRDefault="00FF24CA" w:rsidP="00FF24CA">
            <w:pPr>
              <w:rPr>
                <w:rFonts w:ascii="Calibri" w:hAnsi="Calibri" w:cs="Calibri"/>
              </w:rPr>
            </w:pPr>
            <w:r w:rsidRPr="00154A08">
              <w:rPr>
                <w:rFonts w:ascii="Calibri" w:hAnsi="Calibri" w:cs="Calibri"/>
              </w:rPr>
              <w:t>Gazi Üniversitesi</w:t>
            </w:r>
          </w:p>
        </w:tc>
        <w:tc>
          <w:tcPr>
            <w:tcW w:w="1802" w:type="pct"/>
            <w:vAlign w:val="center"/>
          </w:tcPr>
          <w:p w:rsidR="00FF24CA" w:rsidRPr="00154A08" w:rsidRDefault="00FF24CA" w:rsidP="00FF24CA">
            <w:pPr>
              <w:jc w:val="center"/>
              <w:rPr>
                <w:rFonts w:ascii="Calibri" w:hAnsi="Calibri" w:cs="Calibri"/>
              </w:rPr>
            </w:pPr>
            <w:r w:rsidRPr="00154A08">
              <w:rPr>
                <w:rFonts w:ascii="Calibri" w:hAnsi="Calibri" w:cs="Calibri"/>
              </w:rPr>
              <w:t>1</w:t>
            </w:r>
            <w:r>
              <w:rPr>
                <w:rFonts w:ascii="Calibri" w:hAnsi="Calibri" w:cs="Calibri"/>
              </w:rPr>
              <w:t>0</w:t>
            </w:r>
          </w:p>
        </w:tc>
      </w:tr>
      <w:tr w:rsidR="00FF24CA" w:rsidRPr="00FC758B" w:rsidTr="00FF24CA">
        <w:trPr>
          <w:trHeight w:val="227"/>
          <w:jc w:val="center"/>
        </w:trPr>
        <w:tc>
          <w:tcPr>
            <w:tcW w:w="3198" w:type="pct"/>
            <w:vAlign w:val="center"/>
          </w:tcPr>
          <w:p w:rsidR="00FF24CA" w:rsidRPr="00154A08" w:rsidRDefault="00FF24CA" w:rsidP="00FF24CA">
            <w:pPr>
              <w:rPr>
                <w:rFonts w:ascii="Calibri" w:hAnsi="Calibri" w:cs="Calibri"/>
              </w:rPr>
            </w:pPr>
            <w:r w:rsidRPr="00154A08">
              <w:rPr>
                <w:rFonts w:ascii="Calibri" w:hAnsi="Calibri" w:cs="Calibri"/>
              </w:rPr>
              <w:lastRenderedPageBreak/>
              <w:t>Hacettepe Üniversitesi</w:t>
            </w:r>
          </w:p>
        </w:tc>
        <w:tc>
          <w:tcPr>
            <w:tcW w:w="1802" w:type="pct"/>
            <w:vAlign w:val="center"/>
          </w:tcPr>
          <w:p w:rsidR="00FF24CA" w:rsidRPr="00154A08" w:rsidRDefault="00FF24CA" w:rsidP="00FF24CA">
            <w:pPr>
              <w:jc w:val="center"/>
              <w:rPr>
                <w:rFonts w:ascii="Calibri" w:hAnsi="Calibri" w:cs="Calibri"/>
              </w:rPr>
            </w:pPr>
            <w:r w:rsidRPr="00154A08">
              <w:rPr>
                <w:rFonts w:ascii="Calibri" w:hAnsi="Calibri" w:cs="Calibri"/>
              </w:rPr>
              <w:t>2</w:t>
            </w:r>
          </w:p>
        </w:tc>
      </w:tr>
      <w:tr w:rsidR="00FF24CA" w:rsidRPr="00FC758B" w:rsidTr="00FF24CA">
        <w:trPr>
          <w:trHeight w:val="227"/>
          <w:jc w:val="center"/>
        </w:trPr>
        <w:tc>
          <w:tcPr>
            <w:tcW w:w="3198" w:type="pct"/>
            <w:vAlign w:val="center"/>
          </w:tcPr>
          <w:p w:rsidR="00FF24CA" w:rsidRPr="00154A08" w:rsidRDefault="00FF24CA" w:rsidP="00FF24CA">
            <w:pPr>
              <w:rPr>
                <w:rFonts w:ascii="Calibri" w:hAnsi="Calibri" w:cs="Calibri"/>
              </w:rPr>
            </w:pPr>
            <w:r w:rsidRPr="00154A08">
              <w:rPr>
                <w:rFonts w:ascii="Calibri" w:hAnsi="Calibri" w:cs="Calibri"/>
              </w:rPr>
              <w:t>Eskişehir Osman Gazi Üniversitesi</w:t>
            </w:r>
          </w:p>
        </w:tc>
        <w:tc>
          <w:tcPr>
            <w:tcW w:w="1802" w:type="pct"/>
            <w:vAlign w:val="center"/>
          </w:tcPr>
          <w:p w:rsidR="00FF24CA" w:rsidRPr="00154A08" w:rsidRDefault="00FF24CA" w:rsidP="00FF24CA">
            <w:pPr>
              <w:jc w:val="center"/>
              <w:rPr>
                <w:rFonts w:ascii="Calibri" w:hAnsi="Calibri" w:cs="Calibri"/>
              </w:rPr>
            </w:pPr>
            <w:r w:rsidRPr="00154A08">
              <w:rPr>
                <w:rFonts w:ascii="Calibri" w:hAnsi="Calibri" w:cs="Calibri"/>
              </w:rPr>
              <w:t>1</w:t>
            </w:r>
          </w:p>
        </w:tc>
      </w:tr>
      <w:tr w:rsidR="00FF24CA" w:rsidRPr="00FC758B" w:rsidTr="00FF24CA">
        <w:trPr>
          <w:trHeight w:val="227"/>
          <w:jc w:val="center"/>
        </w:trPr>
        <w:tc>
          <w:tcPr>
            <w:tcW w:w="3198" w:type="pct"/>
            <w:vAlign w:val="center"/>
          </w:tcPr>
          <w:p w:rsidR="00FF24CA" w:rsidRPr="00154A08" w:rsidRDefault="00FF24CA" w:rsidP="00FF24CA">
            <w:pPr>
              <w:rPr>
                <w:rFonts w:ascii="Calibri" w:hAnsi="Calibri" w:cs="Calibri"/>
              </w:rPr>
            </w:pPr>
            <w:r w:rsidRPr="00154A08">
              <w:rPr>
                <w:rFonts w:ascii="Calibri" w:hAnsi="Calibri" w:cs="Calibri"/>
              </w:rPr>
              <w:t>Fırat Üniversitesi</w:t>
            </w:r>
          </w:p>
        </w:tc>
        <w:tc>
          <w:tcPr>
            <w:tcW w:w="1802" w:type="pct"/>
            <w:vAlign w:val="center"/>
          </w:tcPr>
          <w:p w:rsidR="00FF24CA" w:rsidRPr="00154A08" w:rsidRDefault="00FF24CA" w:rsidP="00FF24CA">
            <w:pPr>
              <w:jc w:val="center"/>
              <w:rPr>
                <w:rFonts w:ascii="Calibri" w:hAnsi="Calibri" w:cs="Calibri"/>
              </w:rPr>
            </w:pPr>
            <w:r w:rsidRPr="00154A08">
              <w:rPr>
                <w:rFonts w:ascii="Calibri" w:hAnsi="Calibri" w:cs="Calibri"/>
              </w:rPr>
              <w:t>1</w:t>
            </w:r>
          </w:p>
        </w:tc>
      </w:tr>
      <w:tr w:rsidR="00FF24CA" w:rsidRPr="00FC758B" w:rsidTr="00FF24CA">
        <w:trPr>
          <w:trHeight w:val="227"/>
          <w:jc w:val="center"/>
        </w:trPr>
        <w:tc>
          <w:tcPr>
            <w:tcW w:w="3198" w:type="pct"/>
            <w:vAlign w:val="center"/>
          </w:tcPr>
          <w:p w:rsidR="00FF24CA" w:rsidRPr="00154A08" w:rsidRDefault="00FF24CA" w:rsidP="00FF24CA">
            <w:pPr>
              <w:rPr>
                <w:rFonts w:ascii="Calibri" w:hAnsi="Calibri" w:cs="Calibri"/>
              </w:rPr>
            </w:pPr>
            <w:r w:rsidRPr="00154A08">
              <w:rPr>
                <w:rFonts w:ascii="Calibri" w:hAnsi="Calibri" w:cs="Calibri"/>
              </w:rPr>
              <w:t>Karadeniz Teknik Üniversitesi</w:t>
            </w:r>
          </w:p>
        </w:tc>
        <w:tc>
          <w:tcPr>
            <w:tcW w:w="1802" w:type="pct"/>
            <w:vAlign w:val="center"/>
          </w:tcPr>
          <w:p w:rsidR="00FF24CA" w:rsidRPr="00154A08" w:rsidRDefault="00FF24CA" w:rsidP="00FF24CA">
            <w:pPr>
              <w:jc w:val="center"/>
              <w:rPr>
                <w:rFonts w:ascii="Calibri" w:hAnsi="Calibri" w:cs="Calibri"/>
              </w:rPr>
            </w:pPr>
            <w:r w:rsidRPr="00154A08">
              <w:rPr>
                <w:rFonts w:ascii="Calibri" w:hAnsi="Calibri" w:cs="Calibri"/>
              </w:rPr>
              <w:t>1</w:t>
            </w:r>
          </w:p>
        </w:tc>
      </w:tr>
      <w:tr w:rsidR="00FF24CA" w:rsidRPr="00FC758B" w:rsidTr="00FF24CA">
        <w:trPr>
          <w:trHeight w:val="227"/>
          <w:jc w:val="center"/>
        </w:trPr>
        <w:tc>
          <w:tcPr>
            <w:tcW w:w="3198" w:type="pct"/>
            <w:vAlign w:val="center"/>
          </w:tcPr>
          <w:p w:rsidR="00FF24CA" w:rsidRPr="00154A08" w:rsidRDefault="00FF24CA" w:rsidP="00FF24CA">
            <w:pPr>
              <w:rPr>
                <w:rFonts w:ascii="Calibri" w:hAnsi="Calibri" w:cs="Calibri"/>
              </w:rPr>
            </w:pPr>
            <w:r w:rsidRPr="00154A08">
              <w:rPr>
                <w:rFonts w:ascii="Calibri" w:hAnsi="Calibri" w:cs="Calibri"/>
              </w:rPr>
              <w:t>Kırıkkale Üniversitesi</w:t>
            </w:r>
          </w:p>
        </w:tc>
        <w:tc>
          <w:tcPr>
            <w:tcW w:w="1802" w:type="pct"/>
            <w:vAlign w:val="center"/>
          </w:tcPr>
          <w:p w:rsidR="00FF24CA" w:rsidRPr="00154A08" w:rsidRDefault="00FF24CA" w:rsidP="00FF24CA">
            <w:pPr>
              <w:jc w:val="center"/>
              <w:rPr>
                <w:rFonts w:ascii="Calibri" w:hAnsi="Calibri" w:cs="Calibri"/>
              </w:rPr>
            </w:pPr>
            <w:r w:rsidRPr="00154A08">
              <w:rPr>
                <w:rFonts w:ascii="Calibri" w:hAnsi="Calibri" w:cs="Calibri"/>
              </w:rPr>
              <w:t>3</w:t>
            </w:r>
          </w:p>
        </w:tc>
      </w:tr>
      <w:tr w:rsidR="00FF24CA" w:rsidRPr="00FC758B" w:rsidTr="00FF24CA">
        <w:trPr>
          <w:trHeight w:val="227"/>
          <w:jc w:val="center"/>
        </w:trPr>
        <w:tc>
          <w:tcPr>
            <w:tcW w:w="3198" w:type="pct"/>
            <w:vAlign w:val="center"/>
          </w:tcPr>
          <w:p w:rsidR="00FF24CA" w:rsidRPr="00154A08" w:rsidRDefault="00FF24CA" w:rsidP="00FF24CA">
            <w:pPr>
              <w:rPr>
                <w:rFonts w:ascii="Calibri" w:hAnsi="Calibri" w:cs="Calibri"/>
              </w:rPr>
            </w:pPr>
            <w:r w:rsidRPr="00154A08">
              <w:rPr>
                <w:rFonts w:ascii="Calibri" w:hAnsi="Calibri" w:cs="Calibri"/>
              </w:rPr>
              <w:t xml:space="preserve">KTO Karatay Üniversitesi </w:t>
            </w:r>
          </w:p>
        </w:tc>
        <w:tc>
          <w:tcPr>
            <w:tcW w:w="1802" w:type="pct"/>
            <w:vAlign w:val="center"/>
          </w:tcPr>
          <w:p w:rsidR="00FF24CA" w:rsidRPr="00154A08" w:rsidRDefault="00FF24CA" w:rsidP="00FF24CA">
            <w:pPr>
              <w:jc w:val="center"/>
              <w:rPr>
                <w:rFonts w:ascii="Calibri" w:hAnsi="Calibri" w:cs="Calibri"/>
              </w:rPr>
            </w:pPr>
            <w:r w:rsidRPr="00154A08">
              <w:rPr>
                <w:rFonts w:ascii="Calibri" w:hAnsi="Calibri" w:cs="Calibri"/>
              </w:rPr>
              <w:t>1</w:t>
            </w:r>
          </w:p>
        </w:tc>
      </w:tr>
      <w:tr w:rsidR="00FF24CA" w:rsidRPr="00FC758B" w:rsidTr="00FF24CA">
        <w:trPr>
          <w:trHeight w:val="227"/>
          <w:jc w:val="center"/>
        </w:trPr>
        <w:tc>
          <w:tcPr>
            <w:tcW w:w="3198" w:type="pct"/>
            <w:vAlign w:val="center"/>
          </w:tcPr>
          <w:p w:rsidR="00FF24CA" w:rsidRPr="00154A08" w:rsidRDefault="00FF24CA" w:rsidP="00FF24CA">
            <w:pPr>
              <w:rPr>
                <w:rFonts w:ascii="Calibri" w:hAnsi="Calibri" w:cs="Calibri"/>
              </w:rPr>
            </w:pPr>
            <w:r w:rsidRPr="00154A08">
              <w:rPr>
                <w:rFonts w:ascii="Calibri" w:hAnsi="Calibri" w:cs="Calibri"/>
              </w:rPr>
              <w:t>Sivas Cumhuriyet Üniversitesi</w:t>
            </w:r>
          </w:p>
        </w:tc>
        <w:tc>
          <w:tcPr>
            <w:tcW w:w="1802" w:type="pct"/>
            <w:vAlign w:val="center"/>
          </w:tcPr>
          <w:p w:rsidR="00FF24CA" w:rsidRPr="00154A08" w:rsidRDefault="00FF24CA" w:rsidP="00FF24CA">
            <w:pPr>
              <w:jc w:val="center"/>
              <w:rPr>
                <w:rFonts w:ascii="Calibri" w:hAnsi="Calibri" w:cs="Calibri"/>
              </w:rPr>
            </w:pPr>
            <w:r w:rsidRPr="00154A08">
              <w:rPr>
                <w:rFonts w:ascii="Calibri" w:hAnsi="Calibri" w:cs="Calibri"/>
              </w:rPr>
              <w:t>2</w:t>
            </w:r>
          </w:p>
        </w:tc>
      </w:tr>
      <w:tr w:rsidR="00FF24CA" w:rsidRPr="00FC758B" w:rsidTr="00FF24CA">
        <w:trPr>
          <w:trHeight w:val="227"/>
          <w:jc w:val="center"/>
        </w:trPr>
        <w:tc>
          <w:tcPr>
            <w:tcW w:w="3198" w:type="pct"/>
            <w:vAlign w:val="center"/>
          </w:tcPr>
          <w:p w:rsidR="00FF24CA" w:rsidRPr="00154A08" w:rsidRDefault="00FF24CA" w:rsidP="00FF24CA">
            <w:pPr>
              <w:rPr>
                <w:rFonts w:ascii="Calibri" w:hAnsi="Calibri" w:cs="Calibri"/>
              </w:rPr>
            </w:pPr>
            <w:r w:rsidRPr="00154A08">
              <w:rPr>
                <w:rFonts w:ascii="Calibri" w:hAnsi="Calibri" w:cs="Calibri"/>
              </w:rPr>
              <w:t>TOBB ETÜ Üniversitesi</w:t>
            </w:r>
          </w:p>
        </w:tc>
        <w:tc>
          <w:tcPr>
            <w:tcW w:w="1802" w:type="pct"/>
            <w:vAlign w:val="center"/>
          </w:tcPr>
          <w:p w:rsidR="00FF24CA" w:rsidRPr="00154A08" w:rsidRDefault="00FF24CA" w:rsidP="00FF24CA">
            <w:pPr>
              <w:jc w:val="center"/>
              <w:rPr>
                <w:rFonts w:ascii="Calibri" w:hAnsi="Calibri" w:cs="Calibri"/>
              </w:rPr>
            </w:pPr>
            <w:r w:rsidRPr="00154A08">
              <w:rPr>
                <w:rFonts w:ascii="Calibri" w:hAnsi="Calibri" w:cs="Calibri"/>
              </w:rPr>
              <w:t>1</w:t>
            </w:r>
          </w:p>
        </w:tc>
      </w:tr>
      <w:tr w:rsidR="00FF24CA" w:rsidRPr="00FC758B" w:rsidTr="00FF24CA">
        <w:trPr>
          <w:trHeight w:val="227"/>
          <w:jc w:val="center"/>
        </w:trPr>
        <w:tc>
          <w:tcPr>
            <w:tcW w:w="3198" w:type="pct"/>
            <w:vAlign w:val="center"/>
          </w:tcPr>
          <w:p w:rsidR="00FF24CA" w:rsidRPr="00154A08" w:rsidRDefault="00FF24CA" w:rsidP="00FF24CA">
            <w:pPr>
              <w:rPr>
                <w:rFonts w:ascii="Calibri" w:hAnsi="Calibri" w:cs="Calibri"/>
              </w:rPr>
            </w:pPr>
            <w:r w:rsidRPr="00154A08">
              <w:rPr>
                <w:rFonts w:ascii="Calibri" w:hAnsi="Calibri" w:cs="Calibri"/>
              </w:rPr>
              <w:t>Ankara Yıldırım Beyazıt Üniversitesi</w:t>
            </w:r>
          </w:p>
        </w:tc>
        <w:tc>
          <w:tcPr>
            <w:tcW w:w="1802" w:type="pct"/>
            <w:vAlign w:val="center"/>
          </w:tcPr>
          <w:p w:rsidR="00FF24CA" w:rsidRPr="00154A08" w:rsidRDefault="00FF24CA" w:rsidP="00FF24CA">
            <w:pPr>
              <w:jc w:val="center"/>
              <w:rPr>
                <w:rFonts w:ascii="Calibri" w:hAnsi="Calibri" w:cs="Calibri"/>
              </w:rPr>
            </w:pPr>
            <w:r w:rsidRPr="00154A08">
              <w:rPr>
                <w:rFonts w:ascii="Calibri" w:hAnsi="Calibri" w:cs="Calibri"/>
              </w:rPr>
              <w:t>10</w:t>
            </w:r>
          </w:p>
        </w:tc>
      </w:tr>
      <w:tr w:rsidR="00FF24CA" w:rsidRPr="00FC758B" w:rsidTr="00FF24CA">
        <w:trPr>
          <w:trHeight w:val="227"/>
          <w:jc w:val="center"/>
        </w:trPr>
        <w:tc>
          <w:tcPr>
            <w:tcW w:w="3198" w:type="pct"/>
            <w:vAlign w:val="center"/>
          </w:tcPr>
          <w:p w:rsidR="00FF24CA" w:rsidRPr="00154A08" w:rsidRDefault="00FF24CA" w:rsidP="00FF24CA">
            <w:pPr>
              <w:rPr>
                <w:rFonts w:ascii="Calibri" w:hAnsi="Calibri" w:cs="Calibri"/>
              </w:rPr>
            </w:pPr>
            <w:r w:rsidRPr="00154A08">
              <w:rPr>
                <w:rFonts w:ascii="Calibri" w:hAnsi="Calibri" w:cs="Calibri"/>
              </w:rPr>
              <w:t>Yozgat Bozok Üniversitesi</w:t>
            </w:r>
          </w:p>
        </w:tc>
        <w:tc>
          <w:tcPr>
            <w:tcW w:w="1802" w:type="pct"/>
            <w:vAlign w:val="center"/>
          </w:tcPr>
          <w:p w:rsidR="00FF24CA" w:rsidRPr="00154A08" w:rsidRDefault="00FF24CA" w:rsidP="00FF24CA">
            <w:pPr>
              <w:jc w:val="center"/>
              <w:rPr>
                <w:rFonts w:ascii="Calibri" w:hAnsi="Calibri" w:cs="Calibri"/>
              </w:rPr>
            </w:pPr>
            <w:r w:rsidRPr="00154A08">
              <w:rPr>
                <w:rFonts w:ascii="Calibri" w:hAnsi="Calibri" w:cs="Calibri"/>
              </w:rPr>
              <w:t>1</w:t>
            </w:r>
          </w:p>
        </w:tc>
      </w:tr>
      <w:tr w:rsidR="00FF24CA" w:rsidRPr="00FC758B" w:rsidTr="00FF24CA">
        <w:trPr>
          <w:trHeight w:val="227"/>
          <w:jc w:val="center"/>
        </w:trPr>
        <w:tc>
          <w:tcPr>
            <w:tcW w:w="3198" w:type="pct"/>
            <w:vAlign w:val="center"/>
          </w:tcPr>
          <w:p w:rsidR="00FF24CA" w:rsidRPr="00154A08" w:rsidRDefault="00FF24CA" w:rsidP="00FF24CA">
            <w:pPr>
              <w:rPr>
                <w:rFonts w:ascii="Calibri" w:hAnsi="Calibri" w:cs="Calibri"/>
              </w:rPr>
            </w:pPr>
            <w:r w:rsidRPr="00154A08">
              <w:rPr>
                <w:rFonts w:ascii="Calibri" w:hAnsi="Calibri" w:cs="Calibri"/>
              </w:rPr>
              <w:t>Ankara Atılım Üniversitesi</w:t>
            </w:r>
          </w:p>
        </w:tc>
        <w:tc>
          <w:tcPr>
            <w:tcW w:w="1802" w:type="pct"/>
            <w:vAlign w:val="center"/>
          </w:tcPr>
          <w:p w:rsidR="00FF24CA" w:rsidRPr="00154A08" w:rsidRDefault="00FF24CA" w:rsidP="00FF24CA">
            <w:pPr>
              <w:jc w:val="center"/>
              <w:rPr>
                <w:rFonts w:ascii="Calibri" w:hAnsi="Calibri" w:cs="Calibri"/>
              </w:rPr>
            </w:pPr>
            <w:r w:rsidRPr="00154A08">
              <w:rPr>
                <w:rFonts w:ascii="Calibri" w:hAnsi="Calibri" w:cs="Calibri"/>
              </w:rPr>
              <w:t>3</w:t>
            </w:r>
          </w:p>
        </w:tc>
      </w:tr>
      <w:tr w:rsidR="00FF24CA" w:rsidRPr="001614E6" w:rsidTr="00FF24CA">
        <w:trPr>
          <w:trHeight w:val="227"/>
          <w:jc w:val="center"/>
        </w:trPr>
        <w:tc>
          <w:tcPr>
            <w:tcW w:w="3198" w:type="pct"/>
            <w:vAlign w:val="center"/>
          </w:tcPr>
          <w:p w:rsidR="00FF24CA" w:rsidRPr="009B5DAC" w:rsidRDefault="00FF24CA" w:rsidP="00FF24CA">
            <w:pPr>
              <w:rPr>
                <w:rFonts w:ascii="Calibri" w:hAnsi="Calibri" w:cs="Calibri"/>
                <w:b/>
              </w:rPr>
            </w:pPr>
            <w:r w:rsidRPr="009B5DAC">
              <w:rPr>
                <w:rFonts w:ascii="Calibri" w:hAnsi="Calibri" w:cs="Calibri"/>
                <w:b/>
              </w:rPr>
              <w:t>TOPLAM</w:t>
            </w:r>
          </w:p>
        </w:tc>
        <w:tc>
          <w:tcPr>
            <w:tcW w:w="1802" w:type="pct"/>
            <w:vAlign w:val="center"/>
          </w:tcPr>
          <w:p w:rsidR="00FF24CA" w:rsidRPr="009B5DAC" w:rsidRDefault="00FF24CA" w:rsidP="00FF24CA">
            <w:pPr>
              <w:jc w:val="center"/>
              <w:rPr>
                <w:rFonts w:ascii="Calibri" w:hAnsi="Calibri" w:cs="Calibri"/>
                <w:b/>
              </w:rPr>
            </w:pPr>
            <w:r w:rsidRPr="009B5DAC">
              <w:rPr>
                <w:rFonts w:ascii="Calibri" w:hAnsi="Calibri" w:cs="Calibri"/>
                <w:b/>
              </w:rPr>
              <w:t>45</w:t>
            </w:r>
          </w:p>
        </w:tc>
      </w:tr>
    </w:tbl>
    <w:p w:rsidR="00433748" w:rsidRDefault="00433748" w:rsidP="00433748">
      <w:pPr>
        <w:pStyle w:val="Balk1"/>
        <w:ind w:left="360"/>
        <w:rPr>
          <w:rFonts w:asciiTheme="minorHAnsi" w:hAnsiTheme="minorHAnsi"/>
          <w:color w:val="000000" w:themeColor="text1"/>
          <w:sz w:val="22"/>
          <w:szCs w:val="22"/>
        </w:rPr>
      </w:pPr>
    </w:p>
    <w:p w:rsidR="00433748" w:rsidRDefault="00433748" w:rsidP="00433748"/>
    <w:p w:rsidR="00433748" w:rsidRDefault="00433748" w:rsidP="00433748"/>
    <w:p w:rsidR="00433748" w:rsidRDefault="00433748" w:rsidP="00433748"/>
    <w:p w:rsidR="00433748" w:rsidRDefault="00433748" w:rsidP="00433748"/>
    <w:p w:rsidR="00433748" w:rsidRDefault="00433748" w:rsidP="00433748"/>
    <w:p w:rsidR="00433748" w:rsidRDefault="00433748" w:rsidP="00433748"/>
    <w:p w:rsidR="00433748" w:rsidRDefault="00433748" w:rsidP="00433748"/>
    <w:p w:rsidR="00433748" w:rsidRDefault="00433748" w:rsidP="00433748"/>
    <w:p w:rsidR="00433748" w:rsidRDefault="00433748" w:rsidP="00433748"/>
    <w:p w:rsidR="00433748" w:rsidRDefault="00433748" w:rsidP="00433748"/>
    <w:p w:rsidR="00433748" w:rsidRPr="00433748" w:rsidRDefault="00433748" w:rsidP="00433748"/>
    <w:p w:rsidR="00760BA0" w:rsidRDefault="00B244EB" w:rsidP="000A5A56">
      <w:pPr>
        <w:pStyle w:val="Balk1"/>
        <w:numPr>
          <w:ilvl w:val="0"/>
          <w:numId w:val="11"/>
        </w:numPr>
        <w:rPr>
          <w:rFonts w:asciiTheme="minorHAnsi" w:hAnsiTheme="minorHAnsi"/>
          <w:color w:val="000000" w:themeColor="text1"/>
          <w:sz w:val="22"/>
          <w:szCs w:val="22"/>
        </w:rPr>
      </w:pPr>
      <w:bookmarkStart w:id="484" w:name="_Toc132713878"/>
      <w:r w:rsidRPr="00E9291A">
        <w:rPr>
          <w:rFonts w:asciiTheme="minorHAnsi" w:hAnsiTheme="minorHAnsi"/>
          <w:color w:val="000000" w:themeColor="text1"/>
          <w:sz w:val="22"/>
          <w:szCs w:val="22"/>
        </w:rPr>
        <w:lastRenderedPageBreak/>
        <w:t>MALİ BİLGİLER</w:t>
      </w:r>
      <w:bookmarkEnd w:id="484"/>
    </w:p>
    <w:p w:rsidR="00B244EB" w:rsidRPr="00E9291A" w:rsidRDefault="00B244EB" w:rsidP="00B244EB">
      <w:pPr>
        <w:spacing w:after="0"/>
      </w:pPr>
      <w:r w:rsidRPr="00E9291A">
        <w:t>Kurumun gelir-giderleri Kurumun bütçesini oluşturur. Kurumun gelirlerinin, giderlerini karşılaması esastır. Kurumun gelir fazlası, 4628 sayılı Kanun ve 5018 sayılı Kanuna istinaden genel bütçeye gelir kaydedilmek üzere Kurum kaynaklarından</w:t>
      </w:r>
      <w:r w:rsidR="00C25631">
        <w:t xml:space="preserve"> T.C. Hazine ve</w:t>
      </w:r>
      <w:r w:rsidRPr="00E9291A">
        <w:t xml:space="preserve"> Maliye Bakanlığına aktarılmaktadır. Bu kapsamd</w:t>
      </w:r>
      <w:r w:rsidR="00043DEB">
        <w:t xml:space="preserve">a yapılan aktarmalar Tablo </w:t>
      </w:r>
      <w:r w:rsidR="000279E8">
        <w:t>1</w:t>
      </w:r>
      <w:r w:rsidR="00456863">
        <w:t>4</w:t>
      </w:r>
      <w:r w:rsidR="008F5245">
        <w:t>.1’de</w:t>
      </w:r>
      <w:r w:rsidRPr="00E9291A">
        <w:t xml:space="preserve"> gösterilmiştir.</w:t>
      </w:r>
    </w:p>
    <w:p w:rsidR="00B244EB" w:rsidRPr="00E9291A" w:rsidRDefault="00B244EB" w:rsidP="0035089D">
      <w:pPr>
        <w:pStyle w:val="Balk5"/>
        <w:spacing w:after="240"/>
        <w:jc w:val="center"/>
        <w:rPr>
          <w:rFonts w:asciiTheme="minorHAnsi" w:hAnsiTheme="minorHAnsi"/>
          <w:b/>
          <w:color w:val="000000" w:themeColor="text1"/>
        </w:rPr>
      </w:pPr>
      <w:bookmarkStart w:id="485" w:name="_Toc132713979"/>
      <w:r w:rsidRPr="00E9291A">
        <w:rPr>
          <w:rFonts w:asciiTheme="minorHAnsi" w:hAnsiTheme="minorHAnsi"/>
          <w:b/>
          <w:color w:val="000000" w:themeColor="text1"/>
        </w:rPr>
        <w:t xml:space="preserve">Tablo </w:t>
      </w:r>
      <w:r w:rsidR="008F5245">
        <w:rPr>
          <w:rFonts w:asciiTheme="minorHAnsi" w:hAnsiTheme="minorHAnsi"/>
          <w:b/>
          <w:color w:val="000000" w:themeColor="text1"/>
        </w:rPr>
        <w:t>1</w:t>
      </w:r>
      <w:r w:rsidR="00456863">
        <w:rPr>
          <w:rFonts w:asciiTheme="minorHAnsi" w:hAnsiTheme="minorHAnsi"/>
          <w:b/>
          <w:color w:val="000000" w:themeColor="text1"/>
        </w:rPr>
        <w:t>4</w:t>
      </w:r>
      <w:r w:rsidR="008F5245">
        <w:rPr>
          <w:rFonts w:asciiTheme="minorHAnsi" w:hAnsiTheme="minorHAnsi"/>
          <w:b/>
          <w:color w:val="000000" w:themeColor="text1"/>
        </w:rPr>
        <w:t>.1</w:t>
      </w:r>
      <w:r w:rsidRPr="00E9291A">
        <w:rPr>
          <w:rFonts w:asciiTheme="minorHAnsi" w:hAnsiTheme="minorHAnsi"/>
          <w:b/>
          <w:color w:val="000000" w:themeColor="text1"/>
        </w:rPr>
        <w:t xml:space="preserve">: </w:t>
      </w:r>
      <w:r w:rsidRPr="00FA1354">
        <w:rPr>
          <w:rFonts w:asciiTheme="minorHAnsi" w:hAnsiTheme="minorHAnsi"/>
          <w:b/>
          <w:color w:val="000000" w:themeColor="text1"/>
        </w:rPr>
        <w:t>Yıllar İtibar</w:t>
      </w:r>
      <w:r w:rsidR="00B26352">
        <w:rPr>
          <w:rFonts w:asciiTheme="minorHAnsi" w:hAnsiTheme="minorHAnsi"/>
          <w:b/>
          <w:color w:val="000000" w:themeColor="text1"/>
        </w:rPr>
        <w:t>ı</w:t>
      </w:r>
      <w:r w:rsidRPr="00FA1354">
        <w:rPr>
          <w:rFonts w:asciiTheme="minorHAnsi" w:hAnsiTheme="minorHAnsi"/>
          <w:b/>
          <w:color w:val="000000" w:themeColor="text1"/>
        </w:rPr>
        <w:t>yl</w:t>
      </w:r>
      <w:r w:rsidR="00B26352">
        <w:rPr>
          <w:rFonts w:asciiTheme="minorHAnsi" w:hAnsiTheme="minorHAnsi"/>
          <w:b/>
          <w:color w:val="000000" w:themeColor="text1"/>
        </w:rPr>
        <w:t>a</w:t>
      </w:r>
      <w:r w:rsidRPr="00FA1354">
        <w:rPr>
          <w:rFonts w:asciiTheme="minorHAnsi" w:hAnsiTheme="minorHAnsi"/>
          <w:b/>
          <w:color w:val="000000" w:themeColor="text1"/>
        </w:rPr>
        <w:t xml:space="preserve"> </w:t>
      </w:r>
      <w:r w:rsidR="00C25631" w:rsidRPr="00FA1354">
        <w:rPr>
          <w:rFonts w:asciiTheme="minorHAnsi" w:hAnsiTheme="minorHAnsi"/>
          <w:b/>
          <w:color w:val="000000" w:themeColor="text1"/>
        </w:rPr>
        <w:t xml:space="preserve">T.C. Hazine ve </w:t>
      </w:r>
      <w:r w:rsidRPr="00FA1354">
        <w:rPr>
          <w:rFonts w:asciiTheme="minorHAnsi" w:hAnsiTheme="minorHAnsi"/>
          <w:b/>
          <w:color w:val="000000" w:themeColor="text1"/>
        </w:rPr>
        <w:t>Maliye Bakanlığına Aktarılan Gelir Fazlası (TL)</w:t>
      </w:r>
      <w:bookmarkEnd w:id="485"/>
    </w:p>
    <w:tbl>
      <w:tblPr>
        <w:tblW w:w="5000" w:type="pct"/>
        <w:jc w:val="righ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2723"/>
        <w:gridCol w:w="2373"/>
        <w:gridCol w:w="2373"/>
        <w:gridCol w:w="2442"/>
      </w:tblGrid>
      <w:tr w:rsidR="009F6F06" w:rsidRPr="00880111" w:rsidTr="0035089D">
        <w:trPr>
          <w:trHeight w:val="397"/>
          <w:jc w:val="right"/>
        </w:trPr>
        <w:tc>
          <w:tcPr>
            <w:tcW w:w="5000" w:type="pct"/>
            <w:gridSpan w:val="4"/>
            <w:tcBorders>
              <w:top w:val="single" w:sz="4" w:space="0" w:color="auto"/>
              <w:left w:val="single" w:sz="4" w:space="0" w:color="auto"/>
              <w:bottom w:val="single" w:sz="4" w:space="0" w:color="auto"/>
              <w:right w:val="single" w:sz="4" w:space="0" w:color="auto"/>
            </w:tcBorders>
            <w:shd w:val="clear" w:color="000000" w:fill="6E9ECA"/>
            <w:vAlign w:val="center"/>
            <w:hideMark/>
          </w:tcPr>
          <w:p w:rsidR="009F6F06" w:rsidRPr="00880111" w:rsidRDefault="009F6F06" w:rsidP="000F0D68">
            <w:pPr>
              <w:spacing w:after="0" w:line="240" w:lineRule="auto"/>
              <w:jc w:val="center"/>
              <w:rPr>
                <w:rFonts w:ascii="Calibri" w:eastAsia="Times New Roman" w:hAnsi="Calibri"/>
                <w:b/>
                <w:bCs/>
                <w:color w:val="FFFFFF" w:themeColor="background1"/>
                <w:sz w:val="24"/>
                <w:szCs w:val="24"/>
                <w:lang w:eastAsia="tr-TR"/>
              </w:rPr>
            </w:pPr>
            <w:r w:rsidRPr="00880111">
              <w:rPr>
                <w:rFonts w:ascii="Calibri" w:eastAsia="Times New Roman" w:hAnsi="Calibri"/>
                <w:b/>
                <w:bCs/>
                <w:color w:val="FFFFFF" w:themeColor="background1"/>
                <w:sz w:val="24"/>
                <w:szCs w:val="24"/>
                <w:lang w:eastAsia="tr-TR"/>
              </w:rPr>
              <w:t>Yıllar İtibar</w:t>
            </w:r>
            <w:r w:rsidR="00B26352">
              <w:rPr>
                <w:rFonts w:ascii="Calibri" w:eastAsia="Times New Roman" w:hAnsi="Calibri"/>
                <w:b/>
                <w:bCs/>
                <w:color w:val="FFFFFF" w:themeColor="background1"/>
                <w:sz w:val="24"/>
                <w:szCs w:val="24"/>
                <w:lang w:eastAsia="tr-TR"/>
              </w:rPr>
              <w:t>ı</w:t>
            </w:r>
            <w:r w:rsidRPr="00880111">
              <w:rPr>
                <w:rFonts w:ascii="Calibri" w:eastAsia="Times New Roman" w:hAnsi="Calibri"/>
                <w:b/>
                <w:bCs/>
                <w:color w:val="FFFFFF" w:themeColor="background1"/>
                <w:sz w:val="24"/>
                <w:szCs w:val="24"/>
                <w:lang w:eastAsia="tr-TR"/>
              </w:rPr>
              <w:t>yl</w:t>
            </w:r>
            <w:r w:rsidR="00B26352">
              <w:rPr>
                <w:rFonts w:ascii="Calibri" w:eastAsia="Times New Roman" w:hAnsi="Calibri"/>
                <w:b/>
                <w:bCs/>
                <w:color w:val="FFFFFF" w:themeColor="background1"/>
                <w:sz w:val="24"/>
                <w:szCs w:val="24"/>
                <w:lang w:eastAsia="tr-TR"/>
              </w:rPr>
              <w:t>a</w:t>
            </w:r>
            <w:r w:rsidRPr="00880111">
              <w:rPr>
                <w:rFonts w:ascii="Calibri" w:eastAsia="Times New Roman" w:hAnsi="Calibri"/>
                <w:b/>
                <w:bCs/>
                <w:color w:val="FFFFFF" w:themeColor="background1"/>
                <w:sz w:val="24"/>
                <w:szCs w:val="24"/>
                <w:lang w:eastAsia="tr-TR"/>
              </w:rPr>
              <w:t xml:space="preserve"> T.C. Hazine Maliye Bakanlığına (Bütçeye) Aktarılan Gelir Fazlası (TL)</w:t>
            </w:r>
          </w:p>
        </w:tc>
      </w:tr>
      <w:tr w:rsidR="009F6F06" w:rsidRPr="00880111" w:rsidTr="0035089D">
        <w:trPr>
          <w:trHeight w:val="509"/>
          <w:jc w:val="right"/>
        </w:trPr>
        <w:tc>
          <w:tcPr>
            <w:tcW w:w="1374" w:type="pct"/>
            <w:vMerge w:val="restart"/>
            <w:tcBorders>
              <w:top w:val="single" w:sz="4" w:space="0" w:color="auto"/>
              <w:left w:val="single" w:sz="4" w:space="0" w:color="auto"/>
              <w:bottom w:val="single" w:sz="4" w:space="0" w:color="auto"/>
              <w:right w:val="single" w:sz="4" w:space="0" w:color="auto"/>
            </w:tcBorders>
            <w:shd w:val="clear" w:color="000000" w:fill="6E9ECA"/>
            <w:vAlign w:val="center"/>
            <w:hideMark/>
          </w:tcPr>
          <w:p w:rsidR="009F6F06" w:rsidRPr="00880111" w:rsidRDefault="009F6F06" w:rsidP="000F0D68">
            <w:pPr>
              <w:spacing w:after="0" w:line="240" w:lineRule="auto"/>
              <w:jc w:val="center"/>
              <w:rPr>
                <w:rFonts w:ascii="Calibri" w:eastAsia="Times New Roman" w:hAnsi="Calibri"/>
                <w:b/>
                <w:bCs/>
                <w:color w:val="FFFFFF" w:themeColor="background1"/>
                <w:sz w:val="24"/>
                <w:szCs w:val="24"/>
                <w:lang w:eastAsia="tr-TR"/>
              </w:rPr>
            </w:pPr>
            <w:r w:rsidRPr="00880111">
              <w:rPr>
                <w:rFonts w:ascii="Calibri" w:eastAsia="Times New Roman" w:hAnsi="Calibri"/>
                <w:b/>
                <w:bCs/>
                <w:color w:val="FFFFFF" w:themeColor="background1"/>
                <w:sz w:val="24"/>
                <w:szCs w:val="24"/>
                <w:lang w:eastAsia="tr-TR"/>
              </w:rPr>
              <w:t>Yıllar</w:t>
            </w:r>
          </w:p>
        </w:tc>
        <w:tc>
          <w:tcPr>
            <w:tcW w:w="1197" w:type="pct"/>
            <w:vMerge w:val="restart"/>
            <w:tcBorders>
              <w:top w:val="single" w:sz="4" w:space="0" w:color="auto"/>
              <w:left w:val="single" w:sz="4" w:space="0" w:color="auto"/>
              <w:bottom w:val="single" w:sz="4" w:space="0" w:color="auto"/>
              <w:right w:val="single" w:sz="4" w:space="0" w:color="auto"/>
            </w:tcBorders>
            <w:shd w:val="clear" w:color="000000" w:fill="6E9ECA"/>
            <w:vAlign w:val="center"/>
            <w:hideMark/>
          </w:tcPr>
          <w:p w:rsidR="009F6F06" w:rsidRPr="00880111" w:rsidRDefault="009F6F06" w:rsidP="000F0D68">
            <w:pPr>
              <w:spacing w:after="0" w:line="240" w:lineRule="auto"/>
              <w:jc w:val="center"/>
              <w:rPr>
                <w:rFonts w:ascii="Calibri" w:eastAsia="Times New Roman" w:hAnsi="Calibri"/>
                <w:b/>
                <w:bCs/>
                <w:color w:val="FFFFFF" w:themeColor="background1"/>
                <w:sz w:val="24"/>
                <w:szCs w:val="24"/>
                <w:lang w:eastAsia="tr-TR"/>
              </w:rPr>
            </w:pPr>
            <w:r w:rsidRPr="00880111">
              <w:rPr>
                <w:rFonts w:ascii="Calibri" w:eastAsia="Times New Roman" w:hAnsi="Calibri"/>
                <w:b/>
                <w:bCs/>
                <w:color w:val="FFFFFF" w:themeColor="background1"/>
                <w:sz w:val="24"/>
                <w:szCs w:val="24"/>
                <w:lang w:eastAsia="tr-TR"/>
              </w:rPr>
              <w:t xml:space="preserve">Yıl İçindeki                                                                                                                                             </w:t>
            </w:r>
            <w:r w:rsidR="00C309A5" w:rsidRPr="00880111">
              <w:rPr>
                <w:rFonts w:ascii="Calibri" w:eastAsia="Times New Roman" w:hAnsi="Calibri"/>
                <w:b/>
                <w:bCs/>
                <w:color w:val="FFFFFF" w:themeColor="background1"/>
                <w:sz w:val="24"/>
                <w:szCs w:val="24"/>
                <w:lang w:eastAsia="tr-TR"/>
              </w:rPr>
              <w:t xml:space="preserve">  (</w:t>
            </w:r>
            <w:r w:rsidRPr="00880111">
              <w:rPr>
                <w:rFonts w:ascii="Calibri" w:eastAsia="Times New Roman" w:hAnsi="Calibri"/>
                <w:b/>
                <w:bCs/>
                <w:color w:val="FFFFFF" w:themeColor="background1"/>
                <w:sz w:val="24"/>
                <w:szCs w:val="24"/>
                <w:lang w:eastAsia="tr-TR"/>
              </w:rPr>
              <w:t>Her Üç Ayda Bir İzleyen  Ayın On</w:t>
            </w:r>
            <w:r w:rsidR="00C309A5">
              <w:rPr>
                <w:rFonts w:ascii="Calibri" w:eastAsia="Times New Roman" w:hAnsi="Calibri"/>
                <w:b/>
                <w:bCs/>
                <w:color w:val="FFFFFF" w:themeColor="background1"/>
                <w:sz w:val="24"/>
                <w:szCs w:val="24"/>
                <w:lang w:eastAsia="tr-TR"/>
              </w:rPr>
              <w:t xml:space="preserve"> B</w:t>
            </w:r>
            <w:r w:rsidRPr="00880111">
              <w:rPr>
                <w:rFonts w:ascii="Calibri" w:eastAsia="Times New Roman" w:hAnsi="Calibri"/>
                <w:b/>
                <w:bCs/>
                <w:color w:val="FFFFFF" w:themeColor="background1"/>
                <w:sz w:val="24"/>
                <w:szCs w:val="24"/>
                <w:lang w:eastAsia="tr-TR"/>
              </w:rPr>
              <w:t>eşine Kadar Aktarılan)</w:t>
            </w:r>
          </w:p>
        </w:tc>
        <w:tc>
          <w:tcPr>
            <w:tcW w:w="1197" w:type="pct"/>
            <w:vMerge w:val="restart"/>
            <w:tcBorders>
              <w:top w:val="single" w:sz="4" w:space="0" w:color="auto"/>
              <w:left w:val="single" w:sz="4" w:space="0" w:color="auto"/>
              <w:bottom w:val="single" w:sz="4" w:space="0" w:color="auto"/>
              <w:right w:val="single" w:sz="4" w:space="0" w:color="auto"/>
            </w:tcBorders>
            <w:shd w:val="clear" w:color="000000" w:fill="6E9ECA"/>
            <w:vAlign w:val="center"/>
            <w:hideMark/>
          </w:tcPr>
          <w:p w:rsidR="009F6F06" w:rsidRPr="00880111" w:rsidRDefault="009F6F06" w:rsidP="000F0D68">
            <w:pPr>
              <w:spacing w:after="0" w:line="240" w:lineRule="auto"/>
              <w:jc w:val="center"/>
              <w:rPr>
                <w:rFonts w:ascii="Calibri" w:eastAsia="Times New Roman" w:hAnsi="Calibri"/>
                <w:b/>
                <w:bCs/>
                <w:color w:val="FFFFFF" w:themeColor="background1"/>
                <w:sz w:val="24"/>
                <w:szCs w:val="24"/>
                <w:lang w:eastAsia="tr-TR"/>
              </w:rPr>
            </w:pPr>
            <w:r w:rsidRPr="00880111">
              <w:rPr>
                <w:rFonts w:ascii="Calibri" w:eastAsia="Times New Roman" w:hAnsi="Calibri"/>
                <w:b/>
                <w:bCs/>
                <w:color w:val="FFFFFF" w:themeColor="background1"/>
                <w:sz w:val="24"/>
                <w:szCs w:val="24"/>
                <w:lang w:eastAsia="tr-TR"/>
              </w:rPr>
              <w:t xml:space="preserve">Yıl Sonundaki                              </w:t>
            </w:r>
            <w:r w:rsidR="00C309A5" w:rsidRPr="00880111">
              <w:rPr>
                <w:rFonts w:ascii="Calibri" w:eastAsia="Times New Roman" w:hAnsi="Calibri"/>
                <w:b/>
                <w:bCs/>
                <w:color w:val="FFFFFF" w:themeColor="background1"/>
                <w:sz w:val="24"/>
                <w:szCs w:val="24"/>
                <w:lang w:eastAsia="tr-TR"/>
              </w:rPr>
              <w:t xml:space="preserve">  (</w:t>
            </w:r>
            <w:r w:rsidRPr="00880111">
              <w:rPr>
                <w:rFonts w:ascii="Calibri" w:eastAsia="Times New Roman" w:hAnsi="Calibri"/>
                <w:b/>
                <w:bCs/>
                <w:color w:val="FFFFFF" w:themeColor="background1"/>
                <w:sz w:val="24"/>
                <w:szCs w:val="24"/>
                <w:lang w:eastAsia="tr-TR"/>
              </w:rPr>
              <w:t>İzleyen Yılın Mart Ayı Sonuna Kadar Aktarılan)</w:t>
            </w:r>
          </w:p>
        </w:tc>
        <w:tc>
          <w:tcPr>
            <w:tcW w:w="1232" w:type="pct"/>
            <w:vMerge w:val="restart"/>
            <w:tcBorders>
              <w:top w:val="single" w:sz="4" w:space="0" w:color="auto"/>
              <w:left w:val="single" w:sz="4" w:space="0" w:color="auto"/>
              <w:bottom w:val="single" w:sz="4" w:space="0" w:color="auto"/>
              <w:right w:val="single" w:sz="4" w:space="0" w:color="auto"/>
            </w:tcBorders>
            <w:shd w:val="clear" w:color="000000" w:fill="6E9ECA"/>
            <w:vAlign w:val="center"/>
            <w:hideMark/>
          </w:tcPr>
          <w:p w:rsidR="009F6F06" w:rsidRPr="00880111" w:rsidRDefault="009F6F06" w:rsidP="000F0D68">
            <w:pPr>
              <w:spacing w:after="0" w:line="240" w:lineRule="auto"/>
              <w:jc w:val="center"/>
              <w:rPr>
                <w:rFonts w:ascii="Calibri" w:eastAsia="Times New Roman" w:hAnsi="Calibri"/>
                <w:b/>
                <w:bCs/>
                <w:color w:val="FFFFFF" w:themeColor="background1"/>
                <w:sz w:val="24"/>
                <w:szCs w:val="24"/>
                <w:lang w:eastAsia="tr-TR"/>
              </w:rPr>
            </w:pPr>
            <w:r w:rsidRPr="00880111">
              <w:rPr>
                <w:rFonts w:ascii="Calibri" w:eastAsia="Times New Roman" w:hAnsi="Calibri"/>
                <w:b/>
                <w:bCs/>
                <w:color w:val="FFFFFF" w:themeColor="background1"/>
                <w:sz w:val="24"/>
                <w:szCs w:val="24"/>
                <w:lang w:eastAsia="tr-TR"/>
              </w:rPr>
              <w:t>Toplam</w:t>
            </w:r>
          </w:p>
        </w:tc>
      </w:tr>
      <w:tr w:rsidR="009F6F06" w:rsidRPr="00880111" w:rsidTr="0035089D">
        <w:trPr>
          <w:trHeight w:val="509"/>
          <w:jc w:val="right"/>
        </w:trPr>
        <w:tc>
          <w:tcPr>
            <w:tcW w:w="1374" w:type="pct"/>
            <w:vMerge/>
            <w:tcBorders>
              <w:top w:val="single" w:sz="4" w:space="0" w:color="auto"/>
              <w:left w:val="single" w:sz="4" w:space="0" w:color="auto"/>
              <w:bottom w:val="single" w:sz="4" w:space="0" w:color="auto"/>
              <w:right w:val="single" w:sz="4" w:space="0" w:color="auto"/>
            </w:tcBorders>
            <w:vAlign w:val="center"/>
            <w:hideMark/>
          </w:tcPr>
          <w:p w:rsidR="009F6F06" w:rsidRPr="00880111" w:rsidRDefault="009F6F06" w:rsidP="000F0D68">
            <w:pPr>
              <w:spacing w:after="0" w:line="240" w:lineRule="auto"/>
              <w:rPr>
                <w:rFonts w:ascii="Calibri" w:eastAsia="Times New Roman" w:hAnsi="Calibri"/>
                <w:b/>
                <w:bCs/>
                <w:color w:val="FFFFFF"/>
                <w:sz w:val="24"/>
                <w:szCs w:val="24"/>
                <w:lang w:eastAsia="tr-TR"/>
              </w:rPr>
            </w:pPr>
          </w:p>
        </w:tc>
        <w:tc>
          <w:tcPr>
            <w:tcW w:w="1197" w:type="pct"/>
            <w:vMerge/>
            <w:tcBorders>
              <w:top w:val="single" w:sz="4" w:space="0" w:color="auto"/>
              <w:left w:val="single" w:sz="4" w:space="0" w:color="auto"/>
              <w:bottom w:val="single" w:sz="4" w:space="0" w:color="auto"/>
              <w:right w:val="single" w:sz="4" w:space="0" w:color="auto"/>
            </w:tcBorders>
            <w:vAlign w:val="center"/>
            <w:hideMark/>
          </w:tcPr>
          <w:p w:rsidR="009F6F06" w:rsidRPr="00880111" w:rsidRDefault="009F6F06" w:rsidP="000F0D68">
            <w:pPr>
              <w:spacing w:after="0" w:line="240" w:lineRule="auto"/>
              <w:rPr>
                <w:rFonts w:ascii="Calibri" w:eastAsia="Times New Roman" w:hAnsi="Calibri"/>
                <w:b/>
                <w:bCs/>
                <w:color w:val="FFFFFF"/>
                <w:sz w:val="24"/>
                <w:szCs w:val="24"/>
                <w:lang w:eastAsia="tr-TR"/>
              </w:rPr>
            </w:pPr>
          </w:p>
        </w:tc>
        <w:tc>
          <w:tcPr>
            <w:tcW w:w="1197" w:type="pct"/>
            <w:vMerge/>
            <w:tcBorders>
              <w:top w:val="single" w:sz="4" w:space="0" w:color="auto"/>
              <w:left w:val="single" w:sz="4" w:space="0" w:color="auto"/>
              <w:bottom w:val="single" w:sz="4" w:space="0" w:color="auto"/>
              <w:right w:val="single" w:sz="4" w:space="0" w:color="auto"/>
            </w:tcBorders>
            <w:vAlign w:val="center"/>
            <w:hideMark/>
          </w:tcPr>
          <w:p w:rsidR="009F6F06" w:rsidRPr="00880111" w:rsidRDefault="009F6F06" w:rsidP="000F0D68">
            <w:pPr>
              <w:spacing w:after="0" w:line="240" w:lineRule="auto"/>
              <w:rPr>
                <w:rFonts w:ascii="Calibri" w:eastAsia="Times New Roman" w:hAnsi="Calibri"/>
                <w:b/>
                <w:bCs/>
                <w:color w:val="FFFFFF"/>
                <w:sz w:val="24"/>
                <w:szCs w:val="24"/>
                <w:lang w:eastAsia="tr-TR"/>
              </w:rPr>
            </w:pPr>
          </w:p>
        </w:tc>
        <w:tc>
          <w:tcPr>
            <w:tcW w:w="1232" w:type="pct"/>
            <w:vMerge/>
            <w:tcBorders>
              <w:top w:val="single" w:sz="4" w:space="0" w:color="auto"/>
              <w:left w:val="single" w:sz="4" w:space="0" w:color="auto"/>
              <w:bottom w:val="single" w:sz="4" w:space="0" w:color="auto"/>
              <w:right w:val="single" w:sz="4" w:space="0" w:color="auto"/>
            </w:tcBorders>
            <w:vAlign w:val="center"/>
            <w:hideMark/>
          </w:tcPr>
          <w:p w:rsidR="009F6F06" w:rsidRPr="00880111" w:rsidRDefault="009F6F06" w:rsidP="000F0D68">
            <w:pPr>
              <w:spacing w:after="0" w:line="240" w:lineRule="auto"/>
              <w:rPr>
                <w:rFonts w:ascii="Calibri" w:eastAsia="Times New Roman" w:hAnsi="Calibri"/>
                <w:b/>
                <w:bCs/>
                <w:color w:val="FFFFFF"/>
                <w:sz w:val="24"/>
                <w:szCs w:val="24"/>
                <w:lang w:eastAsia="tr-TR"/>
              </w:rPr>
            </w:pPr>
          </w:p>
        </w:tc>
      </w:tr>
      <w:tr w:rsidR="00306D72" w:rsidRPr="00880111"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rsidR="00306D72" w:rsidRPr="00880111" w:rsidRDefault="00306D72" w:rsidP="00306D72">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2001</w:t>
            </w:r>
          </w:p>
        </w:tc>
        <w:tc>
          <w:tcPr>
            <w:tcW w:w="119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06D72" w:rsidRPr="00880111" w:rsidRDefault="00306D72" w:rsidP="00306D72">
            <w:pPr>
              <w:spacing w:after="0" w:line="240" w:lineRule="auto"/>
              <w:jc w:val="right"/>
              <w:rPr>
                <w:rFonts w:ascii="Calibri" w:eastAsia="Times New Roman" w:hAnsi="Calibri"/>
                <w:color w:val="000000"/>
                <w:lang w:eastAsia="tr-TR"/>
              </w:rPr>
            </w:pPr>
            <w:r>
              <w:rPr>
                <w:rFonts w:ascii="Calibri" w:hAnsi="Calibri" w:cs="Calibri"/>
                <w:color w:val="000000"/>
              </w:rPr>
              <w:t>0,00</w:t>
            </w:r>
          </w:p>
        </w:tc>
        <w:tc>
          <w:tcPr>
            <w:tcW w:w="1197" w:type="pct"/>
            <w:tcBorders>
              <w:top w:val="single" w:sz="4" w:space="0" w:color="auto"/>
              <w:left w:val="nil"/>
              <w:bottom w:val="single" w:sz="4" w:space="0" w:color="auto"/>
              <w:right w:val="single" w:sz="4" w:space="0" w:color="auto"/>
            </w:tcBorders>
            <w:shd w:val="clear" w:color="000000" w:fill="FFFFFF"/>
            <w:vAlign w:val="center"/>
            <w:hideMark/>
          </w:tcPr>
          <w:p w:rsidR="00306D72" w:rsidRPr="00880111" w:rsidRDefault="00306D72" w:rsidP="00306D72">
            <w:pPr>
              <w:spacing w:after="0" w:line="240" w:lineRule="auto"/>
              <w:jc w:val="right"/>
              <w:rPr>
                <w:rFonts w:ascii="Calibri" w:eastAsia="Times New Roman" w:hAnsi="Calibri"/>
                <w:color w:val="000000"/>
                <w:lang w:eastAsia="tr-TR"/>
              </w:rPr>
            </w:pPr>
            <w:r>
              <w:rPr>
                <w:rFonts w:ascii="Calibri" w:hAnsi="Calibri" w:cs="Calibri"/>
                <w:color w:val="000000"/>
              </w:rPr>
              <w:t>22.306,00</w:t>
            </w:r>
          </w:p>
        </w:tc>
        <w:tc>
          <w:tcPr>
            <w:tcW w:w="1232" w:type="pct"/>
            <w:tcBorders>
              <w:top w:val="single" w:sz="4" w:space="0" w:color="auto"/>
              <w:left w:val="nil"/>
              <w:bottom w:val="single" w:sz="4" w:space="0" w:color="auto"/>
              <w:right w:val="single" w:sz="4" w:space="0" w:color="auto"/>
            </w:tcBorders>
            <w:shd w:val="clear" w:color="000000" w:fill="FFFFFF"/>
            <w:vAlign w:val="center"/>
            <w:hideMark/>
          </w:tcPr>
          <w:p w:rsidR="00306D72" w:rsidRPr="00306D72" w:rsidRDefault="00306D72" w:rsidP="00306D72">
            <w:pPr>
              <w:spacing w:after="0" w:line="240" w:lineRule="auto"/>
              <w:jc w:val="right"/>
              <w:rPr>
                <w:rFonts w:ascii="Calibri" w:eastAsia="Times New Roman" w:hAnsi="Calibri"/>
                <w:b/>
                <w:bCs/>
                <w:color w:val="000000"/>
                <w:lang w:eastAsia="tr-TR"/>
              </w:rPr>
            </w:pPr>
            <w:r w:rsidRPr="00306D72">
              <w:rPr>
                <w:rFonts w:ascii="Calibri" w:hAnsi="Calibri" w:cs="Calibri"/>
                <w:b/>
                <w:color w:val="000000"/>
              </w:rPr>
              <w:t>22.306,00</w:t>
            </w:r>
          </w:p>
        </w:tc>
      </w:tr>
      <w:tr w:rsidR="00306D72" w:rsidRPr="00880111"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rsidR="00306D72" w:rsidRPr="00880111" w:rsidRDefault="00306D72" w:rsidP="00306D72">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2002</w:t>
            </w:r>
          </w:p>
        </w:tc>
        <w:tc>
          <w:tcPr>
            <w:tcW w:w="1197" w:type="pct"/>
            <w:tcBorders>
              <w:top w:val="nil"/>
              <w:left w:val="single" w:sz="4" w:space="0" w:color="auto"/>
              <w:bottom w:val="single" w:sz="4" w:space="0" w:color="auto"/>
              <w:right w:val="single" w:sz="4" w:space="0" w:color="auto"/>
            </w:tcBorders>
            <w:shd w:val="clear" w:color="auto" w:fill="auto"/>
            <w:vAlign w:val="center"/>
            <w:hideMark/>
          </w:tcPr>
          <w:p w:rsidR="00306D72" w:rsidRPr="00880111" w:rsidRDefault="00306D72" w:rsidP="00306D72">
            <w:pPr>
              <w:spacing w:after="0" w:line="240" w:lineRule="auto"/>
              <w:jc w:val="right"/>
              <w:rPr>
                <w:rFonts w:ascii="Calibri" w:eastAsia="Times New Roman" w:hAnsi="Calibri"/>
                <w:color w:val="000000"/>
                <w:lang w:eastAsia="tr-TR"/>
              </w:rPr>
            </w:pPr>
            <w:r>
              <w:rPr>
                <w:rFonts w:ascii="Calibri" w:hAnsi="Calibri" w:cs="Calibri"/>
                <w:color w:val="000000"/>
              </w:rPr>
              <w:t>0,00</w:t>
            </w:r>
          </w:p>
        </w:tc>
        <w:tc>
          <w:tcPr>
            <w:tcW w:w="1197" w:type="pct"/>
            <w:tcBorders>
              <w:top w:val="nil"/>
              <w:left w:val="nil"/>
              <w:bottom w:val="single" w:sz="4" w:space="0" w:color="auto"/>
              <w:right w:val="single" w:sz="4" w:space="0" w:color="auto"/>
            </w:tcBorders>
            <w:shd w:val="clear" w:color="auto" w:fill="auto"/>
            <w:vAlign w:val="center"/>
            <w:hideMark/>
          </w:tcPr>
          <w:p w:rsidR="00306D72" w:rsidRPr="00880111" w:rsidRDefault="00306D72" w:rsidP="00306D72">
            <w:pPr>
              <w:spacing w:after="0" w:line="240" w:lineRule="auto"/>
              <w:jc w:val="right"/>
              <w:rPr>
                <w:rFonts w:ascii="Calibri" w:eastAsia="Times New Roman" w:hAnsi="Calibri"/>
                <w:color w:val="000000"/>
                <w:lang w:eastAsia="tr-TR"/>
              </w:rPr>
            </w:pPr>
            <w:r>
              <w:rPr>
                <w:rFonts w:ascii="Calibri" w:hAnsi="Calibri" w:cs="Calibri"/>
                <w:color w:val="000000"/>
              </w:rPr>
              <w:t>0,00</w:t>
            </w:r>
          </w:p>
        </w:tc>
        <w:tc>
          <w:tcPr>
            <w:tcW w:w="1232" w:type="pct"/>
            <w:tcBorders>
              <w:top w:val="nil"/>
              <w:left w:val="nil"/>
              <w:bottom w:val="single" w:sz="4" w:space="0" w:color="auto"/>
              <w:right w:val="single" w:sz="4" w:space="0" w:color="auto"/>
            </w:tcBorders>
            <w:shd w:val="clear" w:color="auto" w:fill="auto"/>
            <w:vAlign w:val="center"/>
            <w:hideMark/>
          </w:tcPr>
          <w:p w:rsidR="00306D72" w:rsidRPr="00306D72" w:rsidRDefault="00306D72" w:rsidP="00306D72">
            <w:pPr>
              <w:spacing w:after="0" w:line="240" w:lineRule="auto"/>
              <w:jc w:val="right"/>
              <w:rPr>
                <w:rFonts w:ascii="Calibri" w:eastAsia="Times New Roman" w:hAnsi="Calibri"/>
                <w:b/>
                <w:bCs/>
                <w:color w:val="000000"/>
                <w:lang w:eastAsia="tr-TR"/>
              </w:rPr>
            </w:pPr>
            <w:r w:rsidRPr="00306D72">
              <w:rPr>
                <w:rFonts w:ascii="Calibri" w:hAnsi="Calibri" w:cs="Calibri"/>
                <w:b/>
                <w:color w:val="000000"/>
              </w:rPr>
              <w:t>0,00</w:t>
            </w:r>
          </w:p>
        </w:tc>
      </w:tr>
      <w:tr w:rsidR="00306D72" w:rsidRPr="00880111"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rsidR="00306D72" w:rsidRPr="00880111" w:rsidRDefault="00306D72" w:rsidP="00306D72">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2003</w:t>
            </w:r>
          </w:p>
        </w:tc>
        <w:tc>
          <w:tcPr>
            <w:tcW w:w="1197" w:type="pct"/>
            <w:tcBorders>
              <w:top w:val="nil"/>
              <w:left w:val="single" w:sz="4" w:space="0" w:color="auto"/>
              <w:bottom w:val="single" w:sz="4" w:space="0" w:color="auto"/>
              <w:right w:val="single" w:sz="4" w:space="0" w:color="auto"/>
            </w:tcBorders>
            <w:shd w:val="clear" w:color="auto" w:fill="auto"/>
            <w:vAlign w:val="center"/>
            <w:hideMark/>
          </w:tcPr>
          <w:p w:rsidR="00306D72" w:rsidRPr="00880111" w:rsidRDefault="00306D72" w:rsidP="00306D72">
            <w:pPr>
              <w:spacing w:after="0" w:line="240" w:lineRule="auto"/>
              <w:jc w:val="right"/>
              <w:rPr>
                <w:rFonts w:ascii="Calibri" w:eastAsia="Times New Roman" w:hAnsi="Calibri"/>
                <w:color w:val="000000"/>
                <w:lang w:eastAsia="tr-TR"/>
              </w:rPr>
            </w:pPr>
            <w:r>
              <w:rPr>
                <w:rFonts w:ascii="Calibri" w:hAnsi="Calibri" w:cs="Calibri"/>
                <w:color w:val="000000"/>
              </w:rPr>
              <w:t>0,00</w:t>
            </w:r>
          </w:p>
        </w:tc>
        <w:tc>
          <w:tcPr>
            <w:tcW w:w="1197" w:type="pct"/>
            <w:tcBorders>
              <w:top w:val="nil"/>
              <w:left w:val="nil"/>
              <w:bottom w:val="single" w:sz="4" w:space="0" w:color="auto"/>
              <w:right w:val="single" w:sz="4" w:space="0" w:color="auto"/>
            </w:tcBorders>
            <w:shd w:val="clear" w:color="000000" w:fill="FFFFFF"/>
            <w:vAlign w:val="center"/>
            <w:hideMark/>
          </w:tcPr>
          <w:p w:rsidR="00306D72" w:rsidRPr="00880111" w:rsidRDefault="00306D72" w:rsidP="00306D72">
            <w:pPr>
              <w:spacing w:after="0" w:line="240" w:lineRule="auto"/>
              <w:jc w:val="right"/>
              <w:rPr>
                <w:rFonts w:ascii="Calibri" w:eastAsia="Times New Roman" w:hAnsi="Calibri"/>
                <w:color w:val="000000"/>
                <w:lang w:eastAsia="tr-TR"/>
              </w:rPr>
            </w:pPr>
            <w:r>
              <w:rPr>
                <w:rFonts w:ascii="Calibri" w:hAnsi="Calibri" w:cs="Calibri"/>
                <w:color w:val="000000"/>
              </w:rPr>
              <w:t>17.992.437,17</w:t>
            </w:r>
          </w:p>
        </w:tc>
        <w:tc>
          <w:tcPr>
            <w:tcW w:w="1232" w:type="pct"/>
            <w:tcBorders>
              <w:top w:val="nil"/>
              <w:left w:val="nil"/>
              <w:bottom w:val="single" w:sz="4" w:space="0" w:color="auto"/>
              <w:right w:val="single" w:sz="4" w:space="0" w:color="auto"/>
            </w:tcBorders>
            <w:shd w:val="clear" w:color="000000" w:fill="FFFFFF"/>
            <w:vAlign w:val="center"/>
            <w:hideMark/>
          </w:tcPr>
          <w:p w:rsidR="00306D72" w:rsidRPr="00306D72" w:rsidRDefault="00306D72" w:rsidP="00306D72">
            <w:pPr>
              <w:spacing w:after="0" w:line="240" w:lineRule="auto"/>
              <w:jc w:val="right"/>
              <w:rPr>
                <w:rFonts w:ascii="Calibri" w:eastAsia="Times New Roman" w:hAnsi="Calibri"/>
                <w:b/>
                <w:bCs/>
                <w:color w:val="000000"/>
                <w:lang w:eastAsia="tr-TR"/>
              </w:rPr>
            </w:pPr>
            <w:r w:rsidRPr="00306D72">
              <w:rPr>
                <w:rFonts w:ascii="Calibri" w:hAnsi="Calibri" w:cs="Calibri"/>
                <w:b/>
                <w:color w:val="000000"/>
              </w:rPr>
              <w:t>17.992.437,17</w:t>
            </w:r>
          </w:p>
        </w:tc>
      </w:tr>
      <w:tr w:rsidR="00306D72" w:rsidRPr="00880111"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rsidR="00306D72" w:rsidRPr="00880111" w:rsidRDefault="00306D72" w:rsidP="00306D72">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2004</w:t>
            </w:r>
          </w:p>
        </w:tc>
        <w:tc>
          <w:tcPr>
            <w:tcW w:w="1197" w:type="pct"/>
            <w:tcBorders>
              <w:top w:val="nil"/>
              <w:left w:val="single" w:sz="4" w:space="0" w:color="auto"/>
              <w:bottom w:val="single" w:sz="4" w:space="0" w:color="auto"/>
              <w:right w:val="single" w:sz="4" w:space="0" w:color="auto"/>
            </w:tcBorders>
            <w:shd w:val="clear" w:color="auto" w:fill="auto"/>
            <w:vAlign w:val="center"/>
            <w:hideMark/>
          </w:tcPr>
          <w:p w:rsidR="00306D72" w:rsidRPr="00880111" w:rsidRDefault="00306D72" w:rsidP="00306D72">
            <w:pPr>
              <w:spacing w:after="0" w:line="240" w:lineRule="auto"/>
              <w:jc w:val="right"/>
              <w:rPr>
                <w:rFonts w:ascii="Calibri" w:eastAsia="Times New Roman" w:hAnsi="Calibri"/>
                <w:color w:val="000000"/>
                <w:lang w:eastAsia="tr-TR"/>
              </w:rPr>
            </w:pPr>
            <w:r>
              <w:rPr>
                <w:rFonts w:ascii="Calibri" w:hAnsi="Calibri" w:cs="Calibri"/>
                <w:color w:val="000000"/>
              </w:rPr>
              <w:t>0,00</w:t>
            </w:r>
          </w:p>
        </w:tc>
        <w:tc>
          <w:tcPr>
            <w:tcW w:w="1197" w:type="pct"/>
            <w:tcBorders>
              <w:top w:val="nil"/>
              <w:left w:val="nil"/>
              <w:bottom w:val="single" w:sz="4" w:space="0" w:color="auto"/>
              <w:right w:val="single" w:sz="4" w:space="0" w:color="auto"/>
            </w:tcBorders>
            <w:shd w:val="clear" w:color="000000" w:fill="FFFFFF"/>
            <w:vAlign w:val="center"/>
            <w:hideMark/>
          </w:tcPr>
          <w:p w:rsidR="00306D72" w:rsidRPr="00880111" w:rsidRDefault="00306D72" w:rsidP="00306D72">
            <w:pPr>
              <w:spacing w:after="0" w:line="240" w:lineRule="auto"/>
              <w:jc w:val="right"/>
              <w:rPr>
                <w:rFonts w:ascii="Calibri" w:eastAsia="Times New Roman" w:hAnsi="Calibri"/>
                <w:color w:val="000000"/>
                <w:lang w:eastAsia="tr-TR"/>
              </w:rPr>
            </w:pPr>
            <w:r>
              <w:rPr>
                <w:rFonts w:ascii="Calibri" w:hAnsi="Calibri" w:cs="Calibri"/>
                <w:color w:val="000000"/>
              </w:rPr>
              <w:t>39.891.979,98</w:t>
            </w:r>
          </w:p>
        </w:tc>
        <w:tc>
          <w:tcPr>
            <w:tcW w:w="1232" w:type="pct"/>
            <w:tcBorders>
              <w:top w:val="nil"/>
              <w:left w:val="nil"/>
              <w:bottom w:val="single" w:sz="4" w:space="0" w:color="auto"/>
              <w:right w:val="single" w:sz="4" w:space="0" w:color="auto"/>
            </w:tcBorders>
            <w:shd w:val="clear" w:color="000000" w:fill="FFFFFF"/>
            <w:vAlign w:val="center"/>
            <w:hideMark/>
          </w:tcPr>
          <w:p w:rsidR="00306D72" w:rsidRPr="00306D72" w:rsidRDefault="00306D72" w:rsidP="00306D72">
            <w:pPr>
              <w:spacing w:after="0" w:line="240" w:lineRule="auto"/>
              <w:jc w:val="right"/>
              <w:rPr>
                <w:rFonts w:ascii="Calibri" w:eastAsia="Times New Roman" w:hAnsi="Calibri"/>
                <w:b/>
                <w:bCs/>
                <w:color w:val="000000"/>
                <w:lang w:eastAsia="tr-TR"/>
              </w:rPr>
            </w:pPr>
            <w:r w:rsidRPr="00306D72">
              <w:rPr>
                <w:rFonts w:ascii="Calibri" w:hAnsi="Calibri" w:cs="Calibri"/>
                <w:b/>
                <w:color w:val="000000"/>
              </w:rPr>
              <w:t>39.891.979,98</w:t>
            </w:r>
          </w:p>
        </w:tc>
      </w:tr>
      <w:tr w:rsidR="00306D72" w:rsidRPr="00880111"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rsidR="00306D72" w:rsidRPr="00880111" w:rsidRDefault="00306D72" w:rsidP="00306D72">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2005</w:t>
            </w:r>
          </w:p>
        </w:tc>
        <w:tc>
          <w:tcPr>
            <w:tcW w:w="1197" w:type="pct"/>
            <w:tcBorders>
              <w:top w:val="nil"/>
              <w:left w:val="single" w:sz="4" w:space="0" w:color="auto"/>
              <w:bottom w:val="single" w:sz="4" w:space="0" w:color="auto"/>
              <w:right w:val="single" w:sz="4" w:space="0" w:color="auto"/>
            </w:tcBorders>
            <w:shd w:val="clear" w:color="auto" w:fill="auto"/>
            <w:vAlign w:val="center"/>
            <w:hideMark/>
          </w:tcPr>
          <w:p w:rsidR="00306D72" w:rsidRPr="00880111" w:rsidRDefault="00306D72" w:rsidP="00306D72">
            <w:pPr>
              <w:spacing w:after="0" w:line="240" w:lineRule="auto"/>
              <w:jc w:val="right"/>
              <w:rPr>
                <w:rFonts w:ascii="Calibri" w:eastAsia="Times New Roman" w:hAnsi="Calibri"/>
                <w:color w:val="000000"/>
                <w:lang w:eastAsia="tr-TR"/>
              </w:rPr>
            </w:pPr>
            <w:r>
              <w:rPr>
                <w:rFonts w:ascii="Calibri" w:hAnsi="Calibri" w:cs="Calibri"/>
                <w:color w:val="000000"/>
              </w:rPr>
              <w:t>0,00</w:t>
            </w:r>
          </w:p>
        </w:tc>
        <w:tc>
          <w:tcPr>
            <w:tcW w:w="1197" w:type="pct"/>
            <w:tcBorders>
              <w:top w:val="nil"/>
              <w:left w:val="nil"/>
              <w:bottom w:val="single" w:sz="4" w:space="0" w:color="auto"/>
              <w:right w:val="single" w:sz="4" w:space="0" w:color="auto"/>
            </w:tcBorders>
            <w:shd w:val="clear" w:color="000000" w:fill="FFFFFF"/>
            <w:vAlign w:val="center"/>
            <w:hideMark/>
          </w:tcPr>
          <w:p w:rsidR="00306D72" w:rsidRPr="00880111" w:rsidRDefault="00306D72" w:rsidP="00306D72">
            <w:pPr>
              <w:spacing w:after="0" w:line="240" w:lineRule="auto"/>
              <w:jc w:val="right"/>
              <w:rPr>
                <w:rFonts w:ascii="Calibri" w:eastAsia="Times New Roman" w:hAnsi="Calibri"/>
                <w:color w:val="000000"/>
                <w:lang w:eastAsia="tr-TR"/>
              </w:rPr>
            </w:pPr>
            <w:r>
              <w:rPr>
                <w:rFonts w:ascii="Calibri" w:hAnsi="Calibri" w:cs="Calibri"/>
                <w:color w:val="000000"/>
              </w:rPr>
              <w:t>91.351.575,70</w:t>
            </w:r>
          </w:p>
        </w:tc>
        <w:tc>
          <w:tcPr>
            <w:tcW w:w="1232" w:type="pct"/>
            <w:tcBorders>
              <w:top w:val="nil"/>
              <w:left w:val="nil"/>
              <w:bottom w:val="single" w:sz="4" w:space="0" w:color="auto"/>
              <w:right w:val="single" w:sz="4" w:space="0" w:color="auto"/>
            </w:tcBorders>
            <w:shd w:val="clear" w:color="000000" w:fill="FFFFFF"/>
            <w:vAlign w:val="center"/>
            <w:hideMark/>
          </w:tcPr>
          <w:p w:rsidR="00306D72" w:rsidRPr="00306D72" w:rsidRDefault="00306D72" w:rsidP="00306D72">
            <w:pPr>
              <w:spacing w:after="0" w:line="240" w:lineRule="auto"/>
              <w:jc w:val="right"/>
              <w:rPr>
                <w:rFonts w:ascii="Calibri" w:eastAsia="Times New Roman" w:hAnsi="Calibri"/>
                <w:b/>
                <w:bCs/>
                <w:color w:val="000000"/>
                <w:lang w:eastAsia="tr-TR"/>
              </w:rPr>
            </w:pPr>
            <w:r w:rsidRPr="00306D72">
              <w:rPr>
                <w:rFonts w:ascii="Calibri" w:hAnsi="Calibri" w:cs="Calibri"/>
                <w:b/>
                <w:color w:val="000000"/>
              </w:rPr>
              <w:t>91.351.575,70</w:t>
            </w:r>
          </w:p>
        </w:tc>
      </w:tr>
      <w:tr w:rsidR="00306D72" w:rsidRPr="00880111"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rsidR="00306D72" w:rsidRPr="00880111" w:rsidRDefault="00306D72" w:rsidP="00306D72">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2006</w:t>
            </w:r>
          </w:p>
        </w:tc>
        <w:tc>
          <w:tcPr>
            <w:tcW w:w="1197" w:type="pct"/>
            <w:tcBorders>
              <w:top w:val="nil"/>
              <w:left w:val="single" w:sz="4" w:space="0" w:color="auto"/>
              <w:bottom w:val="single" w:sz="4" w:space="0" w:color="auto"/>
              <w:right w:val="single" w:sz="4" w:space="0" w:color="auto"/>
            </w:tcBorders>
            <w:shd w:val="clear" w:color="000000" w:fill="FFFFFF"/>
            <w:vAlign w:val="center"/>
            <w:hideMark/>
          </w:tcPr>
          <w:p w:rsidR="00306D72" w:rsidRPr="00880111" w:rsidRDefault="00306D72" w:rsidP="00306D72">
            <w:pPr>
              <w:spacing w:after="0" w:line="240" w:lineRule="auto"/>
              <w:jc w:val="right"/>
              <w:rPr>
                <w:rFonts w:ascii="Calibri" w:eastAsia="Times New Roman" w:hAnsi="Calibri"/>
                <w:color w:val="000000"/>
                <w:lang w:eastAsia="tr-TR"/>
              </w:rPr>
            </w:pPr>
            <w:r>
              <w:rPr>
                <w:rFonts w:ascii="Calibri" w:hAnsi="Calibri" w:cs="Calibri"/>
                <w:color w:val="000000"/>
              </w:rPr>
              <w:t>118.872.511,00</w:t>
            </w:r>
          </w:p>
        </w:tc>
        <w:tc>
          <w:tcPr>
            <w:tcW w:w="1197" w:type="pct"/>
            <w:tcBorders>
              <w:top w:val="nil"/>
              <w:left w:val="nil"/>
              <w:bottom w:val="single" w:sz="4" w:space="0" w:color="auto"/>
              <w:right w:val="single" w:sz="4" w:space="0" w:color="auto"/>
            </w:tcBorders>
            <w:shd w:val="clear" w:color="000000" w:fill="FFFFFF"/>
            <w:vAlign w:val="center"/>
            <w:hideMark/>
          </w:tcPr>
          <w:p w:rsidR="00306D72" w:rsidRPr="00880111" w:rsidRDefault="00306D72" w:rsidP="00306D72">
            <w:pPr>
              <w:spacing w:after="0" w:line="240" w:lineRule="auto"/>
              <w:jc w:val="right"/>
              <w:rPr>
                <w:rFonts w:ascii="Calibri" w:eastAsia="Times New Roman" w:hAnsi="Calibri"/>
                <w:color w:val="000000"/>
                <w:lang w:eastAsia="tr-TR"/>
              </w:rPr>
            </w:pPr>
            <w:r>
              <w:rPr>
                <w:rFonts w:ascii="Calibri" w:hAnsi="Calibri" w:cs="Calibri"/>
                <w:color w:val="000000"/>
              </w:rPr>
              <w:t>10.213.361,85</w:t>
            </w:r>
          </w:p>
        </w:tc>
        <w:tc>
          <w:tcPr>
            <w:tcW w:w="1232" w:type="pct"/>
            <w:tcBorders>
              <w:top w:val="nil"/>
              <w:left w:val="nil"/>
              <w:bottom w:val="single" w:sz="4" w:space="0" w:color="auto"/>
              <w:right w:val="single" w:sz="4" w:space="0" w:color="auto"/>
            </w:tcBorders>
            <w:shd w:val="clear" w:color="000000" w:fill="FFFFFF"/>
            <w:vAlign w:val="center"/>
            <w:hideMark/>
          </w:tcPr>
          <w:p w:rsidR="00306D72" w:rsidRPr="00306D72" w:rsidRDefault="00306D72" w:rsidP="00306D72">
            <w:pPr>
              <w:spacing w:after="0" w:line="240" w:lineRule="auto"/>
              <w:jc w:val="right"/>
              <w:rPr>
                <w:rFonts w:ascii="Calibri" w:eastAsia="Times New Roman" w:hAnsi="Calibri"/>
                <w:b/>
                <w:bCs/>
                <w:color w:val="000000"/>
                <w:lang w:eastAsia="tr-TR"/>
              </w:rPr>
            </w:pPr>
            <w:r w:rsidRPr="00306D72">
              <w:rPr>
                <w:rFonts w:ascii="Calibri" w:hAnsi="Calibri" w:cs="Calibri"/>
                <w:b/>
                <w:color w:val="000000"/>
              </w:rPr>
              <w:t>129.085.872,85</w:t>
            </w:r>
          </w:p>
        </w:tc>
      </w:tr>
      <w:tr w:rsidR="00306D72" w:rsidRPr="00880111"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rsidR="00306D72" w:rsidRPr="00880111" w:rsidRDefault="00306D72" w:rsidP="00306D72">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2007</w:t>
            </w:r>
          </w:p>
        </w:tc>
        <w:tc>
          <w:tcPr>
            <w:tcW w:w="1197" w:type="pct"/>
            <w:tcBorders>
              <w:top w:val="nil"/>
              <w:left w:val="single" w:sz="4" w:space="0" w:color="auto"/>
              <w:bottom w:val="single" w:sz="4" w:space="0" w:color="auto"/>
              <w:right w:val="single" w:sz="4" w:space="0" w:color="auto"/>
            </w:tcBorders>
            <w:shd w:val="clear" w:color="000000" w:fill="FFFFFF"/>
            <w:vAlign w:val="center"/>
            <w:hideMark/>
          </w:tcPr>
          <w:p w:rsidR="00306D72" w:rsidRPr="00880111" w:rsidRDefault="00306D72" w:rsidP="00306D72">
            <w:pPr>
              <w:spacing w:after="0" w:line="240" w:lineRule="auto"/>
              <w:jc w:val="right"/>
              <w:rPr>
                <w:rFonts w:ascii="Calibri" w:eastAsia="Times New Roman" w:hAnsi="Calibri"/>
                <w:color w:val="000000"/>
                <w:lang w:eastAsia="tr-TR"/>
              </w:rPr>
            </w:pPr>
            <w:r>
              <w:rPr>
                <w:rFonts w:ascii="Calibri" w:hAnsi="Calibri" w:cs="Calibri"/>
                <w:color w:val="000000"/>
              </w:rPr>
              <w:t>26.316.184,86</w:t>
            </w:r>
          </w:p>
        </w:tc>
        <w:tc>
          <w:tcPr>
            <w:tcW w:w="1197" w:type="pct"/>
            <w:tcBorders>
              <w:top w:val="nil"/>
              <w:left w:val="nil"/>
              <w:bottom w:val="single" w:sz="4" w:space="0" w:color="auto"/>
              <w:right w:val="single" w:sz="4" w:space="0" w:color="auto"/>
            </w:tcBorders>
            <w:shd w:val="clear" w:color="000000" w:fill="FFFFFF"/>
            <w:vAlign w:val="center"/>
            <w:hideMark/>
          </w:tcPr>
          <w:p w:rsidR="00306D72" w:rsidRPr="00880111" w:rsidRDefault="00306D72" w:rsidP="00306D72">
            <w:pPr>
              <w:spacing w:after="0" w:line="240" w:lineRule="auto"/>
              <w:jc w:val="right"/>
              <w:rPr>
                <w:rFonts w:ascii="Calibri" w:eastAsia="Times New Roman" w:hAnsi="Calibri"/>
                <w:color w:val="000000"/>
                <w:lang w:eastAsia="tr-TR"/>
              </w:rPr>
            </w:pPr>
            <w:r>
              <w:rPr>
                <w:rFonts w:ascii="Calibri" w:hAnsi="Calibri" w:cs="Calibri"/>
                <w:color w:val="000000"/>
              </w:rPr>
              <w:t>43.563.569,34</w:t>
            </w:r>
          </w:p>
        </w:tc>
        <w:tc>
          <w:tcPr>
            <w:tcW w:w="1232" w:type="pct"/>
            <w:tcBorders>
              <w:top w:val="nil"/>
              <w:left w:val="nil"/>
              <w:bottom w:val="single" w:sz="4" w:space="0" w:color="auto"/>
              <w:right w:val="single" w:sz="4" w:space="0" w:color="auto"/>
            </w:tcBorders>
            <w:shd w:val="clear" w:color="000000" w:fill="FFFFFF"/>
            <w:vAlign w:val="center"/>
            <w:hideMark/>
          </w:tcPr>
          <w:p w:rsidR="00306D72" w:rsidRPr="00306D72" w:rsidRDefault="00306D72" w:rsidP="00306D72">
            <w:pPr>
              <w:spacing w:after="0" w:line="240" w:lineRule="auto"/>
              <w:jc w:val="right"/>
              <w:rPr>
                <w:rFonts w:ascii="Calibri" w:eastAsia="Times New Roman" w:hAnsi="Calibri"/>
                <w:b/>
                <w:bCs/>
                <w:color w:val="000000"/>
                <w:lang w:eastAsia="tr-TR"/>
              </w:rPr>
            </w:pPr>
            <w:r w:rsidRPr="00306D72">
              <w:rPr>
                <w:rFonts w:ascii="Calibri" w:hAnsi="Calibri" w:cs="Calibri"/>
                <w:b/>
                <w:color w:val="000000"/>
              </w:rPr>
              <w:t>69.879.754,20</w:t>
            </w:r>
          </w:p>
        </w:tc>
      </w:tr>
      <w:tr w:rsidR="00306D72" w:rsidRPr="00880111"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rsidR="00306D72" w:rsidRPr="00880111" w:rsidRDefault="00306D72" w:rsidP="00306D72">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2008</w:t>
            </w:r>
          </w:p>
        </w:tc>
        <w:tc>
          <w:tcPr>
            <w:tcW w:w="1197" w:type="pct"/>
            <w:tcBorders>
              <w:top w:val="nil"/>
              <w:left w:val="single" w:sz="4" w:space="0" w:color="auto"/>
              <w:bottom w:val="single" w:sz="4" w:space="0" w:color="auto"/>
              <w:right w:val="single" w:sz="4" w:space="0" w:color="auto"/>
            </w:tcBorders>
            <w:shd w:val="clear" w:color="000000" w:fill="FFFFFF"/>
            <w:vAlign w:val="center"/>
            <w:hideMark/>
          </w:tcPr>
          <w:p w:rsidR="00306D72" w:rsidRPr="00880111" w:rsidRDefault="00306D72" w:rsidP="00306D72">
            <w:pPr>
              <w:spacing w:after="0" w:line="240" w:lineRule="auto"/>
              <w:jc w:val="right"/>
              <w:rPr>
                <w:rFonts w:ascii="Calibri" w:eastAsia="Times New Roman" w:hAnsi="Calibri"/>
                <w:color w:val="000000"/>
                <w:lang w:eastAsia="tr-TR"/>
              </w:rPr>
            </w:pPr>
            <w:r>
              <w:rPr>
                <w:rFonts w:ascii="Calibri" w:hAnsi="Calibri" w:cs="Calibri"/>
                <w:color w:val="000000"/>
              </w:rPr>
              <w:t>6.500.000,00</w:t>
            </w:r>
          </w:p>
        </w:tc>
        <w:tc>
          <w:tcPr>
            <w:tcW w:w="1197" w:type="pct"/>
            <w:tcBorders>
              <w:top w:val="nil"/>
              <w:left w:val="nil"/>
              <w:bottom w:val="single" w:sz="4" w:space="0" w:color="auto"/>
              <w:right w:val="single" w:sz="4" w:space="0" w:color="auto"/>
            </w:tcBorders>
            <w:shd w:val="clear" w:color="000000" w:fill="FFFFFF"/>
            <w:vAlign w:val="center"/>
            <w:hideMark/>
          </w:tcPr>
          <w:p w:rsidR="00306D72" w:rsidRPr="00880111" w:rsidRDefault="00306D72" w:rsidP="00306D72">
            <w:pPr>
              <w:spacing w:after="0" w:line="240" w:lineRule="auto"/>
              <w:jc w:val="right"/>
              <w:rPr>
                <w:rFonts w:ascii="Calibri" w:eastAsia="Times New Roman" w:hAnsi="Calibri"/>
                <w:color w:val="000000"/>
                <w:lang w:eastAsia="tr-TR"/>
              </w:rPr>
            </w:pPr>
            <w:r>
              <w:rPr>
                <w:rFonts w:ascii="Calibri" w:hAnsi="Calibri" w:cs="Calibri"/>
                <w:color w:val="000000"/>
              </w:rPr>
              <w:t>27.507.108,75</w:t>
            </w:r>
          </w:p>
        </w:tc>
        <w:tc>
          <w:tcPr>
            <w:tcW w:w="1232" w:type="pct"/>
            <w:tcBorders>
              <w:top w:val="nil"/>
              <w:left w:val="nil"/>
              <w:bottom w:val="single" w:sz="4" w:space="0" w:color="auto"/>
              <w:right w:val="single" w:sz="4" w:space="0" w:color="auto"/>
            </w:tcBorders>
            <w:shd w:val="clear" w:color="000000" w:fill="FFFFFF"/>
            <w:vAlign w:val="center"/>
            <w:hideMark/>
          </w:tcPr>
          <w:p w:rsidR="00306D72" w:rsidRPr="00306D72" w:rsidRDefault="00306D72" w:rsidP="00306D72">
            <w:pPr>
              <w:spacing w:after="0" w:line="240" w:lineRule="auto"/>
              <w:jc w:val="right"/>
              <w:rPr>
                <w:rFonts w:ascii="Calibri" w:eastAsia="Times New Roman" w:hAnsi="Calibri"/>
                <w:b/>
                <w:bCs/>
                <w:color w:val="000000"/>
                <w:lang w:eastAsia="tr-TR"/>
              </w:rPr>
            </w:pPr>
            <w:r w:rsidRPr="00306D72">
              <w:rPr>
                <w:rFonts w:ascii="Calibri" w:hAnsi="Calibri" w:cs="Calibri"/>
                <w:b/>
                <w:color w:val="000000"/>
              </w:rPr>
              <w:t>34.007.108,75</w:t>
            </w:r>
          </w:p>
        </w:tc>
      </w:tr>
      <w:tr w:rsidR="00306D72" w:rsidRPr="00880111"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rsidR="00306D72" w:rsidRPr="00880111" w:rsidRDefault="00306D72" w:rsidP="00306D72">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2009</w:t>
            </w:r>
          </w:p>
        </w:tc>
        <w:tc>
          <w:tcPr>
            <w:tcW w:w="1197" w:type="pct"/>
            <w:tcBorders>
              <w:top w:val="nil"/>
              <w:left w:val="single" w:sz="4" w:space="0" w:color="auto"/>
              <w:bottom w:val="single" w:sz="4" w:space="0" w:color="auto"/>
              <w:right w:val="single" w:sz="4" w:space="0" w:color="auto"/>
            </w:tcBorders>
            <w:shd w:val="clear" w:color="000000" w:fill="FFFFFF"/>
            <w:vAlign w:val="center"/>
            <w:hideMark/>
          </w:tcPr>
          <w:p w:rsidR="00306D72" w:rsidRPr="00880111" w:rsidRDefault="00306D72" w:rsidP="00306D72">
            <w:pPr>
              <w:spacing w:after="0" w:line="240" w:lineRule="auto"/>
              <w:jc w:val="right"/>
              <w:rPr>
                <w:rFonts w:ascii="Calibri" w:eastAsia="Times New Roman" w:hAnsi="Calibri"/>
                <w:color w:val="000000"/>
                <w:lang w:eastAsia="tr-TR"/>
              </w:rPr>
            </w:pPr>
            <w:r>
              <w:rPr>
                <w:rFonts w:ascii="Calibri" w:hAnsi="Calibri" w:cs="Calibri"/>
                <w:color w:val="000000"/>
              </w:rPr>
              <w:t>10.000.000,00</w:t>
            </w:r>
          </w:p>
        </w:tc>
        <w:tc>
          <w:tcPr>
            <w:tcW w:w="1197" w:type="pct"/>
            <w:tcBorders>
              <w:top w:val="nil"/>
              <w:left w:val="nil"/>
              <w:bottom w:val="single" w:sz="4" w:space="0" w:color="auto"/>
              <w:right w:val="single" w:sz="4" w:space="0" w:color="auto"/>
            </w:tcBorders>
            <w:shd w:val="clear" w:color="000000" w:fill="FFFFFF"/>
            <w:vAlign w:val="center"/>
            <w:hideMark/>
          </w:tcPr>
          <w:p w:rsidR="00306D72" w:rsidRPr="00880111" w:rsidRDefault="00306D72" w:rsidP="00306D72">
            <w:pPr>
              <w:spacing w:after="0" w:line="240" w:lineRule="auto"/>
              <w:jc w:val="right"/>
              <w:rPr>
                <w:rFonts w:ascii="Calibri" w:eastAsia="Times New Roman" w:hAnsi="Calibri"/>
                <w:color w:val="000000"/>
                <w:lang w:eastAsia="tr-TR"/>
              </w:rPr>
            </w:pPr>
            <w:r>
              <w:rPr>
                <w:rFonts w:ascii="Calibri" w:hAnsi="Calibri" w:cs="Calibri"/>
                <w:color w:val="000000"/>
              </w:rPr>
              <w:t>25.560.370,79</w:t>
            </w:r>
          </w:p>
        </w:tc>
        <w:tc>
          <w:tcPr>
            <w:tcW w:w="1232" w:type="pct"/>
            <w:tcBorders>
              <w:top w:val="nil"/>
              <w:left w:val="nil"/>
              <w:bottom w:val="single" w:sz="4" w:space="0" w:color="auto"/>
              <w:right w:val="single" w:sz="4" w:space="0" w:color="auto"/>
            </w:tcBorders>
            <w:shd w:val="clear" w:color="000000" w:fill="FFFFFF"/>
            <w:vAlign w:val="center"/>
            <w:hideMark/>
          </w:tcPr>
          <w:p w:rsidR="00306D72" w:rsidRPr="00306D72" w:rsidRDefault="00306D72" w:rsidP="00306D72">
            <w:pPr>
              <w:spacing w:after="0" w:line="240" w:lineRule="auto"/>
              <w:jc w:val="right"/>
              <w:rPr>
                <w:rFonts w:ascii="Calibri" w:eastAsia="Times New Roman" w:hAnsi="Calibri"/>
                <w:b/>
                <w:bCs/>
                <w:color w:val="000000"/>
                <w:lang w:eastAsia="tr-TR"/>
              </w:rPr>
            </w:pPr>
            <w:r w:rsidRPr="00306D72">
              <w:rPr>
                <w:rFonts w:ascii="Calibri" w:hAnsi="Calibri" w:cs="Calibri"/>
                <w:b/>
                <w:color w:val="000000"/>
              </w:rPr>
              <w:t>35.560.370,79</w:t>
            </w:r>
          </w:p>
        </w:tc>
      </w:tr>
      <w:tr w:rsidR="00306D72" w:rsidRPr="00880111"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rsidR="00306D72" w:rsidRPr="00880111" w:rsidRDefault="00306D72" w:rsidP="00306D72">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2010</w:t>
            </w:r>
          </w:p>
        </w:tc>
        <w:tc>
          <w:tcPr>
            <w:tcW w:w="1197" w:type="pct"/>
            <w:tcBorders>
              <w:top w:val="nil"/>
              <w:left w:val="single" w:sz="4" w:space="0" w:color="auto"/>
              <w:bottom w:val="single" w:sz="4" w:space="0" w:color="auto"/>
              <w:right w:val="single" w:sz="4" w:space="0" w:color="auto"/>
            </w:tcBorders>
            <w:shd w:val="clear" w:color="000000" w:fill="FFFFFF"/>
            <w:vAlign w:val="center"/>
            <w:hideMark/>
          </w:tcPr>
          <w:p w:rsidR="00306D72" w:rsidRPr="00880111" w:rsidRDefault="00306D72" w:rsidP="00306D72">
            <w:pPr>
              <w:spacing w:after="0" w:line="240" w:lineRule="auto"/>
              <w:jc w:val="right"/>
              <w:rPr>
                <w:rFonts w:ascii="Calibri" w:eastAsia="Times New Roman" w:hAnsi="Calibri"/>
                <w:color w:val="000000"/>
                <w:lang w:eastAsia="tr-TR"/>
              </w:rPr>
            </w:pPr>
            <w:r>
              <w:rPr>
                <w:rFonts w:ascii="Calibri" w:hAnsi="Calibri" w:cs="Calibri"/>
                <w:color w:val="000000"/>
              </w:rPr>
              <w:t>18.000.000,00</w:t>
            </w:r>
          </w:p>
        </w:tc>
        <w:tc>
          <w:tcPr>
            <w:tcW w:w="1197" w:type="pct"/>
            <w:tcBorders>
              <w:top w:val="nil"/>
              <w:left w:val="nil"/>
              <w:bottom w:val="single" w:sz="4" w:space="0" w:color="auto"/>
              <w:right w:val="single" w:sz="4" w:space="0" w:color="auto"/>
            </w:tcBorders>
            <w:shd w:val="clear" w:color="000000" w:fill="FFFFFF"/>
            <w:vAlign w:val="center"/>
            <w:hideMark/>
          </w:tcPr>
          <w:p w:rsidR="00306D72" w:rsidRPr="00880111" w:rsidRDefault="00306D72" w:rsidP="00306D72">
            <w:pPr>
              <w:spacing w:after="0" w:line="240" w:lineRule="auto"/>
              <w:jc w:val="right"/>
              <w:rPr>
                <w:rFonts w:ascii="Calibri" w:eastAsia="Times New Roman" w:hAnsi="Calibri"/>
                <w:color w:val="000000"/>
                <w:lang w:eastAsia="tr-TR"/>
              </w:rPr>
            </w:pPr>
            <w:r>
              <w:rPr>
                <w:rFonts w:ascii="Calibri" w:hAnsi="Calibri" w:cs="Calibri"/>
                <w:color w:val="000000"/>
              </w:rPr>
              <w:t>47.907.651,22</w:t>
            </w:r>
          </w:p>
        </w:tc>
        <w:tc>
          <w:tcPr>
            <w:tcW w:w="1232" w:type="pct"/>
            <w:tcBorders>
              <w:top w:val="nil"/>
              <w:left w:val="nil"/>
              <w:bottom w:val="single" w:sz="4" w:space="0" w:color="auto"/>
              <w:right w:val="single" w:sz="4" w:space="0" w:color="auto"/>
            </w:tcBorders>
            <w:shd w:val="clear" w:color="000000" w:fill="FFFFFF"/>
            <w:vAlign w:val="center"/>
            <w:hideMark/>
          </w:tcPr>
          <w:p w:rsidR="00306D72" w:rsidRPr="00306D72" w:rsidRDefault="00306D72" w:rsidP="00306D72">
            <w:pPr>
              <w:spacing w:after="0" w:line="240" w:lineRule="auto"/>
              <w:jc w:val="right"/>
              <w:rPr>
                <w:rFonts w:ascii="Calibri" w:eastAsia="Times New Roman" w:hAnsi="Calibri"/>
                <w:b/>
                <w:bCs/>
                <w:color w:val="000000"/>
                <w:lang w:eastAsia="tr-TR"/>
              </w:rPr>
            </w:pPr>
            <w:r w:rsidRPr="00306D72">
              <w:rPr>
                <w:rFonts w:ascii="Calibri" w:hAnsi="Calibri" w:cs="Calibri"/>
                <w:b/>
                <w:color w:val="000000"/>
              </w:rPr>
              <w:t>65.907.651,22</w:t>
            </w:r>
          </w:p>
        </w:tc>
      </w:tr>
      <w:tr w:rsidR="00306D72" w:rsidRPr="00880111"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rsidR="00306D72" w:rsidRPr="00880111" w:rsidRDefault="00306D72" w:rsidP="00306D72">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2011</w:t>
            </w:r>
          </w:p>
        </w:tc>
        <w:tc>
          <w:tcPr>
            <w:tcW w:w="1197" w:type="pct"/>
            <w:tcBorders>
              <w:top w:val="nil"/>
              <w:left w:val="single" w:sz="4" w:space="0" w:color="auto"/>
              <w:bottom w:val="single" w:sz="4" w:space="0" w:color="auto"/>
              <w:right w:val="single" w:sz="4" w:space="0" w:color="auto"/>
            </w:tcBorders>
            <w:shd w:val="clear" w:color="000000" w:fill="FFFFFF"/>
            <w:vAlign w:val="center"/>
            <w:hideMark/>
          </w:tcPr>
          <w:p w:rsidR="00306D72" w:rsidRPr="00880111" w:rsidRDefault="00306D72" w:rsidP="00306D72">
            <w:pPr>
              <w:spacing w:after="0" w:line="240" w:lineRule="auto"/>
              <w:jc w:val="right"/>
              <w:rPr>
                <w:rFonts w:ascii="Calibri" w:eastAsia="Times New Roman" w:hAnsi="Calibri"/>
                <w:color w:val="000000"/>
                <w:lang w:eastAsia="tr-TR"/>
              </w:rPr>
            </w:pPr>
            <w:r>
              <w:rPr>
                <w:rFonts w:ascii="Calibri" w:hAnsi="Calibri" w:cs="Calibri"/>
                <w:color w:val="000000"/>
              </w:rPr>
              <w:t>27.500.000,00</w:t>
            </w:r>
          </w:p>
        </w:tc>
        <w:tc>
          <w:tcPr>
            <w:tcW w:w="1197" w:type="pct"/>
            <w:tcBorders>
              <w:top w:val="nil"/>
              <w:left w:val="nil"/>
              <w:bottom w:val="single" w:sz="4" w:space="0" w:color="auto"/>
              <w:right w:val="single" w:sz="4" w:space="0" w:color="auto"/>
            </w:tcBorders>
            <w:shd w:val="clear" w:color="000000" w:fill="FFFFFF"/>
            <w:vAlign w:val="center"/>
            <w:hideMark/>
          </w:tcPr>
          <w:p w:rsidR="00306D72" w:rsidRPr="00880111" w:rsidRDefault="00306D72" w:rsidP="00306D72">
            <w:pPr>
              <w:spacing w:after="0" w:line="240" w:lineRule="auto"/>
              <w:jc w:val="right"/>
              <w:rPr>
                <w:rFonts w:ascii="Calibri" w:eastAsia="Times New Roman" w:hAnsi="Calibri"/>
                <w:color w:val="000000"/>
                <w:lang w:eastAsia="tr-TR"/>
              </w:rPr>
            </w:pPr>
            <w:r>
              <w:rPr>
                <w:rFonts w:ascii="Calibri" w:hAnsi="Calibri" w:cs="Calibri"/>
                <w:color w:val="000000"/>
              </w:rPr>
              <w:t>27.474.743,68</w:t>
            </w:r>
          </w:p>
        </w:tc>
        <w:tc>
          <w:tcPr>
            <w:tcW w:w="1232" w:type="pct"/>
            <w:tcBorders>
              <w:top w:val="nil"/>
              <w:left w:val="nil"/>
              <w:bottom w:val="single" w:sz="4" w:space="0" w:color="auto"/>
              <w:right w:val="single" w:sz="4" w:space="0" w:color="auto"/>
            </w:tcBorders>
            <w:shd w:val="clear" w:color="000000" w:fill="FFFFFF"/>
            <w:vAlign w:val="center"/>
            <w:hideMark/>
          </w:tcPr>
          <w:p w:rsidR="00306D72" w:rsidRPr="00306D72" w:rsidRDefault="00306D72" w:rsidP="00306D72">
            <w:pPr>
              <w:spacing w:after="0" w:line="240" w:lineRule="auto"/>
              <w:jc w:val="right"/>
              <w:rPr>
                <w:rFonts w:ascii="Calibri" w:eastAsia="Times New Roman" w:hAnsi="Calibri"/>
                <w:b/>
                <w:bCs/>
                <w:color w:val="000000"/>
                <w:lang w:eastAsia="tr-TR"/>
              </w:rPr>
            </w:pPr>
            <w:r w:rsidRPr="00306D72">
              <w:rPr>
                <w:rFonts w:ascii="Calibri" w:hAnsi="Calibri" w:cs="Calibri"/>
                <w:b/>
                <w:color w:val="000000"/>
              </w:rPr>
              <w:t>54.974.743,68</w:t>
            </w:r>
          </w:p>
        </w:tc>
      </w:tr>
      <w:tr w:rsidR="00306D72" w:rsidRPr="00880111"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rsidR="00306D72" w:rsidRPr="00880111" w:rsidRDefault="00306D72" w:rsidP="00306D72">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2012</w:t>
            </w:r>
          </w:p>
        </w:tc>
        <w:tc>
          <w:tcPr>
            <w:tcW w:w="1197" w:type="pct"/>
            <w:tcBorders>
              <w:top w:val="nil"/>
              <w:left w:val="single" w:sz="4" w:space="0" w:color="auto"/>
              <w:bottom w:val="single" w:sz="4" w:space="0" w:color="auto"/>
              <w:right w:val="single" w:sz="4" w:space="0" w:color="auto"/>
            </w:tcBorders>
            <w:shd w:val="clear" w:color="000000" w:fill="FFFFFF"/>
            <w:vAlign w:val="center"/>
            <w:hideMark/>
          </w:tcPr>
          <w:p w:rsidR="00306D72" w:rsidRPr="00880111" w:rsidRDefault="00306D72" w:rsidP="00306D72">
            <w:pPr>
              <w:spacing w:after="0" w:line="240" w:lineRule="auto"/>
              <w:jc w:val="right"/>
              <w:rPr>
                <w:rFonts w:ascii="Calibri" w:eastAsia="Times New Roman" w:hAnsi="Calibri"/>
                <w:color w:val="000000"/>
                <w:lang w:eastAsia="tr-TR"/>
              </w:rPr>
            </w:pPr>
            <w:r>
              <w:rPr>
                <w:rFonts w:ascii="Calibri" w:hAnsi="Calibri" w:cs="Calibri"/>
                <w:color w:val="000000"/>
              </w:rPr>
              <w:t>42.500.000,00</w:t>
            </w:r>
          </w:p>
        </w:tc>
        <w:tc>
          <w:tcPr>
            <w:tcW w:w="1197" w:type="pct"/>
            <w:tcBorders>
              <w:top w:val="nil"/>
              <w:left w:val="nil"/>
              <w:bottom w:val="single" w:sz="4" w:space="0" w:color="auto"/>
              <w:right w:val="single" w:sz="4" w:space="0" w:color="auto"/>
            </w:tcBorders>
            <w:shd w:val="clear" w:color="000000" w:fill="FFFFFF"/>
            <w:vAlign w:val="center"/>
            <w:hideMark/>
          </w:tcPr>
          <w:p w:rsidR="00306D72" w:rsidRPr="00880111" w:rsidRDefault="00306D72" w:rsidP="00306D72">
            <w:pPr>
              <w:spacing w:after="0" w:line="240" w:lineRule="auto"/>
              <w:jc w:val="right"/>
              <w:rPr>
                <w:rFonts w:ascii="Calibri" w:eastAsia="Times New Roman" w:hAnsi="Calibri"/>
                <w:color w:val="000000"/>
                <w:lang w:eastAsia="tr-TR"/>
              </w:rPr>
            </w:pPr>
            <w:r>
              <w:rPr>
                <w:rFonts w:ascii="Calibri" w:hAnsi="Calibri" w:cs="Calibri"/>
                <w:color w:val="000000"/>
              </w:rPr>
              <w:t>40.174.832,05</w:t>
            </w:r>
          </w:p>
        </w:tc>
        <w:tc>
          <w:tcPr>
            <w:tcW w:w="1232" w:type="pct"/>
            <w:tcBorders>
              <w:top w:val="nil"/>
              <w:left w:val="nil"/>
              <w:bottom w:val="single" w:sz="4" w:space="0" w:color="auto"/>
              <w:right w:val="single" w:sz="4" w:space="0" w:color="auto"/>
            </w:tcBorders>
            <w:shd w:val="clear" w:color="000000" w:fill="FFFFFF"/>
            <w:vAlign w:val="center"/>
            <w:hideMark/>
          </w:tcPr>
          <w:p w:rsidR="00306D72" w:rsidRPr="00306D72" w:rsidRDefault="00306D72" w:rsidP="00306D72">
            <w:pPr>
              <w:spacing w:after="0" w:line="240" w:lineRule="auto"/>
              <w:jc w:val="right"/>
              <w:rPr>
                <w:rFonts w:ascii="Calibri" w:eastAsia="Times New Roman" w:hAnsi="Calibri"/>
                <w:b/>
                <w:bCs/>
                <w:color w:val="000000"/>
                <w:lang w:eastAsia="tr-TR"/>
              </w:rPr>
            </w:pPr>
            <w:r w:rsidRPr="00306D72">
              <w:rPr>
                <w:rFonts w:ascii="Calibri" w:hAnsi="Calibri" w:cs="Calibri"/>
                <w:b/>
                <w:color w:val="000000"/>
              </w:rPr>
              <w:t>82.674.832,05</w:t>
            </w:r>
          </w:p>
        </w:tc>
      </w:tr>
      <w:tr w:rsidR="00306D72" w:rsidRPr="00880111"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rsidR="00306D72" w:rsidRPr="00880111" w:rsidRDefault="00306D72" w:rsidP="00306D72">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2013</w:t>
            </w:r>
          </w:p>
        </w:tc>
        <w:tc>
          <w:tcPr>
            <w:tcW w:w="1197" w:type="pct"/>
            <w:tcBorders>
              <w:top w:val="nil"/>
              <w:left w:val="single" w:sz="4" w:space="0" w:color="auto"/>
              <w:bottom w:val="single" w:sz="4" w:space="0" w:color="auto"/>
              <w:right w:val="single" w:sz="4" w:space="0" w:color="auto"/>
            </w:tcBorders>
            <w:shd w:val="clear" w:color="000000" w:fill="FFFFFF"/>
            <w:vAlign w:val="center"/>
            <w:hideMark/>
          </w:tcPr>
          <w:p w:rsidR="00306D72" w:rsidRPr="00880111" w:rsidRDefault="00306D72" w:rsidP="00306D72">
            <w:pPr>
              <w:spacing w:after="0" w:line="240" w:lineRule="auto"/>
              <w:jc w:val="right"/>
              <w:rPr>
                <w:rFonts w:ascii="Calibri" w:eastAsia="Times New Roman" w:hAnsi="Calibri"/>
                <w:color w:val="000000"/>
                <w:lang w:eastAsia="tr-TR"/>
              </w:rPr>
            </w:pPr>
            <w:r>
              <w:rPr>
                <w:rFonts w:ascii="Calibri" w:hAnsi="Calibri" w:cs="Calibri"/>
                <w:color w:val="000000"/>
              </w:rPr>
              <w:t>51.370.000,00</w:t>
            </w:r>
          </w:p>
        </w:tc>
        <w:tc>
          <w:tcPr>
            <w:tcW w:w="1197" w:type="pct"/>
            <w:tcBorders>
              <w:top w:val="nil"/>
              <w:left w:val="nil"/>
              <w:bottom w:val="single" w:sz="4" w:space="0" w:color="auto"/>
              <w:right w:val="single" w:sz="4" w:space="0" w:color="auto"/>
            </w:tcBorders>
            <w:shd w:val="clear" w:color="000000" w:fill="FFFFFF"/>
            <w:vAlign w:val="center"/>
            <w:hideMark/>
          </w:tcPr>
          <w:p w:rsidR="00306D72" w:rsidRPr="00880111" w:rsidRDefault="00306D72" w:rsidP="00306D72">
            <w:pPr>
              <w:spacing w:after="0" w:line="240" w:lineRule="auto"/>
              <w:jc w:val="right"/>
              <w:rPr>
                <w:rFonts w:ascii="Calibri" w:eastAsia="Times New Roman" w:hAnsi="Calibri"/>
                <w:color w:val="000000"/>
                <w:lang w:eastAsia="tr-TR"/>
              </w:rPr>
            </w:pPr>
            <w:r>
              <w:rPr>
                <w:rFonts w:ascii="Calibri" w:hAnsi="Calibri" w:cs="Calibri"/>
                <w:color w:val="000000"/>
              </w:rPr>
              <w:t>46.559.157,90</w:t>
            </w:r>
          </w:p>
        </w:tc>
        <w:tc>
          <w:tcPr>
            <w:tcW w:w="1232" w:type="pct"/>
            <w:tcBorders>
              <w:top w:val="nil"/>
              <w:left w:val="nil"/>
              <w:bottom w:val="single" w:sz="4" w:space="0" w:color="auto"/>
              <w:right w:val="single" w:sz="4" w:space="0" w:color="auto"/>
            </w:tcBorders>
            <w:shd w:val="clear" w:color="000000" w:fill="FFFFFF"/>
            <w:vAlign w:val="center"/>
            <w:hideMark/>
          </w:tcPr>
          <w:p w:rsidR="00306D72" w:rsidRPr="00306D72" w:rsidRDefault="00306D72" w:rsidP="00306D72">
            <w:pPr>
              <w:spacing w:after="0" w:line="240" w:lineRule="auto"/>
              <w:jc w:val="right"/>
              <w:rPr>
                <w:rFonts w:ascii="Calibri" w:eastAsia="Times New Roman" w:hAnsi="Calibri"/>
                <w:b/>
                <w:bCs/>
                <w:color w:val="000000"/>
                <w:lang w:eastAsia="tr-TR"/>
              </w:rPr>
            </w:pPr>
            <w:r w:rsidRPr="00306D72">
              <w:rPr>
                <w:rFonts w:ascii="Calibri" w:hAnsi="Calibri" w:cs="Calibri"/>
                <w:b/>
                <w:color w:val="000000"/>
              </w:rPr>
              <w:t>97.929.157,90</w:t>
            </w:r>
          </w:p>
        </w:tc>
      </w:tr>
      <w:tr w:rsidR="00306D72" w:rsidRPr="00880111"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rsidR="00306D72" w:rsidRPr="00880111" w:rsidRDefault="00306D72" w:rsidP="00306D72">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2014</w:t>
            </w:r>
          </w:p>
        </w:tc>
        <w:tc>
          <w:tcPr>
            <w:tcW w:w="1197" w:type="pct"/>
            <w:tcBorders>
              <w:top w:val="nil"/>
              <w:left w:val="single" w:sz="4" w:space="0" w:color="auto"/>
              <w:bottom w:val="single" w:sz="4" w:space="0" w:color="auto"/>
              <w:right w:val="single" w:sz="4" w:space="0" w:color="auto"/>
            </w:tcBorders>
            <w:shd w:val="clear" w:color="000000" w:fill="FFFFFF"/>
            <w:vAlign w:val="center"/>
            <w:hideMark/>
          </w:tcPr>
          <w:p w:rsidR="00306D72" w:rsidRPr="00880111" w:rsidRDefault="00306D72" w:rsidP="00306D72">
            <w:pPr>
              <w:spacing w:after="0" w:line="240" w:lineRule="auto"/>
              <w:jc w:val="right"/>
              <w:rPr>
                <w:rFonts w:ascii="Calibri" w:eastAsia="Times New Roman" w:hAnsi="Calibri"/>
                <w:color w:val="000000"/>
                <w:lang w:eastAsia="tr-TR"/>
              </w:rPr>
            </w:pPr>
            <w:r>
              <w:rPr>
                <w:rFonts w:ascii="Calibri" w:hAnsi="Calibri" w:cs="Calibri"/>
                <w:color w:val="000000"/>
              </w:rPr>
              <w:t>27.933.000,00</w:t>
            </w:r>
          </w:p>
        </w:tc>
        <w:tc>
          <w:tcPr>
            <w:tcW w:w="1197" w:type="pct"/>
            <w:tcBorders>
              <w:top w:val="nil"/>
              <w:left w:val="nil"/>
              <w:bottom w:val="single" w:sz="4" w:space="0" w:color="auto"/>
              <w:right w:val="single" w:sz="4" w:space="0" w:color="auto"/>
            </w:tcBorders>
            <w:shd w:val="clear" w:color="000000" w:fill="FFFFFF"/>
            <w:vAlign w:val="center"/>
            <w:hideMark/>
          </w:tcPr>
          <w:p w:rsidR="00306D72" w:rsidRPr="00880111" w:rsidRDefault="00306D72" w:rsidP="00306D72">
            <w:pPr>
              <w:spacing w:after="0" w:line="240" w:lineRule="auto"/>
              <w:jc w:val="right"/>
              <w:rPr>
                <w:rFonts w:ascii="Calibri" w:eastAsia="Times New Roman" w:hAnsi="Calibri"/>
                <w:color w:val="000000"/>
                <w:lang w:eastAsia="tr-TR"/>
              </w:rPr>
            </w:pPr>
            <w:r>
              <w:rPr>
                <w:rFonts w:ascii="Calibri" w:hAnsi="Calibri" w:cs="Calibri"/>
                <w:color w:val="000000"/>
              </w:rPr>
              <w:t>15.266.784,26</w:t>
            </w:r>
          </w:p>
        </w:tc>
        <w:tc>
          <w:tcPr>
            <w:tcW w:w="1232" w:type="pct"/>
            <w:tcBorders>
              <w:top w:val="nil"/>
              <w:left w:val="nil"/>
              <w:bottom w:val="single" w:sz="4" w:space="0" w:color="auto"/>
              <w:right w:val="single" w:sz="4" w:space="0" w:color="auto"/>
            </w:tcBorders>
            <w:shd w:val="clear" w:color="000000" w:fill="FFFFFF"/>
            <w:vAlign w:val="center"/>
            <w:hideMark/>
          </w:tcPr>
          <w:p w:rsidR="00306D72" w:rsidRPr="00306D72" w:rsidRDefault="00306D72" w:rsidP="00306D72">
            <w:pPr>
              <w:spacing w:after="0" w:line="240" w:lineRule="auto"/>
              <w:jc w:val="right"/>
              <w:rPr>
                <w:rFonts w:ascii="Calibri" w:eastAsia="Times New Roman" w:hAnsi="Calibri"/>
                <w:b/>
                <w:bCs/>
                <w:color w:val="000000"/>
                <w:lang w:eastAsia="tr-TR"/>
              </w:rPr>
            </w:pPr>
            <w:r w:rsidRPr="00306D72">
              <w:rPr>
                <w:rFonts w:ascii="Calibri" w:hAnsi="Calibri" w:cs="Calibri"/>
                <w:b/>
                <w:color w:val="000000"/>
              </w:rPr>
              <w:t>43.199.784,26</w:t>
            </w:r>
          </w:p>
        </w:tc>
      </w:tr>
      <w:tr w:rsidR="00306D72" w:rsidRPr="00880111"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rsidR="00306D72" w:rsidRPr="00880111" w:rsidRDefault="00306D72" w:rsidP="00306D72">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2015</w:t>
            </w:r>
          </w:p>
        </w:tc>
        <w:tc>
          <w:tcPr>
            <w:tcW w:w="1197" w:type="pct"/>
            <w:tcBorders>
              <w:top w:val="nil"/>
              <w:left w:val="single" w:sz="4" w:space="0" w:color="auto"/>
              <w:bottom w:val="single" w:sz="4" w:space="0" w:color="auto"/>
              <w:right w:val="single" w:sz="4" w:space="0" w:color="auto"/>
            </w:tcBorders>
            <w:shd w:val="clear" w:color="000000" w:fill="FFFFFF"/>
            <w:vAlign w:val="center"/>
            <w:hideMark/>
          </w:tcPr>
          <w:p w:rsidR="00306D72" w:rsidRPr="00880111" w:rsidRDefault="00306D72" w:rsidP="00306D72">
            <w:pPr>
              <w:spacing w:after="0" w:line="240" w:lineRule="auto"/>
              <w:jc w:val="right"/>
              <w:rPr>
                <w:rFonts w:ascii="Calibri" w:eastAsia="Times New Roman" w:hAnsi="Calibri"/>
                <w:color w:val="000000"/>
                <w:lang w:eastAsia="tr-TR"/>
              </w:rPr>
            </w:pPr>
            <w:r>
              <w:rPr>
                <w:rFonts w:ascii="Calibri" w:hAnsi="Calibri" w:cs="Calibri"/>
                <w:color w:val="000000"/>
              </w:rPr>
              <w:t>47.480.000,00</w:t>
            </w:r>
          </w:p>
        </w:tc>
        <w:tc>
          <w:tcPr>
            <w:tcW w:w="1197" w:type="pct"/>
            <w:tcBorders>
              <w:top w:val="nil"/>
              <w:left w:val="nil"/>
              <w:bottom w:val="single" w:sz="4" w:space="0" w:color="auto"/>
              <w:right w:val="single" w:sz="4" w:space="0" w:color="auto"/>
            </w:tcBorders>
            <w:shd w:val="clear" w:color="000000" w:fill="FFFFFF"/>
            <w:vAlign w:val="center"/>
            <w:hideMark/>
          </w:tcPr>
          <w:p w:rsidR="00306D72" w:rsidRPr="00880111" w:rsidRDefault="00306D72" w:rsidP="00306D72">
            <w:pPr>
              <w:spacing w:after="0" w:line="240" w:lineRule="auto"/>
              <w:jc w:val="right"/>
              <w:rPr>
                <w:rFonts w:ascii="Calibri" w:eastAsia="Times New Roman" w:hAnsi="Calibri"/>
                <w:color w:val="000000"/>
                <w:lang w:eastAsia="tr-TR"/>
              </w:rPr>
            </w:pPr>
            <w:r>
              <w:rPr>
                <w:rFonts w:ascii="Calibri" w:hAnsi="Calibri" w:cs="Calibri"/>
                <w:color w:val="000000"/>
              </w:rPr>
              <w:t>15.928.305,88</w:t>
            </w:r>
          </w:p>
        </w:tc>
        <w:tc>
          <w:tcPr>
            <w:tcW w:w="1232" w:type="pct"/>
            <w:tcBorders>
              <w:top w:val="nil"/>
              <w:left w:val="nil"/>
              <w:bottom w:val="single" w:sz="4" w:space="0" w:color="auto"/>
              <w:right w:val="single" w:sz="4" w:space="0" w:color="auto"/>
            </w:tcBorders>
            <w:shd w:val="clear" w:color="000000" w:fill="FFFFFF"/>
            <w:vAlign w:val="center"/>
            <w:hideMark/>
          </w:tcPr>
          <w:p w:rsidR="00306D72" w:rsidRPr="00306D72" w:rsidRDefault="00306D72" w:rsidP="00306D72">
            <w:pPr>
              <w:spacing w:after="0" w:line="240" w:lineRule="auto"/>
              <w:jc w:val="right"/>
              <w:rPr>
                <w:rFonts w:ascii="Calibri" w:eastAsia="Times New Roman" w:hAnsi="Calibri"/>
                <w:b/>
                <w:bCs/>
                <w:color w:val="000000"/>
                <w:lang w:eastAsia="tr-TR"/>
              </w:rPr>
            </w:pPr>
            <w:r w:rsidRPr="00306D72">
              <w:rPr>
                <w:rFonts w:ascii="Calibri" w:hAnsi="Calibri" w:cs="Calibri"/>
                <w:b/>
                <w:color w:val="000000"/>
              </w:rPr>
              <w:t>63.408.305,88</w:t>
            </w:r>
          </w:p>
        </w:tc>
      </w:tr>
      <w:tr w:rsidR="00306D72" w:rsidRPr="00880111"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rsidR="00306D72" w:rsidRPr="00880111" w:rsidRDefault="00306D72" w:rsidP="00306D72">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2016</w:t>
            </w:r>
          </w:p>
        </w:tc>
        <w:tc>
          <w:tcPr>
            <w:tcW w:w="1197" w:type="pct"/>
            <w:tcBorders>
              <w:top w:val="nil"/>
              <w:left w:val="single" w:sz="4" w:space="0" w:color="auto"/>
              <w:bottom w:val="single" w:sz="4" w:space="0" w:color="auto"/>
              <w:right w:val="single" w:sz="4" w:space="0" w:color="auto"/>
            </w:tcBorders>
            <w:shd w:val="clear" w:color="000000" w:fill="FFFFFF"/>
            <w:vAlign w:val="center"/>
            <w:hideMark/>
          </w:tcPr>
          <w:p w:rsidR="00306D72" w:rsidRPr="00880111" w:rsidRDefault="00306D72" w:rsidP="00306D72">
            <w:pPr>
              <w:spacing w:after="0" w:line="240" w:lineRule="auto"/>
              <w:jc w:val="right"/>
              <w:rPr>
                <w:rFonts w:ascii="Calibri" w:eastAsia="Times New Roman" w:hAnsi="Calibri"/>
                <w:color w:val="000000"/>
                <w:lang w:eastAsia="tr-TR"/>
              </w:rPr>
            </w:pPr>
            <w:r>
              <w:rPr>
                <w:rFonts w:ascii="Calibri" w:hAnsi="Calibri" w:cs="Calibri"/>
                <w:color w:val="000000"/>
              </w:rPr>
              <w:t>36.500.000,00</w:t>
            </w:r>
          </w:p>
        </w:tc>
        <w:tc>
          <w:tcPr>
            <w:tcW w:w="1197" w:type="pct"/>
            <w:tcBorders>
              <w:top w:val="nil"/>
              <w:left w:val="nil"/>
              <w:bottom w:val="single" w:sz="4" w:space="0" w:color="auto"/>
              <w:right w:val="single" w:sz="4" w:space="0" w:color="auto"/>
            </w:tcBorders>
            <w:shd w:val="clear" w:color="000000" w:fill="FFFFFF"/>
            <w:vAlign w:val="center"/>
            <w:hideMark/>
          </w:tcPr>
          <w:p w:rsidR="00306D72" w:rsidRPr="00880111" w:rsidRDefault="00306D72" w:rsidP="00306D72">
            <w:pPr>
              <w:spacing w:after="0" w:line="240" w:lineRule="auto"/>
              <w:jc w:val="right"/>
              <w:rPr>
                <w:rFonts w:ascii="Calibri" w:eastAsia="Times New Roman" w:hAnsi="Calibri"/>
                <w:color w:val="000000"/>
                <w:lang w:eastAsia="tr-TR"/>
              </w:rPr>
            </w:pPr>
            <w:r>
              <w:rPr>
                <w:rFonts w:ascii="Calibri" w:hAnsi="Calibri" w:cs="Calibri"/>
                <w:color w:val="000000"/>
              </w:rPr>
              <w:t>29.518.976,87</w:t>
            </w:r>
          </w:p>
        </w:tc>
        <w:tc>
          <w:tcPr>
            <w:tcW w:w="1232" w:type="pct"/>
            <w:tcBorders>
              <w:top w:val="nil"/>
              <w:left w:val="nil"/>
              <w:bottom w:val="single" w:sz="4" w:space="0" w:color="auto"/>
              <w:right w:val="single" w:sz="4" w:space="0" w:color="auto"/>
            </w:tcBorders>
            <w:shd w:val="clear" w:color="000000" w:fill="FFFFFF"/>
            <w:vAlign w:val="center"/>
            <w:hideMark/>
          </w:tcPr>
          <w:p w:rsidR="00306D72" w:rsidRPr="00306D72" w:rsidRDefault="00306D72" w:rsidP="00306D72">
            <w:pPr>
              <w:spacing w:after="0" w:line="240" w:lineRule="auto"/>
              <w:jc w:val="right"/>
              <w:rPr>
                <w:rFonts w:ascii="Calibri" w:eastAsia="Times New Roman" w:hAnsi="Calibri"/>
                <w:b/>
                <w:bCs/>
                <w:color w:val="000000"/>
                <w:lang w:eastAsia="tr-TR"/>
              </w:rPr>
            </w:pPr>
            <w:r w:rsidRPr="00306D72">
              <w:rPr>
                <w:rFonts w:ascii="Calibri" w:hAnsi="Calibri" w:cs="Calibri"/>
                <w:b/>
                <w:color w:val="000000"/>
              </w:rPr>
              <w:t>66.018.976,87</w:t>
            </w:r>
          </w:p>
        </w:tc>
      </w:tr>
      <w:tr w:rsidR="00306D72" w:rsidRPr="00880111"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rsidR="00306D72" w:rsidRPr="00880111" w:rsidRDefault="00306D72" w:rsidP="00306D72">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2017</w:t>
            </w:r>
          </w:p>
        </w:tc>
        <w:tc>
          <w:tcPr>
            <w:tcW w:w="1197" w:type="pct"/>
            <w:tcBorders>
              <w:top w:val="nil"/>
              <w:left w:val="single" w:sz="4" w:space="0" w:color="auto"/>
              <w:bottom w:val="single" w:sz="4" w:space="0" w:color="auto"/>
              <w:right w:val="single" w:sz="4" w:space="0" w:color="auto"/>
            </w:tcBorders>
            <w:shd w:val="clear" w:color="000000" w:fill="FFFFFF"/>
            <w:vAlign w:val="center"/>
            <w:hideMark/>
          </w:tcPr>
          <w:p w:rsidR="00306D72" w:rsidRPr="00880111" w:rsidRDefault="00306D72" w:rsidP="00306D72">
            <w:pPr>
              <w:spacing w:after="0" w:line="240" w:lineRule="auto"/>
              <w:jc w:val="right"/>
              <w:rPr>
                <w:rFonts w:ascii="Calibri" w:eastAsia="Times New Roman" w:hAnsi="Calibri"/>
                <w:color w:val="000000"/>
                <w:lang w:eastAsia="tr-TR"/>
              </w:rPr>
            </w:pPr>
            <w:r>
              <w:rPr>
                <w:rFonts w:ascii="Calibri" w:hAnsi="Calibri" w:cs="Calibri"/>
                <w:color w:val="000000"/>
              </w:rPr>
              <w:t>18.896.300,00</w:t>
            </w:r>
          </w:p>
        </w:tc>
        <w:tc>
          <w:tcPr>
            <w:tcW w:w="1197" w:type="pct"/>
            <w:tcBorders>
              <w:top w:val="nil"/>
              <w:left w:val="nil"/>
              <w:bottom w:val="single" w:sz="4" w:space="0" w:color="auto"/>
              <w:right w:val="single" w:sz="4" w:space="0" w:color="auto"/>
            </w:tcBorders>
            <w:shd w:val="clear" w:color="000000" w:fill="FFFFFF"/>
            <w:vAlign w:val="center"/>
            <w:hideMark/>
          </w:tcPr>
          <w:p w:rsidR="00306D72" w:rsidRPr="00880111" w:rsidRDefault="00306D72" w:rsidP="00306D72">
            <w:pPr>
              <w:spacing w:after="0" w:line="240" w:lineRule="auto"/>
              <w:jc w:val="right"/>
              <w:rPr>
                <w:rFonts w:ascii="Calibri" w:eastAsia="Times New Roman" w:hAnsi="Calibri"/>
                <w:color w:val="000000"/>
                <w:lang w:eastAsia="tr-TR"/>
              </w:rPr>
            </w:pPr>
            <w:r>
              <w:rPr>
                <w:rFonts w:ascii="Calibri" w:hAnsi="Calibri" w:cs="Calibri"/>
                <w:color w:val="000000"/>
              </w:rPr>
              <w:t>34.157.312,38</w:t>
            </w:r>
          </w:p>
        </w:tc>
        <w:tc>
          <w:tcPr>
            <w:tcW w:w="1232" w:type="pct"/>
            <w:tcBorders>
              <w:top w:val="nil"/>
              <w:left w:val="nil"/>
              <w:bottom w:val="single" w:sz="4" w:space="0" w:color="auto"/>
              <w:right w:val="single" w:sz="4" w:space="0" w:color="auto"/>
            </w:tcBorders>
            <w:shd w:val="clear" w:color="000000" w:fill="FFFFFF"/>
            <w:vAlign w:val="center"/>
            <w:hideMark/>
          </w:tcPr>
          <w:p w:rsidR="00306D72" w:rsidRPr="00306D72" w:rsidRDefault="00306D72" w:rsidP="00306D72">
            <w:pPr>
              <w:spacing w:after="0" w:line="240" w:lineRule="auto"/>
              <w:jc w:val="right"/>
              <w:rPr>
                <w:rFonts w:ascii="Calibri" w:eastAsia="Times New Roman" w:hAnsi="Calibri"/>
                <w:b/>
                <w:bCs/>
                <w:color w:val="000000"/>
                <w:lang w:eastAsia="tr-TR"/>
              </w:rPr>
            </w:pPr>
            <w:r w:rsidRPr="00306D72">
              <w:rPr>
                <w:rFonts w:ascii="Calibri" w:hAnsi="Calibri" w:cs="Calibri"/>
                <w:b/>
                <w:color w:val="000000"/>
              </w:rPr>
              <w:t>53.053.612,38</w:t>
            </w:r>
          </w:p>
        </w:tc>
      </w:tr>
      <w:tr w:rsidR="00306D72" w:rsidRPr="00880111"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rsidR="00306D72" w:rsidRPr="00880111" w:rsidRDefault="00306D72" w:rsidP="00306D72">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2018</w:t>
            </w:r>
          </w:p>
        </w:tc>
        <w:tc>
          <w:tcPr>
            <w:tcW w:w="1197" w:type="pct"/>
            <w:tcBorders>
              <w:top w:val="nil"/>
              <w:left w:val="single" w:sz="4" w:space="0" w:color="auto"/>
              <w:bottom w:val="single" w:sz="4" w:space="0" w:color="auto"/>
              <w:right w:val="single" w:sz="4" w:space="0" w:color="auto"/>
            </w:tcBorders>
            <w:shd w:val="clear" w:color="000000" w:fill="FFFFFF"/>
            <w:vAlign w:val="center"/>
            <w:hideMark/>
          </w:tcPr>
          <w:p w:rsidR="00306D72" w:rsidRPr="00880111" w:rsidRDefault="00306D72" w:rsidP="00306D72">
            <w:pPr>
              <w:spacing w:after="0" w:line="240" w:lineRule="auto"/>
              <w:jc w:val="right"/>
              <w:rPr>
                <w:rFonts w:ascii="Calibri" w:eastAsia="Times New Roman" w:hAnsi="Calibri"/>
                <w:color w:val="000000"/>
                <w:lang w:eastAsia="tr-TR"/>
              </w:rPr>
            </w:pPr>
            <w:r>
              <w:rPr>
                <w:rFonts w:ascii="Calibri" w:hAnsi="Calibri" w:cs="Calibri"/>
                <w:color w:val="000000"/>
              </w:rPr>
              <w:t>47.485.800,00</w:t>
            </w:r>
          </w:p>
        </w:tc>
        <w:tc>
          <w:tcPr>
            <w:tcW w:w="1197" w:type="pct"/>
            <w:tcBorders>
              <w:top w:val="nil"/>
              <w:left w:val="nil"/>
              <w:bottom w:val="single" w:sz="4" w:space="0" w:color="auto"/>
              <w:right w:val="single" w:sz="4" w:space="0" w:color="auto"/>
            </w:tcBorders>
            <w:shd w:val="clear" w:color="000000" w:fill="FFFFFF"/>
            <w:vAlign w:val="center"/>
            <w:hideMark/>
          </w:tcPr>
          <w:p w:rsidR="00306D72" w:rsidRPr="00880111" w:rsidRDefault="00306D72" w:rsidP="00306D72">
            <w:pPr>
              <w:spacing w:after="0" w:line="240" w:lineRule="auto"/>
              <w:jc w:val="right"/>
              <w:rPr>
                <w:rFonts w:ascii="Calibri" w:eastAsia="Times New Roman" w:hAnsi="Calibri"/>
                <w:color w:val="000000"/>
                <w:lang w:eastAsia="tr-TR"/>
              </w:rPr>
            </w:pPr>
            <w:r>
              <w:rPr>
                <w:rFonts w:ascii="Calibri" w:hAnsi="Calibri" w:cs="Calibri"/>
                <w:color w:val="000000"/>
              </w:rPr>
              <w:t>49.604.977,77</w:t>
            </w:r>
          </w:p>
        </w:tc>
        <w:tc>
          <w:tcPr>
            <w:tcW w:w="1232" w:type="pct"/>
            <w:tcBorders>
              <w:top w:val="nil"/>
              <w:left w:val="nil"/>
              <w:bottom w:val="single" w:sz="4" w:space="0" w:color="auto"/>
              <w:right w:val="single" w:sz="4" w:space="0" w:color="auto"/>
            </w:tcBorders>
            <w:shd w:val="clear" w:color="000000" w:fill="FFFFFF"/>
            <w:vAlign w:val="center"/>
            <w:hideMark/>
          </w:tcPr>
          <w:p w:rsidR="00306D72" w:rsidRPr="00306D72" w:rsidRDefault="00306D72" w:rsidP="00306D72">
            <w:pPr>
              <w:spacing w:after="0" w:line="240" w:lineRule="auto"/>
              <w:jc w:val="right"/>
              <w:rPr>
                <w:rFonts w:ascii="Calibri" w:eastAsia="Times New Roman" w:hAnsi="Calibri"/>
                <w:b/>
                <w:bCs/>
                <w:color w:val="000000"/>
                <w:lang w:eastAsia="tr-TR"/>
              </w:rPr>
            </w:pPr>
            <w:r w:rsidRPr="00306D72">
              <w:rPr>
                <w:rFonts w:ascii="Calibri" w:hAnsi="Calibri" w:cs="Calibri"/>
                <w:b/>
                <w:color w:val="000000"/>
              </w:rPr>
              <w:t>97.090.777,77</w:t>
            </w:r>
          </w:p>
        </w:tc>
      </w:tr>
      <w:tr w:rsidR="00306D72" w:rsidRPr="00880111"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tcPr>
          <w:p w:rsidR="00306D72" w:rsidRPr="00880111" w:rsidRDefault="00306D72" w:rsidP="00306D72">
            <w:pPr>
              <w:spacing w:after="0" w:line="240" w:lineRule="auto"/>
              <w:jc w:val="center"/>
              <w:rPr>
                <w:rFonts w:ascii="Calibri" w:eastAsia="Times New Roman" w:hAnsi="Calibri"/>
                <w:b/>
                <w:bCs/>
                <w:color w:val="000000" w:themeColor="text1"/>
                <w:lang w:eastAsia="tr-TR"/>
              </w:rPr>
            </w:pPr>
            <w:r>
              <w:rPr>
                <w:rFonts w:ascii="Calibri" w:eastAsia="Times New Roman" w:hAnsi="Calibri"/>
                <w:b/>
                <w:bCs/>
                <w:color w:val="000000" w:themeColor="text1"/>
                <w:lang w:eastAsia="tr-TR"/>
              </w:rPr>
              <w:t>2019</w:t>
            </w:r>
          </w:p>
        </w:tc>
        <w:tc>
          <w:tcPr>
            <w:tcW w:w="1197" w:type="pct"/>
            <w:tcBorders>
              <w:top w:val="nil"/>
              <w:left w:val="single" w:sz="4" w:space="0" w:color="auto"/>
              <w:bottom w:val="single" w:sz="4" w:space="0" w:color="auto"/>
              <w:right w:val="single" w:sz="4" w:space="0" w:color="auto"/>
            </w:tcBorders>
            <w:shd w:val="clear" w:color="000000" w:fill="FFFFFF"/>
            <w:vAlign w:val="center"/>
          </w:tcPr>
          <w:p w:rsidR="00306D72" w:rsidRPr="00880111" w:rsidRDefault="00306D72" w:rsidP="00306D72">
            <w:pPr>
              <w:spacing w:after="0" w:line="240" w:lineRule="auto"/>
              <w:jc w:val="right"/>
              <w:rPr>
                <w:rFonts w:ascii="Calibri" w:eastAsia="Times New Roman" w:hAnsi="Calibri"/>
                <w:color w:val="000000" w:themeColor="text1"/>
                <w:lang w:eastAsia="tr-TR"/>
              </w:rPr>
            </w:pPr>
            <w:r>
              <w:rPr>
                <w:rFonts w:ascii="Calibri" w:hAnsi="Calibri" w:cs="Calibri"/>
                <w:color w:val="000000"/>
              </w:rPr>
              <w:t>26.003.160,00</w:t>
            </w:r>
          </w:p>
        </w:tc>
        <w:tc>
          <w:tcPr>
            <w:tcW w:w="1197" w:type="pct"/>
            <w:tcBorders>
              <w:top w:val="nil"/>
              <w:left w:val="nil"/>
              <w:bottom w:val="single" w:sz="4" w:space="0" w:color="auto"/>
              <w:right w:val="single" w:sz="4" w:space="0" w:color="auto"/>
            </w:tcBorders>
            <w:shd w:val="clear" w:color="000000" w:fill="FFFFFF"/>
            <w:vAlign w:val="center"/>
          </w:tcPr>
          <w:p w:rsidR="00306D72" w:rsidRPr="00880111" w:rsidRDefault="00306D72" w:rsidP="00306D72">
            <w:pPr>
              <w:spacing w:after="0" w:line="240" w:lineRule="auto"/>
              <w:jc w:val="right"/>
              <w:rPr>
                <w:rFonts w:ascii="Calibri" w:eastAsia="Times New Roman" w:hAnsi="Calibri"/>
                <w:color w:val="000000" w:themeColor="text1"/>
                <w:lang w:eastAsia="tr-TR"/>
              </w:rPr>
            </w:pPr>
            <w:r>
              <w:rPr>
                <w:rFonts w:ascii="Calibri" w:hAnsi="Calibri" w:cs="Calibri"/>
                <w:color w:val="000000"/>
              </w:rPr>
              <w:t>48.027.983,78</w:t>
            </w:r>
          </w:p>
        </w:tc>
        <w:tc>
          <w:tcPr>
            <w:tcW w:w="1232" w:type="pct"/>
            <w:tcBorders>
              <w:top w:val="nil"/>
              <w:left w:val="nil"/>
              <w:bottom w:val="single" w:sz="4" w:space="0" w:color="auto"/>
              <w:right w:val="single" w:sz="4" w:space="0" w:color="auto"/>
            </w:tcBorders>
            <w:shd w:val="clear" w:color="000000" w:fill="FFFFFF"/>
            <w:vAlign w:val="center"/>
          </w:tcPr>
          <w:p w:rsidR="00306D72" w:rsidRPr="00306D72" w:rsidRDefault="00306D72" w:rsidP="00306D72">
            <w:pPr>
              <w:spacing w:after="0" w:line="240" w:lineRule="auto"/>
              <w:jc w:val="right"/>
              <w:rPr>
                <w:rFonts w:ascii="Calibri" w:eastAsia="Times New Roman" w:hAnsi="Calibri"/>
                <w:b/>
                <w:bCs/>
                <w:color w:val="000000" w:themeColor="text1"/>
                <w:lang w:eastAsia="tr-TR"/>
              </w:rPr>
            </w:pPr>
            <w:r w:rsidRPr="00306D72">
              <w:rPr>
                <w:rFonts w:ascii="Calibri" w:hAnsi="Calibri" w:cs="Calibri"/>
                <w:b/>
                <w:color w:val="000000"/>
              </w:rPr>
              <w:t>74.031.143,78</w:t>
            </w:r>
          </w:p>
        </w:tc>
      </w:tr>
      <w:tr w:rsidR="00306D72" w:rsidRPr="004463A4"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tcPr>
          <w:p w:rsidR="00306D72" w:rsidRDefault="00306D72" w:rsidP="00306D72">
            <w:pPr>
              <w:spacing w:after="0" w:line="240" w:lineRule="auto"/>
              <w:jc w:val="center"/>
              <w:rPr>
                <w:rFonts w:ascii="Calibri" w:eastAsia="Times New Roman" w:hAnsi="Calibri"/>
                <w:b/>
                <w:bCs/>
                <w:color w:val="000000" w:themeColor="text1"/>
                <w:lang w:eastAsia="tr-TR"/>
              </w:rPr>
            </w:pPr>
            <w:r>
              <w:rPr>
                <w:rFonts w:ascii="Calibri" w:eastAsia="Times New Roman" w:hAnsi="Calibri"/>
                <w:b/>
                <w:bCs/>
                <w:color w:val="000000" w:themeColor="text1"/>
                <w:lang w:eastAsia="tr-TR"/>
              </w:rPr>
              <w:t>2020</w:t>
            </w:r>
          </w:p>
        </w:tc>
        <w:tc>
          <w:tcPr>
            <w:tcW w:w="1197" w:type="pct"/>
            <w:tcBorders>
              <w:top w:val="nil"/>
              <w:left w:val="single" w:sz="4" w:space="0" w:color="auto"/>
              <w:bottom w:val="single" w:sz="4" w:space="0" w:color="auto"/>
              <w:right w:val="single" w:sz="4" w:space="0" w:color="auto"/>
            </w:tcBorders>
            <w:shd w:val="clear" w:color="000000" w:fill="FFFFFF"/>
            <w:vAlign w:val="center"/>
          </w:tcPr>
          <w:p w:rsidR="00306D72" w:rsidRPr="00F21F5E" w:rsidRDefault="00306D72" w:rsidP="00306D72">
            <w:pPr>
              <w:spacing w:after="0" w:line="240" w:lineRule="auto"/>
              <w:jc w:val="right"/>
              <w:rPr>
                <w:rFonts w:ascii="Calibri" w:eastAsia="Times New Roman" w:hAnsi="Calibri"/>
                <w:color w:val="000000" w:themeColor="text1"/>
                <w:lang w:eastAsia="tr-TR"/>
              </w:rPr>
            </w:pPr>
            <w:r>
              <w:rPr>
                <w:rFonts w:ascii="Calibri" w:hAnsi="Calibri" w:cs="Calibri"/>
                <w:color w:val="000000"/>
              </w:rPr>
              <w:t>65.500.000,00</w:t>
            </w:r>
          </w:p>
        </w:tc>
        <w:tc>
          <w:tcPr>
            <w:tcW w:w="1197" w:type="pct"/>
            <w:tcBorders>
              <w:top w:val="nil"/>
              <w:left w:val="nil"/>
              <w:bottom w:val="single" w:sz="4" w:space="0" w:color="auto"/>
              <w:right w:val="single" w:sz="4" w:space="0" w:color="auto"/>
            </w:tcBorders>
            <w:shd w:val="clear" w:color="000000" w:fill="FFFFFF"/>
            <w:vAlign w:val="center"/>
          </w:tcPr>
          <w:p w:rsidR="00306D72" w:rsidRPr="00F21F5E" w:rsidRDefault="00306D72" w:rsidP="00306D72">
            <w:pPr>
              <w:spacing w:after="0" w:line="240" w:lineRule="auto"/>
              <w:jc w:val="right"/>
              <w:rPr>
                <w:rFonts w:ascii="Calibri" w:eastAsia="Times New Roman" w:hAnsi="Calibri"/>
                <w:color w:val="000000" w:themeColor="text1"/>
                <w:lang w:eastAsia="tr-TR"/>
              </w:rPr>
            </w:pPr>
            <w:r>
              <w:rPr>
                <w:rFonts w:ascii="Calibri" w:hAnsi="Calibri" w:cs="Calibri"/>
                <w:color w:val="000000"/>
              </w:rPr>
              <w:t>126.405.442,93</w:t>
            </w:r>
          </w:p>
        </w:tc>
        <w:tc>
          <w:tcPr>
            <w:tcW w:w="1232" w:type="pct"/>
            <w:tcBorders>
              <w:top w:val="nil"/>
              <w:left w:val="nil"/>
              <w:bottom w:val="single" w:sz="4" w:space="0" w:color="auto"/>
              <w:right w:val="single" w:sz="4" w:space="0" w:color="auto"/>
            </w:tcBorders>
            <w:shd w:val="clear" w:color="000000" w:fill="FFFFFF"/>
            <w:vAlign w:val="center"/>
          </w:tcPr>
          <w:p w:rsidR="00306D72" w:rsidRPr="00306D72" w:rsidRDefault="00306D72" w:rsidP="00306D72">
            <w:pPr>
              <w:spacing w:after="0" w:line="240" w:lineRule="auto"/>
              <w:jc w:val="right"/>
              <w:rPr>
                <w:rFonts w:ascii="Calibri" w:eastAsia="Times New Roman" w:hAnsi="Calibri"/>
                <w:b/>
                <w:bCs/>
                <w:color w:val="000000" w:themeColor="text1"/>
                <w:lang w:eastAsia="tr-TR"/>
              </w:rPr>
            </w:pPr>
            <w:r w:rsidRPr="00306D72">
              <w:rPr>
                <w:rFonts w:ascii="Calibri" w:hAnsi="Calibri" w:cs="Calibri"/>
                <w:b/>
                <w:color w:val="000000"/>
              </w:rPr>
              <w:t>191.905.442,93</w:t>
            </w:r>
          </w:p>
        </w:tc>
      </w:tr>
      <w:tr w:rsidR="00306D72" w:rsidRPr="004463A4"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tcPr>
          <w:p w:rsidR="00306D72" w:rsidRDefault="00306D72" w:rsidP="00306D72">
            <w:pPr>
              <w:spacing w:after="0" w:line="240" w:lineRule="auto"/>
              <w:jc w:val="center"/>
              <w:rPr>
                <w:rFonts w:ascii="Calibri" w:eastAsia="Times New Roman" w:hAnsi="Calibri"/>
                <w:b/>
                <w:bCs/>
                <w:color w:val="000000" w:themeColor="text1"/>
                <w:lang w:eastAsia="tr-TR"/>
              </w:rPr>
            </w:pPr>
            <w:r>
              <w:rPr>
                <w:rFonts w:ascii="Calibri" w:eastAsia="Times New Roman" w:hAnsi="Calibri"/>
                <w:b/>
                <w:bCs/>
                <w:color w:val="000000" w:themeColor="text1"/>
                <w:lang w:eastAsia="tr-TR"/>
              </w:rPr>
              <w:t>2021</w:t>
            </w:r>
          </w:p>
        </w:tc>
        <w:tc>
          <w:tcPr>
            <w:tcW w:w="1197" w:type="pct"/>
            <w:tcBorders>
              <w:top w:val="nil"/>
              <w:left w:val="single" w:sz="4" w:space="0" w:color="auto"/>
              <w:bottom w:val="single" w:sz="4" w:space="0" w:color="auto"/>
              <w:right w:val="single" w:sz="4" w:space="0" w:color="auto"/>
            </w:tcBorders>
            <w:shd w:val="clear" w:color="000000" w:fill="FFFFFF"/>
            <w:vAlign w:val="center"/>
          </w:tcPr>
          <w:p w:rsidR="00306D72" w:rsidRPr="004463A4" w:rsidRDefault="00306D72" w:rsidP="00306D72">
            <w:pPr>
              <w:spacing w:after="0" w:line="240" w:lineRule="auto"/>
              <w:jc w:val="right"/>
              <w:rPr>
                <w:rFonts w:ascii="Calibri" w:eastAsia="Times New Roman" w:hAnsi="Calibri"/>
                <w:color w:val="000000" w:themeColor="text1"/>
                <w:lang w:eastAsia="tr-TR"/>
              </w:rPr>
            </w:pPr>
            <w:r>
              <w:rPr>
                <w:rFonts w:ascii="Calibri" w:hAnsi="Calibri" w:cs="Calibri"/>
                <w:color w:val="000000"/>
              </w:rPr>
              <w:t>98.000.000,00</w:t>
            </w:r>
          </w:p>
        </w:tc>
        <w:tc>
          <w:tcPr>
            <w:tcW w:w="1197" w:type="pct"/>
            <w:tcBorders>
              <w:top w:val="nil"/>
              <w:left w:val="nil"/>
              <w:bottom w:val="single" w:sz="4" w:space="0" w:color="auto"/>
              <w:right w:val="single" w:sz="4" w:space="0" w:color="auto"/>
            </w:tcBorders>
            <w:shd w:val="clear" w:color="000000" w:fill="FFFFFF"/>
            <w:vAlign w:val="center"/>
          </w:tcPr>
          <w:p w:rsidR="00306D72" w:rsidRPr="004463A4" w:rsidRDefault="00306D72" w:rsidP="00306D72">
            <w:pPr>
              <w:spacing w:after="0" w:line="240" w:lineRule="auto"/>
              <w:jc w:val="right"/>
              <w:rPr>
                <w:rFonts w:ascii="Calibri" w:eastAsia="Times New Roman" w:hAnsi="Calibri"/>
                <w:color w:val="000000" w:themeColor="text1"/>
                <w:lang w:eastAsia="tr-TR"/>
              </w:rPr>
            </w:pPr>
            <w:r>
              <w:rPr>
                <w:rFonts w:ascii="Calibri" w:hAnsi="Calibri" w:cs="Calibri"/>
                <w:color w:val="000000"/>
              </w:rPr>
              <w:t>131.246.953,36</w:t>
            </w:r>
          </w:p>
        </w:tc>
        <w:tc>
          <w:tcPr>
            <w:tcW w:w="1232" w:type="pct"/>
            <w:tcBorders>
              <w:top w:val="nil"/>
              <w:left w:val="nil"/>
              <w:bottom w:val="single" w:sz="4" w:space="0" w:color="auto"/>
              <w:right w:val="single" w:sz="4" w:space="0" w:color="auto"/>
            </w:tcBorders>
            <w:shd w:val="clear" w:color="000000" w:fill="FFFFFF"/>
            <w:vAlign w:val="center"/>
          </w:tcPr>
          <w:p w:rsidR="00306D72" w:rsidRPr="00306D72" w:rsidRDefault="00306D72" w:rsidP="00306D72">
            <w:pPr>
              <w:spacing w:after="0" w:line="240" w:lineRule="auto"/>
              <w:jc w:val="right"/>
              <w:rPr>
                <w:rFonts w:ascii="Calibri" w:eastAsia="Times New Roman" w:hAnsi="Calibri"/>
                <w:b/>
                <w:bCs/>
                <w:color w:val="000000" w:themeColor="text1"/>
                <w:lang w:eastAsia="tr-TR"/>
              </w:rPr>
            </w:pPr>
            <w:r w:rsidRPr="00306D72">
              <w:rPr>
                <w:rFonts w:ascii="Calibri" w:hAnsi="Calibri" w:cs="Calibri"/>
                <w:b/>
                <w:color w:val="000000"/>
              </w:rPr>
              <w:t>229.246.953,36</w:t>
            </w:r>
          </w:p>
        </w:tc>
      </w:tr>
      <w:tr w:rsidR="00306D72" w:rsidRPr="004463A4"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tcPr>
          <w:p w:rsidR="00306D72" w:rsidRDefault="00306D72" w:rsidP="00306D72">
            <w:pPr>
              <w:spacing w:after="0" w:line="240" w:lineRule="auto"/>
              <w:jc w:val="center"/>
              <w:rPr>
                <w:rFonts w:ascii="Calibri" w:eastAsia="Times New Roman" w:hAnsi="Calibri"/>
                <w:b/>
                <w:bCs/>
                <w:color w:val="000000" w:themeColor="text1"/>
                <w:lang w:eastAsia="tr-TR"/>
              </w:rPr>
            </w:pPr>
            <w:r>
              <w:rPr>
                <w:rFonts w:ascii="Calibri" w:eastAsia="Times New Roman" w:hAnsi="Calibri"/>
                <w:b/>
                <w:bCs/>
                <w:color w:val="000000" w:themeColor="text1"/>
                <w:lang w:eastAsia="tr-TR"/>
              </w:rPr>
              <w:t>2022</w:t>
            </w:r>
          </w:p>
        </w:tc>
        <w:tc>
          <w:tcPr>
            <w:tcW w:w="1197" w:type="pct"/>
            <w:tcBorders>
              <w:top w:val="single" w:sz="4" w:space="0" w:color="auto"/>
              <w:left w:val="single" w:sz="4" w:space="0" w:color="auto"/>
              <w:bottom w:val="single" w:sz="4" w:space="0" w:color="auto"/>
              <w:right w:val="single" w:sz="4" w:space="0" w:color="auto"/>
            </w:tcBorders>
            <w:shd w:val="clear" w:color="000000" w:fill="FFFFFF"/>
            <w:vAlign w:val="center"/>
          </w:tcPr>
          <w:p w:rsidR="00306D72" w:rsidRDefault="00306D72" w:rsidP="00306D72">
            <w:pPr>
              <w:spacing w:after="0" w:line="240" w:lineRule="auto"/>
              <w:jc w:val="right"/>
              <w:rPr>
                <w:rFonts w:ascii="Calibri" w:hAnsi="Calibri" w:cs="Calibri"/>
                <w:color w:val="000000"/>
              </w:rPr>
            </w:pPr>
            <w:r>
              <w:rPr>
                <w:rFonts w:ascii="Calibri" w:hAnsi="Calibri" w:cs="Calibri"/>
                <w:color w:val="000000"/>
              </w:rPr>
              <w:t>159.000.000,00</w:t>
            </w:r>
          </w:p>
        </w:tc>
        <w:tc>
          <w:tcPr>
            <w:tcW w:w="1197" w:type="pct"/>
            <w:tcBorders>
              <w:top w:val="single" w:sz="4" w:space="0" w:color="auto"/>
              <w:left w:val="nil"/>
              <w:bottom w:val="single" w:sz="4" w:space="0" w:color="auto"/>
              <w:right w:val="single" w:sz="4" w:space="0" w:color="auto"/>
            </w:tcBorders>
            <w:shd w:val="clear" w:color="auto" w:fill="auto"/>
            <w:vAlign w:val="center"/>
          </w:tcPr>
          <w:p w:rsidR="00306D72" w:rsidRDefault="00306D72" w:rsidP="00306D72">
            <w:pPr>
              <w:spacing w:after="0" w:line="240" w:lineRule="auto"/>
              <w:jc w:val="right"/>
              <w:rPr>
                <w:rFonts w:ascii="Calibri" w:hAnsi="Calibri" w:cs="Calibri"/>
                <w:color w:val="000000"/>
              </w:rPr>
            </w:pPr>
            <w:r>
              <w:rPr>
                <w:rFonts w:ascii="Calibri" w:hAnsi="Calibri" w:cs="Calibri"/>
                <w:color w:val="000000"/>
              </w:rPr>
              <w:t>310.313.822,27</w:t>
            </w:r>
          </w:p>
        </w:tc>
        <w:tc>
          <w:tcPr>
            <w:tcW w:w="1232" w:type="pct"/>
            <w:tcBorders>
              <w:top w:val="single" w:sz="4" w:space="0" w:color="auto"/>
              <w:left w:val="nil"/>
              <w:bottom w:val="single" w:sz="4" w:space="0" w:color="auto"/>
              <w:right w:val="single" w:sz="4" w:space="0" w:color="auto"/>
            </w:tcBorders>
            <w:shd w:val="clear" w:color="000000" w:fill="FFFFFF"/>
            <w:vAlign w:val="center"/>
          </w:tcPr>
          <w:p w:rsidR="00306D72" w:rsidRPr="00306D72" w:rsidRDefault="00306D72" w:rsidP="00306D72">
            <w:pPr>
              <w:spacing w:after="0" w:line="240" w:lineRule="auto"/>
              <w:jc w:val="right"/>
              <w:rPr>
                <w:rFonts w:ascii="Calibri" w:hAnsi="Calibri" w:cs="Calibri"/>
                <w:b/>
                <w:color w:val="000000"/>
              </w:rPr>
            </w:pPr>
            <w:r w:rsidRPr="00306D72">
              <w:rPr>
                <w:rFonts w:ascii="Calibri" w:hAnsi="Calibri" w:cs="Calibri"/>
                <w:b/>
                <w:color w:val="000000"/>
              </w:rPr>
              <w:t>469.313.822,27</w:t>
            </w:r>
          </w:p>
        </w:tc>
      </w:tr>
      <w:tr w:rsidR="00306D72" w:rsidRPr="00880111"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rsidR="00306D72" w:rsidRPr="00880111" w:rsidRDefault="00306D72" w:rsidP="00306D72">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Toplam</w:t>
            </w:r>
          </w:p>
        </w:tc>
        <w:tc>
          <w:tcPr>
            <w:tcW w:w="1197" w:type="pct"/>
            <w:tcBorders>
              <w:top w:val="single" w:sz="4" w:space="0" w:color="auto"/>
              <w:left w:val="single" w:sz="4" w:space="0" w:color="auto"/>
              <w:bottom w:val="single" w:sz="4" w:space="0" w:color="auto"/>
              <w:right w:val="single" w:sz="4" w:space="0" w:color="auto"/>
            </w:tcBorders>
            <w:shd w:val="clear" w:color="000000" w:fill="FFFFFF"/>
            <w:vAlign w:val="center"/>
          </w:tcPr>
          <w:p w:rsidR="00306D72" w:rsidRPr="00F21F5E" w:rsidRDefault="00306D72" w:rsidP="00306D72">
            <w:pPr>
              <w:spacing w:after="0" w:line="240" w:lineRule="auto"/>
              <w:jc w:val="right"/>
              <w:rPr>
                <w:rFonts w:ascii="Calibri" w:eastAsia="Times New Roman" w:hAnsi="Calibri"/>
                <w:b/>
                <w:bCs/>
                <w:color w:val="000000" w:themeColor="text1"/>
                <w:lang w:eastAsia="tr-TR"/>
              </w:rPr>
            </w:pPr>
            <w:r>
              <w:rPr>
                <w:rFonts w:ascii="Calibri" w:hAnsi="Calibri" w:cs="Calibri"/>
                <w:b/>
                <w:bCs/>
                <w:color w:val="000000"/>
              </w:rPr>
              <w:t>827.856.955,86</w:t>
            </w:r>
          </w:p>
        </w:tc>
        <w:tc>
          <w:tcPr>
            <w:tcW w:w="1197" w:type="pct"/>
            <w:tcBorders>
              <w:top w:val="single" w:sz="4" w:space="0" w:color="auto"/>
              <w:left w:val="nil"/>
              <w:bottom w:val="single" w:sz="4" w:space="0" w:color="auto"/>
              <w:right w:val="single" w:sz="4" w:space="0" w:color="auto"/>
            </w:tcBorders>
            <w:shd w:val="clear" w:color="000000" w:fill="FFFFFF"/>
            <w:vAlign w:val="center"/>
          </w:tcPr>
          <w:p w:rsidR="00306D72" w:rsidRPr="00F21F5E" w:rsidRDefault="00306D72" w:rsidP="00306D72">
            <w:pPr>
              <w:spacing w:after="0" w:line="240" w:lineRule="auto"/>
              <w:jc w:val="right"/>
              <w:rPr>
                <w:rFonts w:ascii="Calibri" w:eastAsia="Times New Roman" w:hAnsi="Calibri"/>
                <w:b/>
                <w:bCs/>
                <w:color w:val="000000" w:themeColor="text1"/>
                <w:lang w:eastAsia="tr-TR"/>
              </w:rPr>
            </w:pPr>
            <w:r>
              <w:rPr>
                <w:rFonts w:ascii="Calibri" w:hAnsi="Calibri" w:cs="Calibri"/>
                <w:b/>
                <w:bCs/>
                <w:color w:val="000000"/>
              </w:rPr>
              <w:t>1.178.689.653,93</w:t>
            </w:r>
          </w:p>
        </w:tc>
        <w:tc>
          <w:tcPr>
            <w:tcW w:w="1232" w:type="pct"/>
            <w:tcBorders>
              <w:top w:val="single" w:sz="4" w:space="0" w:color="auto"/>
              <w:left w:val="nil"/>
              <w:bottom w:val="single" w:sz="4" w:space="0" w:color="auto"/>
              <w:right w:val="single" w:sz="4" w:space="0" w:color="auto"/>
            </w:tcBorders>
            <w:shd w:val="clear" w:color="000000" w:fill="FFFFFF"/>
            <w:vAlign w:val="center"/>
          </w:tcPr>
          <w:p w:rsidR="00306D72" w:rsidRPr="00F21F5E" w:rsidRDefault="00306D72" w:rsidP="00306D72">
            <w:pPr>
              <w:spacing w:after="0" w:line="240" w:lineRule="auto"/>
              <w:jc w:val="right"/>
              <w:rPr>
                <w:rFonts w:ascii="Calibri" w:eastAsia="Times New Roman" w:hAnsi="Calibri"/>
                <w:b/>
                <w:bCs/>
                <w:color w:val="000000" w:themeColor="text1"/>
                <w:lang w:eastAsia="tr-TR"/>
              </w:rPr>
            </w:pPr>
            <w:r>
              <w:rPr>
                <w:rFonts w:ascii="Calibri" w:hAnsi="Calibri" w:cs="Calibri"/>
                <w:b/>
                <w:bCs/>
                <w:color w:val="000000"/>
              </w:rPr>
              <w:t>2.006.546.609,79</w:t>
            </w:r>
          </w:p>
        </w:tc>
      </w:tr>
    </w:tbl>
    <w:p w:rsidR="00C25631" w:rsidRDefault="00823523" w:rsidP="00DB16CA">
      <w:pPr>
        <w:pStyle w:val="Balk2"/>
        <w:spacing w:before="0" w:after="240"/>
        <w:rPr>
          <w:rFonts w:asciiTheme="minorHAnsi" w:hAnsiTheme="minorHAnsi"/>
          <w:color w:val="000000" w:themeColor="text1"/>
          <w:sz w:val="22"/>
          <w:szCs w:val="22"/>
        </w:rPr>
      </w:pPr>
      <w:bookmarkStart w:id="486" w:name="_Toc132713879"/>
      <w:r>
        <w:rPr>
          <w:rFonts w:asciiTheme="minorHAnsi" w:hAnsiTheme="minorHAnsi"/>
          <w:color w:val="000000" w:themeColor="text1"/>
          <w:sz w:val="22"/>
          <w:szCs w:val="22"/>
        </w:rPr>
        <w:lastRenderedPageBreak/>
        <w:t>1</w:t>
      </w:r>
      <w:r w:rsidR="00456863">
        <w:rPr>
          <w:rFonts w:asciiTheme="minorHAnsi" w:hAnsiTheme="minorHAnsi"/>
          <w:color w:val="000000" w:themeColor="text1"/>
          <w:sz w:val="22"/>
          <w:szCs w:val="22"/>
        </w:rPr>
        <w:t>4</w:t>
      </w:r>
      <w:r>
        <w:rPr>
          <w:rFonts w:asciiTheme="minorHAnsi" w:hAnsiTheme="minorHAnsi"/>
          <w:color w:val="000000" w:themeColor="text1"/>
          <w:sz w:val="22"/>
          <w:szCs w:val="22"/>
        </w:rPr>
        <w:t>.1</w:t>
      </w:r>
      <w:r w:rsidRPr="00FA1354">
        <w:rPr>
          <w:rFonts w:asciiTheme="minorHAnsi" w:hAnsiTheme="minorHAnsi"/>
          <w:color w:val="000000" w:themeColor="text1"/>
          <w:sz w:val="22"/>
          <w:szCs w:val="22"/>
        </w:rPr>
        <w:t>.</w:t>
      </w:r>
      <w:r w:rsidR="00D568D1">
        <w:rPr>
          <w:rFonts w:asciiTheme="minorHAnsi" w:hAnsiTheme="minorHAnsi"/>
          <w:color w:val="000000" w:themeColor="text1"/>
          <w:sz w:val="22"/>
          <w:szCs w:val="22"/>
        </w:rPr>
        <w:t>2022</w:t>
      </w:r>
      <w:r w:rsidR="00C25631" w:rsidRPr="00FA1354">
        <w:rPr>
          <w:rFonts w:asciiTheme="minorHAnsi" w:hAnsiTheme="minorHAnsi"/>
          <w:color w:val="000000" w:themeColor="text1"/>
          <w:sz w:val="22"/>
          <w:szCs w:val="22"/>
        </w:rPr>
        <w:t xml:space="preserve"> Yılı Bütçe Uygulama Sonuçları</w:t>
      </w:r>
      <w:bookmarkEnd w:id="486"/>
    </w:p>
    <w:p w:rsidR="009F6F06" w:rsidRPr="00E9291A" w:rsidRDefault="009F6F06" w:rsidP="00AA282A">
      <w:pPr>
        <w:spacing w:after="0"/>
      </w:pPr>
      <w:r w:rsidRPr="00E9291A">
        <w:t>Kurumun</w:t>
      </w:r>
      <w:r w:rsidR="004463A4">
        <w:t xml:space="preserve"> </w:t>
      </w:r>
      <w:r w:rsidR="003F5BB7">
        <w:t xml:space="preserve">2022 </w:t>
      </w:r>
      <w:r w:rsidRPr="00E9291A">
        <w:t xml:space="preserve">yılı bütçesi, </w:t>
      </w:r>
      <w:r>
        <w:t>TBMM’de kabul edilerek 31</w:t>
      </w:r>
      <w:r w:rsidRPr="000F6005">
        <w:t>.12.</w:t>
      </w:r>
      <w:r w:rsidR="003F5BB7">
        <w:t xml:space="preserve">2021 </w:t>
      </w:r>
      <w:r w:rsidRPr="00E9291A">
        <w:t xml:space="preserve">tarihli ve </w:t>
      </w:r>
      <w:r w:rsidR="003F5BB7">
        <w:t>31706</w:t>
      </w:r>
      <w:r w:rsidR="003F5BB7" w:rsidRPr="00E9291A">
        <w:t xml:space="preserve"> </w:t>
      </w:r>
      <w:r w:rsidR="004463A4" w:rsidRPr="004463A4">
        <w:t>(1. Mükerrer</w:t>
      </w:r>
      <w:r w:rsidR="004463A4">
        <w:t xml:space="preserve">) </w:t>
      </w:r>
      <w:r w:rsidRPr="00E9291A">
        <w:t xml:space="preserve">sayılı </w:t>
      </w:r>
      <w:r w:rsidR="00B16F92" w:rsidRPr="00E9291A">
        <w:t>Resmî</w:t>
      </w:r>
      <w:r w:rsidRPr="00E9291A">
        <w:t xml:space="preserve"> </w:t>
      </w:r>
      <w:r w:rsidR="00274939">
        <w:t>Gazetede</w:t>
      </w:r>
      <w:r w:rsidRPr="00E9291A">
        <w:t xml:space="preserve"> yayımlanmış ve </w:t>
      </w:r>
      <w:r w:rsidR="004463A4">
        <w:t>01.01.</w:t>
      </w:r>
      <w:r w:rsidR="003F5BB7">
        <w:t xml:space="preserve">2022 </w:t>
      </w:r>
      <w:r w:rsidRPr="00E9291A">
        <w:t>tarihinden itibaren yürürlüğe girmiştir.</w:t>
      </w:r>
    </w:p>
    <w:p w:rsidR="002966DA" w:rsidRPr="00AA282A" w:rsidRDefault="009F6F06" w:rsidP="000A5A56">
      <w:pPr>
        <w:pStyle w:val="Balk3"/>
        <w:numPr>
          <w:ilvl w:val="2"/>
          <w:numId w:val="11"/>
        </w:numPr>
        <w:spacing w:after="240"/>
        <w:rPr>
          <w:rFonts w:asciiTheme="minorHAnsi" w:hAnsiTheme="minorHAnsi"/>
          <w:color w:val="000000" w:themeColor="text1"/>
        </w:rPr>
      </w:pPr>
      <w:bookmarkStart w:id="487" w:name="_Toc132713880"/>
      <w:r w:rsidRPr="00E9291A">
        <w:rPr>
          <w:rFonts w:asciiTheme="minorHAnsi" w:hAnsiTheme="minorHAnsi"/>
          <w:color w:val="000000" w:themeColor="text1"/>
        </w:rPr>
        <w:t>Gelir Bütçesi</w:t>
      </w:r>
      <w:bookmarkEnd w:id="487"/>
    </w:p>
    <w:p w:rsidR="009F6F06" w:rsidRDefault="003F5BB7" w:rsidP="00E27A49">
      <w:pPr>
        <w:spacing w:after="0"/>
      </w:pPr>
      <w:r>
        <w:t xml:space="preserve">2022 </w:t>
      </w:r>
      <w:r w:rsidR="009F6F06" w:rsidRPr="00E9291A">
        <w:t xml:space="preserve">yılı </w:t>
      </w:r>
      <w:r w:rsidR="002966DA" w:rsidRPr="002966DA">
        <w:t>net</w:t>
      </w:r>
      <w:r w:rsidR="002966DA">
        <w:t xml:space="preserve"> </w:t>
      </w:r>
      <w:r w:rsidR="002966DA" w:rsidRPr="00E9291A">
        <w:t xml:space="preserve">bütçe </w:t>
      </w:r>
      <w:r w:rsidR="002966DA" w:rsidRPr="00306D72">
        <w:t xml:space="preserve">gelirleri </w:t>
      </w:r>
      <w:r w:rsidR="0041189E" w:rsidRPr="00306D72">
        <w:rPr>
          <w:rFonts w:eastAsia="Times New Roman"/>
          <w:bCs/>
          <w:noProof/>
          <w:szCs w:val="24"/>
          <w:lang w:val="en-US" w:bidi="tr-TR"/>
        </w:rPr>
        <w:t xml:space="preserve">394.052.000,00 </w:t>
      </w:r>
      <w:r w:rsidR="009F6F06" w:rsidRPr="00306D72">
        <w:t xml:space="preserve">TL olarak </w:t>
      </w:r>
      <w:r w:rsidR="009F6F06" w:rsidRPr="00E9291A">
        <w:t xml:space="preserve">tahmin edilmiş ve </w:t>
      </w:r>
      <w:r w:rsidR="00B400D3">
        <w:t>880.142.588,14</w:t>
      </w:r>
      <w:r w:rsidR="00FC758B">
        <w:t>.-</w:t>
      </w:r>
      <w:r w:rsidR="009F6F06" w:rsidRPr="00E9291A">
        <w:t xml:space="preserve">TL net bütçe geliri elde edilmiştir. Böylece </w:t>
      </w:r>
      <w:r w:rsidR="00FC758B">
        <w:t xml:space="preserve">net </w:t>
      </w:r>
      <w:r w:rsidR="009F6F06" w:rsidRPr="00E9291A">
        <w:t xml:space="preserve">bütçe gelir gerçekleşme oranı </w:t>
      </w:r>
      <w:r w:rsidR="00990061" w:rsidRPr="00E9291A">
        <w:t>%</w:t>
      </w:r>
      <w:r w:rsidR="00B400D3">
        <w:t>223,36</w:t>
      </w:r>
      <w:r w:rsidR="006138ED" w:rsidRPr="006138ED">
        <w:t xml:space="preserve"> </w:t>
      </w:r>
      <w:r w:rsidR="009F6F06">
        <w:t>olmuştur</w:t>
      </w:r>
      <w:r w:rsidR="009F6F06" w:rsidRPr="00E9291A">
        <w:t>. Kurumun gelirleri, 4628 sayılı Kanunun 10 uncu maddesinde yer alan aşağıdaki unsurlardan oluşmaktadır:</w:t>
      </w:r>
    </w:p>
    <w:p w:rsidR="006138ED" w:rsidRPr="00E9291A" w:rsidRDefault="006138ED" w:rsidP="009F6F06">
      <w:pPr>
        <w:spacing w:after="0"/>
      </w:pPr>
    </w:p>
    <w:p w:rsidR="009F6F06" w:rsidRPr="00E9291A" w:rsidRDefault="009F6F06" w:rsidP="009F6F06">
      <w:pPr>
        <w:numPr>
          <w:ilvl w:val="0"/>
          <w:numId w:val="2"/>
        </w:numPr>
        <w:tabs>
          <w:tab w:val="left" w:pos="284"/>
          <w:tab w:val="left" w:pos="567"/>
          <w:tab w:val="left" w:pos="709"/>
          <w:tab w:val="left" w:pos="851"/>
        </w:tabs>
        <w:spacing w:after="0"/>
        <w:ind w:left="284" w:firstLine="0"/>
        <w:contextualSpacing/>
      </w:pPr>
      <w:r w:rsidRPr="00E9291A">
        <w:t xml:space="preserve">Lisans </w:t>
      </w:r>
      <w:r w:rsidR="006138ED" w:rsidRPr="00E9291A">
        <w:t>(</w:t>
      </w:r>
      <w:r w:rsidR="006138ED" w:rsidRPr="006138ED">
        <w:t>Elektrik ve doğal gaz piyasalarında yıllık</w:t>
      </w:r>
      <w:r w:rsidR="006138ED">
        <w:t xml:space="preserve"> </w:t>
      </w:r>
      <w:r w:rsidR="00990061">
        <w:t>lisans; elektrik</w:t>
      </w:r>
      <w:r w:rsidR="006138ED" w:rsidRPr="006138ED">
        <w:t xml:space="preserve">, doğal gaz, petrol ve LPG piyasalarında </w:t>
      </w:r>
      <w:r w:rsidR="006138ED" w:rsidRPr="00E9291A">
        <w:t>lisans alma, lisans yenileme, lisans tadili ve lisans sureti çıkartma), sertifika, onay, izin ve vize</w:t>
      </w:r>
      <w:r w:rsidR="006138ED">
        <w:t xml:space="preserve"> </w:t>
      </w:r>
      <w:r w:rsidR="006138ED" w:rsidRPr="00E9291A">
        <w:t>işlemleri üzerinden alınacak bedeller</w:t>
      </w:r>
      <w:r w:rsidR="006138ED">
        <w:t xml:space="preserve"> </w:t>
      </w:r>
      <w:r w:rsidR="006138ED" w:rsidRPr="006138ED">
        <w:t>(Doğal gaz piyasasın</w:t>
      </w:r>
      <w:r w:rsidR="006138ED">
        <w:t>da</w:t>
      </w:r>
      <w:r w:rsidR="00990061" w:rsidRPr="006138ED">
        <w:t>),</w:t>
      </w:r>
      <w:r w:rsidR="006138ED" w:rsidRPr="00E9291A">
        <w:t xml:space="preserve"> </w:t>
      </w:r>
    </w:p>
    <w:p w:rsidR="009F6F06" w:rsidRDefault="008A6E21" w:rsidP="006138ED">
      <w:pPr>
        <w:numPr>
          <w:ilvl w:val="0"/>
          <w:numId w:val="2"/>
        </w:numPr>
        <w:tabs>
          <w:tab w:val="left" w:pos="284"/>
          <w:tab w:val="left" w:pos="567"/>
          <w:tab w:val="left" w:pos="709"/>
          <w:tab w:val="left" w:pos="851"/>
        </w:tabs>
        <w:spacing w:after="0"/>
        <w:ind w:left="284" w:firstLine="0"/>
        <w:contextualSpacing/>
      </w:pPr>
      <w:r>
        <w:t>Katılma payı</w:t>
      </w:r>
      <w:r w:rsidR="009F6F06" w:rsidRPr="00E9291A">
        <w:t xml:space="preserve"> </w:t>
      </w:r>
      <w:r w:rsidR="006138ED">
        <w:t>(</w:t>
      </w:r>
      <w:r w:rsidR="006138ED" w:rsidRPr="006138ED">
        <w:t>Doğal gaz, petrol ve LPG piyasalarında)</w:t>
      </w:r>
    </w:p>
    <w:p w:rsidR="006138ED" w:rsidRPr="00E9291A" w:rsidRDefault="006138ED" w:rsidP="006138ED">
      <w:pPr>
        <w:tabs>
          <w:tab w:val="left" w:pos="284"/>
          <w:tab w:val="left" w:pos="567"/>
          <w:tab w:val="left" w:pos="709"/>
          <w:tab w:val="left" w:pos="851"/>
        </w:tabs>
        <w:spacing w:after="0"/>
        <w:ind w:left="284"/>
        <w:contextualSpacing/>
      </w:pPr>
    </w:p>
    <w:p w:rsidR="009F6F06" w:rsidRPr="00E9291A" w:rsidRDefault="009F6F06" w:rsidP="009F6F06">
      <w:pPr>
        <w:spacing w:after="120"/>
      </w:pPr>
      <w:r w:rsidRPr="00E9291A">
        <w:t>Elektrik piyasasında katılma payı olmayıp, doğal gaz piyasasında katılma payının mükellefi, lisans ve sertifika sahibi olan tüzel kişilerdir. Petrol piyasasında katılma payının mükellefi</w:t>
      </w:r>
      <w:r w:rsidR="00720469">
        <w:t xml:space="preserve"> ise</w:t>
      </w:r>
      <w:r w:rsidRPr="00E9291A">
        <w:t xml:space="preserve">; </w:t>
      </w:r>
      <w:r w:rsidR="00EB0733" w:rsidRPr="00E9291A">
        <w:t>rafinerici</w:t>
      </w:r>
      <w:r w:rsidRPr="00E9291A">
        <w:t xml:space="preserve">, işleme, dağıtıcı, iletim, taşıma, ihrakiye, depolama, bayi ve madeni yağ üretim lisansı sahibi gerçek ve tüzel kişilerdir. </w:t>
      </w:r>
      <w:r w:rsidR="00720469">
        <w:t>Lisansı kapsamında, bir veya birden fazla piyasa faaliyetini yürüten lisans sahipleri</w:t>
      </w:r>
      <w:r w:rsidRPr="00E9291A">
        <w:t xml:space="preserve"> katılma payını toplam net satışları üzerinden ödemektedirler.</w:t>
      </w:r>
    </w:p>
    <w:p w:rsidR="009F6F06" w:rsidRPr="00E9291A" w:rsidRDefault="009F6F06" w:rsidP="009F6F06">
      <w:pPr>
        <w:spacing w:after="120"/>
      </w:pPr>
      <w:r w:rsidRPr="00E9291A">
        <w:t>LPG piyasasında katılma payının mükellefi ise; rafinerici, LPG piyasası dağıtıcı ve LPG otogaz bayilik lisansı sahibi gerçek ve tüzel kişilerdir. LPG piyasasında</w:t>
      </w:r>
      <w:r w:rsidR="00720469">
        <w:t xml:space="preserve"> lisansı kapsamında, bir veya birden fazla piyasa faaliyetini yürüten lisans sahipleri</w:t>
      </w:r>
      <w:r w:rsidR="00720469" w:rsidRPr="00E9291A" w:rsidDel="00720469">
        <w:t xml:space="preserve"> </w:t>
      </w:r>
      <w:r w:rsidRPr="00E9291A">
        <w:t>katılma payını toplam net satışları üzerinden ödemektedirler.</w:t>
      </w:r>
    </w:p>
    <w:p w:rsidR="009F6F06" w:rsidRDefault="009F6F06" w:rsidP="009F6F06">
      <w:pPr>
        <w:spacing w:after="120"/>
      </w:pPr>
      <w:r w:rsidRPr="00E9291A">
        <w:t xml:space="preserve">Ancak petrol ve LPG piyasasına ilişkin katılma payı, lisans sahiplerince yıllık gelir tablolarında yer alan net satışlar tutarının binde biri oranını ve iki milyon ABD Dolarını aşmayacak şekilde Kurulca belirlenmektedir. </w:t>
      </w:r>
    </w:p>
    <w:p w:rsidR="009F6F06" w:rsidRDefault="009F6F06" w:rsidP="009F6F06">
      <w:pPr>
        <w:spacing w:after="0"/>
      </w:pPr>
      <w:r>
        <w:t>Diğer taraftan;</w:t>
      </w:r>
    </w:p>
    <w:p w:rsidR="009F6F06" w:rsidRPr="00E9291A" w:rsidRDefault="009F6F06" w:rsidP="009F6F06">
      <w:pPr>
        <w:numPr>
          <w:ilvl w:val="0"/>
          <w:numId w:val="2"/>
        </w:numPr>
        <w:tabs>
          <w:tab w:val="left" w:pos="284"/>
          <w:tab w:val="left" w:pos="567"/>
          <w:tab w:val="left" w:pos="709"/>
          <w:tab w:val="left" w:pos="851"/>
        </w:tabs>
        <w:spacing w:after="0"/>
        <w:ind w:left="284" w:firstLine="0"/>
        <w:contextualSpacing/>
      </w:pPr>
      <w:r w:rsidRPr="00E9291A">
        <w:t>Elektrik piyasası iletim tarifesinin en fazla yüzde biri oranındaki iletim ek ücretleri,</w:t>
      </w:r>
    </w:p>
    <w:p w:rsidR="009F6F06" w:rsidRPr="00E9291A" w:rsidRDefault="009F6F06" w:rsidP="009F6F06">
      <w:pPr>
        <w:numPr>
          <w:ilvl w:val="0"/>
          <w:numId w:val="2"/>
        </w:numPr>
        <w:tabs>
          <w:tab w:val="left" w:pos="284"/>
          <w:tab w:val="left" w:pos="567"/>
          <w:tab w:val="left" w:pos="709"/>
          <w:tab w:val="left" w:pos="851"/>
        </w:tabs>
        <w:spacing w:after="0"/>
        <w:ind w:left="284" w:firstLine="0"/>
        <w:contextualSpacing/>
      </w:pPr>
      <w:r w:rsidRPr="00E9291A">
        <w:t>Kurul tarafından verilen elektrik piyasası ile ilgili idari para cezalarının yüzde yirmi</w:t>
      </w:r>
      <w:r>
        <w:t xml:space="preserve"> </w:t>
      </w:r>
      <w:r w:rsidRPr="00E9291A">
        <w:t>beşi,</w:t>
      </w:r>
    </w:p>
    <w:p w:rsidR="009F6F06" w:rsidRPr="00E9291A" w:rsidRDefault="009F6F06" w:rsidP="009F6F06">
      <w:pPr>
        <w:numPr>
          <w:ilvl w:val="0"/>
          <w:numId w:val="2"/>
        </w:numPr>
        <w:tabs>
          <w:tab w:val="left" w:pos="284"/>
          <w:tab w:val="left" w:pos="567"/>
          <w:tab w:val="left" w:pos="709"/>
          <w:tab w:val="left" w:pos="851"/>
        </w:tabs>
        <w:spacing w:after="0"/>
        <w:ind w:left="284" w:firstLine="0"/>
        <w:contextualSpacing/>
      </w:pPr>
      <w:r w:rsidRPr="00E9291A">
        <w:t>Yayın gelirleri ve sair gelirler,</w:t>
      </w:r>
    </w:p>
    <w:p w:rsidR="009F6F06" w:rsidRPr="00E9291A" w:rsidRDefault="009F6F06" w:rsidP="009F6F06">
      <w:pPr>
        <w:numPr>
          <w:ilvl w:val="0"/>
          <w:numId w:val="2"/>
        </w:numPr>
        <w:tabs>
          <w:tab w:val="left" w:pos="284"/>
          <w:tab w:val="left" w:pos="567"/>
          <w:tab w:val="left" w:pos="709"/>
          <w:tab w:val="left" w:pos="851"/>
        </w:tabs>
        <w:spacing w:after="0"/>
        <w:ind w:left="284" w:firstLine="0"/>
        <w:contextualSpacing/>
      </w:pPr>
      <w:r w:rsidRPr="00E9291A">
        <w:t>Ayrıntıları kamuoyuna duyurulmak kaydıyla ve piyasanın gelişimine dair etüt ve proje çalışmalarının finansmanında kullanılmak üzere uluslararası kurum ve kuruluşlar tarafından verilecek hibeler de gelir kalemlerindendir.</w:t>
      </w:r>
    </w:p>
    <w:p w:rsidR="009F6F06" w:rsidRPr="00E9291A" w:rsidRDefault="009F6F06" w:rsidP="009F6F06">
      <w:pPr>
        <w:spacing w:after="0"/>
        <w:rPr>
          <w:color w:val="000000" w:themeColor="text1"/>
        </w:rPr>
      </w:pPr>
      <w:r w:rsidRPr="00E9291A">
        <w:rPr>
          <w:color w:val="000000" w:themeColor="text1"/>
        </w:rPr>
        <w:t xml:space="preserve">Yukarıda belirtilen gelir kalemlerine yönelik </w:t>
      </w:r>
      <w:r w:rsidR="00B400D3">
        <w:rPr>
          <w:color w:val="000000" w:themeColor="text1"/>
        </w:rPr>
        <w:t>2022</w:t>
      </w:r>
      <w:r w:rsidR="00B400D3" w:rsidRPr="00E9291A">
        <w:rPr>
          <w:color w:val="000000" w:themeColor="text1"/>
        </w:rPr>
        <w:t xml:space="preserve"> </w:t>
      </w:r>
      <w:r w:rsidRPr="00E9291A">
        <w:rPr>
          <w:color w:val="000000" w:themeColor="text1"/>
        </w:rPr>
        <w:t>yılında uygulanacak bedeller, Kurul Kararları ile belirlenmiştir.</w:t>
      </w:r>
    </w:p>
    <w:p w:rsidR="009F6F06" w:rsidRPr="00B244EB" w:rsidRDefault="009F6F06" w:rsidP="000A5A56">
      <w:pPr>
        <w:pStyle w:val="Balk3"/>
        <w:numPr>
          <w:ilvl w:val="2"/>
          <w:numId w:val="11"/>
        </w:numPr>
        <w:spacing w:before="120" w:after="240"/>
        <w:rPr>
          <w:rFonts w:asciiTheme="minorHAnsi" w:hAnsiTheme="minorHAnsi"/>
          <w:color w:val="000000" w:themeColor="text1"/>
        </w:rPr>
      </w:pPr>
      <w:bookmarkStart w:id="488" w:name="_Toc132713881"/>
      <w:r w:rsidRPr="00E9291A">
        <w:rPr>
          <w:rFonts w:asciiTheme="minorHAnsi" w:hAnsiTheme="minorHAnsi"/>
          <w:color w:val="000000" w:themeColor="text1"/>
        </w:rPr>
        <w:t>Gider Bütçesi</w:t>
      </w:r>
      <w:bookmarkEnd w:id="488"/>
    </w:p>
    <w:p w:rsidR="00AA282A" w:rsidRPr="00E9291A" w:rsidRDefault="00AB1FAE" w:rsidP="00AA282A">
      <w:r w:rsidRPr="00306D72">
        <w:t xml:space="preserve">Kurumun </w:t>
      </w:r>
      <w:r w:rsidR="0041189E" w:rsidRPr="00306D72">
        <w:t xml:space="preserve">2022 </w:t>
      </w:r>
      <w:r w:rsidRPr="00306D72">
        <w:t xml:space="preserve">yılı gider bütçesi </w:t>
      </w:r>
      <w:r w:rsidR="0041189E" w:rsidRPr="00306D72">
        <w:rPr>
          <w:rFonts w:eastAsia="Times New Roman"/>
          <w:bCs/>
          <w:noProof/>
          <w:szCs w:val="24"/>
          <w:lang w:val="en-US" w:bidi="tr-TR"/>
        </w:rPr>
        <w:t>394.052.000,00</w:t>
      </w:r>
      <w:r w:rsidR="0041189E" w:rsidRPr="00306D72">
        <w:rPr>
          <w:rFonts w:eastAsia="Times New Roman"/>
          <w:bCs/>
          <w:noProof/>
          <w:szCs w:val="24"/>
          <w:lang w:val="en-US"/>
        </w:rPr>
        <w:t xml:space="preserve"> </w:t>
      </w:r>
      <w:r w:rsidRPr="00306D72">
        <w:t xml:space="preserve">TL olarak öngörülmüş, yıl içerisinde yapılan revizyonlar ile bütçe </w:t>
      </w:r>
      <w:r w:rsidR="0041189E" w:rsidRPr="00306D72">
        <w:rPr>
          <w:rFonts w:eastAsia="Times New Roman"/>
          <w:bCs/>
          <w:noProof/>
          <w:szCs w:val="24"/>
          <w:lang w:val="en-US"/>
        </w:rPr>
        <w:t xml:space="preserve">920.277.240,49 </w:t>
      </w:r>
      <w:r w:rsidRPr="00306D72">
        <w:t xml:space="preserve">TL’ye yükselmiştir. Toplam bütçe ödeneğinin </w:t>
      </w:r>
      <w:r w:rsidR="0041189E" w:rsidRPr="00306D72">
        <w:rPr>
          <w:rFonts w:eastAsia="Times New Roman"/>
          <w:bCs/>
          <w:noProof/>
          <w:szCs w:val="24"/>
          <w:lang w:val="en-US"/>
        </w:rPr>
        <w:t xml:space="preserve">867.613.141,43 </w:t>
      </w:r>
      <w:r w:rsidRPr="00306D72">
        <w:t xml:space="preserve">TL’si kullanılmış ve </w:t>
      </w:r>
      <w:r w:rsidR="0041189E" w:rsidRPr="00306D72">
        <w:t xml:space="preserve">52.664.099,06 </w:t>
      </w:r>
      <w:r w:rsidRPr="00306D72">
        <w:t xml:space="preserve">TL’lik bütçe ödeneği yıl sonunda iptal edilmiştir. Böylece </w:t>
      </w:r>
      <w:r w:rsidR="0041189E" w:rsidRPr="00306D72">
        <w:t xml:space="preserve">yıl sonu itibariyle </w:t>
      </w:r>
      <w:r w:rsidRPr="00306D72">
        <w:t xml:space="preserve">gider bütçesi gerçekleşme oranı </w:t>
      </w:r>
      <w:r w:rsidR="0041189E" w:rsidRPr="00306D72">
        <w:rPr>
          <w:rFonts w:eastAsia="Times New Roman"/>
          <w:bCs/>
          <w:noProof/>
          <w:szCs w:val="24"/>
          <w:lang w:val="en-US"/>
        </w:rPr>
        <w:t xml:space="preserve">%94,28 </w:t>
      </w:r>
      <w:r w:rsidRPr="00AB1FAE">
        <w:t>olmuştur.</w:t>
      </w:r>
    </w:p>
    <w:p w:rsidR="009F6F06" w:rsidRPr="00C25631" w:rsidRDefault="00D0588A" w:rsidP="009F6F06">
      <w:pPr>
        <w:spacing w:after="120"/>
      </w:pPr>
      <w:r>
        <w:t xml:space="preserve">Ek’te Kurumun </w:t>
      </w:r>
      <w:r w:rsidR="0041189E">
        <w:t>2020-2021-2022</w:t>
      </w:r>
      <w:r w:rsidR="009F6F06" w:rsidRPr="00E9291A">
        <w:t xml:space="preserve"> </w:t>
      </w:r>
      <w:r w:rsidR="009F6F06">
        <w:t xml:space="preserve">yılları </w:t>
      </w:r>
      <w:r w:rsidRPr="00E9291A">
        <w:t xml:space="preserve">faaliyet sonuçları tablosu </w:t>
      </w:r>
      <w:r>
        <w:t xml:space="preserve">ve </w:t>
      </w:r>
      <w:r w:rsidR="009F6F06" w:rsidRPr="00E9291A">
        <w:t>bilançosu, karşılaştırmalı olarak verilmektedir.</w:t>
      </w:r>
    </w:p>
    <w:p w:rsidR="0027136F" w:rsidRPr="00E9291A" w:rsidRDefault="0027136F" w:rsidP="00A02EDE">
      <w:pPr>
        <w:spacing w:after="0"/>
        <w:rPr>
          <w:b/>
        </w:rPr>
        <w:sectPr w:rsidR="0027136F" w:rsidRPr="00E9291A" w:rsidSect="008F5245">
          <w:pgSz w:w="11906" w:h="16838"/>
          <w:pgMar w:top="1418" w:right="567" w:bottom="1418" w:left="1418" w:header="709" w:footer="709" w:gutter="0"/>
          <w:cols w:space="708"/>
          <w:docGrid w:linePitch="360"/>
        </w:sectPr>
      </w:pPr>
    </w:p>
    <w:p w:rsidR="00056C40" w:rsidRPr="000875F4" w:rsidRDefault="00056C40" w:rsidP="009A5906">
      <w:pPr>
        <w:pStyle w:val="Balk1"/>
        <w:ind w:right="-7"/>
        <w:rPr>
          <w:rFonts w:asciiTheme="minorHAnsi" w:hAnsiTheme="minorHAnsi"/>
          <w:b w:val="0"/>
          <w:sz w:val="12"/>
          <w:szCs w:val="12"/>
        </w:rPr>
      </w:pPr>
      <w:bookmarkStart w:id="489" w:name="_Toc132713882"/>
      <w:r w:rsidRPr="000875F4">
        <w:rPr>
          <w:rFonts w:asciiTheme="minorHAnsi" w:hAnsiTheme="minorHAnsi"/>
          <w:color w:val="000000" w:themeColor="text1"/>
          <w:sz w:val="22"/>
          <w:szCs w:val="22"/>
        </w:rPr>
        <w:lastRenderedPageBreak/>
        <w:t>EKLE</w:t>
      </w:r>
      <w:r w:rsidR="00A959D5" w:rsidRPr="000875F4">
        <w:rPr>
          <w:rFonts w:asciiTheme="minorHAnsi" w:hAnsiTheme="minorHAnsi"/>
          <w:color w:val="000000" w:themeColor="text1"/>
          <w:sz w:val="22"/>
          <w:szCs w:val="22"/>
        </w:rPr>
        <w:t>R</w:t>
      </w:r>
      <w:bookmarkEnd w:id="489"/>
    </w:p>
    <w:p w:rsidR="00AD7268" w:rsidRPr="000875F4" w:rsidRDefault="00056C40" w:rsidP="00864F04">
      <w:pPr>
        <w:jc w:val="center"/>
        <w:rPr>
          <w:b/>
          <w:sz w:val="18"/>
          <w:szCs w:val="18"/>
        </w:rPr>
      </w:pPr>
      <w:r w:rsidRPr="000875F4">
        <w:rPr>
          <w:b/>
          <w:sz w:val="18"/>
          <w:szCs w:val="18"/>
        </w:rPr>
        <w:t>ENERJİ PİYASASI DÜZENLEME KURUMU FAALİYET SONUÇLARI TABLOSU</w:t>
      </w:r>
      <w:r w:rsidR="00AC3C0E" w:rsidRPr="000875F4">
        <w:rPr>
          <w:b/>
          <w:sz w:val="18"/>
          <w:szCs w:val="18"/>
        </w:rPr>
        <w:t xml:space="preserve"> </w:t>
      </w:r>
      <w:r w:rsidRPr="000875F4">
        <w:rPr>
          <w:b/>
          <w:sz w:val="18"/>
          <w:szCs w:val="18"/>
        </w:rPr>
        <w:t>(TL)</w:t>
      </w:r>
      <w:r w:rsidR="00933A6E">
        <w:rPr>
          <w:b/>
          <w:sz w:val="18"/>
          <w:szCs w:val="18"/>
        </w:rPr>
        <w:t>*</w:t>
      </w:r>
    </w:p>
    <w:tbl>
      <w:tblPr>
        <w:tblW w:w="5244" w:type="pct"/>
        <w:tblInd w:w="-616" w:type="dxa"/>
        <w:tblCellMar>
          <w:left w:w="70" w:type="dxa"/>
          <w:right w:w="70" w:type="dxa"/>
        </w:tblCellMar>
        <w:tblLook w:val="04A0" w:firstRow="1" w:lastRow="0" w:firstColumn="1" w:lastColumn="0" w:noHBand="0" w:noVBand="1"/>
      </w:tblPr>
      <w:tblGrid>
        <w:gridCol w:w="408"/>
        <w:gridCol w:w="319"/>
        <w:gridCol w:w="319"/>
        <w:gridCol w:w="320"/>
        <w:gridCol w:w="2666"/>
        <w:gridCol w:w="342"/>
        <w:gridCol w:w="1041"/>
        <w:gridCol w:w="337"/>
        <w:gridCol w:w="916"/>
        <w:gridCol w:w="349"/>
        <w:gridCol w:w="948"/>
        <w:gridCol w:w="146"/>
        <w:gridCol w:w="426"/>
        <w:gridCol w:w="320"/>
        <w:gridCol w:w="320"/>
        <w:gridCol w:w="87"/>
        <w:gridCol w:w="233"/>
        <w:gridCol w:w="77"/>
        <w:gridCol w:w="243"/>
        <w:gridCol w:w="70"/>
        <w:gridCol w:w="316"/>
        <w:gridCol w:w="316"/>
        <w:gridCol w:w="2197"/>
        <w:gridCol w:w="704"/>
        <w:gridCol w:w="549"/>
        <w:gridCol w:w="733"/>
        <w:gridCol w:w="573"/>
        <w:gridCol w:w="726"/>
        <w:gridCol w:w="569"/>
        <w:gridCol w:w="73"/>
      </w:tblGrid>
      <w:tr w:rsidR="005C287E" w:rsidRPr="000875F4" w:rsidTr="005C287E">
        <w:trPr>
          <w:trHeight w:val="20"/>
        </w:trPr>
        <w:tc>
          <w:tcPr>
            <w:tcW w:w="123"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4"/>
                <w:szCs w:val="24"/>
                <w:lang w:eastAsia="tr-TR"/>
              </w:rPr>
            </w:pPr>
          </w:p>
        </w:tc>
        <w:tc>
          <w:tcPr>
            <w:tcW w:w="192"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center"/>
              <w:rPr>
                <w:rFonts w:ascii="Times New Roman" w:eastAsia="Times New Roman" w:hAnsi="Times New Roman"/>
                <w:sz w:val="20"/>
                <w:szCs w:val="20"/>
                <w:lang w:eastAsia="tr-TR"/>
              </w:rPr>
            </w:pPr>
          </w:p>
        </w:tc>
        <w:tc>
          <w:tcPr>
            <w:tcW w:w="96"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center"/>
              <w:rPr>
                <w:rFonts w:ascii="Times New Roman" w:eastAsia="Times New Roman" w:hAnsi="Times New Roman"/>
                <w:sz w:val="20"/>
                <w:szCs w:val="20"/>
                <w:lang w:eastAsia="tr-TR"/>
              </w:rPr>
            </w:pPr>
          </w:p>
        </w:tc>
        <w:tc>
          <w:tcPr>
            <w:tcW w:w="904"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center"/>
              <w:rPr>
                <w:rFonts w:ascii="Times New Roman" w:eastAsia="Times New Roman" w:hAnsi="Times New Roman"/>
                <w:sz w:val="20"/>
                <w:szCs w:val="20"/>
                <w:lang w:eastAsia="tr-TR"/>
              </w:rPr>
            </w:pPr>
          </w:p>
        </w:tc>
        <w:tc>
          <w:tcPr>
            <w:tcW w:w="414"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center"/>
              <w:rPr>
                <w:rFonts w:ascii="Times New Roman" w:eastAsia="Times New Roman" w:hAnsi="Times New Roman"/>
                <w:sz w:val="20"/>
                <w:szCs w:val="20"/>
                <w:lang w:eastAsia="tr-TR"/>
              </w:rPr>
            </w:pPr>
          </w:p>
        </w:tc>
        <w:tc>
          <w:tcPr>
            <w:tcW w:w="380"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center"/>
              <w:rPr>
                <w:rFonts w:ascii="Times New Roman" w:eastAsia="Times New Roman" w:hAnsi="Times New Roman"/>
                <w:sz w:val="20"/>
                <w:szCs w:val="20"/>
                <w:lang w:eastAsia="tr-TR"/>
              </w:rPr>
            </w:pPr>
          </w:p>
        </w:tc>
        <w:tc>
          <w:tcPr>
            <w:tcW w:w="457" w:type="pct"/>
            <w:gridSpan w:val="3"/>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center"/>
              <w:rPr>
                <w:rFonts w:ascii="Times New Roman" w:eastAsia="Times New Roman" w:hAnsi="Times New Roman"/>
                <w:sz w:val="20"/>
                <w:szCs w:val="20"/>
                <w:lang w:eastAsia="tr-TR"/>
              </w:rPr>
            </w:pPr>
          </w:p>
        </w:tc>
        <w:tc>
          <w:tcPr>
            <w:tcW w:w="96"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center"/>
              <w:rPr>
                <w:rFonts w:ascii="Times New Roman" w:eastAsia="Times New Roman" w:hAnsi="Times New Roman"/>
                <w:sz w:val="20"/>
                <w:szCs w:val="20"/>
                <w:lang w:eastAsia="tr-TR"/>
              </w:rPr>
            </w:pPr>
          </w:p>
        </w:tc>
        <w:tc>
          <w:tcPr>
            <w:tcW w:w="122"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center"/>
              <w:rPr>
                <w:rFonts w:ascii="Times New Roman" w:eastAsia="Times New Roman" w:hAnsi="Times New Roman"/>
                <w:sz w:val="20"/>
                <w:szCs w:val="20"/>
                <w:lang w:eastAsia="tr-TR"/>
              </w:rPr>
            </w:pPr>
          </w:p>
        </w:tc>
        <w:tc>
          <w:tcPr>
            <w:tcW w:w="93"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center"/>
              <w:rPr>
                <w:rFonts w:ascii="Times New Roman" w:eastAsia="Times New Roman" w:hAnsi="Times New Roman"/>
                <w:sz w:val="20"/>
                <w:szCs w:val="20"/>
                <w:lang w:eastAsia="tr-TR"/>
              </w:rPr>
            </w:pPr>
          </w:p>
        </w:tc>
        <w:tc>
          <w:tcPr>
            <w:tcW w:w="94"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center"/>
              <w:rPr>
                <w:rFonts w:ascii="Times New Roman" w:eastAsia="Times New Roman" w:hAnsi="Times New Roman"/>
                <w:sz w:val="20"/>
                <w:szCs w:val="20"/>
                <w:lang w:eastAsia="tr-TR"/>
              </w:rPr>
            </w:pPr>
          </w:p>
        </w:tc>
        <w:tc>
          <w:tcPr>
            <w:tcW w:w="95"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center"/>
              <w:rPr>
                <w:rFonts w:ascii="Times New Roman" w:eastAsia="Times New Roman" w:hAnsi="Times New Roman"/>
                <w:sz w:val="20"/>
                <w:szCs w:val="20"/>
                <w:lang w:eastAsia="tr-TR"/>
              </w:rPr>
            </w:pPr>
          </w:p>
        </w:tc>
        <w:tc>
          <w:tcPr>
            <w:tcW w:w="95"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center"/>
              <w:rPr>
                <w:rFonts w:ascii="Times New Roman" w:eastAsia="Times New Roman" w:hAnsi="Times New Roman"/>
                <w:sz w:val="20"/>
                <w:szCs w:val="20"/>
                <w:lang w:eastAsia="tr-TR"/>
              </w:rPr>
            </w:pPr>
          </w:p>
        </w:tc>
        <w:tc>
          <w:tcPr>
            <w:tcW w:w="871"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center"/>
              <w:rPr>
                <w:rFonts w:ascii="Times New Roman" w:eastAsia="Times New Roman" w:hAnsi="Times New Roman"/>
                <w:sz w:val="20"/>
                <w:szCs w:val="20"/>
                <w:lang w:eastAsia="tr-TR"/>
              </w:rPr>
            </w:pPr>
          </w:p>
        </w:tc>
        <w:tc>
          <w:tcPr>
            <w:tcW w:w="385"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center"/>
              <w:rPr>
                <w:rFonts w:ascii="Times New Roman" w:eastAsia="Times New Roman" w:hAnsi="Times New Roman"/>
                <w:sz w:val="20"/>
                <w:szCs w:val="20"/>
                <w:lang w:eastAsia="tr-TR"/>
              </w:rPr>
            </w:pPr>
          </w:p>
        </w:tc>
        <w:tc>
          <w:tcPr>
            <w:tcW w:w="390"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center"/>
              <w:rPr>
                <w:rFonts w:ascii="Times New Roman" w:eastAsia="Times New Roman" w:hAnsi="Times New Roman"/>
                <w:sz w:val="20"/>
                <w:szCs w:val="20"/>
                <w:lang w:eastAsia="tr-TR"/>
              </w:rPr>
            </w:pPr>
          </w:p>
        </w:tc>
        <w:tc>
          <w:tcPr>
            <w:tcW w:w="193"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right"/>
              <w:rPr>
                <w:rFonts w:ascii="Arial TUR" w:eastAsia="Times New Roman" w:hAnsi="Arial TUR" w:cs="Arial TUR"/>
                <w:b/>
                <w:bCs/>
                <w:sz w:val="18"/>
                <w:szCs w:val="18"/>
                <w:lang w:eastAsia="tr-TR"/>
              </w:rPr>
            </w:pPr>
            <w:r w:rsidRPr="000875F4">
              <w:rPr>
                <w:rFonts w:ascii="Arial TUR" w:eastAsia="Times New Roman" w:hAnsi="Arial TUR" w:cs="Arial TUR"/>
                <w:b/>
                <w:bCs/>
                <w:sz w:val="18"/>
                <w:szCs w:val="18"/>
                <w:lang w:eastAsia="tr-TR"/>
              </w:rPr>
              <w:t>(TL)</w:t>
            </w:r>
          </w:p>
        </w:tc>
      </w:tr>
      <w:tr w:rsidR="005C287E" w:rsidRPr="000875F4" w:rsidTr="005C287E">
        <w:trPr>
          <w:gridAfter w:val="1"/>
          <w:wAfter w:w="23" w:type="pct"/>
          <w:trHeight w:val="20"/>
        </w:trPr>
        <w:tc>
          <w:tcPr>
            <w:tcW w:w="1211" w:type="pct"/>
            <w:gridSpan w:val="5"/>
            <w:tcBorders>
              <w:top w:val="single" w:sz="8" w:space="0" w:color="auto"/>
              <w:left w:val="single" w:sz="8" w:space="0" w:color="auto"/>
              <w:bottom w:val="single" w:sz="8" w:space="0" w:color="auto"/>
              <w:right w:val="nil"/>
            </w:tcBorders>
            <w:shd w:val="clear" w:color="auto" w:fill="auto"/>
            <w:noWrap/>
            <w:vAlign w:val="center"/>
            <w:hideMark/>
          </w:tcPr>
          <w:p w:rsidR="005C287E" w:rsidRPr="000875F4" w:rsidRDefault="005C287E" w:rsidP="005C287E">
            <w:pPr>
              <w:spacing w:after="0" w:line="240" w:lineRule="auto"/>
              <w:jc w:val="left"/>
              <w:rPr>
                <w:rFonts w:ascii="Arial TUR" w:eastAsia="Times New Roman" w:hAnsi="Arial TUR" w:cs="Arial TUR"/>
                <w:b/>
                <w:bCs/>
                <w:sz w:val="20"/>
                <w:szCs w:val="20"/>
                <w:lang w:eastAsia="tr-TR"/>
              </w:rPr>
            </w:pPr>
            <w:r w:rsidRPr="000875F4">
              <w:rPr>
                <w:rFonts w:ascii="Arial TUR" w:eastAsia="Times New Roman" w:hAnsi="Arial TUR" w:cs="Arial TUR"/>
                <w:b/>
                <w:bCs/>
                <w:sz w:val="20"/>
                <w:szCs w:val="20"/>
                <w:lang w:eastAsia="tr-TR"/>
              </w:rPr>
              <w:t>GİDERİN TÜRÜ</w:t>
            </w:r>
          </w:p>
        </w:tc>
        <w:tc>
          <w:tcPr>
            <w:tcW w:w="416" w:type="pct"/>
            <w:gridSpan w:val="2"/>
            <w:tcBorders>
              <w:top w:val="single" w:sz="8" w:space="0" w:color="auto"/>
              <w:left w:val="nil"/>
              <w:bottom w:val="single" w:sz="8" w:space="0" w:color="auto"/>
              <w:right w:val="single" w:sz="8"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b/>
                <w:bCs/>
                <w:sz w:val="18"/>
                <w:szCs w:val="18"/>
                <w:lang w:eastAsia="tr-TR"/>
              </w:rPr>
            </w:pPr>
            <w:r>
              <w:rPr>
                <w:rFonts w:ascii="Arial" w:hAnsi="Arial" w:cs="Arial"/>
                <w:b/>
                <w:bCs/>
                <w:sz w:val="18"/>
                <w:szCs w:val="18"/>
              </w:rPr>
              <w:t>31.12.2020</w:t>
            </w:r>
          </w:p>
        </w:tc>
        <w:tc>
          <w:tcPr>
            <w:tcW w:w="376" w:type="pct"/>
            <w:gridSpan w:val="2"/>
            <w:tcBorders>
              <w:top w:val="single" w:sz="8" w:space="0" w:color="auto"/>
              <w:left w:val="nil"/>
              <w:bottom w:val="single" w:sz="8" w:space="0" w:color="auto"/>
              <w:right w:val="single" w:sz="8"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b/>
                <w:bCs/>
                <w:sz w:val="18"/>
                <w:szCs w:val="18"/>
                <w:lang w:eastAsia="tr-TR"/>
              </w:rPr>
            </w:pPr>
            <w:r>
              <w:rPr>
                <w:rFonts w:ascii="Arial" w:hAnsi="Arial" w:cs="Arial"/>
                <w:b/>
                <w:bCs/>
                <w:sz w:val="18"/>
                <w:szCs w:val="18"/>
              </w:rPr>
              <w:t>31.12.2021</w:t>
            </w:r>
          </w:p>
        </w:tc>
        <w:tc>
          <w:tcPr>
            <w:tcW w:w="390" w:type="pct"/>
            <w:gridSpan w:val="2"/>
            <w:tcBorders>
              <w:top w:val="single" w:sz="8" w:space="0" w:color="auto"/>
              <w:left w:val="nil"/>
              <w:bottom w:val="single" w:sz="8" w:space="0" w:color="auto"/>
              <w:right w:val="single" w:sz="8"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b/>
                <w:bCs/>
                <w:sz w:val="18"/>
                <w:szCs w:val="18"/>
                <w:lang w:eastAsia="tr-TR"/>
              </w:rPr>
            </w:pPr>
            <w:r>
              <w:rPr>
                <w:rFonts w:ascii="Arial" w:hAnsi="Arial" w:cs="Arial"/>
                <w:b/>
                <w:bCs/>
                <w:sz w:val="18"/>
                <w:szCs w:val="18"/>
              </w:rPr>
              <w:t>31.12.2022</w:t>
            </w:r>
          </w:p>
        </w:tc>
        <w:tc>
          <w:tcPr>
            <w:tcW w:w="44" w:type="pct"/>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center"/>
              <w:rPr>
                <w:rFonts w:ascii="Arial TUR" w:eastAsia="Times New Roman" w:hAnsi="Arial TUR" w:cs="Arial TUR"/>
                <w:b/>
                <w:bCs/>
                <w:sz w:val="18"/>
                <w:szCs w:val="18"/>
                <w:lang w:eastAsia="tr-TR"/>
              </w:rPr>
            </w:pPr>
          </w:p>
        </w:tc>
        <w:tc>
          <w:tcPr>
            <w:tcW w:w="511" w:type="pct"/>
            <w:gridSpan w:val="7"/>
            <w:tcBorders>
              <w:top w:val="single" w:sz="8" w:space="0" w:color="auto"/>
              <w:left w:val="single" w:sz="8" w:space="0" w:color="auto"/>
              <w:bottom w:val="single" w:sz="8" w:space="0" w:color="auto"/>
              <w:right w:val="nil"/>
            </w:tcBorders>
            <w:shd w:val="clear" w:color="auto" w:fill="auto"/>
            <w:noWrap/>
            <w:vAlign w:val="center"/>
            <w:hideMark/>
          </w:tcPr>
          <w:p w:rsidR="005C287E" w:rsidRPr="000875F4" w:rsidRDefault="005C287E" w:rsidP="005C287E">
            <w:pPr>
              <w:spacing w:after="0" w:line="240" w:lineRule="auto"/>
              <w:jc w:val="left"/>
              <w:rPr>
                <w:rFonts w:ascii="Arial TUR" w:eastAsia="Times New Roman" w:hAnsi="Arial TUR" w:cs="Arial TUR"/>
                <w:b/>
                <w:bCs/>
                <w:sz w:val="20"/>
                <w:szCs w:val="20"/>
                <w:lang w:eastAsia="tr-TR"/>
              </w:rPr>
            </w:pPr>
            <w:r w:rsidRPr="000875F4">
              <w:rPr>
                <w:rFonts w:ascii="Arial TUR" w:eastAsia="Times New Roman" w:hAnsi="Arial TUR" w:cs="Arial TUR"/>
                <w:b/>
                <w:bCs/>
                <w:sz w:val="20"/>
                <w:szCs w:val="20"/>
                <w:lang w:eastAsia="tr-TR"/>
              </w:rPr>
              <w:t>GELİRİN TÜRÜ</w:t>
            </w:r>
          </w:p>
        </w:tc>
        <w:tc>
          <w:tcPr>
            <w:tcW w:w="871" w:type="pct"/>
            <w:gridSpan w:val="4"/>
            <w:tcBorders>
              <w:top w:val="single" w:sz="8" w:space="0" w:color="auto"/>
              <w:left w:val="nil"/>
              <w:bottom w:val="single" w:sz="8" w:space="0" w:color="auto"/>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b/>
                <w:bCs/>
                <w:sz w:val="20"/>
                <w:szCs w:val="20"/>
                <w:lang w:eastAsia="tr-TR"/>
              </w:rPr>
            </w:pPr>
            <w:r w:rsidRPr="000875F4">
              <w:rPr>
                <w:rFonts w:ascii="Arial TUR" w:eastAsia="Times New Roman" w:hAnsi="Arial TUR" w:cs="Arial TUR"/>
                <w:b/>
                <w:bCs/>
                <w:sz w:val="20"/>
                <w:szCs w:val="20"/>
                <w:lang w:eastAsia="tr-TR"/>
              </w:rPr>
              <w:t> </w:t>
            </w:r>
          </w:p>
        </w:tc>
        <w:tc>
          <w:tcPr>
            <w:tcW w:w="376" w:type="pct"/>
            <w:gridSpan w:val="2"/>
            <w:tcBorders>
              <w:top w:val="single" w:sz="8" w:space="0" w:color="auto"/>
              <w:left w:val="nil"/>
              <w:bottom w:val="single" w:sz="8" w:space="0" w:color="auto"/>
              <w:right w:val="single" w:sz="8"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b/>
                <w:bCs/>
                <w:sz w:val="18"/>
                <w:szCs w:val="18"/>
                <w:lang w:eastAsia="tr-TR"/>
              </w:rPr>
            </w:pPr>
            <w:r>
              <w:rPr>
                <w:rFonts w:ascii="Arial" w:hAnsi="Arial" w:cs="Arial"/>
                <w:b/>
                <w:bCs/>
                <w:sz w:val="18"/>
                <w:szCs w:val="18"/>
              </w:rPr>
              <w:t>31.12.2020</w:t>
            </w:r>
          </w:p>
        </w:tc>
        <w:tc>
          <w:tcPr>
            <w:tcW w:w="392" w:type="pct"/>
            <w:gridSpan w:val="2"/>
            <w:tcBorders>
              <w:top w:val="single" w:sz="8" w:space="0" w:color="auto"/>
              <w:left w:val="nil"/>
              <w:bottom w:val="single" w:sz="8" w:space="0" w:color="auto"/>
              <w:right w:val="single" w:sz="8" w:space="0" w:color="auto"/>
            </w:tcBorders>
            <w:shd w:val="clear" w:color="auto" w:fill="auto"/>
            <w:noWrap/>
            <w:vAlign w:val="center"/>
            <w:hideMark/>
          </w:tcPr>
          <w:p w:rsidR="005C287E" w:rsidRPr="000875F4" w:rsidRDefault="005C287E" w:rsidP="005C287E">
            <w:pPr>
              <w:spacing w:after="0" w:line="240" w:lineRule="auto"/>
              <w:jc w:val="right"/>
              <w:rPr>
                <w:rFonts w:ascii="Arial TUR" w:eastAsia="Times New Roman" w:hAnsi="Arial TUR" w:cs="Arial TUR"/>
                <w:b/>
                <w:bCs/>
                <w:sz w:val="18"/>
                <w:szCs w:val="18"/>
                <w:lang w:eastAsia="tr-TR"/>
              </w:rPr>
            </w:pPr>
            <w:r>
              <w:rPr>
                <w:rFonts w:ascii="Arial" w:hAnsi="Arial" w:cs="Arial"/>
                <w:b/>
                <w:bCs/>
                <w:sz w:val="18"/>
                <w:szCs w:val="18"/>
              </w:rPr>
              <w:t>31.12.2021</w:t>
            </w:r>
          </w:p>
        </w:tc>
        <w:tc>
          <w:tcPr>
            <w:tcW w:w="389" w:type="pct"/>
            <w:gridSpan w:val="2"/>
            <w:tcBorders>
              <w:top w:val="single" w:sz="8" w:space="0" w:color="auto"/>
              <w:left w:val="nil"/>
              <w:bottom w:val="single" w:sz="8" w:space="0" w:color="auto"/>
              <w:right w:val="single" w:sz="8" w:space="0" w:color="auto"/>
            </w:tcBorders>
            <w:shd w:val="clear" w:color="auto" w:fill="auto"/>
            <w:noWrap/>
            <w:vAlign w:val="center"/>
            <w:hideMark/>
          </w:tcPr>
          <w:p w:rsidR="005C287E" w:rsidRPr="000875F4" w:rsidRDefault="005C287E" w:rsidP="005C287E">
            <w:pPr>
              <w:spacing w:after="0" w:line="240" w:lineRule="auto"/>
              <w:jc w:val="right"/>
              <w:rPr>
                <w:rFonts w:ascii="Arial TUR" w:eastAsia="Times New Roman" w:hAnsi="Arial TUR" w:cs="Arial TUR"/>
                <w:b/>
                <w:bCs/>
                <w:sz w:val="18"/>
                <w:szCs w:val="18"/>
                <w:lang w:eastAsia="tr-TR"/>
              </w:rPr>
            </w:pPr>
            <w:r>
              <w:rPr>
                <w:rFonts w:ascii="Arial" w:hAnsi="Arial" w:cs="Arial"/>
                <w:b/>
                <w:bCs/>
                <w:sz w:val="18"/>
                <w:szCs w:val="18"/>
              </w:rPr>
              <w:t>31.12.2022</w:t>
            </w:r>
          </w:p>
        </w:tc>
      </w:tr>
      <w:tr w:rsidR="005C287E" w:rsidRPr="000875F4" w:rsidTr="005C287E">
        <w:trPr>
          <w:gridAfter w:val="1"/>
          <w:wAfter w:w="23" w:type="pct"/>
          <w:trHeight w:val="20"/>
        </w:trPr>
        <w:tc>
          <w:tcPr>
            <w:tcW w:w="123" w:type="pct"/>
            <w:tcBorders>
              <w:top w:val="nil"/>
              <w:left w:val="single" w:sz="8" w:space="0" w:color="auto"/>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b/>
                <w:sz w:val="16"/>
                <w:szCs w:val="16"/>
                <w:lang w:eastAsia="tr-TR"/>
              </w:rPr>
            </w:pPr>
            <w:r w:rsidRPr="000875F4">
              <w:rPr>
                <w:rFonts w:ascii="Arial TUR" w:eastAsia="Times New Roman" w:hAnsi="Arial TUR" w:cs="Arial TUR"/>
                <w:b/>
                <w:sz w:val="16"/>
                <w:szCs w:val="16"/>
                <w:lang w:eastAsia="tr-TR"/>
              </w:rPr>
              <w:t>630</w:t>
            </w:r>
          </w:p>
        </w:tc>
        <w:tc>
          <w:tcPr>
            <w:tcW w:w="96" w:type="pct"/>
            <w:tcBorders>
              <w:top w:val="nil"/>
              <w:left w:val="nil"/>
              <w:bottom w:val="single" w:sz="4" w:space="0" w:color="auto"/>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b/>
                <w:sz w:val="16"/>
                <w:szCs w:val="16"/>
                <w:lang w:eastAsia="tr-TR"/>
              </w:rPr>
            </w:pPr>
            <w:r w:rsidRPr="000875F4">
              <w:rPr>
                <w:rFonts w:ascii="Arial TUR" w:eastAsia="Times New Roman" w:hAnsi="Arial TUR" w:cs="Arial TUR"/>
                <w:b/>
                <w:sz w:val="16"/>
                <w:szCs w:val="16"/>
                <w:lang w:eastAsia="tr-TR"/>
              </w:rPr>
              <w:t>01</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 </w:t>
            </w:r>
          </w:p>
        </w:tc>
        <w:tc>
          <w:tcPr>
            <w:tcW w:w="897" w:type="pct"/>
            <w:gridSpan w:val="2"/>
            <w:tcBorders>
              <w:top w:val="nil"/>
              <w:left w:val="nil"/>
              <w:bottom w:val="single" w:sz="4" w:space="0" w:color="auto"/>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b/>
                <w:bCs/>
                <w:sz w:val="16"/>
                <w:szCs w:val="16"/>
                <w:lang w:eastAsia="tr-TR"/>
              </w:rPr>
            </w:pPr>
            <w:r w:rsidRPr="000875F4">
              <w:rPr>
                <w:rFonts w:ascii="Arial TUR" w:eastAsia="Times New Roman" w:hAnsi="Arial TUR" w:cs="Arial TUR"/>
                <w:b/>
                <w:bCs/>
                <w:sz w:val="16"/>
                <w:szCs w:val="16"/>
                <w:lang w:eastAsia="tr-TR"/>
              </w:rPr>
              <w:t>Personel Giderleri</w:t>
            </w:r>
          </w:p>
        </w:tc>
        <w:tc>
          <w:tcPr>
            <w:tcW w:w="416"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b/>
                <w:bCs/>
                <w:sz w:val="16"/>
                <w:szCs w:val="16"/>
                <w:lang w:eastAsia="tr-TR"/>
              </w:rPr>
            </w:pPr>
            <w:r>
              <w:rPr>
                <w:rFonts w:ascii="Arial" w:hAnsi="Arial" w:cs="Arial"/>
                <w:b/>
                <w:bCs/>
                <w:sz w:val="16"/>
                <w:szCs w:val="16"/>
              </w:rPr>
              <w:t>85.522.106,32</w:t>
            </w:r>
          </w:p>
        </w:tc>
        <w:tc>
          <w:tcPr>
            <w:tcW w:w="376" w:type="pct"/>
            <w:gridSpan w:val="2"/>
            <w:tcBorders>
              <w:top w:val="single" w:sz="4" w:space="0" w:color="auto"/>
              <w:left w:val="nil"/>
              <w:bottom w:val="single" w:sz="4" w:space="0" w:color="auto"/>
              <w:right w:val="single" w:sz="4"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b/>
                <w:bCs/>
                <w:sz w:val="16"/>
                <w:szCs w:val="16"/>
                <w:lang w:eastAsia="tr-TR"/>
              </w:rPr>
            </w:pPr>
            <w:r>
              <w:rPr>
                <w:rFonts w:ascii="Arial" w:hAnsi="Arial" w:cs="Arial"/>
                <w:b/>
                <w:bCs/>
                <w:sz w:val="16"/>
                <w:szCs w:val="16"/>
              </w:rPr>
              <w:t>102.644.563,64</w:t>
            </w:r>
          </w:p>
        </w:tc>
        <w:tc>
          <w:tcPr>
            <w:tcW w:w="390" w:type="pct"/>
            <w:gridSpan w:val="2"/>
            <w:tcBorders>
              <w:top w:val="single" w:sz="4" w:space="0" w:color="auto"/>
              <w:left w:val="nil"/>
              <w:bottom w:val="single" w:sz="4" w:space="0" w:color="auto"/>
              <w:right w:val="single" w:sz="4"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b/>
                <w:bCs/>
                <w:sz w:val="16"/>
                <w:szCs w:val="18"/>
                <w:lang w:eastAsia="tr-TR"/>
              </w:rPr>
            </w:pPr>
            <w:r>
              <w:rPr>
                <w:rFonts w:ascii="Arial" w:hAnsi="Arial" w:cs="Arial"/>
                <w:b/>
                <w:bCs/>
                <w:sz w:val="16"/>
                <w:szCs w:val="16"/>
              </w:rPr>
              <w:t>186.565.478,87</w:t>
            </w:r>
          </w:p>
        </w:tc>
        <w:tc>
          <w:tcPr>
            <w:tcW w:w="44" w:type="pct"/>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b/>
                <w:bCs/>
                <w:sz w:val="16"/>
                <w:szCs w:val="16"/>
                <w:lang w:eastAsia="tr-TR"/>
              </w:rPr>
            </w:pPr>
          </w:p>
        </w:tc>
        <w:tc>
          <w:tcPr>
            <w:tcW w:w="128" w:type="pct"/>
            <w:tcBorders>
              <w:top w:val="nil"/>
              <w:left w:val="single" w:sz="8" w:space="0" w:color="auto"/>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b/>
                <w:sz w:val="16"/>
                <w:szCs w:val="16"/>
                <w:lang w:eastAsia="tr-TR"/>
              </w:rPr>
            </w:pPr>
            <w:r w:rsidRPr="000875F4">
              <w:rPr>
                <w:rFonts w:ascii="Arial TUR" w:eastAsia="Times New Roman" w:hAnsi="Arial TUR" w:cs="Arial TUR"/>
                <w:b/>
                <w:sz w:val="16"/>
                <w:szCs w:val="16"/>
                <w:lang w:eastAsia="tr-TR"/>
              </w:rPr>
              <w:t>600</w:t>
            </w:r>
          </w:p>
        </w:tc>
        <w:tc>
          <w:tcPr>
            <w:tcW w:w="96" w:type="pct"/>
            <w:tcBorders>
              <w:top w:val="nil"/>
              <w:left w:val="nil"/>
              <w:bottom w:val="single" w:sz="4" w:space="0" w:color="auto"/>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b/>
                <w:sz w:val="16"/>
                <w:szCs w:val="16"/>
                <w:lang w:eastAsia="tr-TR"/>
              </w:rPr>
            </w:pPr>
            <w:r w:rsidRPr="000875F4">
              <w:rPr>
                <w:rFonts w:ascii="Arial TUR" w:eastAsia="Times New Roman" w:hAnsi="Arial TUR" w:cs="Arial TUR"/>
                <w:b/>
                <w:sz w:val="16"/>
                <w:szCs w:val="16"/>
                <w:lang w:eastAsia="tr-TR"/>
              </w:rPr>
              <w:t>03</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 </w:t>
            </w:r>
          </w:p>
        </w:tc>
        <w:tc>
          <w:tcPr>
            <w:tcW w:w="96" w:type="pct"/>
            <w:gridSpan w:val="2"/>
            <w:tcBorders>
              <w:top w:val="nil"/>
              <w:left w:val="nil"/>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 </w:t>
            </w:r>
          </w:p>
        </w:tc>
        <w:tc>
          <w:tcPr>
            <w:tcW w:w="96" w:type="pct"/>
            <w:gridSpan w:val="2"/>
            <w:tcBorders>
              <w:top w:val="nil"/>
              <w:left w:val="nil"/>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 </w:t>
            </w:r>
          </w:p>
        </w:tc>
        <w:tc>
          <w:tcPr>
            <w:tcW w:w="871" w:type="pct"/>
            <w:gridSpan w:val="4"/>
            <w:tcBorders>
              <w:top w:val="nil"/>
              <w:left w:val="nil"/>
              <w:bottom w:val="single" w:sz="4" w:space="0" w:color="auto"/>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b/>
                <w:bCs/>
                <w:sz w:val="16"/>
                <w:szCs w:val="16"/>
                <w:lang w:eastAsia="tr-TR"/>
              </w:rPr>
            </w:pPr>
            <w:r w:rsidRPr="000875F4">
              <w:rPr>
                <w:rFonts w:ascii="Arial TUR" w:eastAsia="Times New Roman" w:hAnsi="Arial TUR" w:cs="Arial TUR"/>
                <w:b/>
                <w:bCs/>
                <w:sz w:val="16"/>
                <w:szCs w:val="16"/>
                <w:lang w:eastAsia="tr-TR"/>
              </w:rPr>
              <w:t>Teşebbüs ve Mülkiyet Gelirleri</w:t>
            </w:r>
          </w:p>
        </w:tc>
        <w:tc>
          <w:tcPr>
            <w:tcW w:w="376" w:type="pct"/>
            <w:gridSpan w:val="2"/>
            <w:tcBorders>
              <w:top w:val="nil"/>
              <w:left w:val="single" w:sz="8" w:space="0" w:color="auto"/>
              <w:bottom w:val="single" w:sz="4" w:space="0" w:color="auto"/>
              <w:right w:val="single" w:sz="8"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b/>
                <w:bCs/>
                <w:sz w:val="16"/>
                <w:szCs w:val="16"/>
                <w:lang w:eastAsia="tr-TR"/>
              </w:rPr>
            </w:pPr>
            <w:r>
              <w:rPr>
                <w:rFonts w:ascii="Arial" w:hAnsi="Arial" w:cs="Arial"/>
                <w:b/>
                <w:bCs/>
                <w:sz w:val="16"/>
                <w:szCs w:val="16"/>
              </w:rPr>
              <w:t>361.035.018,60</w:t>
            </w:r>
          </w:p>
        </w:tc>
        <w:tc>
          <w:tcPr>
            <w:tcW w:w="392" w:type="pct"/>
            <w:gridSpan w:val="2"/>
            <w:tcBorders>
              <w:top w:val="nil"/>
              <w:left w:val="nil"/>
              <w:bottom w:val="single" w:sz="4" w:space="0" w:color="auto"/>
              <w:right w:val="single" w:sz="8"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b/>
                <w:bCs/>
                <w:sz w:val="16"/>
                <w:szCs w:val="16"/>
                <w:lang w:eastAsia="tr-TR"/>
              </w:rPr>
            </w:pPr>
            <w:r>
              <w:rPr>
                <w:rFonts w:ascii="Arial" w:hAnsi="Arial" w:cs="Arial"/>
                <w:b/>
                <w:bCs/>
                <w:sz w:val="16"/>
                <w:szCs w:val="16"/>
              </w:rPr>
              <w:t>408.218.242,29</w:t>
            </w:r>
          </w:p>
        </w:tc>
        <w:tc>
          <w:tcPr>
            <w:tcW w:w="389" w:type="pct"/>
            <w:gridSpan w:val="2"/>
            <w:tcBorders>
              <w:top w:val="nil"/>
              <w:left w:val="nil"/>
              <w:bottom w:val="single" w:sz="4" w:space="0" w:color="auto"/>
              <w:right w:val="single" w:sz="8" w:space="0" w:color="auto"/>
            </w:tcBorders>
            <w:shd w:val="clear" w:color="auto" w:fill="auto"/>
            <w:noWrap/>
            <w:vAlign w:val="center"/>
          </w:tcPr>
          <w:p w:rsidR="005C287E" w:rsidRPr="000875F4" w:rsidRDefault="005C287E" w:rsidP="005C287E">
            <w:pPr>
              <w:spacing w:after="0" w:line="240" w:lineRule="auto"/>
              <w:jc w:val="right"/>
              <w:rPr>
                <w:rFonts w:ascii="Arial" w:eastAsia="Times New Roman" w:hAnsi="Arial" w:cs="Arial"/>
                <w:b/>
                <w:bCs/>
                <w:sz w:val="16"/>
                <w:szCs w:val="16"/>
                <w:lang w:eastAsia="tr-TR"/>
              </w:rPr>
            </w:pPr>
            <w:r>
              <w:rPr>
                <w:rFonts w:ascii="Arial" w:hAnsi="Arial" w:cs="Arial"/>
                <w:b/>
                <w:bCs/>
                <w:sz w:val="16"/>
                <w:szCs w:val="16"/>
              </w:rPr>
              <w:t>771.423.831,66</w:t>
            </w:r>
          </w:p>
        </w:tc>
      </w:tr>
      <w:tr w:rsidR="005C287E" w:rsidRPr="000875F4" w:rsidTr="005C287E">
        <w:trPr>
          <w:gridAfter w:val="1"/>
          <w:wAfter w:w="23" w:type="pct"/>
          <w:trHeight w:val="20"/>
        </w:trPr>
        <w:tc>
          <w:tcPr>
            <w:tcW w:w="123" w:type="pct"/>
            <w:tcBorders>
              <w:top w:val="nil"/>
              <w:left w:val="single" w:sz="8" w:space="0" w:color="auto"/>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b/>
                <w:sz w:val="16"/>
                <w:szCs w:val="16"/>
                <w:lang w:eastAsia="tr-TR"/>
              </w:rPr>
            </w:pPr>
            <w:r w:rsidRPr="000875F4">
              <w:rPr>
                <w:rFonts w:ascii="Arial TUR" w:eastAsia="Times New Roman" w:hAnsi="Arial TUR" w:cs="Arial TUR"/>
                <w:b/>
                <w:sz w:val="16"/>
                <w:szCs w:val="16"/>
                <w:lang w:eastAsia="tr-TR"/>
              </w:rPr>
              <w:t>630</w:t>
            </w:r>
          </w:p>
        </w:tc>
        <w:tc>
          <w:tcPr>
            <w:tcW w:w="96" w:type="pct"/>
            <w:tcBorders>
              <w:top w:val="nil"/>
              <w:left w:val="nil"/>
              <w:bottom w:val="single" w:sz="4" w:space="0" w:color="auto"/>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b/>
                <w:sz w:val="16"/>
                <w:szCs w:val="16"/>
                <w:lang w:eastAsia="tr-TR"/>
              </w:rPr>
            </w:pPr>
            <w:r w:rsidRPr="000875F4">
              <w:rPr>
                <w:rFonts w:ascii="Arial TUR" w:eastAsia="Times New Roman" w:hAnsi="Arial TUR" w:cs="Arial TUR"/>
                <w:b/>
                <w:sz w:val="16"/>
                <w:szCs w:val="16"/>
                <w:lang w:eastAsia="tr-TR"/>
              </w:rPr>
              <w:t>02</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 </w:t>
            </w:r>
          </w:p>
        </w:tc>
        <w:tc>
          <w:tcPr>
            <w:tcW w:w="897" w:type="pct"/>
            <w:gridSpan w:val="2"/>
            <w:tcBorders>
              <w:top w:val="nil"/>
              <w:left w:val="nil"/>
              <w:bottom w:val="single" w:sz="4" w:space="0" w:color="auto"/>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b/>
                <w:bCs/>
                <w:sz w:val="16"/>
                <w:szCs w:val="16"/>
                <w:lang w:eastAsia="tr-TR"/>
              </w:rPr>
            </w:pPr>
            <w:r w:rsidRPr="000875F4">
              <w:rPr>
                <w:rFonts w:ascii="Arial TUR" w:eastAsia="Times New Roman" w:hAnsi="Arial TUR" w:cs="Arial TUR"/>
                <w:b/>
                <w:bCs/>
                <w:sz w:val="16"/>
                <w:szCs w:val="16"/>
                <w:lang w:eastAsia="tr-TR"/>
              </w:rPr>
              <w:t>Sosyal Güvenlik Kurumlarına</w:t>
            </w:r>
          </w:p>
        </w:tc>
        <w:tc>
          <w:tcPr>
            <w:tcW w:w="416"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b/>
                <w:bCs/>
                <w:sz w:val="16"/>
                <w:szCs w:val="16"/>
                <w:lang w:eastAsia="tr-TR"/>
              </w:rPr>
            </w:pPr>
            <w:r>
              <w:rPr>
                <w:rFonts w:ascii="Arial" w:hAnsi="Arial" w:cs="Arial"/>
                <w:b/>
                <w:bCs/>
                <w:sz w:val="16"/>
                <w:szCs w:val="16"/>
              </w:rPr>
              <w:t>10.880.196,64</w:t>
            </w:r>
          </w:p>
        </w:tc>
        <w:tc>
          <w:tcPr>
            <w:tcW w:w="376" w:type="pct"/>
            <w:gridSpan w:val="2"/>
            <w:tcBorders>
              <w:top w:val="single" w:sz="4" w:space="0" w:color="auto"/>
              <w:left w:val="nil"/>
              <w:bottom w:val="single" w:sz="4" w:space="0" w:color="auto"/>
              <w:right w:val="single" w:sz="4"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b/>
                <w:bCs/>
                <w:sz w:val="16"/>
                <w:szCs w:val="16"/>
                <w:lang w:eastAsia="tr-TR"/>
              </w:rPr>
            </w:pPr>
            <w:r>
              <w:rPr>
                <w:rFonts w:ascii="Arial" w:hAnsi="Arial" w:cs="Arial"/>
                <w:b/>
                <w:bCs/>
                <w:sz w:val="16"/>
                <w:szCs w:val="16"/>
              </w:rPr>
              <w:t>12.881.801,31</w:t>
            </w:r>
          </w:p>
        </w:tc>
        <w:tc>
          <w:tcPr>
            <w:tcW w:w="390" w:type="pct"/>
            <w:gridSpan w:val="2"/>
            <w:tcBorders>
              <w:top w:val="single" w:sz="4" w:space="0" w:color="auto"/>
              <w:left w:val="nil"/>
              <w:bottom w:val="single" w:sz="4" w:space="0" w:color="auto"/>
              <w:right w:val="single" w:sz="4"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b/>
                <w:bCs/>
                <w:sz w:val="16"/>
                <w:szCs w:val="18"/>
                <w:lang w:eastAsia="tr-TR"/>
              </w:rPr>
            </w:pPr>
            <w:r>
              <w:rPr>
                <w:rFonts w:ascii="Arial" w:hAnsi="Arial" w:cs="Arial"/>
                <w:b/>
                <w:bCs/>
                <w:sz w:val="16"/>
                <w:szCs w:val="16"/>
              </w:rPr>
              <w:t>22.170.753,69</w:t>
            </w:r>
          </w:p>
        </w:tc>
        <w:tc>
          <w:tcPr>
            <w:tcW w:w="44" w:type="pct"/>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b/>
                <w:bCs/>
                <w:sz w:val="16"/>
                <w:szCs w:val="16"/>
                <w:lang w:eastAsia="tr-TR"/>
              </w:rPr>
            </w:pPr>
          </w:p>
        </w:tc>
        <w:tc>
          <w:tcPr>
            <w:tcW w:w="128" w:type="pct"/>
            <w:tcBorders>
              <w:top w:val="nil"/>
              <w:left w:val="single" w:sz="8" w:space="0" w:color="auto"/>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600</w:t>
            </w:r>
          </w:p>
        </w:tc>
        <w:tc>
          <w:tcPr>
            <w:tcW w:w="96" w:type="pct"/>
            <w:tcBorders>
              <w:top w:val="nil"/>
              <w:left w:val="nil"/>
              <w:bottom w:val="single" w:sz="4" w:space="0" w:color="auto"/>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03</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01</w:t>
            </w:r>
          </w:p>
        </w:tc>
        <w:tc>
          <w:tcPr>
            <w:tcW w:w="96" w:type="pct"/>
            <w:gridSpan w:val="2"/>
            <w:tcBorders>
              <w:top w:val="nil"/>
              <w:left w:val="nil"/>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 </w:t>
            </w:r>
          </w:p>
        </w:tc>
        <w:tc>
          <w:tcPr>
            <w:tcW w:w="96" w:type="pct"/>
            <w:gridSpan w:val="2"/>
            <w:tcBorders>
              <w:top w:val="nil"/>
              <w:left w:val="nil"/>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 </w:t>
            </w:r>
          </w:p>
        </w:tc>
        <w:tc>
          <w:tcPr>
            <w:tcW w:w="871" w:type="pct"/>
            <w:gridSpan w:val="4"/>
            <w:tcBorders>
              <w:top w:val="nil"/>
              <w:left w:val="nil"/>
              <w:bottom w:val="single" w:sz="4" w:space="0" w:color="auto"/>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Mal ve Hizmet Satış Gelirleri</w:t>
            </w:r>
          </w:p>
        </w:tc>
        <w:tc>
          <w:tcPr>
            <w:tcW w:w="376" w:type="pct"/>
            <w:gridSpan w:val="2"/>
            <w:tcBorders>
              <w:top w:val="nil"/>
              <w:left w:val="single" w:sz="8" w:space="0" w:color="auto"/>
              <w:bottom w:val="single" w:sz="4" w:space="0" w:color="auto"/>
              <w:right w:val="single" w:sz="8"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sz w:val="16"/>
                <w:szCs w:val="16"/>
                <w:lang w:eastAsia="tr-TR"/>
              </w:rPr>
            </w:pPr>
            <w:r>
              <w:rPr>
                <w:rFonts w:ascii="Arial" w:hAnsi="Arial" w:cs="Arial"/>
                <w:sz w:val="16"/>
                <w:szCs w:val="16"/>
              </w:rPr>
              <w:t>420,00</w:t>
            </w:r>
          </w:p>
        </w:tc>
        <w:tc>
          <w:tcPr>
            <w:tcW w:w="392" w:type="pct"/>
            <w:gridSpan w:val="2"/>
            <w:tcBorders>
              <w:top w:val="nil"/>
              <w:left w:val="nil"/>
              <w:bottom w:val="single" w:sz="4" w:space="0" w:color="auto"/>
              <w:right w:val="single" w:sz="8"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sz w:val="16"/>
                <w:szCs w:val="16"/>
                <w:lang w:eastAsia="tr-TR"/>
              </w:rPr>
            </w:pPr>
            <w:r>
              <w:rPr>
                <w:rFonts w:ascii="Arial" w:hAnsi="Arial" w:cs="Arial"/>
                <w:sz w:val="16"/>
                <w:szCs w:val="16"/>
              </w:rPr>
              <w:t>0,00</w:t>
            </w:r>
          </w:p>
        </w:tc>
        <w:tc>
          <w:tcPr>
            <w:tcW w:w="389" w:type="pct"/>
            <w:gridSpan w:val="2"/>
            <w:tcBorders>
              <w:top w:val="nil"/>
              <w:left w:val="nil"/>
              <w:bottom w:val="single" w:sz="4" w:space="0" w:color="auto"/>
              <w:right w:val="single" w:sz="8" w:space="0" w:color="auto"/>
            </w:tcBorders>
            <w:shd w:val="clear" w:color="auto" w:fill="auto"/>
            <w:noWrap/>
            <w:vAlign w:val="center"/>
          </w:tcPr>
          <w:p w:rsidR="005C287E" w:rsidRPr="000875F4" w:rsidRDefault="005C287E" w:rsidP="005C287E">
            <w:pPr>
              <w:spacing w:after="0" w:line="240" w:lineRule="auto"/>
              <w:jc w:val="right"/>
              <w:rPr>
                <w:rFonts w:ascii="Arial" w:eastAsia="Times New Roman" w:hAnsi="Arial" w:cs="Arial"/>
                <w:sz w:val="16"/>
                <w:szCs w:val="16"/>
                <w:lang w:eastAsia="tr-TR"/>
              </w:rPr>
            </w:pPr>
            <w:r>
              <w:rPr>
                <w:rFonts w:ascii="Arial" w:hAnsi="Arial" w:cs="Arial"/>
                <w:sz w:val="16"/>
                <w:szCs w:val="16"/>
              </w:rPr>
              <w:t>0,00</w:t>
            </w:r>
          </w:p>
        </w:tc>
      </w:tr>
      <w:tr w:rsidR="005C287E" w:rsidRPr="000875F4" w:rsidTr="005C287E">
        <w:trPr>
          <w:gridAfter w:val="1"/>
          <w:wAfter w:w="23" w:type="pct"/>
          <w:trHeight w:val="20"/>
        </w:trPr>
        <w:tc>
          <w:tcPr>
            <w:tcW w:w="123" w:type="pct"/>
            <w:tcBorders>
              <w:top w:val="nil"/>
              <w:left w:val="single" w:sz="8" w:space="0" w:color="auto"/>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630</w:t>
            </w:r>
          </w:p>
        </w:tc>
        <w:tc>
          <w:tcPr>
            <w:tcW w:w="96" w:type="pct"/>
            <w:tcBorders>
              <w:top w:val="nil"/>
              <w:left w:val="nil"/>
              <w:bottom w:val="single" w:sz="4" w:space="0" w:color="auto"/>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03</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 </w:t>
            </w:r>
          </w:p>
        </w:tc>
        <w:tc>
          <w:tcPr>
            <w:tcW w:w="897" w:type="pct"/>
            <w:gridSpan w:val="2"/>
            <w:tcBorders>
              <w:top w:val="nil"/>
              <w:left w:val="nil"/>
              <w:bottom w:val="single" w:sz="4" w:space="0" w:color="auto"/>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b/>
                <w:bCs/>
                <w:sz w:val="16"/>
                <w:szCs w:val="16"/>
                <w:lang w:eastAsia="tr-TR"/>
              </w:rPr>
            </w:pPr>
            <w:r w:rsidRPr="000875F4">
              <w:rPr>
                <w:rFonts w:ascii="Arial TUR" w:eastAsia="Times New Roman" w:hAnsi="Arial TUR" w:cs="Arial TUR"/>
                <w:b/>
                <w:bCs/>
                <w:sz w:val="16"/>
                <w:szCs w:val="16"/>
                <w:lang w:eastAsia="tr-TR"/>
              </w:rPr>
              <w:t>Mal ve Hizmet Alım Giderleri</w:t>
            </w:r>
          </w:p>
        </w:tc>
        <w:tc>
          <w:tcPr>
            <w:tcW w:w="416"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b/>
                <w:bCs/>
                <w:sz w:val="16"/>
                <w:szCs w:val="16"/>
                <w:lang w:eastAsia="tr-TR"/>
              </w:rPr>
            </w:pPr>
            <w:r>
              <w:rPr>
                <w:rFonts w:ascii="Arial" w:hAnsi="Arial" w:cs="Arial"/>
                <w:b/>
                <w:bCs/>
                <w:sz w:val="16"/>
                <w:szCs w:val="16"/>
              </w:rPr>
              <w:t>124.004.943,99</w:t>
            </w:r>
          </w:p>
        </w:tc>
        <w:tc>
          <w:tcPr>
            <w:tcW w:w="376" w:type="pct"/>
            <w:gridSpan w:val="2"/>
            <w:tcBorders>
              <w:top w:val="single" w:sz="4" w:space="0" w:color="auto"/>
              <w:left w:val="nil"/>
              <w:bottom w:val="single" w:sz="4" w:space="0" w:color="auto"/>
              <w:right w:val="single" w:sz="4"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b/>
                <w:bCs/>
                <w:sz w:val="16"/>
                <w:szCs w:val="16"/>
                <w:lang w:eastAsia="tr-TR"/>
              </w:rPr>
            </w:pPr>
            <w:r>
              <w:rPr>
                <w:rFonts w:ascii="Arial" w:hAnsi="Arial" w:cs="Arial"/>
                <w:b/>
                <w:bCs/>
                <w:sz w:val="16"/>
                <w:szCs w:val="16"/>
              </w:rPr>
              <w:t>136.837.583,54</w:t>
            </w:r>
          </w:p>
        </w:tc>
        <w:tc>
          <w:tcPr>
            <w:tcW w:w="390" w:type="pct"/>
            <w:gridSpan w:val="2"/>
            <w:tcBorders>
              <w:top w:val="single" w:sz="4" w:space="0" w:color="auto"/>
              <w:left w:val="nil"/>
              <w:bottom w:val="single" w:sz="4" w:space="0" w:color="auto"/>
              <w:right w:val="single" w:sz="4"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b/>
                <w:bCs/>
                <w:sz w:val="16"/>
                <w:szCs w:val="18"/>
                <w:lang w:eastAsia="tr-TR"/>
              </w:rPr>
            </w:pPr>
            <w:r>
              <w:rPr>
                <w:rFonts w:ascii="Arial" w:hAnsi="Arial" w:cs="Arial"/>
                <w:b/>
                <w:bCs/>
                <w:sz w:val="16"/>
                <w:szCs w:val="16"/>
              </w:rPr>
              <w:t>197.716.443,82</w:t>
            </w:r>
          </w:p>
        </w:tc>
        <w:tc>
          <w:tcPr>
            <w:tcW w:w="44" w:type="pct"/>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b/>
                <w:bCs/>
                <w:sz w:val="16"/>
                <w:szCs w:val="16"/>
                <w:lang w:eastAsia="tr-TR"/>
              </w:rPr>
            </w:pPr>
          </w:p>
        </w:tc>
        <w:tc>
          <w:tcPr>
            <w:tcW w:w="128" w:type="pct"/>
            <w:tcBorders>
              <w:top w:val="nil"/>
              <w:left w:val="single" w:sz="8" w:space="0" w:color="auto"/>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600</w:t>
            </w:r>
          </w:p>
        </w:tc>
        <w:tc>
          <w:tcPr>
            <w:tcW w:w="96" w:type="pct"/>
            <w:tcBorders>
              <w:top w:val="nil"/>
              <w:left w:val="nil"/>
              <w:bottom w:val="single" w:sz="4" w:space="0" w:color="auto"/>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03</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02</w:t>
            </w:r>
          </w:p>
        </w:tc>
        <w:tc>
          <w:tcPr>
            <w:tcW w:w="96" w:type="pct"/>
            <w:gridSpan w:val="2"/>
            <w:tcBorders>
              <w:top w:val="nil"/>
              <w:left w:val="nil"/>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 </w:t>
            </w:r>
          </w:p>
        </w:tc>
        <w:tc>
          <w:tcPr>
            <w:tcW w:w="96" w:type="pct"/>
            <w:gridSpan w:val="2"/>
            <w:tcBorders>
              <w:top w:val="nil"/>
              <w:left w:val="nil"/>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 </w:t>
            </w:r>
          </w:p>
        </w:tc>
        <w:tc>
          <w:tcPr>
            <w:tcW w:w="871" w:type="pct"/>
            <w:gridSpan w:val="4"/>
            <w:tcBorders>
              <w:top w:val="nil"/>
              <w:left w:val="nil"/>
              <w:bottom w:val="single" w:sz="4" w:space="0" w:color="auto"/>
              <w:right w:val="nil"/>
            </w:tcBorders>
            <w:shd w:val="clear" w:color="auto" w:fill="auto"/>
            <w:vAlign w:val="bottom"/>
            <w:hideMark/>
          </w:tcPr>
          <w:p w:rsidR="005C287E" w:rsidRPr="000875F4" w:rsidRDefault="005C287E" w:rsidP="005C287E">
            <w:pPr>
              <w:spacing w:after="0" w:line="240" w:lineRule="auto"/>
              <w:jc w:val="left"/>
              <w:rPr>
                <w:rFonts w:ascii="Arial TUR" w:eastAsia="Times New Roman" w:hAnsi="Arial TUR" w:cs="Arial TUR"/>
                <w:bCs/>
                <w:sz w:val="16"/>
                <w:szCs w:val="16"/>
                <w:lang w:eastAsia="tr-TR"/>
              </w:rPr>
            </w:pPr>
            <w:r w:rsidRPr="000875F4">
              <w:rPr>
                <w:rFonts w:ascii="Arial TUR" w:eastAsia="Times New Roman" w:hAnsi="Arial TUR" w:cs="Arial TUR"/>
                <w:bCs/>
                <w:sz w:val="16"/>
                <w:szCs w:val="16"/>
                <w:lang w:eastAsia="tr-TR"/>
              </w:rPr>
              <w:t>Malların Kullanma veya faaliyette Bulunma İzni</w:t>
            </w:r>
          </w:p>
        </w:tc>
        <w:tc>
          <w:tcPr>
            <w:tcW w:w="376" w:type="pct"/>
            <w:gridSpan w:val="2"/>
            <w:tcBorders>
              <w:top w:val="nil"/>
              <w:left w:val="single" w:sz="8" w:space="0" w:color="auto"/>
              <w:bottom w:val="single" w:sz="4" w:space="0" w:color="auto"/>
              <w:right w:val="single" w:sz="8"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bCs/>
                <w:sz w:val="16"/>
                <w:szCs w:val="16"/>
                <w:lang w:eastAsia="tr-TR"/>
              </w:rPr>
            </w:pPr>
            <w:r>
              <w:rPr>
                <w:rFonts w:ascii="Arial" w:hAnsi="Arial" w:cs="Arial"/>
                <w:sz w:val="16"/>
                <w:szCs w:val="16"/>
              </w:rPr>
              <w:t>361.034.598,60</w:t>
            </w:r>
          </w:p>
        </w:tc>
        <w:tc>
          <w:tcPr>
            <w:tcW w:w="392" w:type="pct"/>
            <w:gridSpan w:val="2"/>
            <w:tcBorders>
              <w:top w:val="nil"/>
              <w:left w:val="nil"/>
              <w:bottom w:val="single" w:sz="4" w:space="0" w:color="auto"/>
              <w:right w:val="single" w:sz="8"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bCs/>
                <w:sz w:val="16"/>
                <w:szCs w:val="16"/>
                <w:lang w:eastAsia="tr-TR"/>
              </w:rPr>
            </w:pPr>
            <w:r>
              <w:rPr>
                <w:rFonts w:ascii="Arial" w:hAnsi="Arial" w:cs="Arial"/>
                <w:sz w:val="16"/>
                <w:szCs w:val="16"/>
              </w:rPr>
              <w:t>408.156.239,79</w:t>
            </w:r>
          </w:p>
        </w:tc>
        <w:tc>
          <w:tcPr>
            <w:tcW w:w="389" w:type="pct"/>
            <w:gridSpan w:val="2"/>
            <w:tcBorders>
              <w:top w:val="nil"/>
              <w:left w:val="nil"/>
              <w:bottom w:val="single" w:sz="4" w:space="0" w:color="auto"/>
              <w:right w:val="single" w:sz="8" w:space="0" w:color="auto"/>
            </w:tcBorders>
            <w:shd w:val="clear" w:color="auto" w:fill="auto"/>
            <w:noWrap/>
            <w:vAlign w:val="center"/>
          </w:tcPr>
          <w:p w:rsidR="005C287E" w:rsidRPr="000875F4" w:rsidRDefault="005C287E" w:rsidP="005C287E">
            <w:pPr>
              <w:spacing w:after="0" w:line="240" w:lineRule="auto"/>
              <w:jc w:val="right"/>
              <w:rPr>
                <w:rFonts w:ascii="Arial" w:eastAsia="Times New Roman" w:hAnsi="Arial" w:cs="Arial"/>
                <w:bCs/>
                <w:sz w:val="16"/>
                <w:szCs w:val="16"/>
                <w:lang w:eastAsia="tr-TR"/>
              </w:rPr>
            </w:pPr>
            <w:r>
              <w:rPr>
                <w:rFonts w:ascii="Arial" w:hAnsi="Arial" w:cs="Arial"/>
                <w:sz w:val="16"/>
                <w:szCs w:val="16"/>
              </w:rPr>
              <w:t>771.297.284,20</w:t>
            </w:r>
          </w:p>
        </w:tc>
      </w:tr>
      <w:tr w:rsidR="005C287E" w:rsidRPr="000875F4" w:rsidTr="005C287E">
        <w:trPr>
          <w:gridAfter w:val="1"/>
          <w:wAfter w:w="23" w:type="pct"/>
          <w:trHeight w:val="20"/>
        </w:trPr>
        <w:tc>
          <w:tcPr>
            <w:tcW w:w="123" w:type="pct"/>
            <w:tcBorders>
              <w:top w:val="nil"/>
              <w:left w:val="single" w:sz="8" w:space="0" w:color="auto"/>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 xml:space="preserve">630 </w:t>
            </w:r>
          </w:p>
        </w:tc>
        <w:tc>
          <w:tcPr>
            <w:tcW w:w="96" w:type="pct"/>
            <w:tcBorders>
              <w:top w:val="nil"/>
              <w:left w:val="nil"/>
              <w:bottom w:val="single" w:sz="4" w:space="0" w:color="auto"/>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03</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02</w:t>
            </w:r>
          </w:p>
        </w:tc>
        <w:tc>
          <w:tcPr>
            <w:tcW w:w="897" w:type="pct"/>
            <w:gridSpan w:val="2"/>
            <w:tcBorders>
              <w:top w:val="nil"/>
              <w:left w:val="nil"/>
              <w:bottom w:val="single" w:sz="4" w:space="0" w:color="auto"/>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Tüketime Yönelik Mal ve Malzeme Alım.</w:t>
            </w:r>
          </w:p>
        </w:tc>
        <w:tc>
          <w:tcPr>
            <w:tcW w:w="416"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sz w:val="16"/>
                <w:szCs w:val="16"/>
                <w:lang w:eastAsia="tr-TR"/>
              </w:rPr>
            </w:pPr>
            <w:r>
              <w:rPr>
                <w:rFonts w:ascii="Arial" w:hAnsi="Arial" w:cs="Arial"/>
                <w:sz w:val="16"/>
                <w:szCs w:val="16"/>
              </w:rPr>
              <w:t>5.114.682,12</w:t>
            </w:r>
          </w:p>
        </w:tc>
        <w:tc>
          <w:tcPr>
            <w:tcW w:w="376" w:type="pct"/>
            <w:gridSpan w:val="2"/>
            <w:tcBorders>
              <w:top w:val="single" w:sz="4" w:space="0" w:color="auto"/>
              <w:left w:val="nil"/>
              <w:bottom w:val="single" w:sz="4" w:space="0" w:color="auto"/>
              <w:right w:val="single" w:sz="4"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sz w:val="16"/>
                <w:szCs w:val="16"/>
                <w:lang w:eastAsia="tr-TR"/>
              </w:rPr>
            </w:pPr>
            <w:r>
              <w:rPr>
                <w:rFonts w:ascii="Arial" w:hAnsi="Arial" w:cs="Arial"/>
                <w:sz w:val="16"/>
                <w:szCs w:val="16"/>
              </w:rPr>
              <w:t>5.230.686,33</w:t>
            </w:r>
          </w:p>
        </w:tc>
        <w:tc>
          <w:tcPr>
            <w:tcW w:w="390" w:type="pct"/>
            <w:gridSpan w:val="2"/>
            <w:tcBorders>
              <w:top w:val="single" w:sz="4" w:space="0" w:color="auto"/>
              <w:left w:val="nil"/>
              <w:bottom w:val="single" w:sz="4" w:space="0" w:color="auto"/>
              <w:right w:val="single" w:sz="4"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bCs/>
                <w:sz w:val="16"/>
                <w:szCs w:val="18"/>
                <w:lang w:eastAsia="tr-TR"/>
              </w:rPr>
            </w:pPr>
            <w:r>
              <w:rPr>
                <w:rFonts w:ascii="Arial" w:hAnsi="Arial" w:cs="Arial"/>
                <w:sz w:val="16"/>
                <w:szCs w:val="16"/>
              </w:rPr>
              <w:t>14.614.136,92</w:t>
            </w:r>
          </w:p>
        </w:tc>
        <w:tc>
          <w:tcPr>
            <w:tcW w:w="44" w:type="pct"/>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p>
        </w:tc>
        <w:tc>
          <w:tcPr>
            <w:tcW w:w="128" w:type="pct"/>
            <w:tcBorders>
              <w:top w:val="nil"/>
              <w:left w:val="single" w:sz="8" w:space="0" w:color="auto"/>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600</w:t>
            </w:r>
          </w:p>
        </w:tc>
        <w:tc>
          <w:tcPr>
            <w:tcW w:w="96" w:type="pct"/>
            <w:tcBorders>
              <w:top w:val="nil"/>
              <w:left w:val="nil"/>
              <w:bottom w:val="single" w:sz="4" w:space="0" w:color="auto"/>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03</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02</w:t>
            </w:r>
          </w:p>
        </w:tc>
        <w:tc>
          <w:tcPr>
            <w:tcW w:w="96" w:type="pct"/>
            <w:gridSpan w:val="2"/>
            <w:tcBorders>
              <w:top w:val="nil"/>
              <w:left w:val="nil"/>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01</w:t>
            </w:r>
          </w:p>
        </w:tc>
        <w:tc>
          <w:tcPr>
            <w:tcW w:w="96" w:type="pct"/>
            <w:gridSpan w:val="2"/>
            <w:tcBorders>
              <w:top w:val="nil"/>
              <w:left w:val="nil"/>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10</w:t>
            </w:r>
          </w:p>
        </w:tc>
        <w:tc>
          <w:tcPr>
            <w:tcW w:w="871" w:type="pct"/>
            <w:gridSpan w:val="4"/>
            <w:tcBorders>
              <w:top w:val="nil"/>
              <w:left w:val="nil"/>
              <w:bottom w:val="single" w:sz="4" w:space="0" w:color="auto"/>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Elektrik Piyasası Lisans Gelirleri</w:t>
            </w:r>
          </w:p>
        </w:tc>
        <w:tc>
          <w:tcPr>
            <w:tcW w:w="376" w:type="pct"/>
            <w:gridSpan w:val="2"/>
            <w:tcBorders>
              <w:top w:val="nil"/>
              <w:left w:val="single" w:sz="8" w:space="0" w:color="auto"/>
              <w:bottom w:val="single" w:sz="4" w:space="0" w:color="auto"/>
              <w:right w:val="single" w:sz="8"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sz w:val="16"/>
                <w:szCs w:val="16"/>
                <w:lang w:eastAsia="tr-TR"/>
              </w:rPr>
            </w:pPr>
            <w:r>
              <w:rPr>
                <w:rFonts w:ascii="Arial" w:hAnsi="Arial" w:cs="Arial"/>
                <w:sz w:val="16"/>
                <w:szCs w:val="16"/>
              </w:rPr>
              <w:t>61.238.920,15</w:t>
            </w:r>
          </w:p>
        </w:tc>
        <w:tc>
          <w:tcPr>
            <w:tcW w:w="392" w:type="pct"/>
            <w:gridSpan w:val="2"/>
            <w:tcBorders>
              <w:top w:val="nil"/>
              <w:left w:val="nil"/>
              <w:bottom w:val="single" w:sz="4" w:space="0" w:color="auto"/>
              <w:right w:val="single" w:sz="8"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sz w:val="16"/>
                <w:szCs w:val="16"/>
                <w:lang w:eastAsia="tr-TR"/>
              </w:rPr>
            </w:pPr>
            <w:r>
              <w:rPr>
                <w:rFonts w:ascii="Arial" w:hAnsi="Arial" w:cs="Arial"/>
                <w:sz w:val="16"/>
                <w:szCs w:val="16"/>
              </w:rPr>
              <w:t>71.307.240,85</w:t>
            </w:r>
          </w:p>
        </w:tc>
        <w:tc>
          <w:tcPr>
            <w:tcW w:w="389" w:type="pct"/>
            <w:gridSpan w:val="2"/>
            <w:tcBorders>
              <w:top w:val="nil"/>
              <w:left w:val="nil"/>
              <w:bottom w:val="single" w:sz="4" w:space="0" w:color="auto"/>
              <w:right w:val="single" w:sz="8" w:space="0" w:color="auto"/>
            </w:tcBorders>
            <w:shd w:val="clear" w:color="auto" w:fill="auto"/>
            <w:noWrap/>
            <w:vAlign w:val="center"/>
          </w:tcPr>
          <w:p w:rsidR="005C287E" w:rsidRPr="000875F4" w:rsidRDefault="005C287E" w:rsidP="005C287E">
            <w:pPr>
              <w:spacing w:after="0" w:line="240" w:lineRule="auto"/>
              <w:jc w:val="right"/>
              <w:rPr>
                <w:rFonts w:ascii="Arial" w:eastAsia="Times New Roman" w:hAnsi="Arial" w:cs="Arial"/>
                <w:sz w:val="16"/>
                <w:szCs w:val="16"/>
                <w:lang w:eastAsia="tr-TR"/>
              </w:rPr>
            </w:pPr>
            <w:r>
              <w:rPr>
                <w:rFonts w:ascii="Arial" w:hAnsi="Arial" w:cs="Arial"/>
                <w:sz w:val="16"/>
                <w:szCs w:val="16"/>
              </w:rPr>
              <w:t>209.913.246,46</w:t>
            </w:r>
          </w:p>
        </w:tc>
      </w:tr>
      <w:tr w:rsidR="005C287E" w:rsidRPr="000875F4" w:rsidTr="005C287E">
        <w:trPr>
          <w:gridAfter w:val="1"/>
          <w:wAfter w:w="23" w:type="pct"/>
          <w:trHeight w:val="20"/>
        </w:trPr>
        <w:tc>
          <w:tcPr>
            <w:tcW w:w="123" w:type="pct"/>
            <w:tcBorders>
              <w:top w:val="nil"/>
              <w:left w:val="single" w:sz="8" w:space="0" w:color="auto"/>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630</w:t>
            </w:r>
          </w:p>
        </w:tc>
        <w:tc>
          <w:tcPr>
            <w:tcW w:w="96" w:type="pct"/>
            <w:tcBorders>
              <w:top w:val="nil"/>
              <w:left w:val="nil"/>
              <w:bottom w:val="single" w:sz="4" w:space="0" w:color="auto"/>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03</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03</w:t>
            </w:r>
          </w:p>
        </w:tc>
        <w:tc>
          <w:tcPr>
            <w:tcW w:w="897" w:type="pct"/>
            <w:gridSpan w:val="2"/>
            <w:tcBorders>
              <w:top w:val="nil"/>
              <w:left w:val="nil"/>
              <w:bottom w:val="single" w:sz="4" w:space="0" w:color="auto"/>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Yolluklar</w:t>
            </w:r>
          </w:p>
        </w:tc>
        <w:tc>
          <w:tcPr>
            <w:tcW w:w="416"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sz w:val="16"/>
                <w:szCs w:val="16"/>
                <w:lang w:eastAsia="tr-TR"/>
              </w:rPr>
            </w:pPr>
            <w:r>
              <w:rPr>
                <w:rFonts w:ascii="Arial" w:hAnsi="Arial" w:cs="Arial"/>
                <w:sz w:val="16"/>
                <w:szCs w:val="16"/>
              </w:rPr>
              <w:t>254.700,59</w:t>
            </w:r>
          </w:p>
        </w:tc>
        <w:tc>
          <w:tcPr>
            <w:tcW w:w="376" w:type="pct"/>
            <w:gridSpan w:val="2"/>
            <w:tcBorders>
              <w:top w:val="single" w:sz="4" w:space="0" w:color="auto"/>
              <w:left w:val="nil"/>
              <w:bottom w:val="single" w:sz="4" w:space="0" w:color="auto"/>
              <w:right w:val="single" w:sz="4"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sz w:val="16"/>
                <w:szCs w:val="16"/>
                <w:lang w:eastAsia="tr-TR"/>
              </w:rPr>
            </w:pPr>
            <w:r>
              <w:rPr>
                <w:rFonts w:ascii="Arial" w:hAnsi="Arial" w:cs="Arial"/>
                <w:sz w:val="16"/>
                <w:szCs w:val="16"/>
              </w:rPr>
              <w:t>713.646,76</w:t>
            </w:r>
          </w:p>
        </w:tc>
        <w:tc>
          <w:tcPr>
            <w:tcW w:w="390" w:type="pct"/>
            <w:gridSpan w:val="2"/>
            <w:tcBorders>
              <w:top w:val="single" w:sz="4" w:space="0" w:color="auto"/>
              <w:left w:val="nil"/>
              <w:bottom w:val="single" w:sz="4" w:space="0" w:color="auto"/>
              <w:right w:val="single" w:sz="4"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bCs/>
                <w:sz w:val="16"/>
                <w:szCs w:val="18"/>
                <w:lang w:eastAsia="tr-TR"/>
              </w:rPr>
            </w:pPr>
            <w:r>
              <w:rPr>
                <w:rFonts w:ascii="Arial" w:hAnsi="Arial" w:cs="Arial"/>
                <w:sz w:val="16"/>
                <w:szCs w:val="16"/>
              </w:rPr>
              <w:t>3.949.541,55</w:t>
            </w:r>
          </w:p>
        </w:tc>
        <w:tc>
          <w:tcPr>
            <w:tcW w:w="44" w:type="pct"/>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p>
        </w:tc>
        <w:tc>
          <w:tcPr>
            <w:tcW w:w="128" w:type="pct"/>
            <w:tcBorders>
              <w:top w:val="nil"/>
              <w:left w:val="single" w:sz="8" w:space="0" w:color="auto"/>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600</w:t>
            </w:r>
          </w:p>
        </w:tc>
        <w:tc>
          <w:tcPr>
            <w:tcW w:w="96" w:type="pct"/>
            <w:tcBorders>
              <w:top w:val="nil"/>
              <w:left w:val="nil"/>
              <w:bottom w:val="single" w:sz="4" w:space="0" w:color="auto"/>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03</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02</w:t>
            </w:r>
          </w:p>
        </w:tc>
        <w:tc>
          <w:tcPr>
            <w:tcW w:w="96" w:type="pct"/>
            <w:gridSpan w:val="2"/>
            <w:tcBorders>
              <w:top w:val="nil"/>
              <w:left w:val="nil"/>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01</w:t>
            </w:r>
          </w:p>
        </w:tc>
        <w:tc>
          <w:tcPr>
            <w:tcW w:w="96" w:type="pct"/>
            <w:gridSpan w:val="2"/>
            <w:tcBorders>
              <w:top w:val="nil"/>
              <w:left w:val="nil"/>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11</w:t>
            </w:r>
          </w:p>
        </w:tc>
        <w:tc>
          <w:tcPr>
            <w:tcW w:w="871" w:type="pct"/>
            <w:gridSpan w:val="4"/>
            <w:tcBorders>
              <w:top w:val="nil"/>
              <w:left w:val="nil"/>
              <w:bottom w:val="single" w:sz="4" w:space="0" w:color="auto"/>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Doğal Gaz Piyasası Lisans ve Ser.Gel.</w:t>
            </w:r>
          </w:p>
        </w:tc>
        <w:tc>
          <w:tcPr>
            <w:tcW w:w="376" w:type="pct"/>
            <w:gridSpan w:val="2"/>
            <w:tcBorders>
              <w:top w:val="nil"/>
              <w:left w:val="single" w:sz="8" w:space="0" w:color="auto"/>
              <w:bottom w:val="single" w:sz="4" w:space="0" w:color="auto"/>
              <w:right w:val="single" w:sz="8"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sz w:val="16"/>
                <w:szCs w:val="16"/>
                <w:lang w:eastAsia="tr-TR"/>
              </w:rPr>
            </w:pPr>
            <w:r>
              <w:rPr>
                <w:rFonts w:ascii="Arial" w:hAnsi="Arial" w:cs="Arial"/>
                <w:sz w:val="16"/>
                <w:szCs w:val="16"/>
              </w:rPr>
              <w:t>67.580.050,53</w:t>
            </w:r>
          </w:p>
        </w:tc>
        <w:tc>
          <w:tcPr>
            <w:tcW w:w="392" w:type="pct"/>
            <w:gridSpan w:val="2"/>
            <w:tcBorders>
              <w:top w:val="nil"/>
              <w:left w:val="nil"/>
              <w:bottom w:val="single" w:sz="4" w:space="0" w:color="auto"/>
              <w:right w:val="single" w:sz="8"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sz w:val="16"/>
                <w:szCs w:val="16"/>
                <w:lang w:eastAsia="tr-TR"/>
              </w:rPr>
            </w:pPr>
            <w:r>
              <w:rPr>
                <w:rFonts w:ascii="Arial" w:hAnsi="Arial" w:cs="Arial"/>
                <w:sz w:val="16"/>
                <w:szCs w:val="16"/>
              </w:rPr>
              <w:t>79.854.908,21</w:t>
            </w:r>
          </w:p>
        </w:tc>
        <w:tc>
          <w:tcPr>
            <w:tcW w:w="389" w:type="pct"/>
            <w:gridSpan w:val="2"/>
            <w:tcBorders>
              <w:top w:val="nil"/>
              <w:left w:val="nil"/>
              <w:bottom w:val="single" w:sz="4" w:space="0" w:color="auto"/>
              <w:right w:val="single" w:sz="8" w:space="0" w:color="auto"/>
            </w:tcBorders>
            <w:shd w:val="clear" w:color="auto" w:fill="auto"/>
            <w:noWrap/>
            <w:vAlign w:val="center"/>
          </w:tcPr>
          <w:p w:rsidR="005C287E" w:rsidRPr="000875F4" w:rsidRDefault="005C287E" w:rsidP="005C287E">
            <w:pPr>
              <w:spacing w:after="0" w:line="240" w:lineRule="auto"/>
              <w:jc w:val="right"/>
              <w:rPr>
                <w:rFonts w:ascii="Arial" w:eastAsia="Times New Roman" w:hAnsi="Arial" w:cs="Arial"/>
                <w:sz w:val="16"/>
                <w:szCs w:val="16"/>
                <w:lang w:eastAsia="tr-TR"/>
              </w:rPr>
            </w:pPr>
            <w:r>
              <w:rPr>
                <w:rFonts w:ascii="Arial" w:hAnsi="Arial" w:cs="Arial"/>
                <w:sz w:val="16"/>
                <w:szCs w:val="16"/>
              </w:rPr>
              <w:t>145.747.404,82</w:t>
            </w:r>
          </w:p>
        </w:tc>
      </w:tr>
      <w:tr w:rsidR="005C287E" w:rsidRPr="000875F4" w:rsidTr="005C287E">
        <w:trPr>
          <w:gridAfter w:val="1"/>
          <w:wAfter w:w="23" w:type="pct"/>
          <w:trHeight w:val="20"/>
        </w:trPr>
        <w:tc>
          <w:tcPr>
            <w:tcW w:w="123" w:type="pct"/>
            <w:tcBorders>
              <w:top w:val="nil"/>
              <w:left w:val="single" w:sz="8" w:space="0" w:color="auto"/>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630</w:t>
            </w:r>
          </w:p>
        </w:tc>
        <w:tc>
          <w:tcPr>
            <w:tcW w:w="96" w:type="pct"/>
            <w:tcBorders>
              <w:top w:val="nil"/>
              <w:left w:val="nil"/>
              <w:bottom w:val="single" w:sz="4" w:space="0" w:color="auto"/>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03</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04</w:t>
            </w:r>
          </w:p>
        </w:tc>
        <w:tc>
          <w:tcPr>
            <w:tcW w:w="897" w:type="pct"/>
            <w:gridSpan w:val="2"/>
            <w:tcBorders>
              <w:top w:val="nil"/>
              <w:left w:val="nil"/>
              <w:bottom w:val="single" w:sz="4" w:space="0" w:color="auto"/>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Görev Giderleri</w:t>
            </w:r>
          </w:p>
        </w:tc>
        <w:tc>
          <w:tcPr>
            <w:tcW w:w="416"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sz w:val="16"/>
                <w:szCs w:val="16"/>
                <w:lang w:eastAsia="tr-TR"/>
              </w:rPr>
            </w:pPr>
            <w:r>
              <w:rPr>
                <w:rFonts w:ascii="Arial" w:hAnsi="Arial" w:cs="Arial"/>
                <w:sz w:val="16"/>
                <w:szCs w:val="16"/>
              </w:rPr>
              <w:t>1.440.311,17</w:t>
            </w:r>
          </w:p>
        </w:tc>
        <w:tc>
          <w:tcPr>
            <w:tcW w:w="376" w:type="pct"/>
            <w:gridSpan w:val="2"/>
            <w:tcBorders>
              <w:top w:val="single" w:sz="4" w:space="0" w:color="auto"/>
              <w:left w:val="nil"/>
              <w:bottom w:val="single" w:sz="4" w:space="0" w:color="auto"/>
              <w:right w:val="single" w:sz="4"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sz w:val="16"/>
                <w:szCs w:val="16"/>
                <w:lang w:eastAsia="tr-TR"/>
              </w:rPr>
            </w:pPr>
            <w:r>
              <w:rPr>
                <w:rFonts w:ascii="Arial" w:hAnsi="Arial" w:cs="Arial"/>
                <w:sz w:val="16"/>
                <w:szCs w:val="16"/>
              </w:rPr>
              <w:t>2.102.260,30</w:t>
            </w:r>
          </w:p>
        </w:tc>
        <w:tc>
          <w:tcPr>
            <w:tcW w:w="390" w:type="pct"/>
            <w:gridSpan w:val="2"/>
            <w:tcBorders>
              <w:top w:val="single" w:sz="4" w:space="0" w:color="auto"/>
              <w:left w:val="nil"/>
              <w:bottom w:val="single" w:sz="4" w:space="0" w:color="auto"/>
              <w:right w:val="single" w:sz="4"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bCs/>
                <w:sz w:val="16"/>
                <w:szCs w:val="18"/>
                <w:lang w:eastAsia="tr-TR"/>
              </w:rPr>
            </w:pPr>
            <w:r>
              <w:rPr>
                <w:rFonts w:ascii="Arial" w:hAnsi="Arial" w:cs="Arial"/>
                <w:sz w:val="16"/>
                <w:szCs w:val="16"/>
              </w:rPr>
              <w:t>12.030.935,35</w:t>
            </w:r>
          </w:p>
        </w:tc>
        <w:tc>
          <w:tcPr>
            <w:tcW w:w="44" w:type="pct"/>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p>
        </w:tc>
        <w:tc>
          <w:tcPr>
            <w:tcW w:w="128" w:type="pct"/>
            <w:tcBorders>
              <w:top w:val="nil"/>
              <w:left w:val="single" w:sz="8" w:space="0" w:color="auto"/>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600</w:t>
            </w:r>
          </w:p>
        </w:tc>
        <w:tc>
          <w:tcPr>
            <w:tcW w:w="96" w:type="pct"/>
            <w:tcBorders>
              <w:top w:val="nil"/>
              <w:left w:val="nil"/>
              <w:bottom w:val="single" w:sz="4" w:space="0" w:color="auto"/>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03</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02</w:t>
            </w:r>
          </w:p>
        </w:tc>
        <w:tc>
          <w:tcPr>
            <w:tcW w:w="96" w:type="pct"/>
            <w:gridSpan w:val="2"/>
            <w:tcBorders>
              <w:top w:val="nil"/>
              <w:left w:val="nil"/>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01</w:t>
            </w:r>
          </w:p>
        </w:tc>
        <w:tc>
          <w:tcPr>
            <w:tcW w:w="96" w:type="pct"/>
            <w:gridSpan w:val="2"/>
            <w:tcBorders>
              <w:top w:val="nil"/>
              <w:left w:val="nil"/>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12</w:t>
            </w:r>
          </w:p>
        </w:tc>
        <w:tc>
          <w:tcPr>
            <w:tcW w:w="871" w:type="pct"/>
            <w:gridSpan w:val="4"/>
            <w:tcBorders>
              <w:top w:val="nil"/>
              <w:left w:val="nil"/>
              <w:bottom w:val="single" w:sz="4" w:space="0" w:color="auto"/>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Petrol Piyasası Lisans Gelirleri</w:t>
            </w:r>
          </w:p>
        </w:tc>
        <w:tc>
          <w:tcPr>
            <w:tcW w:w="376" w:type="pct"/>
            <w:gridSpan w:val="2"/>
            <w:tcBorders>
              <w:top w:val="nil"/>
              <w:left w:val="single" w:sz="8" w:space="0" w:color="auto"/>
              <w:bottom w:val="single" w:sz="4" w:space="0" w:color="auto"/>
              <w:right w:val="single" w:sz="8"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sz w:val="16"/>
                <w:szCs w:val="16"/>
                <w:lang w:eastAsia="tr-TR"/>
              </w:rPr>
            </w:pPr>
            <w:r>
              <w:rPr>
                <w:rFonts w:ascii="Arial" w:hAnsi="Arial" w:cs="Arial"/>
                <w:sz w:val="16"/>
                <w:szCs w:val="16"/>
              </w:rPr>
              <w:t>194.029.818,99</w:t>
            </w:r>
          </w:p>
        </w:tc>
        <w:tc>
          <w:tcPr>
            <w:tcW w:w="392" w:type="pct"/>
            <w:gridSpan w:val="2"/>
            <w:tcBorders>
              <w:top w:val="nil"/>
              <w:left w:val="nil"/>
              <w:bottom w:val="single" w:sz="4" w:space="0" w:color="auto"/>
              <w:right w:val="single" w:sz="8"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sz w:val="16"/>
                <w:szCs w:val="16"/>
                <w:lang w:eastAsia="tr-TR"/>
              </w:rPr>
            </w:pPr>
            <w:r>
              <w:rPr>
                <w:rFonts w:ascii="Arial" w:hAnsi="Arial" w:cs="Arial"/>
                <w:sz w:val="16"/>
                <w:szCs w:val="16"/>
              </w:rPr>
              <w:t>220.158.204,99</w:t>
            </w:r>
          </w:p>
        </w:tc>
        <w:tc>
          <w:tcPr>
            <w:tcW w:w="389" w:type="pct"/>
            <w:gridSpan w:val="2"/>
            <w:tcBorders>
              <w:top w:val="nil"/>
              <w:left w:val="nil"/>
              <w:bottom w:val="single" w:sz="4" w:space="0" w:color="auto"/>
              <w:right w:val="single" w:sz="8" w:space="0" w:color="auto"/>
            </w:tcBorders>
            <w:shd w:val="clear" w:color="auto" w:fill="auto"/>
            <w:noWrap/>
            <w:vAlign w:val="center"/>
          </w:tcPr>
          <w:p w:rsidR="005C287E" w:rsidRPr="000875F4" w:rsidRDefault="005C287E" w:rsidP="005C287E">
            <w:pPr>
              <w:spacing w:after="0" w:line="240" w:lineRule="auto"/>
              <w:jc w:val="right"/>
              <w:rPr>
                <w:rFonts w:ascii="Arial" w:eastAsia="Times New Roman" w:hAnsi="Arial" w:cs="Arial"/>
                <w:sz w:val="16"/>
                <w:szCs w:val="16"/>
                <w:lang w:eastAsia="tr-TR"/>
              </w:rPr>
            </w:pPr>
            <w:r>
              <w:rPr>
                <w:rFonts w:ascii="Arial" w:hAnsi="Arial" w:cs="Arial"/>
                <w:sz w:val="16"/>
                <w:szCs w:val="16"/>
              </w:rPr>
              <w:t>359.501.988,25</w:t>
            </w:r>
          </w:p>
        </w:tc>
      </w:tr>
      <w:tr w:rsidR="005C287E" w:rsidRPr="000875F4" w:rsidTr="005C287E">
        <w:trPr>
          <w:gridAfter w:val="1"/>
          <w:wAfter w:w="23" w:type="pct"/>
          <w:trHeight w:val="20"/>
        </w:trPr>
        <w:tc>
          <w:tcPr>
            <w:tcW w:w="123" w:type="pct"/>
            <w:tcBorders>
              <w:top w:val="nil"/>
              <w:left w:val="single" w:sz="8" w:space="0" w:color="auto"/>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630</w:t>
            </w:r>
          </w:p>
        </w:tc>
        <w:tc>
          <w:tcPr>
            <w:tcW w:w="96" w:type="pct"/>
            <w:tcBorders>
              <w:top w:val="nil"/>
              <w:left w:val="nil"/>
              <w:bottom w:val="single" w:sz="4" w:space="0" w:color="auto"/>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03</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05</w:t>
            </w:r>
          </w:p>
        </w:tc>
        <w:tc>
          <w:tcPr>
            <w:tcW w:w="897" w:type="pct"/>
            <w:gridSpan w:val="2"/>
            <w:tcBorders>
              <w:top w:val="nil"/>
              <w:left w:val="nil"/>
              <w:bottom w:val="single" w:sz="4" w:space="0" w:color="auto"/>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Hizmet Alımları</w:t>
            </w:r>
          </w:p>
        </w:tc>
        <w:tc>
          <w:tcPr>
            <w:tcW w:w="416"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sz w:val="16"/>
                <w:szCs w:val="16"/>
                <w:lang w:eastAsia="tr-TR"/>
              </w:rPr>
            </w:pPr>
            <w:r>
              <w:rPr>
                <w:rFonts w:ascii="Arial" w:hAnsi="Arial" w:cs="Arial"/>
                <w:sz w:val="16"/>
                <w:szCs w:val="16"/>
              </w:rPr>
              <w:t>116.438.092,99</w:t>
            </w:r>
          </w:p>
        </w:tc>
        <w:tc>
          <w:tcPr>
            <w:tcW w:w="376" w:type="pct"/>
            <w:gridSpan w:val="2"/>
            <w:tcBorders>
              <w:top w:val="single" w:sz="4" w:space="0" w:color="auto"/>
              <w:left w:val="nil"/>
              <w:bottom w:val="single" w:sz="4" w:space="0" w:color="auto"/>
              <w:right w:val="single" w:sz="4"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sz w:val="16"/>
                <w:szCs w:val="16"/>
                <w:lang w:eastAsia="tr-TR"/>
              </w:rPr>
            </w:pPr>
            <w:r>
              <w:rPr>
                <w:rFonts w:ascii="Arial" w:hAnsi="Arial" w:cs="Arial"/>
                <w:sz w:val="16"/>
                <w:szCs w:val="16"/>
              </w:rPr>
              <w:t>127.188.107,74</w:t>
            </w:r>
          </w:p>
        </w:tc>
        <w:tc>
          <w:tcPr>
            <w:tcW w:w="390" w:type="pct"/>
            <w:gridSpan w:val="2"/>
            <w:tcBorders>
              <w:top w:val="single" w:sz="4" w:space="0" w:color="auto"/>
              <w:left w:val="nil"/>
              <w:bottom w:val="single" w:sz="4" w:space="0" w:color="auto"/>
              <w:right w:val="single" w:sz="4"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bCs/>
                <w:sz w:val="16"/>
                <w:szCs w:val="18"/>
                <w:lang w:eastAsia="tr-TR"/>
              </w:rPr>
            </w:pPr>
            <w:r>
              <w:rPr>
                <w:rFonts w:ascii="Arial" w:hAnsi="Arial" w:cs="Arial"/>
                <w:sz w:val="16"/>
                <w:szCs w:val="16"/>
              </w:rPr>
              <w:t>165.534.459,82</w:t>
            </w:r>
          </w:p>
        </w:tc>
        <w:tc>
          <w:tcPr>
            <w:tcW w:w="44" w:type="pct"/>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p>
        </w:tc>
        <w:tc>
          <w:tcPr>
            <w:tcW w:w="128" w:type="pct"/>
            <w:tcBorders>
              <w:top w:val="nil"/>
              <w:left w:val="single" w:sz="8" w:space="0" w:color="auto"/>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600</w:t>
            </w:r>
          </w:p>
        </w:tc>
        <w:tc>
          <w:tcPr>
            <w:tcW w:w="96" w:type="pct"/>
            <w:tcBorders>
              <w:top w:val="nil"/>
              <w:left w:val="nil"/>
              <w:bottom w:val="single" w:sz="4" w:space="0" w:color="auto"/>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03</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02</w:t>
            </w:r>
          </w:p>
        </w:tc>
        <w:tc>
          <w:tcPr>
            <w:tcW w:w="96" w:type="pct"/>
            <w:gridSpan w:val="2"/>
            <w:tcBorders>
              <w:top w:val="nil"/>
              <w:left w:val="nil"/>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01</w:t>
            </w:r>
          </w:p>
        </w:tc>
        <w:tc>
          <w:tcPr>
            <w:tcW w:w="96" w:type="pct"/>
            <w:gridSpan w:val="2"/>
            <w:tcBorders>
              <w:top w:val="nil"/>
              <w:left w:val="nil"/>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13</w:t>
            </w:r>
          </w:p>
        </w:tc>
        <w:tc>
          <w:tcPr>
            <w:tcW w:w="871" w:type="pct"/>
            <w:gridSpan w:val="4"/>
            <w:tcBorders>
              <w:top w:val="nil"/>
              <w:left w:val="nil"/>
              <w:bottom w:val="single" w:sz="4" w:space="0" w:color="auto"/>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LPG Piyasası Lisans Gelirleri</w:t>
            </w:r>
          </w:p>
        </w:tc>
        <w:tc>
          <w:tcPr>
            <w:tcW w:w="376" w:type="pct"/>
            <w:gridSpan w:val="2"/>
            <w:tcBorders>
              <w:top w:val="nil"/>
              <w:left w:val="single" w:sz="8" w:space="0" w:color="auto"/>
              <w:bottom w:val="single" w:sz="4" w:space="0" w:color="auto"/>
              <w:right w:val="single" w:sz="8"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sz w:val="16"/>
                <w:szCs w:val="16"/>
                <w:lang w:eastAsia="tr-TR"/>
              </w:rPr>
            </w:pPr>
            <w:r>
              <w:rPr>
                <w:rFonts w:ascii="Arial" w:hAnsi="Arial" w:cs="Arial"/>
                <w:sz w:val="16"/>
                <w:szCs w:val="16"/>
              </w:rPr>
              <w:t>38.185.808,93</w:t>
            </w:r>
          </w:p>
        </w:tc>
        <w:tc>
          <w:tcPr>
            <w:tcW w:w="392" w:type="pct"/>
            <w:gridSpan w:val="2"/>
            <w:tcBorders>
              <w:top w:val="nil"/>
              <w:left w:val="nil"/>
              <w:bottom w:val="single" w:sz="4" w:space="0" w:color="auto"/>
              <w:right w:val="single" w:sz="8"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sz w:val="16"/>
                <w:szCs w:val="16"/>
                <w:lang w:eastAsia="tr-TR"/>
              </w:rPr>
            </w:pPr>
            <w:r>
              <w:rPr>
                <w:rFonts w:ascii="Arial" w:hAnsi="Arial" w:cs="Arial"/>
                <w:sz w:val="16"/>
                <w:szCs w:val="16"/>
              </w:rPr>
              <w:t>36.835.885,74</w:t>
            </w:r>
          </w:p>
        </w:tc>
        <w:tc>
          <w:tcPr>
            <w:tcW w:w="389" w:type="pct"/>
            <w:gridSpan w:val="2"/>
            <w:tcBorders>
              <w:top w:val="nil"/>
              <w:left w:val="nil"/>
              <w:bottom w:val="single" w:sz="4" w:space="0" w:color="auto"/>
              <w:right w:val="single" w:sz="8" w:space="0" w:color="auto"/>
            </w:tcBorders>
            <w:shd w:val="clear" w:color="auto" w:fill="auto"/>
            <w:noWrap/>
            <w:vAlign w:val="center"/>
          </w:tcPr>
          <w:p w:rsidR="005C287E" w:rsidRPr="000875F4" w:rsidRDefault="005C287E" w:rsidP="005C287E">
            <w:pPr>
              <w:spacing w:after="0" w:line="240" w:lineRule="auto"/>
              <w:jc w:val="right"/>
              <w:rPr>
                <w:rFonts w:ascii="Arial" w:eastAsia="Times New Roman" w:hAnsi="Arial" w:cs="Arial"/>
                <w:sz w:val="16"/>
                <w:szCs w:val="16"/>
                <w:lang w:eastAsia="tr-TR"/>
              </w:rPr>
            </w:pPr>
            <w:r>
              <w:rPr>
                <w:rFonts w:ascii="Arial" w:hAnsi="Arial" w:cs="Arial"/>
                <w:sz w:val="16"/>
                <w:szCs w:val="16"/>
              </w:rPr>
              <w:t>56.134.644,67</w:t>
            </w:r>
          </w:p>
        </w:tc>
      </w:tr>
      <w:tr w:rsidR="005C287E" w:rsidRPr="000875F4" w:rsidTr="005C287E">
        <w:trPr>
          <w:gridAfter w:val="1"/>
          <w:wAfter w:w="23" w:type="pct"/>
          <w:trHeight w:val="20"/>
        </w:trPr>
        <w:tc>
          <w:tcPr>
            <w:tcW w:w="123" w:type="pct"/>
            <w:tcBorders>
              <w:top w:val="nil"/>
              <w:left w:val="single" w:sz="8" w:space="0" w:color="auto"/>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630</w:t>
            </w:r>
          </w:p>
        </w:tc>
        <w:tc>
          <w:tcPr>
            <w:tcW w:w="96" w:type="pct"/>
            <w:tcBorders>
              <w:top w:val="nil"/>
              <w:left w:val="nil"/>
              <w:bottom w:val="single" w:sz="4" w:space="0" w:color="auto"/>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03</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06</w:t>
            </w:r>
          </w:p>
        </w:tc>
        <w:tc>
          <w:tcPr>
            <w:tcW w:w="897" w:type="pct"/>
            <w:gridSpan w:val="2"/>
            <w:tcBorders>
              <w:top w:val="nil"/>
              <w:left w:val="nil"/>
              <w:bottom w:val="single" w:sz="4" w:space="0" w:color="auto"/>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Temsil ve Tanıtma Giderleri</w:t>
            </w:r>
          </w:p>
        </w:tc>
        <w:tc>
          <w:tcPr>
            <w:tcW w:w="416"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sz w:val="16"/>
                <w:szCs w:val="16"/>
                <w:lang w:eastAsia="tr-TR"/>
              </w:rPr>
            </w:pPr>
            <w:r>
              <w:rPr>
                <w:rFonts w:ascii="Arial" w:hAnsi="Arial" w:cs="Arial"/>
                <w:sz w:val="16"/>
                <w:szCs w:val="16"/>
              </w:rPr>
              <w:t>96.930,57</w:t>
            </w:r>
          </w:p>
        </w:tc>
        <w:tc>
          <w:tcPr>
            <w:tcW w:w="376" w:type="pct"/>
            <w:gridSpan w:val="2"/>
            <w:tcBorders>
              <w:top w:val="single" w:sz="4" w:space="0" w:color="auto"/>
              <w:left w:val="nil"/>
              <w:bottom w:val="single" w:sz="4" w:space="0" w:color="auto"/>
              <w:right w:val="single" w:sz="4"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sz w:val="16"/>
                <w:szCs w:val="16"/>
                <w:lang w:eastAsia="tr-TR"/>
              </w:rPr>
            </w:pPr>
            <w:r>
              <w:rPr>
                <w:rFonts w:ascii="Arial" w:hAnsi="Arial" w:cs="Arial"/>
                <w:sz w:val="16"/>
                <w:szCs w:val="16"/>
              </w:rPr>
              <w:t>153.056,40</w:t>
            </w:r>
          </w:p>
        </w:tc>
        <w:tc>
          <w:tcPr>
            <w:tcW w:w="390" w:type="pct"/>
            <w:gridSpan w:val="2"/>
            <w:tcBorders>
              <w:top w:val="single" w:sz="4" w:space="0" w:color="auto"/>
              <w:left w:val="nil"/>
              <w:bottom w:val="single" w:sz="4" w:space="0" w:color="auto"/>
              <w:right w:val="single" w:sz="4"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bCs/>
                <w:sz w:val="16"/>
                <w:szCs w:val="18"/>
                <w:lang w:eastAsia="tr-TR"/>
              </w:rPr>
            </w:pPr>
            <w:r>
              <w:rPr>
                <w:rFonts w:ascii="Arial" w:hAnsi="Arial" w:cs="Arial"/>
                <w:sz w:val="16"/>
                <w:szCs w:val="16"/>
              </w:rPr>
              <w:t>287.669,31</w:t>
            </w:r>
          </w:p>
        </w:tc>
        <w:tc>
          <w:tcPr>
            <w:tcW w:w="44" w:type="pct"/>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p>
        </w:tc>
        <w:tc>
          <w:tcPr>
            <w:tcW w:w="128" w:type="pct"/>
            <w:tcBorders>
              <w:top w:val="nil"/>
              <w:left w:val="single" w:sz="8" w:space="0" w:color="auto"/>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b/>
                <w:sz w:val="16"/>
                <w:szCs w:val="16"/>
                <w:lang w:eastAsia="tr-TR"/>
              </w:rPr>
            </w:pPr>
            <w:r w:rsidRPr="000875F4">
              <w:rPr>
                <w:rFonts w:ascii="Arial TUR" w:eastAsia="Times New Roman" w:hAnsi="Arial TUR" w:cs="Arial TUR"/>
                <w:b/>
                <w:sz w:val="16"/>
                <w:szCs w:val="16"/>
                <w:lang w:eastAsia="tr-TR"/>
              </w:rPr>
              <w:t>600</w:t>
            </w:r>
          </w:p>
        </w:tc>
        <w:tc>
          <w:tcPr>
            <w:tcW w:w="96" w:type="pct"/>
            <w:tcBorders>
              <w:top w:val="nil"/>
              <w:left w:val="nil"/>
              <w:bottom w:val="single" w:sz="4" w:space="0" w:color="auto"/>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b/>
                <w:sz w:val="16"/>
                <w:szCs w:val="16"/>
                <w:lang w:eastAsia="tr-TR"/>
              </w:rPr>
            </w:pPr>
            <w:r w:rsidRPr="000875F4">
              <w:rPr>
                <w:rFonts w:ascii="Arial TUR" w:eastAsia="Times New Roman" w:hAnsi="Arial TUR" w:cs="Arial TUR"/>
                <w:b/>
                <w:sz w:val="16"/>
                <w:szCs w:val="16"/>
                <w:lang w:eastAsia="tr-TR"/>
              </w:rPr>
              <w:t>05</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 </w:t>
            </w:r>
          </w:p>
        </w:tc>
        <w:tc>
          <w:tcPr>
            <w:tcW w:w="96" w:type="pct"/>
            <w:gridSpan w:val="2"/>
            <w:tcBorders>
              <w:top w:val="nil"/>
              <w:left w:val="nil"/>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 </w:t>
            </w:r>
          </w:p>
        </w:tc>
        <w:tc>
          <w:tcPr>
            <w:tcW w:w="96" w:type="pct"/>
            <w:gridSpan w:val="2"/>
            <w:tcBorders>
              <w:top w:val="nil"/>
              <w:left w:val="nil"/>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 </w:t>
            </w:r>
          </w:p>
        </w:tc>
        <w:tc>
          <w:tcPr>
            <w:tcW w:w="871" w:type="pct"/>
            <w:gridSpan w:val="4"/>
            <w:tcBorders>
              <w:top w:val="nil"/>
              <w:left w:val="nil"/>
              <w:bottom w:val="single" w:sz="4" w:space="0" w:color="auto"/>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b/>
                <w:bCs/>
                <w:sz w:val="16"/>
                <w:szCs w:val="16"/>
                <w:lang w:eastAsia="tr-TR"/>
              </w:rPr>
            </w:pPr>
            <w:r w:rsidRPr="000875F4">
              <w:rPr>
                <w:rFonts w:ascii="Arial TUR" w:eastAsia="Times New Roman" w:hAnsi="Arial TUR" w:cs="Arial TUR"/>
                <w:b/>
                <w:bCs/>
                <w:sz w:val="16"/>
                <w:szCs w:val="16"/>
                <w:lang w:eastAsia="tr-TR"/>
              </w:rPr>
              <w:t>Diğer Gelirler</w:t>
            </w:r>
          </w:p>
        </w:tc>
        <w:tc>
          <w:tcPr>
            <w:tcW w:w="376" w:type="pct"/>
            <w:gridSpan w:val="2"/>
            <w:tcBorders>
              <w:top w:val="nil"/>
              <w:left w:val="single" w:sz="8" w:space="0" w:color="auto"/>
              <w:bottom w:val="single" w:sz="4" w:space="0" w:color="auto"/>
              <w:right w:val="single" w:sz="8"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b/>
                <w:bCs/>
                <w:sz w:val="16"/>
                <w:szCs w:val="16"/>
                <w:lang w:eastAsia="tr-TR"/>
              </w:rPr>
            </w:pPr>
            <w:r>
              <w:rPr>
                <w:rFonts w:ascii="Arial" w:hAnsi="Arial" w:cs="Arial"/>
                <w:b/>
                <w:bCs/>
                <w:sz w:val="16"/>
                <w:szCs w:val="16"/>
              </w:rPr>
              <w:t>83.460.657,79</w:t>
            </w:r>
          </w:p>
        </w:tc>
        <w:tc>
          <w:tcPr>
            <w:tcW w:w="392" w:type="pct"/>
            <w:gridSpan w:val="2"/>
            <w:tcBorders>
              <w:top w:val="nil"/>
              <w:left w:val="nil"/>
              <w:bottom w:val="single" w:sz="4" w:space="0" w:color="auto"/>
              <w:right w:val="single" w:sz="8"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b/>
                <w:bCs/>
                <w:sz w:val="16"/>
                <w:szCs w:val="16"/>
                <w:lang w:eastAsia="tr-TR"/>
              </w:rPr>
            </w:pPr>
            <w:r>
              <w:rPr>
                <w:rFonts w:ascii="Arial" w:hAnsi="Arial" w:cs="Arial"/>
                <w:b/>
                <w:bCs/>
                <w:sz w:val="16"/>
                <w:szCs w:val="16"/>
              </w:rPr>
              <w:t>116.774.408,33</w:t>
            </w:r>
          </w:p>
        </w:tc>
        <w:tc>
          <w:tcPr>
            <w:tcW w:w="389" w:type="pct"/>
            <w:gridSpan w:val="2"/>
            <w:tcBorders>
              <w:top w:val="nil"/>
              <w:left w:val="nil"/>
              <w:bottom w:val="single" w:sz="4" w:space="0" w:color="auto"/>
              <w:right w:val="single" w:sz="8" w:space="0" w:color="auto"/>
            </w:tcBorders>
            <w:shd w:val="clear" w:color="auto" w:fill="auto"/>
            <w:noWrap/>
            <w:vAlign w:val="center"/>
          </w:tcPr>
          <w:p w:rsidR="005C287E" w:rsidRPr="000875F4" w:rsidRDefault="005C287E" w:rsidP="005C287E">
            <w:pPr>
              <w:spacing w:after="0" w:line="240" w:lineRule="auto"/>
              <w:jc w:val="right"/>
              <w:rPr>
                <w:rFonts w:ascii="Arial" w:eastAsia="Times New Roman" w:hAnsi="Arial" w:cs="Arial"/>
                <w:b/>
                <w:bCs/>
                <w:sz w:val="16"/>
                <w:szCs w:val="16"/>
                <w:lang w:eastAsia="tr-TR"/>
              </w:rPr>
            </w:pPr>
            <w:r>
              <w:rPr>
                <w:rFonts w:ascii="Arial" w:hAnsi="Arial" w:cs="Arial"/>
                <w:b/>
                <w:bCs/>
                <w:sz w:val="16"/>
                <w:szCs w:val="16"/>
              </w:rPr>
              <w:t>136.621.969,89</w:t>
            </w:r>
          </w:p>
        </w:tc>
      </w:tr>
      <w:tr w:rsidR="005C287E" w:rsidRPr="000875F4" w:rsidTr="005C287E">
        <w:trPr>
          <w:gridAfter w:val="1"/>
          <w:wAfter w:w="23" w:type="pct"/>
          <w:trHeight w:val="20"/>
        </w:trPr>
        <w:tc>
          <w:tcPr>
            <w:tcW w:w="123" w:type="pct"/>
            <w:tcBorders>
              <w:top w:val="nil"/>
              <w:left w:val="single" w:sz="8" w:space="0" w:color="auto"/>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630</w:t>
            </w:r>
          </w:p>
        </w:tc>
        <w:tc>
          <w:tcPr>
            <w:tcW w:w="96" w:type="pct"/>
            <w:tcBorders>
              <w:top w:val="nil"/>
              <w:left w:val="nil"/>
              <w:bottom w:val="single" w:sz="4" w:space="0" w:color="auto"/>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03</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07</w:t>
            </w:r>
          </w:p>
        </w:tc>
        <w:tc>
          <w:tcPr>
            <w:tcW w:w="897" w:type="pct"/>
            <w:gridSpan w:val="2"/>
            <w:tcBorders>
              <w:top w:val="nil"/>
              <w:left w:val="nil"/>
              <w:bottom w:val="single" w:sz="4" w:space="0" w:color="auto"/>
              <w:right w:val="nil"/>
            </w:tcBorders>
            <w:shd w:val="clear" w:color="auto" w:fill="auto"/>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Menkul Mal, Gayrimaddi Hak Alımı, Bakım Onarım Gideri</w:t>
            </w:r>
          </w:p>
        </w:tc>
        <w:tc>
          <w:tcPr>
            <w:tcW w:w="416"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sz w:val="16"/>
                <w:szCs w:val="16"/>
                <w:lang w:eastAsia="tr-TR"/>
              </w:rPr>
            </w:pPr>
            <w:r>
              <w:rPr>
                <w:rFonts w:ascii="Arial" w:hAnsi="Arial" w:cs="Arial"/>
                <w:sz w:val="16"/>
                <w:szCs w:val="16"/>
              </w:rPr>
              <w:t>653.972,55</w:t>
            </w:r>
          </w:p>
        </w:tc>
        <w:tc>
          <w:tcPr>
            <w:tcW w:w="376" w:type="pct"/>
            <w:gridSpan w:val="2"/>
            <w:tcBorders>
              <w:top w:val="single" w:sz="4" w:space="0" w:color="auto"/>
              <w:left w:val="nil"/>
              <w:bottom w:val="single" w:sz="4" w:space="0" w:color="auto"/>
              <w:right w:val="single" w:sz="4"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sz w:val="16"/>
                <w:szCs w:val="16"/>
                <w:lang w:eastAsia="tr-TR"/>
              </w:rPr>
            </w:pPr>
            <w:r>
              <w:rPr>
                <w:rFonts w:ascii="Arial" w:hAnsi="Arial" w:cs="Arial"/>
                <w:sz w:val="16"/>
                <w:szCs w:val="16"/>
              </w:rPr>
              <w:t>1.143.686,81</w:t>
            </w:r>
          </w:p>
        </w:tc>
        <w:tc>
          <w:tcPr>
            <w:tcW w:w="390" w:type="pct"/>
            <w:gridSpan w:val="2"/>
            <w:tcBorders>
              <w:top w:val="single" w:sz="4" w:space="0" w:color="auto"/>
              <w:left w:val="nil"/>
              <w:bottom w:val="single" w:sz="4" w:space="0" w:color="auto"/>
              <w:right w:val="single" w:sz="4"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bCs/>
                <w:sz w:val="16"/>
                <w:szCs w:val="18"/>
                <w:lang w:eastAsia="tr-TR"/>
              </w:rPr>
            </w:pPr>
            <w:r>
              <w:rPr>
                <w:rFonts w:ascii="Arial" w:hAnsi="Arial" w:cs="Arial"/>
                <w:sz w:val="16"/>
                <w:szCs w:val="16"/>
              </w:rPr>
              <w:t>1.299.520,87</w:t>
            </w:r>
          </w:p>
        </w:tc>
        <w:tc>
          <w:tcPr>
            <w:tcW w:w="44" w:type="pct"/>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p>
        </w:tc>
        <w:tc>
          <w:tcPr>
            <w:tcW w:w="128" w:type="pct"/>
            <w:tcBorders>
              <w:top w:val="nil"/>
              <w:left w:val="single" w:sz="8" w:space="0" w:color="auto"/>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600</w:t>
            </w:r>
          </w:p>
        </w:tc>
        <w:tc>
          <w:tcPr>
            <w:tcW w:w="96" w:type="pct"/>
            <w:tcBorders>
              <w:top w:val="nil"/>
              <w:left w:val="nil"/>
              <w:bottom w:val="single" w:sz="4" w:space="0" w:color="auto"/>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05</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01</w:t>
            </w:r>
          </w:p>
        </w:tc>
        <w:tc>
          <w:tcPr>
            <w:tcW w:w="96" w:type="pct"/>
            <w:gridSpan w:val="2"/>
            <w:tcBorders>
              <w:top w:val="nil"/>
              <w:left w:val="nil"/>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 </w:t>
            </w:r>
          </w:p>
        </w:tc>
        <w:tc>
          <w:tcPr>
            <w:tcW w:w="96" w:type="pct"/>
            <w:gridSpan w:val="2"/>
            <w:tcBorders>
              <w:top w:val="nil"/>
              <w:left w:val="nil"/>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 </w:t>
            </w:r>
          </w:p>
        </w:tc>
        <w:tc>
          <w:tcPr>
            <w:tcW w:w="871" w:type="pct"/>
            <w:gridSpan w:val="4"/>
            <w:tcBorders>
              <w:top w:val="nil"/>
              <w:left w:val="nil"/>
              <w:bottom w:val="single" w:sz="4" w:space="0" w:color="auto"/>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bCs/>
                <w:sz w:val="16"/>
                <w:szCs w:val="16"/>
                <w:lang w:eastAsia="tr-TR"/>
              </w:rPr>
            </w:pPr>
            <w:r w:rsidRPr="000875F4">
              <w:rPr>
                <w:rFonts w:ascii="Arial TUR" w:eastAsia="Times New Roman" w:hAnsi="Arial TUR" w:cs="Arial TUR"/>
                <w:bCs/>
                <w:sz w:val="16"/>
                <w:szCs w:val="16"/>
                <w:lang w:eastAsia="tr-TR"/>
              </w:rPr>
              <w:t>Faiz Gelirleri</w:t>
            </w:r>
          </w:p>
        </w:tc>
        <w:tc>
          <w:tcPr>
            <w:tcW w:w="376" w:type="pct"/>
            <w:gridSpan w:val="2"/>
            <w:tcBorders>
              <w:top w:val="nil"/>
              <w:left w:val="single" w:sz="8" w:space="0" w:color="auto"/>
              <w:bottom w:val="single" w:sz="4" w:space="0" w:color="auto"/>
              <w:right w:val="single" w:sz="8"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bCs/>
                <w:sz w:val="16"/>
                <w:szCs w:val="16"/>
                <w:lang w:eastAsia="tr-TR"/>
              </w:rPr>
            </w:pPr>
            <w:r>
              <w:rPr>
                <w:rFonts w:ascii="Arial" w:hAnsi="Arial" w:cs="Arial"/>
                <w:b/>
                <w:bCs/>
                <w:sz w:val="16"/>
                <w:szCs w:val="16"/>
              </w:rPr>
              <w:t>0,00</w:t>
            </w:r>
          </w:p>
        </w:tc>
        <w:tc>
          <w:tcPr>
            <w:tcW w:w="392" w:type="pct"/>
            <w:gridSpan w:val="2"/>
            <w:tcBorders>
              <w:top w:val="nil"/>
              <w:left w:val="nil"/>
              <w:bottom w:val="single" w:sz="4" w:space="0" w:color="auto"/>
              <w:right w:val="single" w:sz="8"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bCs/>
                <w:sz w:val="16"/>
                <w:szCs w:val="16"/>
                <w:lang w:eastAsia="tr-TR"/>
              </w:rPr>
            </w:pPr>
            <w:r>
              <w:rPr>
                <w:rFonts w:ascii="Arial" w:hAnsi="Arial" w:cs="Arial"/>
                <w:b/>
                <w:bCs/>
                <w:sz w:val="16"/>
                <w:szCs w:val="16"/>
              </w:rPr>
              <w:t>0,00</w:t>
            </w:r>
          </w:p>
        </w:tc>
        <w:tc>
          <w:tcPr>
            <w:tcW w:w="389" w:type="pct"/>
            <w:gridSpan w:val="2"/>
            <w:tcBorders>
              <w:top w:val="nil"/>
              <w:left w:val="nil"/>
              <w:bottom w:val="single" w:sz="4" w:space="0" w:color="auto"/>
              <w:right w:val="single" w:sz="8" w:space="0" w:color="auto"/>
            </w:tcBorders>
            <w:shd w:val="clear" w:color="auto" w:fill="auto"/>
            <w:noWrap/>
            <w:vAlign w:val="center"/>
          </w:tcPr>
          <w:p w:rsidR="005C287E" w:rsidRPr="000875F4" w:rsidRDefault="005C287E" w:rsidP="005C287E">
            <w:pPr>
              <w:spacing w:after="0" w:line="240" w:lineRule="auto"/>
              <w:jc w:val="right"/>
              <w:rPr>
                <w:rFonts w:ascii="Arial" w:eastAsia="Times New Roman" w:hAnsi="Arial" w:cs="Arial"/>
                <w:bCs/>
                <w:sz w:val="16"/>
                <w:szCs w:val="16"/>
                <w:lang w:eastAsia="tr-TR"/>
              </w:rPr>
            </w:pPr>
            <w:r>
              <w:rPr>
                <w:rFonts w:ascii="Arial" w:hAnsi="Arial" w:cs="Arial"/>
                <w:b/>
                <w:bCs/>
                <w:sz w:val="16"/>
                <w:szCs w:val="16"/>
              </w:rPr>
              <w:t>0,00</w:t>
            </w:r>
          </w:p>
        </w:tc>
      </w:tr>
      <w:tr w:rsidR="005C287E" w:rsidRPr="000875F4" w:rsidTr="005C287E">
        <w:trPr>
          <w:gridAfter w:val="1"/>
          <w:wAfter w:w="23" w:type="pct"/>
          <w:trHeight w:val="20"/>
        </w:trPr>
        <w:tc>
          <w:tcPr>
            <w:tcW w:w="123" w:type="pct"/>
            <w:tcBorders>
              <w:top w:val="nil"/>
              <w:left w:val="single" w:sz="8" w:space="0" w:color="auto"/>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630</w:t>
            </w:r>
          </w:p>
        </w:tc>
        <w:tc>
          <w:tcPr>
            <w:tcW w:w="96" w:type="pct"/>
            <w:tcBorders>
              <w:top w:val="nil"/>
              <w:left w:val="nil"/>
              <w:bottom w:val="single" w:sz="4" w:space="0" w:color="auto"/>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03</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08</w:t>
            </w:r>
          </w:p>
        </w:tc>
        <w:tc>
          <w:tcPr>
            <w:tcW w:w="897" w:type="pct"/>
            <w:gridSpan w:val="2"/>
            <w:tcBorders>
              <w:top w:val="nil"/>
              <w:left w:val="nil"/>
              <w:bottom w:val="single" w:sz="4" w:space="0" w:color="auto"/>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Gayrimenkul Mal Bakım ve Onarım Gid.</w:t>
            </w:r>
          </w:p>
        </w:tc>
        <w:tc>
          <w:tcPr>
            <w:tcW w:w="416"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sz w:val="16"/>
                <w:szCs w:val="16"/>
                <w:lang w:eastAsia="tr-TR"/>
              </w:rPr>
            </w:pPr>
            <w:r>
              <w:rPr>
                <w:rFonts w:ascii="Arial" w:hAnsi="Arial" w:cs="Arial"/>
                <w:sz w:val="16"/>
                <w:szCs w:val="16"/>
              </w:rPr>
              <w:t>6.254,00</w:t>
            </w:r>
          </w:p>
        </w:tc>
        <w:tc>
          <w:tcPr>
            <w:tcW w:w="376" w:type="pct"/>
            <w:gridSpan w:val="2"/>
            <w:tcBorders>
              <w:top w:val="single" w:sz="4" w:space="0" w:color="auto"/>
              <w:left w:val="nil"/>
              <w:bottom w:val="single" w:sz="4" w:space="0" w:color="auto"/>
              <w:right w:val="single" w:sz="4"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sz w:val="16"/>
                <w:szCs w:val="16"/>
                <w:lang w:eastAsia="tr-TR"/>
              </w:rPr>
            </w:pPr>
            <w:r>
              <w:rPr>
                <w:rFonts w:ascii="Arial" w:hAnsi="Arial" w:cs="Arial"/>
                <w:sz w:val="16"/>
                <w:szCs w:val="16"/>
              </w:rPr>
              <w:t>306.139,20</w:t>
            </w:r>
          </w:p>
        </w:tc>
        <w:tc>
          <w:tcPr>
            <w:tcW w:w="390" w:type="pct"/>
            <w:gridSpan w:val="2"/>
            <w:tcBorders>
              <w:top w:val="single" w:sz="4" w:space="0" w:color="auto"/>
              <w:left w:val="nil"/>
              <w:bottom w:val="single" w:sz="4" w:space="0" w:color="auto"/>
              <w:right w:val="single" w:sz="4"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bCs/>
                <w:sz w:val="16"/>
                <w:szCs w:val="18"/>
                <w:lang w:eastAsia="tr-TR"/>
              </w:rPr>
            </w:pPr>
            <w:r>
              <w:rPr>
                <w:rFonts w:ascii="Arial" w:hAnsi="Arial" w:cs="Arial"/>
                <w:sz w:val="16"/>
                <w:szCs w:val="16"/>
              </w:rPr>
              <w:t>0,00</w:t>
            </w:r>
          </w:p>
        </w:tc>
        <w:tc>
          <w:tcPr>
            <w:tcW w:w="44" w:type="pct"/>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p>
        </w:tc>
        <w:tc>
          <w:tcPr>
            <w:tcW w:w="128" w:type="pct"/>
            <w:tcBorders>
              <w:top w:val="nil"/>
              <w:left w:val="single" w:sz="8" w:space="0" w:color="auto"/>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600</w:t>
            </w:r>
          </w:p>
        </w:tc>
        <w:tc>
          <w:tcPr>
            <w:tcW w:w="96" w:type="pct"/>
            <w:tcBorders>
              <w:top w:val="nil"/>
              <w:left w:val="nil"/>
              <w:bottom w:val="single" w:sz="4" w:space="0" w:color="auto"/>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05</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01</w:t>
            </w:r>
          </w:p>
        </w:tc>
        <w:tc>
          <w:tcPr>
            <w:tcW w:w="96" w:type="pct"/>
            <w:gridSpan w:val="2"/>
            <w:tcBorders>
              <w:top w:val="nil"/>
              <w:left w:val="nil"/>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09</w:t>
            </w:r>
          </w:p>
        </w:tc>
        <w:tc>
          <w:tcPr>
            <w:tcW w:w="96" w:type="pct"/>
            <w:gridSpan w:val="2"/>
            <w:tcBorders>
              <w:top w:val="nil"/>
              <w:left w:val="nil"/>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03</w:t>
            </w:r>
          </w:p>
        </w:tc>
        <w:tc>
          <w:tcPr>
            <w:tcW w:w="871" w:type="pct"/>
            <w:gridSpan w:val="4"/>
            <w:tcBorders>
              <w:top w:val="nil"/>
              <w:left w:val="nil"/>
              <w:bottom w:val="single" w:sz="4" w:space="0" w:color="auto"/>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Mevduat Faizleri</w:t>
            </w:r>
          </w:p>
        </w:tc>
        <w:tc>
          <w:tcPr>
            <w:tcW w:w="376" w:type="pct"/>
            <w:gridSpan w:val="2"/>
            <w:tcBorders>
              <w:top w:val="nil"/>
              <w:left w:val="single" w:sz="8" w:space="0" w:color="auto"/>
              <w:bottom w:val="single" w:sz="4" w:space="0" w:color="auto"/>
              <w:right w:val="single" w:sz="8"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sz w:val="16"/>
                <w:szCs w:val="16"/>
                <w:lang w:eastAsia="tr-TR"/>
              </w:rPr>
            </w:pPr>
            <w:r>
              <w:rPr>
                <w:rFonts w:ascii="Arial" w:hAnsi="Arial" w:cs="Arial"/>
                <w:b/>
                <w:bCs/>
                <w:sz w:val="16"/>
                <w:szCs w:val="16"/>
              </w:rPr>
              <w:t>0,00</w:t>
            </w:r>
          </w:p>
        </w:tc>
        <w:tc>
          <w:tcPr>
            <w:tcW w:w="392" w:type="pct"/>
            <w:gridSpan w:val="2"/>
            <w:tcBorders>
              <w:top w:val="nil"/>
              <w:left w:val="nil"/>
              <w:bottom w:val="single" w:sz="4" w:space="0" w:color="auto"/>
              <w:right w:val="single" w:sz="8"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sz w:val="16"/>
                <w:szCs w:val="16"/>
                <w:lang w:eastAsia="tr-TR"/>
              </w:rPr>
            </w:pPr>
            <w:r>
              <w:rPr>
                <w:rFonts w:ascii="Arial" w:hAnsi="Arial" w:cs="Arial"/>
                <w:b/>
                <w:bCs/>
                <w:sz w:val="16"/>
                <w:szCs w:val="16"/>
              </w:rPr>
              <w:t>0,00</w:t>
            </w:r>
          </w:p>
        </w:tc>
        <w:tc>
          <w:tcPr>
            <w:tcW w:w="389" w:type="pct"/>
            <w:gridSpan w:val="2"/>
            <w:tcBorders>
              <w:top w:val="nil"/>
              <w:left w:val="nil"/>
              <w:bottom w:val="single" w:sz="4" w:space="0" w:color="auto"/>
              <w:right w:val="single" w:sz="8" w:space="0" w:color="auto"/>
            </w:tcBorders>
            <w:shd w:val="clear" w:color="auto" w:fill="auto"/>
            <w:noWrap/>
            <w:vAlign w:val="center"/>
          </w:tcPr>
          <w:p w:rsidR="005C287E" w:rsidRPr="000875F4" w:rsidRDefault="005C287E" w:rsidP="005C287E">
            <w:pPr>
              <w:spacing w:after="0" w:line="240" w:lineRule="auto"/>
              <w:jc w:val="right"/>
              <w:rPr>
                <w:rFonts w:ascii="Arial" w:eastAsia="Times New Roman" w:hAnsi="Arial" w:cs="Arial"/>
                <w:sz w:val="16"/>
                <w:szCs w:val="16"/>
                <w:lang w:eastAsia="tr-TR"/>
              </w:rPr>
            </w:pPr>
            <w:r>
              <w:rPr>
                <w:rFonts w:ascii="Arial" w:hAnsi="Arial" w:cs="Arial"/>
                <w:b/>
                <w:bCs/>
                <w:sz w:val="16"/>
                <w:szCs w:val="16"/>
              </w:rPr>
              <w:t>0,00</w:t>
            </w:r>
          </w:p>
        </w:tc>
      </w:tr>
      <w:tr w:rsidR="005C287E" w:rsidRPr="000875F4" w:rsidTr="005C287E">
        <w:trPr>
          <w:gridAfter w:val="1"/>
          <w:wAfter w:w="23" w:type="pct"/>
          <w:trHeight w:val="20"/>
        </w:trPr>
        <w:tc>
          <w:tcPr>
            <w:tcW w:w="123" w:type="pct"/>
            <w:tcBorders>
              <w:top w:val="nil"/>
              <w:left w:val="single" w:sz="8" w:space="0" w:color="auto"/>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630</w:t>
            </w:r>
          </w:p>
        </w:tc>
        <w:tc>
          <w:tcPr>
            <w:tcW w:w="96" w:type="pct"/>
            <w:tcBorders>
              <w:top w:val="nil"/>
              <w:left w:val="nil"/>
              <w:bottom w:val="single" w:sz="4" w:space="0" w:color="auto"/>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03</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09</w:t>
            </w:r>
          </w:p>
        </w:tc>
        <w:tc>
          <w:tcPr>
            <w:tcW w:w="897" w:type="pct"/>
            <w:gridSpan w:val="2"/>
            <w:tcBorders>
              <w:top w:val="nil"/>
              <w:left w:val="nil"/>
              <w:bottom w:val="single" w:sz="4" w:space="0" w:color="auto"/>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Tedavi ve Cenaze Giderleri</w:t>
            </w:r>
          </w:p>
        </w:tc>
        <w:tc>
          <w:tcPr>
            <w:tcW w:w="416"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sz w:val="16"/>
                <w:szCs w:val="16"/>
                <w:lang w:eastAsia="tr-TR"/>
              </w:rPr>
            </w:pPr>
            <w:r>
              <w:rPr>
                <w:rFonts w:ascii="Arial" w:hAnsi="Arial" w:cs="Arial"/>
                <w:b/>
                <w:bCs/>
                <w:sz w:val="16"/>
                <w:szCs w:val="16"/>
              </w:rPr>
              <w:t>0,00</w:t>
            </w:r>
          </w:p>
        </w:tc>
        <w:tc>
          <w:tcPr>
            <w:tcW w:w="376" w:type="pct"/>
            <w:gridSpan w:val="2"/>
            <w:tcBorders>
              <w:top w:val="single" w:sz="4" w:space="0" w:color="auto"/>
              <w:left w:val="nil"/>
              <w:bottom w:val="single" w:sz="4" w:space="0" w:color="auto"/>
              <w:right w:val="single" w:sz="4"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sz w:val="16"/>
                <w:szCs w:val="16"/>
                <w:lang w:eastAsia="tr-TR"/>
              </w:rPr>
            </w:pPr>
            <w:r>
              <w:rPr>
                <w:rFonts w:ascii="Arial" w:hAnsi="Arial" w:cs="Arial"/>
                <w:b/>
                <w:bCs/>
                <w:sz w:val="16"/>
                <w:szCs w:val="16"/>
              </w:rPr>
              <w:t>0,00</w:t>
            </w:r>
          </w:p>
        </w:tc>
        <w:tc>
          <w:tcPr>
            <w:tcW w:w="390" w:type="pct"/>
            <w:gridSpan w:val="2"/>
            <w:tcBorders>
              <w:top w:val="single" w:sz="4" w:space="0" w:color="auto"/>
              <w:left w:val="nil"/>
              <w:bottom w:val="single" w:sz="4" w:space="0" w:color="auto"/>
              <w:right w:val="single" w:sz="4"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bCs/>
                <w:sz w:val="16"/>
                <w:szCs w:val="18"/>
                <w:lang w:eastAsia="tr-TR"/>
              </w:rPr>
            </w:pPr>
            <w:r>
              <w:rPr>
                <w:rFonts w:ascii="Arial" w:hAnsi="Arial" w:cs="Arial"/>
                <w:b/>
                <w:bCs/>
                <w:sz w:val="16"/>
                <w:szCs w:val="16"/>
              </w:rPr>
              <w:t>0,00</w:t>
            </w:r>
          </w:p>
        </w:tc>
        <w:tc>
          <w:tcPr>
            <w:tcW w:w="44" w:type="pct"/>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b/>
                <w:sz w:val="16"/>
                <w:szCs w:val="16"/>
                <w:lang w:eastAsia="tr-TR"/>
              </w:rPr>
            </w:pPr>
          </w:p>
        </w:tc>
        <w:tc>
          <w:tcPr>
            <w:tcW w:w="128" w:type="pct"/>
            <w:tcBorders>
              <w:top w:val="nil"/>
              <w:left w:val="single" w:sz="8" w:space="0" w:color="auto"/>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600</w:t>
            </w:r>
          </w:p>
        </w:tc>
        <w:tc>
          <w:tcPr>
            <w:tcW w:w="96" w:type="pct"/>
            <w:tcBorders>
              <w:top w:val="nil"/>
              <w:left w:val="nil"/>
              <w:bottom w:val="single" w:sz="4" w:space="0" w:color="auto"/>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05</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02</w:t>
            </w:r>
          </w:p>
        </w:tc>
        <w:tc>
          <w:tcPr>
            <w:tcW w:w="96" w:type="pct"/>
            <w:gridSpan w:val="2"/>
            <w:tcBorders>
              <w:top w:val="nil"/>
              <w:left w:val="nil"/>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 </w:t>
            </w:r>
          </w:p>
        </w:tc>
        <w:tc>
          <w:tcPr>
            <w:tcW w:w="96" w:type="pct"/>
            <w:gridSpan w:val="2"/>
            <w:tcBorders>
              <w:top w:val="nil"/>
              <w:left w:val="nil"/>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 </w:t>
            </w:r>
          </w:p>
        </w:tc>
        <w:tc>
          <w:tcPr>
            <w:tcW w:w="871" w:type="pct"/>
            <w:gridSpan w:val="4"/>
            <w:tcBorders>
              <w:top w:val="nil"/>
              <w:left w:val="nil"/>
              <w:bottom w:val="single" w:sz="4" w:space="0" w:color="auto"/>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bCs/>
                <w:sz w:val="16"/>
                <w:szCs w:val="16"/>
                <w:lang w:eastAsia="tr-TR"/>
              </w:rPr>
            </w:pPr>
            <w:r w:rsidRPr="000875F4">
              <w:rPr>
                <w:rFonts w:ascii="Arial TUR" w:eastAsia="Times New Roman" w:hAnsi="Arial TUR" w:cs="Arial TUR"/>
                <w:bCs/>
                <w:sz w:val="16"/>
                <w:szCs w:val="16"/>
                <w:lang w:eastAsia="tr-TR"/>
              </w:rPr>
              <w:t>Kişi ve Kurumlardan Alınan Paylar</w:t>
            </w:r>
          </w:p>
        </w:tc>
        <w:tc>
          <w:tcPr>
            <w:tcW w:w="376" w:type="pct"/>
            <w:gridSpan w:val="2"/>
            <w:tcBorders>
              <w:top w:val="nil"/>
              <w:left w:val="single" w:sz="8" w:space="0" w:color="auto"/>
              <w:bottom w:val="single" w:sz="4" w:space="0" w:color="auto"/>
              <w:right w:val="single" w:sz="8"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bCs/>
                <w:sz w:val="16"/>
                <w:szCs w:val="16"/>
                <w:lang w:eastAsia="tr-TR"/>
              </w:rPr>
            </w:pPr>
            <w:r>
              <w:rPr>
                <w:rFonts w:ascii="Arial" w:hAnsi="Arial" w:cs="Arial"/>
                <w:sz w:val="16"/>
                <w:szCs w:val="16"/>
              </w:rPr>
              <w:t>70.596.710,20</w:t>
            </w:r>
          </w:p>
        </w:tc>
        <w:tc>
          <w:tcPr>
            <w:tcW w:w="392" w:type="pct"/>
            <w:gridSpan w:val="2"/>
            <w:tcBorders>
              <w:top w:val="nil"/>
              <w:left w:val="nil"/>
              <w:bottom w:val="single" w:sz="4" w:space="0" w:color="auto"/>
              <w:right w:val="single" w:sz="8"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bCs/>
                <w:sz w:val="16"/>
                <w:szCs w:val="16"/>
                <w:lang w:eastAsia="tr-TR"/>
              </w:rPr>
            </w:pPr>
            <w:r>
              <w:rPr>
                <w:rFonts w:ascii="Arial" w:hAnsi="Arial" w:cs="Arial"/>
                <w:sz w:val="16"/>
                <w:szCs w:val="16"/>
              </w:rPr>
              <w:t>82.127.263,94</w:t>
            </w:r>
          </w:p>
        </w:tc>
        <w:tc>
          <w:tcPr>
            <w:tcW w:w="389" w:type="pct"/>
            <w:gridSpan w:val="2"/>
            <w:tcBorders>
              <w:top w:val="nil"/>
              <w:left w:val="nil"/>
              <w:bottom w:val="single" w:sz="4" w:space="0" w:color="auto"/>
              <w:right w:val="single" w:sz="8" w:space="0" w:color="auto"/>
            </w:tcBorders>
            <w:shd w:val="clear" w:color="auto" w:fill="auto"/>
            <w:noWrap/>
            <w:vAlign w:val="center"/>
          </w:tcPr>
          <w:p w:rsidR="005C287E" w:rsidRPr="000875F4" w:rsidRDefault="005C287E" w:rsidP="005C287E">
            <w:pPr>
              <w:spacing w:after="0" w:line="240" w:lineRule="auto"/>
              <w:jc w:val="right"/>
              <w:rPr>
                <w:rFonts w:ascii="Arial" w:eastAsia="Times New Roman" w:hAnsi="Arial" w:cs="Arial"/>
                <w:bCs/>
                <w:sz w:val="16"/>
                <w:szCs w:val="16"/>
                <w:lang w:eastAsia="tr-TR"/>
              </w:rPr>
            </w:pPr>
            <w:r>
              <w:rPr>
                <w:rFonts w:ascii="Arial" w:hAnsi="Arial" w:cs="Arial"/>
                <w:sz w:val="16"/>
                <w:szCs w:val="16"/>
              </w:rPr>
              <w:t>108.800.728,13</w:t>
            </w:r>
          </w:p>
        </w:tc>
      </w:tr>
      <w:tr w:rsidR="005C287E" w:rsidRPr="000875F4" w:rsidTr="005C287E">
        <w:trPr>
          <w:gridAfter w:val="1"/>
          <w:wAfter w:w="23" w:type="pct"/>
          <w:trHeight w:val="20"/>
        </w:trPr>
        <w:tc>
          <w:tcPr>
            <w:tcW w:w="123" w:type="pct"/>
            <w:tcBorders>
              <w:top w:val="nil"/>
              <w:left w:val="single" w:sz="8" w:space="0" w:color="auto"/>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b/>
                <w:sz w:val="16"/>
                <w:szCs w:val="16"/>
                <w:lang w:eastAsia="tr-TR"/>
              </w:rPr>
            </w:pPr>
            <w:r w:rsidRPr="000875F4">
              <w:rPr>
                <w:rFonts w:ascii="Arial TUR" w:eastAsia="Times New Roman" w:hAnsi="Arial TUR" w:cs="Arial TUR"/>
                <w:b/>
                <w:sz w:val="16"/>
                <w:szCs w:val="16"/>
                <w:lang w:eastAsia="tr-TR"/>
              </w:rPr>
              <w:t>630</w:t>
            </w:r>
          </w:p>
        </w:tc>
        <w:tc>
          <w:tcPr>
            <w:tcW w:w="96" w:type="pct"/>
            <w:tcBorders>
              <w:top w:val="nil"/>
              <w:left w:val="nil"/>
              <w:bottom w:val="single" w:sz="4" w:space="0" w:color="auto"/>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b/>
                <w:sz w:val="16"/>
                <w:szCs w:val="16"/>
                <w:lang w:eastAsia="tr-TR"/>
              </w:rPr>
            </w:pPr>
            <w:r w:rsidRPr="000875F4">
              <w:rPr>
                <w:rFonts w:ascii="Arial TUR" w:eastAsia="Times New Roman" w:hAnsi="Arial TUR" w:cs="Arial TUR"/>
                <w:b/>
                <w:sz w:val="16"/>
                <w:szCs w:val="16"/>
                <w:lang w:eastAsia="tr-TR"/>
              </w:rPr>
              <w:t>04</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 </w:t>
            </w:r>
          </w:p>
        </w:tc>
        <w:tc>
          <w:tcPr>
            <w:tcW w:w="897" w:type="pct"/>
            <w:gridSpan w:val="2"/>
            <w:tcBorders>
              <w:top w:val="nil"/>
              <w:left w:val="nil"/>
              <w:bottom w:val="single" w:sz="4" w:space="0" w:color="auto"/>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b/>
                <w:bCs/>
                <w:sz w:val="16"/>
                <w:szCs w:val="16"/>
                <w:lang w:eastAsia="tr-TR"/>
              </w:rPr>
            </w:pPr>
            <w:r w:rsidRPr="000875F4">
              <w:rPr>
                <w:rFonts w:ascii="Arial TUR" w:eastAsia="Times New Roman" w:hAnsi="Arial TUR" w:cs="Arial TUR"/>
                <w:b/>
                <w:bCs/>
                <w:sz w:val="16"/>
                <w:szCs w:val="16"/>
                <w:lang w:eastAsia="tr-TR"/>
              </w:rPr>
              <w:t>Faiz Giderleri</w:t>
            </w:r>
          </w:p>
        </w:tc>
        <w:tc>
          <w:tcPr>
            <w:tcW w:w="416"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b/>
                <w:bCs/>
                <w:sz w:val="16"/>
                <w:szCs w:val="16"/>
                <w:lang w:eastAsia="tr-TR"/>
              </w:rPr>
            </w:pPr>
            <w:r>
              <w:rPr>
                <w:rFonts w:ascii="Arial" w:hAnsi="Arial" w:cs="Arial"/>
                <w:b/>
                <w:bCs/>
                <w:sz w:val="16"/>
                <w:szCs w:val="16"/>
              </w:rPr>
              <w:t>0,00</w:t>
            </w:r>
          </w:p>
        </w:tc>
        <w:tc>
          <w:tcPr>
            <w:tcW w:w="376" w:type="pct"/>
            <w:gridSpan w:val="2"/>
            <w:tcBorders>
              <w:top w:val="single" w:sz="4" w:space="0" w:color="auto"/>
              <w:left w:val="nil"/>
              <w:bottom w:val="single" w:sz="4" w:space="0" w:color="auto"/>
              <w:right w:val="single" w:sz="4"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b/>
                <w:bCs/>
                <w:sz w:val="16"/>
                <w:szCs w:val="16"/>
                <w:lang w:eastAsia="tr-TR"/>
              </w:rPr>
            </w:pPr>
            <w:r>
              <w:rPr>
                <w:rFonts w:ascii="Arial" w:hAnsi="Arial" w:cs="Arial"/>
                <w:b/>
                <w:bCs/>
                <w:sz w:val="16"/>
                <w:szCs w:val="16"/>
              </w:rPr>
              <w:t>0,00</w:t>
            </w:r>
          </w:p>
        </w:tc>
        <w:tc>
          <w:tcPr>
            <w:tcW w:w="390" w:type="pct"/>
            <w:gridSpan w:val="2"/>
            <w:tcBorders>
              <w:top w:val="single" w:sz="4" w:space="0" w:color="auto"/>
              <w:left w:val="nil"/>
              <w:bottom w:val="single" w:sz="4" w:space="0" w:color="auto"/>
              <w:right w:val="single" w:sz="4"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bCs/>
                <w:sz w:val="16"/>
                <w:szCs w:val="18"/>
                <w:lang w:eastAsia="tr-TR"/>
              </w:rPr>
            </w:pPr>
            <w:r>
              <w:rPr>
                <w:rFonts w:ascii="Arial" w:hAnsi="Arial" w:cs="Arial"/>
                <w:b/>
                <w:bCs/>
                <w:sz w:val="16"/>
                <w:szCs w:val="16"/>
              </w:rPr>
              <w:t>0,00</w:t>
            </w:r>
          </w:p>
        </w:tc>
        <w:tc>
          <w:tcPr>
            <w:tcW w:w="44" w:type="pct"/>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b/>
                <w:bCs/>
                <w:sz w:val="16"/>
                <w:szCs w:val="16"/>
                <w:lang w:eastAsia="tr-TR"/>
              </w:rPr>
            </w:pPr>
          </w:p>
        </w:tc>
        <w:tc>
          <w:tcPr>
            <w:tcW w:w="128" w:type="pct"/>
            <w:tcBorders>
              <w:top w:val="nil"/>
              <w:left w:val="single" w:sz="8" w:space="0" w:color="auto"/>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600</w:t>
            </w:r>
          </w:p>
        </w:tc>
        <w:tc>
          <w:tcPr>
            <w:tcW w:w="96" w:type="pct"/>
            <w:tcBorders>
              <w:top w:val="nil"/>
              <w:left w:val="nil"/>
              <w:bottom w:val="single" w:sz="4" w:space="0" w:color="auto"/>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05</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02</w:t>
            </w:r>
          </w:p>
        </w:tc>
        <w:tc>
          <w:tcPr>
            <w:tcW w:w="96" w:type="pct"/>
            <w:gridSpan w:val="2"/>
            <w:tcBorders>
              <w:top w:val="nil"/>
              <w:left w:val="nil"/>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09</w:t>
            </w:r>
          </w:p>
        </w:tc>
        <w:tc>
          <w:tcPr>
            <w:tcW w:w="96" w:type="pct"/>
            <w:gridSpan w:val="2"/>
            <w:tcBorders>
              <w:top w:val="nil"/>
              <w:left w:val="nil"/>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99</w:t>
            </w:r>
          </w:p>
        </w:tc>
        <w:tc>
          <w:tcPr>
            <w:tcW w:w="871" w:type="pct"/>
            <w:gridSpan w:val="4"/>
            <w:tcBorders>
              <w:top w:val="nil"/>
              <w:left w:val="nil"/>
              <w:bottom w:val="single" w:sz="4" w:space="0" w:color="auto"/>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Diğer Paylar (TEİAŞ)</w:t>
            </w:r>
          </w:p>
        </w:tc>
        <w:tc>
          <w:tcPr>
            <w:tcW w:w="376" w:type="pct"/>
            <w:gridSpan w:val="2"/>
            <w:tcBorders>
              <w:top w:val="nil"/>
              <w:left w:val="single" w:sz="8" w:space="0" w:color="auto"/>
              <w:bottom w:val="single" w:sz="4" w:space="0" w:color="auto"/>
              <w:right w:val="single" w:sz="8"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sz w:val="16"/>
                <w:szCs w:val="16"/>
                <w:lang w:eastAsia="tr-TR"/>
              </w:rPr>
            </w:pPr>
            <w:r>
              <w:rPr>
                <w:rFonts w:ascii="Arial" w:hAnsi="Arial" w:cs="Arial"/>
                <w:sz w:val="16"/>
                <w:szCs w:val="16"/>
              </w:rPr>
              <w:t>70.596.710,20</w:t>
            </w:r>
          </w:p>
        </w:tc>
        <w:tc>
          <w:tcPr>
            <w:tcW w:w="392" w:type="pct"/>
            <w:gridSpan w:val="2"/>
            <w:tcBorders>
              <w:top w:val="nil"/>
              <w:left w:val="nil"/>
              <w:bottom w:val="single" w:sz="4" w:space="0" w:color="auto"/>
              <w:right w:val="single" w:sz="8"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sz w:val="16"/>
                <w:szCs w:val="16"/>
                <w:lang w:eastAsia="tr-TR"/>
              </w:rPr>
            </w:pPr>
            <w:r>
              <w:rPr>
                <w:rFonts w:ascii="Arial" w:hAnsi="Arial" w:cs="Arial"/>
                <w:sz w:val="16"/>
                <w:szCs w:val="16"/>
              </w:rPr>
              <w:t>82.127.263,94</w:t>
            </w:r>
          </w:p>
        </w:tc>
        <w:tc>
          <w:tcPr>
            <w:tcW w:w="389" w:type="pct"/>
            <w:gridSpan w:val="2"/>
            <w:tcBorders>
              <w:top w:val="nil"/>
              <w:left w:val="nil"/>
              <w:bottom w:val="single" w:sz="4" w:space="0" w:color="auto"/>
              <w:right w:val="single" w:sz="8" w:space="0" w:color="auto"/>
            </w:tcBorders>
            <w:shd w:val="clear" w:color="auto" w:fill="auto"/>
            <w:noWrap/>
            <w:vAlign w:val="center"/>
          </w:tcPr>
          <w:p w:rsidR="005C287E" w:rsidRPr="000875F4" w:rsidRDefault="005C287E" w:rsidP="005C287E">
            <w:pPr>
              <w:spacing w:after="0" w:line="240" w:lineRule="auto"/>
              <w:jc w:val="right"/>
              <w:rPr>
                <w:rFonts w:ascii="Arial" w:eastAsia="Times New Roman" w:hAnsi="Arial" w:cs="Arial"/>
                <w:sz w:val="16"/>
                <w:szCs w:val="16"/>
                <w:lang w:eastAsia="tr-TR"/>
              </w:rPr>
            </w:pPr>
            <w:r>
              <w:rPr>
                <w:rFonts w:ascii="Arial" w:hAnsi="Arial" w:cs="Arial"/>
                <w:sz w:val="16"/>
                <w:szCs w:val="16"/>
              </w:rPr>
              <w:t>108.800.728,13</w:t>
            </w:r>
          </w:p>
        </w:tc>
      </w:tr>
      <w:tr w:rsidR="005C287E" w:rsidRPr="000875F4" w:rsidTr="005C287E">
        <w:trPr>
          <w:gridAfter w:val="1"/>
          <w:wAfter w:w="23" w:type="pct"/>
          <w:trHeight w:val="20"/>
        </w:trPr>
        <w:tc>
          <w:tcPr>
            <w:tcW w:w="123" w:type="pct"/>
            <w:tcBorders>
              <w:top w:val="nil"/>
              <w:left w:val="single" w:sz="8" w:space="0" w:color="auto"/>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b/>
                <w:sz w:val="16"/>
                <w:szCs w:val="16"/>
                <w:lang w:eastAsia="tr-TR"/>
              </w:rPr>
            </w:pPr>
            <w:r w:rsidRPr="000875F4">
              <w:rPr>
                <w:rFonts w:ascii="Arial TUR" w:eastAsia="Times New Roman" w:hAnsi="Arial TUR" w:cs="Arial TUR"/>
                <w:b/>
                <w:sz w:val="16"/>
                <w:szCs w:val="16"/>
                <w:lang w:eastAsia="tr-TR"/>
              </w:rPr>
              <w:t>630</w:t>
            </w:r>
          </w:p>
        </w:tc>
        <w:tc>
          <w:tcPr>
            <w:tcW w:w="96" w:type="pct"/>
            <w:tcBorders>
              <w:top w:val="nil"/>
              <w:left w:val="nil"/>
              <w:bottom w:val="single" w:sz="4" w:space="0" w:color="auto"/>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b/>
                <w:sz w:val="16"/>
                <w:szCs w:val="16"/>
                <w:lang w:eastAsia="tr-TR"/>
              </w:rPr>
            </w:pPr>
            <w:r w:rsidRPr="000875F4">
              <w:rPr>
                <w:rFonts w:ascii="Arial TUR" w:eastAsia="Times New Roman" w:hAnsi="Arial TUR" w:cs="Arial TUR"/>
                <w:b/>
                <w:sz w:val="16"/>
                <w:szCs w:val="16"/>
                <w:lang w:eastAsia="tr-TR"/>
              </w:rPr>
              <w:t>05</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 </w:t>
            </w:r>
          </w:p>
        </w:tc>
        <w:tc>
          <w:tcPr>
            <w:tcW w:w="897" w:type="pct"/>
            <w:gridSpan w:val="2"/>
            <w:tcBorders>
              <w:top w:val="nil"/>
              <w:left w:val="nil"/>
              <w:bottom w:val="single" w:sz="4" w:space="0" w:color="auto"/>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b/>
                <w:bCs/>
                <w:sz w:val="16"/>
                <w:szCs w:val="16"/>
                <w:lang w:eastAsia="tr-TR"/>
              </w:rPr>
            </w:pPr>
            <w:r w:rsidRPr="000875F4">
              <w:rPr>
                <w:rFonts w:ascii="Arial TUR" w:eastAsia="Times New Roman" w:hAnsi="Arial TUR" w:cs="Arial TUR"/>
                <w:b/>
                <w:bCs/>
                <w:sz w:val="16"/>
                <w:szCs w:val="16"/>
                <w:lang w:eastAsia="tr-TR"/>
              </w:rPr>
              <w:t>Cari Transferler</w:t>
            </w:r>
          </w:p>
        </w:tc>
        <w:tc>
          <w:tcPr>
            <w:tcW w:w="416"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b/>
                <w:bCs/>
                <w:sz w:val="16"/>
                <w:szCs w:val="16"/>
                <w:lang w:eastAsia="tr-TR"/>
              </w:rPr>
            </w:pPr>
            <w:r>
              <w:rPr>
                <w:rFonts w:ascii="Arial" w:hAnsi="Arial" w:cs="Arial"/>
                <w:b/>
                <w:bCs/>
                <w:sz w:val="16"/>
                <w:szCs w:val="16"/>
              </w:rPr>
              <w:t>71.038.381,51</w:t>
            </w:r>
          </w:p>
        </w:tc>
        <w:tc>
          <w:tcPr>
            <w:tcW w:w="376" w:type="pct"/>
            <w:gridSpan w:val="2"/>
            <w:tcBorders>
              <w:top w:val="single" w:sz="4" w:space="0" w:color="auto"/>
              <w:left w:val="nil"/>
              <w:bottom w:val="single" w:sz="4" w:space="0" w:color="auto"/>
              <w:right w:val="single" w:sz="4"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b/>
                <w:bCs/>
                <w:sz w:val="16"/>
                <w:szCs w:val="16"/>
                <w:lang w:eastAsia="tr-TR"/>
              </w:rPr>
            </w:pPr>
            <w:r>
              <w:rPr>
                <w:rFonts w:ascii="Arial" w:hAnsi="Arial" w:cs="Arial"/>
                <w:b/>
                <w:bCs/>
                <w:sz w:val="16"/>
                <w:szCs w:val="16"/>
              </w:rPr>
              <w:t>361.247.459,63</w:t>
            </w:r>
          </w:p>
        </w:tc>
        <w:tc>
          <w:tcPr>
            <w:tcW w:w="390" w:type="pct"/>
            <w:gridSpan w:val="2"/>
            <w:tcBorders>
              <w:top w:val="single" w:sz="4" w:space="0" w:color="auto"/>
              <w:left w:val="nil"/>
              <w:bottom w:val="single" w:sz="4" w:space="0" w:color="auto"/>
              <w:right w:val="single" w:sz="4"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b/>
                <w:bCs/>
                <w:sz w:val="16"/>
                <w:szCs w:val="18"/>
                <w:lang w:eastAsia="tr-TR"/>
              </w:rPr>
            </w:pPr>
            <w:r>
              <w:rPr>
                <w:rFonts w:ascii="Arial" w:hAnsi="Arial" w:cs="Arial"/>
                <w:b/>
                <w:bCs/>
                <w:sz w:val="16"/>
                <w:szCs w:val="16"/>
              </w:rPr>
              <w:t>468.691.708,18</w:t>
            </w:r>
          </w:p>
        </w:tc>
        <w:tc>
          <w:tcPr>
            <w:tcW w:w="44" w:type="pct"/>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b/>
                <w:bCs/>
                <w:sz w:val="16"/>
                <w:szCs w:val="16"/>
                <w:lang w:eastAsia="tr-TR"/>
              </w:rPr>
            </w:pPr>
          </w:p>
        </w:tc>
        <w:tc>
          <w:tcPr>
            <w:tcW w:w="128" w:type="pct"/>
            <w:tcBorders>
              <w:top w:val="nil"/>
              <w:left w:val="single" w:sz="8" w:space="0" w:color="auto"/>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600</w:t>
            </w:r>
          </w:p>
        </w:tc>
        <w:tc>
          <w:tcPr>
            <w:tcW w:w="96" w:type="pct"/>
            <w:tcBorders>
              <w:top w:val="nil"/>
              <w:left w:val="nil"/>
              <w:bottom w:val="single" w:sz="4" w:space="0" w:color="auto"/>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05</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09</w:t>
            </w:r>
          </w:p>
        </w:tc>
        <w:tc>
          <w:tcPr>
            <w:tcW w:w="96" w:type="pct"/>
            <w:gridSpan w:val="2"/>
            <w:tcBorders>
              <w:top w:val="nil"/>
              <w:left w:val="nil"/>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 </w:t>
            </w:r>
          </w:p>
        </w:tc>
        <w:tc>
          <w:tcPr>
            <w:tcW w:w="96" w:type="pct"/>
            <w:gridSpan w:val="2"/>
            <w:tcBorders>
              <w:top w:val="nil"/>
              <w:left w:val="nil"/>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 </w:t>
            </w:r>
          </w:p>
        </w:tc>
        <w:tc>
          <w:tcPr>
            <w:tcW w:w="871" w:type="pct"/>
            <w:gridSpan w:val="4"/>
            <w:tcBorders>
              <w:top w:val="nil"/>
              <w:left w:val="nil"/>
              <w:bottom w:val="single" w:sz="4" w:space="0" w:color="auto"/>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bCs/>
                <w:sz w:val="16"/>
                <w:szCs w:val="16"/>
                <w:lang w:eastAsia="tr-TR"/>
              </w:rPr>
            </w:pPr>
            <w:r w:rsidRPr="000875F4">
              <w:rPr>
                <w:rFonts w:ascii="Arial TUR" w:eastAsia="Times New Roman" w:hAnsi="Arial TUR" w:cs="Arial TUR"/>
                <w:bCs/>
                <w:sz w:val="16"/>
                <w:szCs w:val="16"/>
                <w:lang w:eastAsia="tr-TR"/>
              </w:rPr>
              <w:t>Diğer Çeşitli Gelirler</w:t>
            </w:r>
          </w:p>
        </w:tc>
        <w:tc>
          <w:tcPr>
            <w:tcW w:w="376" w:type="pct"/>
            <w:gridSpan w:val="2"/>
            <w:tcBorders>
              <w:top w:val="nil"/>
              <w:left w:val="single" w:sz="8" w:space="0" w:color="auto"/>
              <w:bottom w:val="single" w:sz="4" w:space="0" w:color="auto"/>
              <w:right w:val="single" w:sz="8"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bCs/>
                <w:sz w:val="16"/>
                <w:szCs w:val="16"/>
                <w:lang w:eastAsia="tr-TR"/>
              </w:rPr>
            </w:pPr>
            <w:r>
              <w:rPr>
                <w:rFonts w:ascii="Arial" w:hAnsi="Arial" w:cs="Arial"/>
                <w:sz w:val="16"/>
                <w:szCs w:val="16"/>
              </w:rPr>
              <w:t>12.863.947,59</w:t>
            </w:r>
          </w:p>
        </w:tc>
        <w:tc>
          <w:tcPr>
            <w:tcW w:w="392" w:type="pct"/>
            <w:gridSpan w:val="2"/>
            <w:tcBorders>
              <w:top w:val="nil"/>
              <w:left w:val="nil"/>
              <w:bottom w:val="single" w:sz="4" w:space="0" w:color="auto"/>
              <w:right w:val="single" w:sz="8"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bCs/>
                <w:sz w:val="16"/>
                <w:szCs w:val="16"/>
                <w:lang w:eastAsia="tr-TR"/>
              </w:rPr>
            </w:pPr>
            <w:r>
              <w:rPr>
                <w:rFonts w:ascii="Arial" w:hAnsi="Arial" w:cs="Arial"/>
                <w:sz w:val="16"/>
                <w:szCs w:val="16"/>
              </w:rPr>
              <w:t>34.647.144,39</w:t>
            </w:r>
          </w:p>
        </w:tc>
        <w:tc>
          <w:tcPr>
            <w:tcW w:w="389" w:type="pct"/>
            <w:gridSpan w:val="2"/>
            <w:tcBorders>
              <w:top w:val="nil"/>
              <w:left w:val="nil"/>
              <w:bottom w:val="single" w:sz="4" w:space="0" w:color="auto"/>
              <w:right w:val="single" w:sz="8" w:space="0" w:color="auto"/>
            </w:tcBorders>
            <w:shd w:val="clear" w:color="auto" w:fill="auto"/>
            <w:noWrap/>
            <w:vAlign w:val="center"/>
          </w:tcPr>
          <w:p w:rsidR="005C287E" w:rsidRPr="000875F4" w:rsidRDefault="005C287E" w:rsidP="005C287E">
            <w:pPr>
              <w:spacing w:after="0" w:line="240" w:lineRule="auto"/>
              <w:jc w:val="right"/>
              <w:rPr>
                <w:rFonts w:ascii="Arial" w:eastAsia="Times New Roman" w:hAnsi="Arial" w:cs="Arial"/>
                <w:bCs/>
                <w:sz w:val="16"/>
                <w:szCs w:val="16"/>
                <w:lang w:eastAsia="tr-TR"/>
              </w:rPr>
            </w:pPr>
            <w:r>
              <w:rPr>
                <w:rFonts w:ascii="Arial" w:hAnsi="Arial" w:cs="Arial"/>
                <w:sz w:val="16"/>
                <w:szCs w:val="16"/>
              </w:rPr>
              <w:t>27.821.241,76</w:t>
            </w:r>
          </w:p>
        </w:tc>
      </w:tr>
      <w:tr w:rsidR="005C287E" w:rsidRPr="000875F4" w:rsidTr="005C287E">
        <w:trPr>
          <w:gridAfter w:val="1"/>
          <w:wAfter w:w="23" w:type="pct"/>
          <w:trHeight w:val="20"/>
        </w:trPr>
        <w:tc>
          <w:tcPr>
            <w:tcW w:w="123" w:type="pct"/>
            <w:tcBorders>
              <w:top w:val="nil"/>
              <w:left w:val="single" w:sz="8" w:space="0" w:color="auto"/>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 </w:t>
            </w:r>
          </w:p>
        </w:tc>
        <w:tc>
          <w:tcPr>
            <w:tcW w:w="96" w:type="pct"/>
            <w:tcBorders>
              <w:top w:val="nil"/>
              <w:left w:val="nil"/>
              <w:bottom w:val="single" w:sz="4" w:space="0" w:color="auto"/>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 </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 </w:t>
            </w:r>
          </w:p>
        </w:tc>
        <w:tc>
          <w:tcPr>
            <w:tcW w:w="897" w:type="pct"/>
            <w:gridSpan w:val="2"/>
            <w:tcBorders>
              <w:top w:val="nil"/>
              <w:left w:val="nil"/>
              <w:bottom w:val="single" w:sz="4" w:space="0" w:color="auto"/>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b/>
                <w:bCs/>
                <w:sz w:val="16"/>
                <w:szCs w:val="16"/>
                <w:lang w:eastAsia="tr-TR"/>
              </w:rPr>
            </w:pPr>
            <w:r w:rsidRPr="000875F4">
              <w:rPr>
                <w:rFonts w:ascii="Arial TUR" w:eastAsia="Times New Roman" w:hAnsi="Arial TUR" w:cs="Arial TUR"/>
                <w:b/>
                <w:bCs/>
                <w:sz w:val="16"/>
                <w:szCs w:val="16"/>
                <w:lang w:eastAsia="tr-TR"/>
              </w:rPr>
              <w:t> </w:t>
            </w:r>
          </w:p>
        </w:tc>
        <w:tc>
          <w:tcPr>
            <w:tcW w:w="416" w:type="pct"/>
            <w:gridSpan w:val="2"/>
            <w:tcBorders>
              <w:top w:val="nil"/>
              <w:left w:val="single" w:sz="8" w:space="0" w:color="auto"/>
              <w:bottom w:val="single" w:sz="4" w:space="0" w:color="auto"/>
              <w:right w:val="single" w:sz="8" w:space="0" w:color="auto"/>
            </w:tcBorders>
            <w:shd w:val="clear" w:color="auto" w:fill="auto"/>
            <w:noWrap/>
            <w:vAlign w:val="bottom"/>
          </w:tcPr>
          <w:p w:rsidR="005C287E" w:rsidRPr="000875F4" w:rsidRDefault="005C287E" w:rsidP="005C287E">
            <w:pPr>
              <w:spacing w:after="0" w:line="240" w:lineRule="auto"/>
              <w:jc w:val="right"/>
              <w:rPr>
                <w:rFonts w:ascii="Arial TUR" w:eastAsia="Times New Roman" w:hAnsi="Arial TUR" w:cs="Arial TUR"/>
                <w:b/>
                <w:bCs/>
                <w:sz w:val="16"/>
                <w:szCs w:val="16"/>
                <w:lang w:eastAsia="tr-TR"/>
              </w:rPr>
            </w:pPr>
          </w:p>
        </w:tc>
        <w:tc>
          <w:tcPr>
            <w:tcW w:w="376" w:type="pct"/>
            <w:gridSpan w:val="2"/>
            <w:tcBorders>
              <w:top w:val="nil"/>
              <w:left w:val="nil"/>
              <w:bottom w:val="single" w:sz="4" w:space="0" w:color="auto"/>
              <w:right w:val="single" w:sz="8" w:space="0" w:color="auto"/>
            </w:tcBorders>
            <w:shd w:val="clear" w:color="auto" w:fill="auto"/>
            <w:noWrap/>
            <w:vAlign w:val="bottom"/>
          </w:tcPr>
          <w:p w:rsidR="005C287E" w:rsidRPr="000875F4" w:rsidRDefault="005C287E" w:rsidP="005C287E">
            <w:pPr>
              <w:spacing w:after="0" w:line="240" w:lineRule="auto"/>
              <w:jc w:val="right"/>
              <w:rPr>
                <w:rFonts w:ascii="Arial TUR" w:eastAsia="Times New Roman" w:hAnsi="Arial TUR" w:cs="Arial TUR"/>
                <w:b/>
                <w:bCs/>
                <w:sz w:val="16"/>
                <w:szCs w:val="16"/>
                <w:lang w:eastAsia="tr-TR"/>
              </w:rPr>
            </w:pPr>
          </w:p>
        </w:tc>
        <w:tc>
          <w:tcPr>
            <w:tcW w:w="390" w:type="pct"/>
            <w:gridSpan w:val="2"/>
            <w:tcBorders>
              <w:top w:val="nil"/>
              <w:left w:val="nil"/>
              <w:bottom w:val="single" w:sz="4" w:space="0" w:color="auto"/>
              <w:right w:val="single" w:sz="8" w:space="0" w:color="auto"/>
            </w:tcBorders>
            <w:shd w:val="clear" w:color="auto" w:fill="auto"/>
            <w:noWrap/>
            <w:vAlign w:val="bottom"/>
          </w:tcPr>
          <w:p w:rsidR="005C287E" w:rsidRPr="000875F4" w:rsidRDefault="005C287E" w:rsidP="005C287E">
            <w:pPr>
              <w:spacing w:after="0" w:line="240" w:lineRule="auto"/>
              <w:jc w:val="right"/>
              <w:rPr>
                <w:rFonts w:ascii="Arial TUR" w:eastAsia="Times New Roman" w:hAnsi="Arial TUR" w:cs="Arial TUR"/>
                <w:b/>
                <w:bCs/>
                <w:sz w:val="16"/>
                <w:szCs w:val="18"/>
                <w:lang w:eastAsia="tr-TR"/>
              </w:rPr>
            </w:pPr>
          </w:p>
        </w:tc>
        <w:tc>
          <w:tcPr>
            <w:tcW w:w="44" w:type="pct"/>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b/>
                <w:bCs/>
                <w:sz w:val="16"/>
                <w:szCs w:val="16"/>
                <w:lang w:eastAsia="tr-TR"/>
              </w:rPr>
            </w:pPr>
          </w:p>
        </w:tc>
        <w:tc>
          <w:tcPr>
            <w:tcW w:w="128" w:type="pct"/>
            <w:tcBorders>
              <w:top w:val="nil"/>
              <w:left w:val="single" w:sz="8" w:space="0" w:color="auto"/>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600</w:t>
            </w:r>
          </w:p>
        </w:tc>
        <w:tc>
          <w:tcPr>
            <w:tcW w:w="96" w:type="pct"/>
            <w:tcBorders>
              <w:top w:val="nil"/>
              <w:left w:val="nil"/>
              <w:bottom w:val="single" w:sz="4" w:space="0" w:color="auto"/>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05</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09</w:t>
            </w:r>
          </w:p>
        </w:tc>
        <w:tc>
          <w:tcPr>
            <w:tcW w:w="96" w:type="pct"/>
            <w:gridSpan w:val="2"/>
            <w:tcBorders>
              <w:top w:val="nil"/>
              <w:left w:val="nil"/>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01</w:t>
            </w:r>
          </w:p>
        </w:tc>
        <w:tc>
          <w:tcPr>
            <w:tcW w:w="96" w:type="pct"/>
            <w:gridSpan w:val="2"/>
            <w:tcBorders>
              <w:top w:val="nil"/>
              <w:left w:val="nil"/>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06</w:t>
            </w:r>
          </w:p>
        </w:tc>
        <w:tc>
          <w:tcPr>
            <w:tcW w:w="871" w:type="pct"/>
            <w:gridSpan w:val="4"/>
            <w:tcBorders>
              <w:top w:val="nil"/>
              <w:left w:val="nil"/>
              <w:bottom w:val="single" w:sz="4" w:space="0" w:color="auto"/>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bCs/>
                <w:sz w:val="16"/>
                <w:szCs w:val="16"/>
                <w:lang w:eastAsia="tr-TR"/>
              </w:rPr>
            </w:pPr>
            <w:r w:rsidRPr="000875F4">
              <w:rPr>
                <w:rFonts w:ascii="Arial TUR" w:eastAsia="Times New Roman" w:hAnsi="Arial TUR" w:cs="Arial TUR"/>
                <w:bCs/>
                <w:sz w:val="16"/>
                <w:szCs w:val="16"/>
                <w:lang w:eastAsia="tr-TR"/>
              </w:rPr>
              <w:t>Kişilerden Alacaklar</w:t>
            </w:r>
          </w:p>
        </w:tc>
        <w:tc>
          <w:tcPr>
            <w:tcW w:w="376" w:type="pct"/>
            <w:gridSpan w:val="2"/>
            <w:tcBorders>
              <w:top w:val="nil"/>
              <w:left w:val="single" w:sz="8" w:space="0" w:color="auto"/>
              <w:bottom w:val="single" w:sz="4" w:space="0" w:color="auto"/>
              <w:right w:val="single" w:sz="8"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bCs/>
                <w:sz w:val="16"/>
                <w:szCs w:val="16"/>
                <w:lang w:eastAsia="tr-TR"/>
              </w:rPr>
            </w:pPr>
            <w:r>
              <w:rPr>
                <w:rFonts w:ascii="Arial" w:hAnsi="Arial" w:cs="Arial"/>
                <w:sz w:val="16"/>
                <w:szCs w:val="16"/>
              </w:rPr>
              <w:t>95.617,15</w:t>
            </w:r>
          </w:p>
        </w:tc>
        <w:tc>
          <w:tcPr>
            <w:tcW w:w="392" w:type="pct"/>
            <w:gridSpan w:val="2"/>
            <w:tcBorders>
              <w:top w:val="nil"/>
              <w:left w:val="nil"/>
              <w:bottom w:val="single" w:sz="4" w:space="0" w:color="auto"/>
              <w:right w:val="single" w:sz="8"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bCs/>
                <w:sz w:val="16"/>
                <w:szCs w:val="16"/>
                <w:lang w:eastAsia="tr-TR"/>
              </w:rPr>
            </w:pPr>
            <w:r>
              <w:rPr>
                <w:rFonts w:ascii="Arial" w:hAnsi="Arial" w:cs="Arial"/>
                <w:sz w:val="16"/>
                <w:szCs w:val="16"/>
              </w:rPr>
              <w:t>97.557,52</w:t>
            </w:r>
          </w:p>
        </w:tc>
        <w:tc>
          <w:tcPr>
            <w:tcW w:w="389" w:type="pct"/>
            <w:gridSpan w:val="2"/>
            <w:tcBorders>
              <w:top w:val="nil"/>
              <w:left w:val="nil"/>
              <w:bottom w:val="single" w:sz="4" w:space="0" w:color="auto"/>
              <w:right w:val="single" w:sz="8" w:space="0" w:color="auto"/>
            </w:tcBorders>
            <w:shd w:val="clear" w:color="auto" w:fill="auto"/>
            <w:noWrap/>
            <w:vAlign w:val="center"/>
          </w:tcPr>
          <w:p w:rsidR="005C287E" w:rsidRPr="000875F4" w:rsidRDefault="005C287E" w:rsidP="005C287E">
            <w:pPr>
              <w:spacing w:after="0" w:line="240" w:lineRule="auto"/>
              <w:jc w:val="right"/>
              <w:rPr>
                <w:rFonts w:ascii="Arial" w:eastAsia="Times New Roman" w:hAnsi="Arial" w:cs="Arial"/>
                <w:bCs/>
                <w:sz w:val="16"/>
                <w:szCs w:val="16"/>
                <w:lang w:eastAsia="tr-TR"/>
              </w:rPr>
            </w:pPr>
            <w:r>
              <w:rPr>
                <w:rFonts w:ascii="Arial" w:hAnsi="Arial" w:cs="Arial"/>
                <w:sz w:val="16"/>
                <w:szCs w:val="16"/>
              </w:rPr>
              <w:t>195.428,40</w:t>
            </w:r>
          </w:p>
        </w:tc>
      </w:tr>
      <w:tr w:rsidR="005C287E" w:rsidRPr="000875F4" w:rsidTr="005C287E">
        <w:trPr>
          <w:gridAfter w:val="1"/>
          <w:wAfter w:w="23" w:type="pct"/>
          <w:trHeight w:val="20"/>
        </w:trPr>
        <w:tc>
          <w:tcPr>
            <w:tcW w:w="123" w:type="pct"/>
            <w:tcBorders>
              <w:top w:val="nil"/>
              <w:left w:val="single" w:sz="8" w:space="0" w:color="auto"/>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630</w:t>
            </w:r>
          </w:p>
        </w:tc>
        <w:tc>
          <w:tcPr>
            <w:tcW w:w="96" w:type="pct"/>
            <w:tcBorders>
              <w:top w:val="nil"/>
              <w:left w:val="nil"/>
              <w:bottom w:val="single" w:sz="4" w:space="0" w:color="auto"/>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05</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01</w:t>
            </w:r>
          </w:p>
        </w:tc>
        <w:tc>
          <w:tcPr>
            <w:tcW w:w="897" w:type="pct"/>
            <w:gridSpan w:val="2"/>
            <w:tcBorders>
              <w:top w:val="nil"/>
              <w:left w:val="nil"/>
              <w:bottom w:val="single" w:sz="4" w:space="0" w:color="auto"/>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Görevlendirme Giderleri</w:t>
            </w:r>
          </w:p>
        </w:tc>
        <w:tc>
          <w:tcPr>
            <w:tcW w:w="416"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sz w:val="16"/>
                <w:szCs w:val="16"/>
                <w:lang w:eastAsia="tr-TR"/>
              </w:rPr>
            </w:pPr>
            <w:r>
              <w:rPr>
                <w:rFonts w:ascii="Arial" w:hAnsi="Arial" w:cs="Arial"/>
                <w:sz w:val="16"/>
                <w:szCs w:val="16"/>
              </w:rPr>
              <w:t>4.897.238,64</w:t>
            </w:r>
          </w:p>
        </w:tc>
        <w:tc>
          <w:tcPr>
            <w:tcW w:w="376"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sz w:val="16"/>
                <w:szCs w:val="16"/>
                <w:lang w:eastAsia="tr-TR"/>
              </w:rPr>
            </w:pPr>
            <w:r>
              <w:rPr>
                <w:rFonts w:ascii="Arial" w:hAnsi="Arial" w:cs="Arial"/>
                <w:sz w:val="16"/>
                <w:szCs w:val="16"/>
              </w:rPr>
              <w:t>5.812.471,91</w:t>
            </w:r>
          </w:p>
        </w:tc>
        <w:tc>
          <w:tcPr>
            <w:tcW w:w="390"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bCs/>
                <w:sz w:val="16"/>
                <w:szCs w:val="18"/>
                <w:lang w:eastAsia="tr-TR"/>
              </w:rPr>
            </w:pPr>
            <w:r>
              <w:rPr>
                <w:rFonts w:ascii="Arial" w:hAnsi="Arial" w:cs="Arial"/>
                <w:sz w:val="16"/>
                <w:szCs w:val="16"/>
              </w:rPr>
              <w:t>8.954.231,39</w:t>
            </w:r>
          </w:p>
        </w:tc>
        <w:tc>
          <w:tcPr>
            <w:tcW w:w="44" w:type="pct"/>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p>
        </w:tc>
        <w:tc>
          <w:tcPr>
            <w:tcW w:w="128" w:type="pct"/>
            <w:tcBorders>
              <w:top w:val="nil"/>
              <w:left w:val="single" w:sz="8" w:space="0" w:color="auto"/>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600</w:t>
            </w:r>
          </w:p>
        </w:tc>
        <w:tc>
          <w:tcPr>
            <w:tcW w:w="96" w:type="pct"/>
            <w:tcBorders>
              <w:top w:val="nil"/>
              <w:left w:val="nil"/>
              <w:bottom w:val="single" w:sz="4" w:space="0" w:color="auto"/>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05</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09</w:t>
            </w:r>
          </w:p>
        </w:tc>
        <w:tc>
          <w:tcPr>
            <w:tcW w:w="96" w:type="pct"/>
            <w:gridSpan w:val="2"/>
            <w:tcBorders>
              <w:top w:val="nil"/>
              <w:left w:val="nil"/>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01</w:t>
            </w:r>
          </w:p>
        </w:tc>
        <w:tc>
          <w:tcPr>
            <w:tcW w:w="96" w:type="pct"/>
            <w:gridSpan w:val="2"/>
            <w:tcBorders>
              <w:top w:val="nil"/>
              <w:left w:val="nil"/>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99</w:t>
            </w:r>
          </w:p>
        </w:tc>
        <w:tc>
          <w:tcPr>
            <w:tcW w:w="871" w:type="pct"/>
            <w:gridSpan w:val="4"/>
            <w:tcBorders>
              <w:top w:val="nil"/>
              <w:left w:val="nil"/>
              <w:bottom w:val="single" w:sz="4" w:space="0" w:color="auto"/>
              <w:right w:val="nil"/>
            </w:tcBorders>
            <w:shd w:val="clear" w:color="auto" w:fill="auto"/>
            <w:noWrap/>
            <w:vAlign w:val="center"/>
            <w:hideMark/>
          </w:tcPr>
          <w:p w:rsidR="005C287E" w:rsidRPr="000875F4" w:rsidRDefault="005C287E" w:rsidP="005C287E">
            <w:pPr>
              <w:spacing w:after="0" w:line="240" w:lineRule="auto"/>
              <w:jc w:val="left"/>
              <w:rPr>
                <w:rFonts w:ascii="Arial TUR" w:eastAsia="Times New Roman" w:hAnsi="Arial TUR" w:cs="Arial TUR"/>
                <w:bCs/>
                <w:sz w:val="16"/>
                <w:szCs w:val="16"/>
                <w:lang w:eastAsia="tr-TR"/>
              </w:rPr>
            </w:pPr>
            <w:r w:rsidRPr="000875F4">
              <w:rPr>
                <w:rFonts w:ascii="Arial TUR" w:eastAsia="Times New Roman" w:hAnsi="Arial TUR" w:cs="Arial TUR"/>
                <w:bCs/>
                <w:sz w:val="16"/>
                <w:szCs w:val="16"/>
                <w:lang w:eastAsia="tr-TR"/>
              </w:rPr>
              <w:t>Yukarıda Tanımlanmayan Diğer</w:t>
            </w:r>
          </w:p>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bCs/>
                <w:sz w:val="16"/>
                <w:szCs w:val="16"/>
                <w:lang w:eastAsia="tr-TR"/>
              </w:rPr>
              <w:t xml:space="preserve"> Çeşitli Gelirler</w:t>
            </w:r>
          </w:p>
        </w:tc>
        <w:tc>
          <w:tcPr>
            <w:tcW w:w="376" w:type="pct"/>
            <w:gridSpan w:val="2"/>
            <w:tcBorders>
              <w:top w:val="nil"/>
              <w:left w:val="single" w:sz="8" w:space="0" w:color="auto"/>
              <w:bottom w:val="single" w:sz="4" w:space="0" w:color="auto"/>
              <w:right w:val="single" w:sz="8"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sz w:val="16"/>
                <w:szCs w:val="16"/>
                <w:lang w:eastAsia="tr-TR"/>
              </w:rPr>
            </w:pPr>
            <w:r>
              <w:rPr>
                <w:rFonts w:ascii="Arial" w:hAnsi="Arial" w:cs="Arial"/>
                <w:sz w:val="16"/>
                <w:szCs w:val="16"/>
              </w:rPr>
              <w:t>12.768.330,44</w:t>
            </w:r>
          </w:p>
        </w:tc>
        <w:tc>
          <w:tcPr>
            <w:tcW w:w="392" w:type="pct"/>
            <w:gridSpan w:val="2"/>
            <w:tcBorders>
              <w:top w:val="nil"/>
              <w:left w:val="nil"/>
              <w:bottom w:val="single" w:sz="4" w:space="0" w:color="auto"/>
              <w:right w:val="single" w:sz="8"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sz w:val="16"/>
                <w:szCs w:val="16"/>
                <w:lang w:eastAsia="tr-TR"/>
              </w:rPr>
            </w:pPr>
            <w:r>
              <w:rPr>
                <w:rFonts w:ascii="Arial" w:hAnsi="Arial" w:cs="Arial"/>
                <w:sz w:val="16"/>
                <w:szCs w:val="16"/>
              </w:rPr>
              <w:t>34.549.586,87</w:t>
            </w:r>
          </w:p>
        </w:tc>
        <w:tc>
          <w:tcPr>
            <w:tcW w:w="389" w:type="pct"/>
            <w:gridSpan w:val="2"/>
            <w:tcBorders>
              <w:top w:val="nil"/>
              <w:left w:val="nil"/>
              <w:bottom w:val="single" w:sz="4" w:space="0" w:color="auto"/>
              <w:right w:val="single" w:sz="8" w:space="0" w:color="auto"/>
            </w:tcBorders>
            <w:shd w:val="clear" w:color="auto" w:fill="auto"/>
            <w:noWrap/>
            <w:vAlign w:val="center"/>
          </w:tcPr>
          <w:p w:rsidR="005C287E" w:rsidRPr="000875F4" w:rsidRDefault="005C287E" w:rsidP="005C287E">
            <w:pPr>
              <w:spacing w:after="0" w:line="240" w:lineRule="auto"/>
              <w:jc w:val="right"/>
              <w:rPr>
                <w:rFonts w:ascii="Arial" w:eastAsia="Times New Roman" w:hAnsi="Arial" w:cs="Arial"/>
                <w:sz w:val="16"/>
                <w:szCs w:val="16"/>
                <w:lang w:eastAsia="tr-TR"/>
              </w:rPr>
            </w:pPr>
            <w:r>
              <w:rPr>
                <w:rFonts w:ascii="Arial" w:hAnsi="Arial" w:cs="Arial"/>
                <w:sz w:val="16"/>
                <w:szCs w:val="16"/>
              </w:rPr>
              <w:t>27.625.813,36</w:t>
            </w:r>
          </w:p>
        </w:tc>
      </w:tr>
      <w:tr w:rsidR="005C287E" w:rsidRPr="000875F4" w:rsidTr="005C287E">
        <w:trPr>
          <w:gridAfter w:val="1"/>
          <w:wAfter w:w="23" w:type="pct"/>
          <w:trHeight w:val="188"/>
        </w:trPr>
        <w:tc>
          <w:tcPr>
            <w:tcW w:w="123" w:type="pct"/>
            <w:tcBorders>
              <w:top w:val="nil"/>
              <w:left w:val="single" w:sz="8" w:space="0" w:color="auto"/>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630</w:t>
            </w:r>
          </w:p>
        </w:tc>
        <w:tc>
          <w:tcPr>
            <w:tcW w:w="96" w:type="pct"/>
            <w:tcBorders>
              <w:top w:val="nil"/>
              <w:left w:val="nil"/>
              <w:bottom w:val="single" w:sz="4" w:space="0" w:color="auto"/>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05</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03</w:t>
            </w:r>
          </w:p>
        </w:tc>
        <w:tc>
          <w:tcPr>
            <w:tcW w:w="897" w:type="pct"/>
            <w:gridSpan w:val="2"/>
            <w:tcBorders>
              <w:top w:val="nil"/>
              <w:left w:val="nil"/>
              <w:bottom w:val="single" w:sz="4" w:space="0" w:color="auto"/>
              <w:right w:val="nil"/>
            </w:tcBorders>
            <w:shd w:val="clear" w:color="auto" w:fill="auto"/>
            <w:vAlign w:val="center"/>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Kar Amacı Gütmeyen Kuruluşlara Yapılan Aktarımlar</w:t>
            </w:r>
          </w:p>
        </w:tc>
        <w:tc>
          <w:tcPr>
            <w:tcW w:w="416" w:type="pct"/>
            <w:gridSpan w:val="2"/>
            <w:tcBorders>
              <w:top w:val="single" w:sz="4" w:space="0" w:color="auto"/>
              <w:left w:val="single" w:sz="4" w:space="0" w:color="auto"/>
              <w:bottom w:val="single" w:sz="4" w:space="0" w:color="auto"/>
              <w:right w:val="single" w:sz="4" w:space="0" w:color="auto"/>
            </w:tcBorders>
            <w:noWrap/>
            <w:vAlign w:val="center"/>
          </w:tcPr>
          <w:p w:rsidR="005C287E" w:rsidRPr="000875F4" w:rsidRDefault="005C287E" w:rsidP="005C287E">
            <w:pPr>
              <w:spacing w:after="0" w:line="240" w:lineRule="auto"/>
              <w:jc w:val="right"/>
              <w:rPr>
                <w:rFonts w:ascii="Arial TUR" w:eastAsia="Times New Roman" w:hAnsi="Arial TUR" w:cs="Arial TUR"/>
                <w:sz w:val="16"/>
                <w:szCs w:val="16"/>
                <w:lang w:eastAsia="tr-TR"/>
              </w:rPr>
            </w:pPr>
            <w:r>
              <w:rPr>
                <w:rFonts w:ascii="Arial" w:hAnsi="Arial" w:cs="Arial"/>
                <w:sz w:val="16"/>
                <w:szCs w:val="16"/>
              </w:rPr>
              <w:t>572.978,94</w:t>
            </w:r>
          </w:p>
        </w:tc>
        <w:tc>
          <w:tcPr>
            <w:tcW w:w="376" w:type="pct"/>
            <w:gridSpan w:val="2"/>
            <w:tcBorders>
              <w:top w:val="single" w:sz="4" w:space="0" w:color="auto"/>
              <w:left w:val="single" w:sz="4" w:space="0" w:color="auto"/>
              <w:bottom w:val="single" w:sz="4" w:space="0" w:color="auto"/>
              <w:right w:val="single" w:sz="4" w:space="0" w:color="auto"/>
            </w:tcBorders>
            <w:noWrap/>
            <w:vAlign w:val="center"/>
          </w:tcPr>
          <w:p w:rsidR="005C287E" w:rsidRPr="000875F4" w:rsidRDefault="005C287E" w:rsidP="005C287E">
            <w:pPr>
              <w:spacing w:after="0" w:line="240" w:lineRule="auto"/>
              <w:jc w:val="right"/>
              <w:rPr>
                <w:rFonts w:ascii="Arial TUR" w:eastAsia="Times New Roman" w:hAnsi="Arial TUR" w:cs="Arial TUR"/>
                <w:sz w:val="16"/>
                <w:szCs w:val="16"/>
                <w:lang w:eastAsia="tr-TR"/>
              </w:rPr>
            </w:pPr>
            <w:r>
              <w:rPr>
                <w:rFonts w:ascii="Arial" w:hAnsi="Arial" w:cs="Arial"/>
                <w:sz w:val="16"/>
                <w:szCs w:val="16"/>
              </w:rPr>
              <w:t>540.244,09</w:t>
            </w:r>
          </w:p>
        </w:tc>
        <w:tc>
          <w:tcPr>
            <w:tcW w:w="390" w:type="pct"/>
            <w:gridSpan w:val="2"/>
            <w:tcBorders>
              <w:top w:val="single" w:sz="4" w:space="0" w:color="auto"/>
              <w:left w:val="single" w:sz="4" w:space="0" w:color="auto"/>
              <w:bottom w:val="single" w:sz="4" w:space="0" w:color="auto"/>
              <w:right w:val="single" w:sz="4" w:space="0" w:color="auto"/>
            </w:tcBorders>
            <w:noWrap/>
            <w:vAlign w:val="center"/>
          </w:tcPr>
          <w:p w:rsidR="005C287E" w:rsidRPr="000875F4" w:rsidRDefault="005C287E" w:rsidP="005C287E">
            <w:pPr>
              <w:spacing w:after="0" w:line="240" w:lineRule="auto"/>
              <w:jc w:val="right"/>
              <w:rPr>
                <w:rFonts w:ascii="Arial TUR" w:eastAsia="Times New Roman" w:hAnsi="Arial TUR" w:cs="Arial TUR"/>
                <w:bCs/>
                <w:sz w:val="16"/>
                <w:szCs w:val="18"/>
                <w:lang w:eastAsia="tr-TR"/>
              </w:rPr>
            </w:pPr>
            <w:r>
              <w:rPr>
                <w:rFonts w:ascii="Arial" w:hAnsi="Arial" w:cs="Arial"/>
                <w:sz w:val="16"/>
                <w:szCs w:val="16"/>
              </w:rPr>
              <w:t>1.963.414,86</w:t>
            </w:r>
          </w:p>
        </w:tc>
        <w:tc>
          <w:tcPr>
            <w:tcW w:w="44" w:type="pct"/>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p>
        </w:tc>
        <w:tc>
          <w:tcPr>
            <w:tcW w:w="128" w:type="pct"/>
            <w:tcBorders>
              <w:top w:val="nil"/>
              <w:left w:val="single" w:sz="8" w:space="0" w:color="auto"/>
              <w:bottom w:val="single" w:sz="8" w:space="0" w:color="auto"/>
              <w:right w:val="single" w:sz="8" w:space="0" w:color="auto"/>
            </w:tcBorders>
            <w:shd w:val="clear" w:color="auto" w:fill="auto"/>
            <w:noWrap/>
            <w:vAlign w:val="bottom"/>
          </w:tcPr>
          <w:p w:rsidR="005C287E" w:rsidRPr="000875F4" w:rsidRDefault="005C287E" w:rsidP="005C287E">
            <w:pPr>
              <w:spacing w:after="0" w:line="240" w:lineRule="auto"/>
              <w:jc w:val="left"/>
              <w:rPr>
                <w:rFonts w:ascii="Arial TUR" w:eastAsia="Times New Roman" w:hAnsi="Arial TUR" w:cs="Arial TUR"/>
                <w:sz w:val="16"/>
                <w:szCs w:val="16"/>
                <w:lang w:eastAsia="tr-TR"/>
              </w:rPr>
            </w:pPr>
          </w:p>
        </w:tc>
        <w:tc>
          <w:tcPr>
            <w:tcW w:w="96" w:type="pct"/>
            <w:tcBorders>
              <w:top w:val="nil"/>
              <w:left w:val="nil"/>
              <w:bottom w:val="single" w:sz="8" w:space="0" w:color="auto"/>
              <w:right w:val="nil"/>
            </w:tcBorders>
            <w:shd w:val="clear" w:color="auto" w:fill="auto"/>
            <w:noWrap/>
            <w:vAlign w:val="bottom"/>
          </w:tcPr>
          <w:p w:rsidR="005C287E" w:rsidRPr="000875F4" w:rsidRDefault="005C287E" w:rsidP="005C287E">
            <w:pPr>
              <w:spacing w:after="0" w:line="240" w:lineRule="auto"/>
              <w:jc w:val="left"/>
              <w:rPr>
                <w:rFonts w:ascii="Arial TUR" w:eastAsia="Times New Roman" w:hAnsi="Arial TUR" w:cs="Arial TUR"/>
                <w:sz w:val="16"/>
                <w:szCs w:val="16"/>
                <w:lang w:eastAsia="tr-TR"/>
              </w:rPr>
            </w:pPr>
          </w:p>
        </w:tc>
        <w:tc>
          <w:tcPr>
            <w:tcW w:w="96" w:type="pct"/>
            <w:tcBorders>
              <w:top w:val="nil"/>
              <w:left w:val="single" w:sz="8" w:space="0" w:color="auto"/>
              <w:bottom w:val="single" w:sz="8" w:space="0" w:color="auto"/>
              <w:right w:val="single" w:sz="8" w:space="0" w:color="auto"/>
            </w:tcBorders>
            <w:shd w:val="clear" w:color="auto" w:fill="auto"/>
            <w:noWrap/>
            <w:vAlign w:val="bottom"/>
          </w:tcPr>
          <w:p w:rsidR="005C287E" w:rsidRPr="000875F4" w:rsidRDefault="005C287E" w:rsidP="005C287E">
            <w:pPr>
              <w:spacing w:after="0" w:line="240" w:lineRule="auto"/>
              <w:jc w:val="left"/>
              <w:rPr>
                <w:rFonts w:ascii="Arial TUR" w:eastAsia="Times New Roman" w:hAnsi="Arial TUR" w:cs="Arial TUR"/>
                <w:sz w:val="16"/>
                <w:szCs w:val="16"/>
                <w:lang w:eastAsia="tr-TR"/>
              </w:rPr>
            </w:pPr>
          </w:p>
        </w:tc>
        <w:tc>
          <w:tcPr>
            <w:tcW w:w="96" w:type="pct"/>
            <w:gridSpan w:val="2"/>
            <w:tcBorders>
              <w:top w:val="nil"/>
              <w:left w:val="nil"/>
              <w:bottom w:val="single" w:sz="8" w:space="0" w:color="auto"/>
              <w:right w:val="single" w:sz="8" w:space="0" w:color="auto"/>
            </w:tcBorders>
            <w:shd w:val="clear" w:color="auto" w:fill="auto"/>
            <w:noWrap/>
            <w:vAlign w:val="bottom"/>
          </w:tcPr>
          <w:p w:rsidR="005C287E" w:rsidRPr="000875F4" w:rsidRDefault="005C287E" w:rsidP="005C287E">
            <w:pPr>
              <w:spacing w:after="0" w:line="240" w:lineRule="auto"/>
              <w:jc w:val="left"/>
              <w:rPr>
                <w:rFonts w:ascii="Arial TUR" w:eastAsia="Times New Roman" w:hAnsi="Arial TUR" w:cs="Arial TUR"/>
                <w:sz w:val="16"/>
                <w:szCs w:val="16"/>
                <w:lang w:eastAsia="tr-TR"/>
              </w:rPr>
            </w:pPr>
          </w:p>
        </w:tc>
        <w:tc>
          <w:tcPr>
            <w:tcW w:w="96" w:type="pct"/>
            <w:gridSpan w:val="2"/>
            <w:tcBorders>
              <w:top w:val="nil"/>
              <w:left w:val="nil"/>
              <w:bottom w:val="single" w:sz="8" w:space="0" w:color="auto"/>
              <w:right w:val="single" w:sz="8" w:space="0" w:color="auto"/>
            </w:tcBorders>
            <w:shd w:val="clear" w:color="auto" w:fill="auto"/>
            <w:noWrap/>
            <w:vAlign w:val="bottom"/>
          </w:tcPr>
          <w:p w:rsidR="005C287E" w:rsidRPr="000875F4" w:rsidRDefault="005C287E" w:rsidP="005C287E">
            <w:pPr>
              <w:spacing w:after="0" w:line="240" w:lineRule="auto"/>
              <w:jc w:val="left"/>
              <w:rPr>
                <w:rFonts w:ascii="Arial TUR" w:eastAsia="Times New Roman" w:hAnsi="Arial TUR" w:cs="Arial TUR"/>
                <w:sz w:val="16"/>
                <w:szCs w:val="16"/>
                <w:lang w:eastAsia="tr-TR"/>
              </w:rPr>
            </w:pPr>
          </w:p>
        </w:tc>
        <w:tc>
          <w:tcPr>
            <w:tcW w:w="871" w:type="pct"/>
            <w:gridSpan w:val="4"/>
            <w:tcBorders>
              <w:top w:val="nil"/>
              <w:left w:val="nil"/>
              <w:bottom w:val="single" w:sz="8" w:space="0" w:color="auto"/>
              <w:right w:val="nil"/>
            </w:tcBorders>
            <w:shd w:val="clear" w:color="auto" w:fill="auto"/>
            <w:noWrap/>
            <w:vAlign w:val="bottom"/>
          </w:tcPr>
          <w:p w:rsidR="005C287E" w:rsidRPr="000875F4" w:rsidRDefault="005C287E" w:rsidP="005C287E">
            <w:pPr>
              <w:spacing w:after="0" w:line="240" w:lineRule="auto"/>
              <w:jc w:val="left"/>
              <w:rPr>
                <w:rFonts w:ascii="Arial TUR" w:eastAsia="Times New Roman" w:hAnsi="Arial TUR" w:cs="Arial TUR"/>
                <w:b/>
                <w:bCs/>
                <w:sz w:val="16"/>
                <w:szCs w:val="16"/>
                <w:lang w:eastAsia="tr-TR"/>
              </w:rPr>
            </w:pPr>
          </w:p>
        </w:tc>
        <w:tc>
          <w:tcPr>
            <w:tcW w:w="376" w:type="pct"/>
            <w:gridSpan w:val="2"/>
            <w:tcBorders>
              <w:top w:val="nil"/>
              <w:left w:val="single" w:sz="8" w:space="0" w:color="auto"/>
              <w:bottom w:val="single" w:sz="8" w:space="0" w:color="auto"/>
              <w:right w:val="single" w:sz="8" w:space="0" w:color="auto"/>
            </w:tcBorders>
            <w:shd w:val="clear" w:color="auto" w:fill="auto"/>
            <w:noWrap/>
            <w:vAlign w:val="bottom"/>
          </w:tcPr>
          <w:p w:rsidR="005C287E" w:rsidRPr="000875F4" w:rsidRDefault="005C287E" w:rsidP="005C287E">
            <w:pPr>
              <w:spacing w:after="0" w:line="240" w:lineRule="auto"/>
              <w:jc w:val="right"/>
              <w:rPr>
                <w:rFonts w:ascii="Arial TUR" w:eastAsia="Times New Roman" w:hAnsi="Arial TUR" w:cs="Arial TUR"/>
                <w:b/>
                <w:bCs/>
                <w:sz w:val="16"/>
                <w:szCs w:val="16"/>
                <w:lang w:eastAsia="tr-TR"/>
              </w:rPr>
            </w:pPr>
          </w:p>
        </w:tc>
        <w:tc>
          <w:tcPr>
            <w:tcW w:w="392" w:type="pct"/>
            <w:gridSpan w:val="2"/>
            <w:tcBorders>
              <w:top w:val="nil"/>
              <w:left w:val="nil"/>
              <w:bottom w:val="single" w:sz="8" w:space="0" w:color="auto"/>
              <w:right w:val="single" w:sz="8" w:space="0" w:color="auto"/>
            </w:tcBorders>
            <w:shd w:val="clear" w:color="auto" w:fill="auto"/>
            <w:noWrap/>
            <w:vAlign w:val="bottom"/>
          </w:tcPr>
          <w:p w:rsidR="005C287E" w:rsidRPr="000875F4" w:rsidRDefault="005C287E" w:rsidP="005C287E">
            <w:pPr>
              <w:spacing w:after="0" w:line="240" w:lineRule="auto"/>
              <w:jc w:val="right"/>
              <w:rPr>
                <w:rFonts w:ascii="Arial TUR" w:eastAsia="Times New Roman" w:hAnsi="Arial TUR" w:cs="Arial TUR"/>
                <w:b/>
                <w:bCs/>
                <w:sz w:val="16"/>
                <w:szCs w:val="16"/>
                <w:lang w:eastAsia="tr-TR"/>
              </w:rPr>
            </w:pPr>
          </w:p>
        </w:tc>
        <w:tc>
          <w:tcPr>
            <w:tcW w:w="389" w:type="pct"/>
            <w:gridSpan w:val="2"/>
            <w:tcBorders>
              <w:top w:val="nil"/>
              <w:left w:val="nil"/>
              <w:bottom w:val="single" w:sz="8" w:space="0" w:color="auto"/>
              <w:right w:val="single" w:sz="8" w:space="0" w:color="auto"/>
            </w:tcBorders>
            <w:shd w:val="clear" w:color="auto" w:fill="auto"/>
            <w:noWrap/>
            <w:vAlign w:val="bottom"/>
          </w:tcPr>
          <w:p w:rsidR="005C287E" w:rsidRPr="000875F4" w:rsidRDefault="005C287E" w:rsidP="005C287E">
            <w:pPr>
              <w:spacing w:after="0" w:line="240" w:lineRule="auto"/>
              <w:jc w:val="right"/>
              <w:rPr>
                <w:rFonts w:ascii="Arial" w:eastAsia="Times New Roman" w:hAnsi="Arial" w:cs="Arial"/>
                <w:b/>
                <w:bCs/>
                <w:sz w:val="16"/>
                <w:szCs w:val="16"/>
                <w:lang w:eastAsia="tr-TR"/>
              </w:rPr>
            </w:pPr>
          </w:p>
        </w:tc>
      </w:tr>
      <w:tr w:rsidR="005C287E" w:rsidRPr="000875F4" w:rsidTr="005C287E">
        <w:trPr>
          <w:gridAfter w:val="1"/>
          <w:wAfter w:w="23" w:type="pct"/>
          <w:trHeight w:val="20"/>
        </w:trPr>
        <w:tc>
          <w:tcPr>
            <w:tcW w:w="123" w:type="pct"/>
            <w:tcBorders>
              <w:top w:val="nil"/>
              <w:left w:val="single" w:sz="8" w:space="0" w:color="auto"/>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630</w:t>
            </w:r>
          </w:p>
        </w:tc>
        <w:tc>
          <w:tcPr>
            <w:tcW w:w="96" w:type="pct"/>
            <w:tcBorders>
              <w:top w:val="nil"/>
              <w:left w:val="nil"/>
              <w:bottom w:val="single" w:sz="4" w:space="0" w:color="auto"/>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05</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06</w:t>
            </w:r>
          </w:p>
        </w:tc>
        <w:tc>
          <w:tcPr>
            <w:tcW w:w="897" w:type="pct"/>
            <w:gridSpan w:val="2"/>
            <w:tcBorders>
              <w:top w:val="nil"/>
              <w:left w:val="nil"/>
              <w:bottom w:val="single" w:sz="4" w:space="0" w:color="auto"/>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Yurtdışına Yapılan Transferler</w:t>
            </w:r>
          </w:p>
        </w:tc>
        <w:tc>
          <w:tcPr>
            <w:tcW w:w="416"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sz w:val="16"/>
                <w:szCs w:val="16"/>
                <w:lang w:eastAsia="tr-TR"/>
              </w:rPr>
            </w:pPr>
            <w:r>
              <w:rPr>
                <w:rFonts w:ascii="Arial" w:hAnsi="Arial" w:cs="Arial"/>
                <w:sz w:val="16"/>
                <w:szCs w:val="16"/>
              </w:rPr>
              <w:t>68.163,93</w:t>
            </w:r>
          </w:p>
        </w:tc>
        <w:tc>
          <w:tcPr>
            <w:tcW w:w="376" w:type="pct"/>
            <w:gridSpan w:val="2"/>
            <w:tcBorders>
              <w:top w:val="single" w:sz="4" w:space="0" w:color="auto"/>
              <w:left w:val="nil"/>
              <w:bottom w:val="single" w:sz="4" w:space="0" w:color="auto"/>
              <w:right w:val="single" w:sz="4"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sz w:val="16"/>
                <w:szCs w:val="16"/>
                <w:lang w:eastAsia="tr-TR"/>
              </w:rPr>
            </w:pPr>
            <w:r>
              <w:rPr>
                <w:rFonts w:ascii="Arial" w:hAnsi="Arial" w:cs="Arial"/>
                <w:sz w:val="16"/>
                <w:szCs w:val="16"/>
              </w:rPr>
              <w:t>83.792,27</w:t>
            </w:r>
          </w:p>
        </w:tc>
        <w:tc>
          <w:tcPr>
            <w:tcW w:w="390" w:type="pct"/>
            <w:gridSpan w:val="2"/>
            <w:tcBorders>
              <w:top w:val="single" w:sz="4" w:space="0" w:color="auto"/>
              <w:left w:val="nil"/>
              <w:bottom w:val="single" w:sz="4" w:space="0" w:color="auto"/>
              <w:right w:val="single" w:sz="4"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bCs/>
                <w:sz w:val="16"/>
                <w:szCs w:val="18"/>
                <w:lang w:eastAsia="tr-TR"/>
              </w:rPr>
            </w:pPr>
            <w:r>
              <w:rPr>
                <w:rFonts w:ascii="Arial" w:hAnsi="Arial" w:cs="Arial"/>
                <w:sz w:val="16"/>
                <w:szCs w:val="16"/>
              </w:rPr>
              <w:t>148.241,44</w:t>
            </w:r>
          </w:p>
        </w:tc>
        <w:tc>
          <w:tcPr>
            <w:tcW w:w="44" w:type="pct"/>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p>
        </w:tc>
        <w:tc>
          <w:tcPr>
            <w:tcW w:w="128" w:type="pct"/>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Times New Roman" w:eastAsia="Times New Roman" w:hAnsi="Times New Roman"/>
                <w:sz w:val="20"/>
                <w:szCs w:val="20"/>
                <w:lang w:eastAsia="tr-TR"/>
              </w:rPr>
            </w:pPr>
          </w:p>
        </w:tc>
        <w:tc>
          <w:tcPr>
            <w:tcW w:w="96" w:type="pct"/>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Times New Roman" w:eastAsia="Times New Roman" w:hAnsi="Times New Roman"/>
                <w:sz w:val="20"/>
                <w:szCs w:val="20"/>
                <w:lang w:eastAsia="tr-TR"/>
              </w:rPr>
            </w:pPr>
          </w:p>
        </w:tc>
        <w:tc>
          <w:tcPr>
            <w:tcW w:w="96" w:type="pct"/>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Times New Roman" w:eastAsia="Times New Roman" w:hAnsi="Times New Roman"/>
                <w:sz w:val="20"/>
                <w:szCs w:val="20"/>
                <w:lang w:eastAsia="tr-TR"/>
              </w:rPr>
            </w:pPr>
          </w:p>
        </w:tc>
        <w:tc>
          <w:tcPr>
            <w:tcW w:w="96" w:type="pct"/>
            <w:gridSpan w:val="2"/>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Times New Roman" w:eastAsia="Times New Roman" w:hAnsi="Times New Roman"/>
                <w:sz w:val="20"/>
                <w:szCs w:val="20"/>
                <w:lang w:eastAsia="tr-TR"/>
              </w:rPr>
            </w:pPr>
          </w:p>
        </w:tc>
        <w:tc>
          <w:tcPr>
            <w:tcW w:w="96" w:type="pct"/>
            <w:gridSpan w:val="2"/>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Times New Roman" w:eastAsia="Times New Roman" w:hAnsi="Times New Roman"/>
                <w:sz w:val="20"/>
                <w:szCs w:val="20"/>
                <w:lang w:eastAsia="tr-TR"/>
              </w:rPr>
            </w:pPr>
          </w:p>
        </w:tc>
        <w:tc>
          <w:tcPr>
            <w:tcW w:w="871" w:type="pct"/>
            <w:gridSpan w:val="4"/>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Times New Roman" w:eastAsia="Times New Roman" w:hAnsi="Times New Roman"/>
                <w:sz w:val="20"/>
                <w:szCs w:val="20"/>
                <w:lang w:eastAsia="tr-TR"/>
              </w:rPr>
            </w:pPr>
          </w:p>
        </w:tc>
        <w:tc>
          <w:tcPr>
            <w:tcW w:w="376" w:type="pct"/>
            <w:gridSpan w:val="2"/>
            <w:tcBorders>
              <w:top w:val="nil"/>
              <w:left w:val="nil"/>
              <w:bottom w:val="nil"/>
              <w:right w:val="nil"/>
            </w:tcBorders>
            <w:shd w:val="clear" w:color="auto" w:fill="auto"/>
            <w:noWrap/>
            <w:vAlign w:val="bottom"/>
          </w:tcPr>
          <w:p w:rsidR="005C287E" w:rsidRPr="000875F4" w:rsidRDefault="005C287E" w:rsidP="005C287E">
            <w:pPr>
              <w:spacing w:after="0" w:line="240" w:lineRule="auto"/>
              <w:jc w:val="right"/>
              <w:rPr>
                <w:rFonts w:ascii="Times New Roman" w:eastAsia="Times New Roman" w:hAnsi="Times New Roman"/>
                <w:sz w:val="20"/>
                <w:szCs w:val="20"/>
                <w:lang w:eastAsia="tr-TR"/>
              </w:rPr>
            </w:pPr>
          </w:p>
        </w:tc>
        <w:tc>
          <w:tcPr>
            <w:tcW w:w="392" w:type="pct"/>
            <w:gridSpan w:val="2"/>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right"/>
              <w:rPr>
                <w:rFonts w:ascii="Times New Roman" w:eastAsia="Times New Roman" w:hAnsi="Times New Roman"/>
                <w:sz w:val="20"/>
                <w:szCs w:val="20"/>
                <w:lang w:eastAsia="tr-TR"/>
              </w:rPr>
            </w:pPr>
          </w:p>
        </w:tc>
        <w:tc>
          <w:tcPr>
            <w:tcW w:w="389" w:type="pct"/>
            <w:gridSpan w:val="2"/>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right"/>
              <w:rPr>
                <w:rFonts w:ascii="Times New Roman" w:eastAsia="Times New Roman" w:hAnsi="Times New Roman"/>
                <w:b/>
                <w:sz w:val="20"/>
                <w:szCs w:val="20"/>
                <w:lang w:eastAsia="tr-TR"/>
              </w:rPr>
            </w:pPr>
          </w:p>
        </w:tc>
      </w:tr>
      <w:tr w:rsidR="005C287E" w:rsidRPr="000875F4" w:rsidTr="005C287E">
        <w:trPr>
          <w:gridAfter w:val="1"/>
          <w:wAfter w:w="23" w:type="pct"/>
          <w:trHeight w:val="20"/>
        </w:trPr>
        <w:tc>
          <w:tcPr>
            <w:tcW w:w="123" w:type="pct"/>
            <w:tcBorders>
              <w:top w:val="nil"/>
              <w:left w:val="single" w:sz="8" w:space="0" w:color="auto"/>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630</w:t>
            </w:r>
          </w:p>
        </w:tc>
        <w:tc>
          <w:tcPr>
            <w:tcW w:w="96" w:type="pct"/>
            <w:tcBorders>
              <w:top w:val="nil"/>
              <w:left w:val="nil"/>
              <w:bottom w:val="single" w:sz="4" w:space="0" w:color="auto"/>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05</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08</w:t>
            </w:r>
          </w:p>
        </w:tc>
        <w:tc>
          <w:tcPr>
            <w:tcW w:w="897" w:type="pct"/>
            <w:gridSpan w:val="2"/>
            <w:tcBorders>
              <w:top w:val="nil"/>
              <w:left w:val="nil"/>
              <w:bottom w:val="single" w:sz="4" w:space="0" w:color="auto"/>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Gelirden Ayrılan Paylar</w:t>
            </w:r>
          </w:p>
        </w:tc>
        <w:tc>
          <w:tcPr>
            <w:tcW w:w="416"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sz w:val="16"/>
                <w:szCs w:val="16"/>
                <w:lang w:eastAsia="tr-TR"/>
              </w:rPr>
            </w:pPr>
            <w:r>
              <w:rPr>
                <w:rFonts w:ascii="Arial" w:hAnsi="Arial" w:cs="Arial"/>
                <w:sz w:val="16"/>
                <w:szCs w:val="16"/>
              </w:rPr>
              <w:t>65.500.000,00</w:t>
            </w:r>
          </w:p>
        </w:tc>
        <w:tc>
          <w:tcPr>
            <w:tcW w:w="376" w:type="pct"/>
            <w:gridSpan w:val="2"/>
            <w:tcBorders>
              <w:top w:val="single" w:sz="4" w:space="0" w:color="auto"/>
              <w:left w:val="nil"/>
              <w:bottom w:val="single" w:sz="4" w:space="0" w:color="auto"/>
              <w:right w:val="single" w:sz="4"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sz w:val="16"/>
                <w:szCs w:val="16"/>
                <w:lang w:eastAsia="tr-TR"/>
              </w:rPr>
            </w:pPr>
            <w:r>
              <w:rPr>
                <w:rFonts w:ascii="Arial" w:hAnsi="Arial" w:cs="Arial"/>
                <w:sz w:val="16"/>
                <w:szCs w:val="16"/>
              </w:rPr>
              <w:t>354.810.951,36</w:t>
            </w:r>
          </w:p>
        </w:tc>
        <w:tc>
          <w:tcPr>
            <w:tcW w:w="390" w:type="pct"/>
            <w:gridSpan w:val="2"/>
            <w:tcBorders>
              <w:top w:val="single" w:sz="4" w:space="0" w:color="auto"/>
              <w:left w:val="nil"/>
              <w:bottom w:val="single" w:sz="4" w:space="0" w:color="auto"/>
              <w:right w:val="single" w:sz="4"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bCs/>
                <w:sz w:val="16"/>
                <w:szCs w:val="18"/>
                <w:lang w:eastAsia="tr-TR"/>
              </w:rPr>
            </w:pPr>
            <w:r>
              <w:rPr>
                <w:rFonts w:ascii="Arial" w:hAnsi="Arial" w:cs="Arial"/>
                <w:sz w:val="16"/>
                <w:szCs w:val="16"/>
              </w:rPr>
              <w:t>457.625.820,49</w:t>
            </w:r>
          </w:p>
        </w:tc>
        <w:tc>
          <w:tcPr>
            <w:tcW w:w="44" w:type="pct"/>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p>
        </w:tc>
        <w:tc>
          <w:tcPr>
            <w:tcW w:w="1382" w:type="pct"/>
            <w:gridSpan w:val="11"/>
            <w:tcBorders>
              <w:top w:val="single" w:sz="8" w:space="0" w:color="auto"/>
              <w:left w:val="single" w:sz="8" w:space="0" w:color="auto"/>
              <w:bottom w:val="single" w:sz="8" w:space="0" w:color="auto"/>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b/>
                <w:bCs/>
                <w:sz w:val="16"/>
                <w:szCs w:val="16"/>
                <w:lang w:eastAsia="tr-TR"/>
              </w:rPr>
            </w:pPr>
            <w:r w:rsidRPr="000875F4">
              <w:rPr>
                <w:rFonts w:ascii="Arial TUR" w:eastAsia="Times New Roman" w:hAnsi="Arial TUR" w:cs="Arial TUR"/>
                <w:b/>
                <w:bCs/>
                <w:sz w:val="16"/>
                <w:szCs w:val="16"/>
                <w:lang w:eastAsia="tr-TR"/>
              </w:rPr>
              <w:t>GELİRLER TOPLAMI (B)</w:t>
            </w:r>
          </w:p>
        </w:tc>
        <w:tc>
          <w:tcPr>
            <w:tcW w:w="376" w:type="pct"/>
            <w:gridSpan w:val="2"/>
            <w:tcBorders>
              <w:top w:val="single" w:sz="8" w:space="0" w:color="auto"/>
              <w:left w:val="single" w:sz="8" w:space="0" w:color="auto"/>
              <w:bottom w:val="single" w:sz="8" w:space="0" w:color="auto"/>
              <w:right w:val="single" w:sz="8"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b/>
                <w:bCs/>
                <w:sz w:val="16"/>
                <w:szCs w:val="16"/>
                <w:lang w:eastAsia="tr-TR"/>
              </w:rPr>
            </w:pPr>
            <w:r>
              <w:rPr>
                <w:rFonts w:ascii="Arial" w:hAnsi="Arial" w:cs="Arial"/>
                <w:b/>
                <w:bCs/>
                <w:sz w:val="16"/>
                <w:szCs w:val="16"/>
              </w:rPr>
              <w:t>444.495.676,39</w:t>
            </w:r>
          </w:p>
        </w:tc>
        <w:tc>
          <w:tcPr>
            <w:tcW w:w="392" w:type="pct"/>
            <w:gridSpan w:val="2"/>
            <w:tcBorders>
              <w:top w:val="single" w:sz="8" w:space="0" w:color="auto"/>
              <w:left w:val="nil"/>
              <w:bottom w:val="single" w:sz="8" w:space="0" w:color="auto"/>
              <w:right w:val="single" w:sz="8"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b/>
                <w:bCs/>
                <w:sz w:val="16"/>
                <w:szCs w:val="16"/>
                <w:lang w:eastAsia="tr-TR"/>
              </w:rPr>
            </w:pPr>
            <w:r>
              <w:rPr>
                <w:rFonts w:ascii="Arial" w:hAnsi="Arial" w:cs="Arial"/>
                <w:b/>
                <w:bCs/>
                <w:sz w:val="16"/>
                <w:szCs w:val="16"/>
              </w:rPr>
              <w:t>524.992.650,62</w:t>
            </w:r>
          </w:p>
        </w:tc>
        <w:tc>
          <w:tcPr>
            <w:tcW w:w="389" w:type="pct"/>
            <w:gridSpan w:val="2"/>
            <w:tcBorders>
              <w:top w:val="single" w:sz="8" w:space="0" w:color="auto"/>
              <w:left w:val="nil"/>
              <w:bottom w:val="single" w:sz="8" w:space="0" w:color="auto"/>
              <w:right w:val="single" w:sz="8"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b/>
                <w:bCs/>
                <w:sz w:val="16"/>
                <w:szCs w:val="16"/>
                <w:lang w:eastAsia="tr-TR"/>
              </w:rPr>
            </w:pPr>
            <w:r>
              <w:rPr>
                <w:rFonts w:ascii="Arial" w:hAnsi="Arial" w:cs="Arial"/>
                <w:b/>
                <w:bCs/>
                <w:sz w:val="16"/>
                <w:szCs w:val="16"/>
              </w:rPr>
              <w:t>908.045.801,55</w:t>
            </w:r>
          </w:p>
        </w:tc>
      </w:tr>
      <w:tr w:rsidR="005C287E" w:rsidRPr="000875F4" w:rsidTr="005C287E">
        <w:trPr>
          <w:gridAfter w:val="1"/>
          <w:wAfter w:w="23" w:type="pct"/>
          <w:trHeight w:val="20"/>
        </w:trPr>
        <w:tc>
          <w:tcPr>
            <w:tcW w:w="123" w:type="pct"/>
            <w:tcBorders>
              <w:top w:val="nil"/>
              <w:left w:val="single" w:sz="8" w:space="0" w:color="auto"/>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b/>
                <w:sz w:val="16"/>
                <w:szCs w:val="16"/>
                <w:lang w:eastAsia="tr-TR"/>
              </w:rPr>
            </w:pPr>
            <w:r w:rsidRPr="000875F4">
              <w:rPr>
                <w:rFonts w:ascii="Arial TUR" w:eastAsia="Times New Roman" w:hAnsi="Arial TUR" w:cs="Arial TUR"/>
                <w:b/>
                <w:sz w:val="16"/>
                <w:szCs w:val="16"/>
                <w:lang w:eastAsia="tr-TR"/>
              </w:rPr>
              <w:t>630</w:t>
            </w:r>
          </w:p>
        </w:tc>
        <w:tc>
          <w:tcPr>
            <w:tcW w:w="96" w:type="pct"/>
            <w:tcBorders>
              <w:top w:val="nil"/>
              <w:left w:val="nil"/>
              <w:bottom w:val="single" w:sz="4" w:space="0" w:color="auto"/>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b/>
                <w:sz w:val="16"/>
                <w:szCs w:val="16"/>
                <w:lang w:eastAsia="tr-TR"/>
              </w:rPr>
            </w:pPr>
            <w:r w:rsidRPr="000875F4">
              <w:rPr>
                <w:rFonts w:ascii="Arial TUR" w:eastAsia="Times New Roman" w:hAnsi="Arial TUR" w:cs="Arial TUR"/>
                <w:b/>
                <w:sz w:val="16"/>
                <w:szCs w:val="16"/>
                <w:lang w:eastAsia="tr-TR"/>
              </w:rPr>
              <w:t>12</w:t>
            </w:r>
          </w:p>
        </w:tc>
        <w:tc>
          <w:tcPr>
            <w:tcW w:w="96" w:type="pct"/>
            <w:tcBorders>
              <w:top w:val="nil"/>
              <w:left w:val="single" w:sz="8" w:space="0" w:color="auto"/>
              <w:bottom w:val="single" w:sz="4"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 </w:t>
            </w:r>
          </w:p>
        </w:tc>
        <w:tc>
          <w:tcPr>
            <w:tcW w:w="897" w:type="pct"/>
            <w:gridSpan w:val="2"/>
            <w:tcBorders>
              <w:top w:val="nil"/>
              <w:left w:val="nil"/>
              <w:bottom w:val="single" w:sz="4" w:space="0" w:color="auto"/>
              <w:right w:val="nil"/>
            </w:tcBorders>
            <w:shd w:val="clear" w:color="auto" w:fill="auto"/>
            <w:vAlign w:val="bottom"/>
            <w:hideMark/>
          </w:tcPr>
          <w:p w:rsidR="005C287E" w:rsidRPr="000875F4" w:rsidRDefault="005C287E" w:rsidP="005C287E">
            <w:pPr>
              <w:spacing w:after="0" w:line="240" w:lineRule="auto"/>
              <w:jc w:val="left"/>
              <w:rPr>
                <w:rFonts w:ascii="Arial TUR" w:eastAsia="Times New Roman" w:hAnsi="Arial TUR" w:cs="Arial TUR"/>
                <w:b/>
                <w:bCs/>
                <w:sz w:val="16"/>
                <w:szCs w:val="16"/>
                <w:lang w:eastAsia="tr-TR"/>
              </w:rPr>
            </w:pPr>
            <w:r w:rsidRPr="000875F4">
              <w:rPr>
                <w:rFonts w:ascii="Arial TUR" w:eastAsia="Times New Roman" w:hAnsi="Arial TUR" w:cs="Arial TUR"/>
                <w:b/>
                <w:bCs/>
                <w:sz w:val="16"/>
                <w:szCs w:val="16"/>
                <w:lang w:eastAsia="tr-TR"/>
              </w:rPr>
              <w:t>Gelirlerin Red ve İadesinden Kaynaklanan Giderleri</w:t>
            </w:r>
          </w:p>
        </w:tc>
        <w:tc>
          <w:tcPr>
            <w:tcW w:w="416"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b/>
                <w:bCs/>
                <w:sz w:val="16"/>
                <w:szCs w:val="16"/>
                <w:lang w:eastAsia="tr-TR"/>
              </w:rPr>
            </w:pPr>
            <w:r>
              <w:rPr>
                <w:rFonts w:ascii="Arial" w:hAnsi="Arial" w:cs="Arial"/>
                <w:b/>
                <w:bCs/>
                <w:sz w:val="16"/>
                <w:szCs w:val="16"/>
              </w:rPr>
              <w:t>0,00</w:t>
            </w:r>
          </w:p>
        </w:tc>
        <w:tc>
          <w:tcPr>
            <w:tcW w:w="376" w:type="pct"/>
            <w:gridSpan w:val="2"/>
            <w:tcBorders>
              <w:top w:val="single" w:sz="4" w:space="0" w:color="auto"/>
              <w:left w:val="nil"/>
              <w:bottom w:val="single" w:sz="4" w:space="0" w:color="auto"/>
              <w:right w:val="single" w:sz="4"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b/>
                <w:bCs/>
                <w:sz w:val="16"/>
                <w:szCs w:val="16"/>
                <w:lang w:eastAsia="tr-TR"/>
              </w:rPr>
            </w:pPr>
            <w:r>
              <w:rPr>
                <w:rFonts w:ascii="Arial" w:hAnsi="Arial" w:cs="Arial"/>
                <w:b/>
                <w:bCs/>
                <w:sz w:val="16"/>
                <w:szCs w:val="16"/>
              </w:rPr>
              <w:t>0,00</w:t>
            </w:r>
          </w:p>
        </w:tc>
        <w:tc>
          <w:tcPr>
            <w:tcW w:w="390" w:type="pct"/>
            <w:gridSpan w:val="2"/>
            <w:tcBorders>
              <w:top w:val="single" w:sz="4" w:space="0" w:color="auto"/>
              <w:left w:val="nil"/>
              <w:bottom w:val="single" w:sz="4" w:space="0" w:color="auto"/>
              <w:right w:val="single" w:sz="4"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b/>
                <w:bCs/>
                <w:sz w:val="16"/>
                <w:szCs w:val="18"/>
                <w:lang w:eastAsia="tr-TR"/>
              </w:rPr>
            </w:pPr>
            <w:r>
              <w:rPr>
                <w:rFonts w:ascii="Arial" w:hAnsi="Arial" w:cs="Arial"/>
                <w:b/>
                <w:bCs/>
                <w:sz w:val="16"/>
                <w:szCs w:val="16"/>
              </w:rPr>
              <w:t>0,00</w:t>
            </w:r>
          </w:p>
        </w:tc>
        <w:tc>
          <w:tcPr>
            <w:tcW w:w="44" w:type="pct"/>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b/>
                <w:bCs/>
                <w:sz w:val="16"/>
                <w:szCs w:val="16"/>
                <w:lang w:eastAsia="tr-TR"/>
              </w:rPr>
            </w:pPr>
          </w:p>
        </w:tc>
        <w:tc>
          <w:tcPr>
            <w:tcW w:w="128" w:type="pct"/>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Times New Roman" w:eastAsia="Times New Roman" w:hAnsi="Times New Roman"/>
                <w:sz w:val="20"/>
                <w:szCs w:val="20"/>
                <w:lang w:eastAsia="tr-TR"/>
              </w:rPr>
            </w:pPr>
          </w:p>
        </w:tc>
        <w:tc>
          <w:tcPr>
            <w:tcW w:w="96" w:type="pct"/>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Times New Roman" w:eastAsia="Times New Roman" w:hAnsi="Times New Roman"/>
                <w:sz w:val="20"/>
                <w:szCs w:val="20"/>
                <w:lang w:eastAsia="tr-TR"/>
              </w:rPr>
            </w:pPr>
          </w:p>
        </w:tc>
        <w:tc>
          <w:tcPr>
            <w:tcW w:w="96" w:type="pct"/>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Times New Roman" w:eastAsia="Times New Roman" w:hAnsi="Times New Roman"/>
                <w:sz w:val="20"/>
                <w:szCs w:val="20"/>
                <w:lang w:eastAsia="tr-TR"/>
              </w:rPr>
            </w:pPr>
          </w:p>
        </w:tc>
        <w:tc>
          <w:tcPr>
            <w:tcW w:w="96" w:type="pct"/>
            <w:gridSpan w:val="2"/>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Times New Roman" w:eastAsia="Times New Roman" w:hAnsi="Times New Roman"/>
                <w:sz w:val="20"/>
                <w:szCs w:val="20"/>
                <w:lang w:eastAsia="tr-TR"/>
              </w:rPr>
            </w:pPr>
          </w:p>
        </w:tc>
        <w:tc>
          <w:tcPr>
            <w:tcW w:w="96" w:type="pct"/>
            <w:gridSpan w:val="2"/>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Times New Roman" w:eastAsia="Times New Roman" w:hAnsi="Times New Roman"/>
                <w:sz w:val="20"/>
                <w:szCs w:val="20"/>
                <w:lang w:eastAsia="tr-TR"/>
              </w:rPr>
            </w:pPr>
          </w:p>
        </w:tc>
        <w:tc>
          <w:tcPr>
            <w:tcW w:w="871" w:type="pct"/>
            <w:gridSpan w:val="4"/>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Times New Roman" w:eastAsia="Times New Roman" w:hAnsi="Times New Roman"/>
                <w:sz w:val="20"/>
                <w:szCs w:val="20"/>
                <w:lang w:eastAsia="tr-TR"/>
              </w:rPr>
            </w:pPr>
          </w:p>
        </w:tc>
        <w:tc>
          <w:tcPr>
            <w:tcW w:w="376" w:type="pct"/>
            <w:gridSpan w:val="2"/>
            <w:tcBorders>
              <w:top w:val="nil"/>
              <w:left w:val="nil"/>
              <w:bottom w:val="nil"/>
              <w:right w:val="nil"/>
            </w:tcBorders>
            <w:shd w:val="clear" w:color="auto" w:fill="auto"/>
            <w:noWrap/>
            <w:vAlign w:val="bottom"/>
          </w:tcPr>
          <w:p w:rsidR="005C287E" w:rsidRPr="000875F4" w:rsidRDefault="005C287E" w:rsidP="005C287E">
            <w:pPr>
              <w:spacing w:after="0" w:line="240" w:lineRule="auto"/>
              <w:jc w:val="right"/>
              <w:rPr>
                <w:rFonts w:ascii="Times New Roman" w:eastAsia="Times New Roman" w:hAnsi="Times New Roman"/>
                <w:sz w:val="20"/>
                <w:szCs w:val="20"/>
                <w:lang w:eastAsia="tr-TR"/>
              </w:rPr>
            </w:pPr>
          </w:p>
        </w:tc>
        <w:tc>
          <w:tcPr>
            <w:tcW w:w="392" w:type="pct"/>
            <w:gridSpan w:val="2"/>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right"/>
              <w:rPr>
                <w:rFonts w:ascii="Times New Roman" w:eastAsia="Times New Roman" w:hAnsi="Times New Roman"/>
                <w:sz w:val="20"/>
                <w:szCs w:val="20"/>
                <w:lang w:eastAsia="tr-TR"/>
              </w:rPr>
            </w:pPr>
          </w:p>
        </w:tc>
        <w:tc>
          <w:tcPr>
            <w:tcW w:w="389" w:type="pct"/>
            <w:gridSpan w:val="2"/>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right"/>
              <w:rPr>
                <w:rFonts w:ascii="Times New Roman" w:eastAsia="Times New Roman" w:hAnsi="Times New Roman"/>
                <w:sz w:val="20"/>
                <w:szCs w:val="20"/>
                <w:lang w:eastAsia="tr-TR"/>
              </w:rPr>
            </w:pPr>
          </w:p>
        </w:tc>
      </w:tr>
      <w:tr w:rsidR="005C287E" w:rsidRPr="000875F4" w:rsidTr="005C287E">
        <w:trPr>
          <w:gridAfter w:val="1"/>
          <w:wAfter w:w="23" w:type="pct"/>
          <w:trHeight w:val="20"/>
        </w:trPr>
        <w:tc>
          <w:tcPr>
            <w:tcW w:w="123" w:type="pct"/>
            <w:tcBorders>
              <w:top w:val="nil"/>
              <w:left w:val="single" w:sz="8" w:space="0" w:color="auto"/>
              <w:bottom w:val="single" w:sz="8"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b/>
                <w:sz w:val="16"/>
                <w:szCs w:val="16"/>
                <w:lang w:eastAsia="tr-TR"/>
              </w:rPr>
            </w:pPr>
            <w:r w:rsidRPr="000875F4">
              <w:rPr>
                <w:rFonts w:ascii="Arial TUR" w:eastAsia="Times New Roman" w:hAnsi="Arial TUR" w:cs="Arial TUR"/>
                <w:b/>
                <w:sz w:val="16"/>
                <w:szCs w:val="16"/>
                <w:lang w:eastAsia="tr-TR"/>
              </w:rPr>
              <w:t>630</w:t>
            </w:r>
          </w:p>
        </w:tc>
        <w:tc>
          <w:tcPr>
            <w:tcW w:w="96" w:type="pct"/>
            <w:tcBorders>
              <w:top w:val="nil"/>
              <w:left w:val="nil"/>
              <w:bottom w:val="single" w:sz="8" w:space="0" w:color="auto"/>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b/>
                <w:sz w:val="16"/>
                <w:szCs w:val="16"/>
                <w:lang w:eastAsia="tr-TR"/>
              </w:rPr>
            </w:pPr>
            <w:r w:rsidRPr="000875F4">
              <w:rPr>
                <w:rFonts w:ascii="Arial TUR" w:eastAsia="Times New Roman" w:hAnsi="Arial TUR" w:cs="Arial TUR"/>
                <w:b/>
                <w:sz w:val="16"/>
                <w:szCs w:val="16"/>
                <w:lang w:eastAsia="tr-TR"/>
              </w:rPr>
              <w:t>13</w:t>
            </w:r>
          </w:p>
        </w:tc>
        <w:tc>
          <w:tcPr>
            <w:tcW w:w="96" w:type="pct"/>
            <w:tcBorders>
              <w:top w:val="nil"/>
              <w:left w:val="single" w:sz="8" w:space="0" w:color="auto"/>
              <w:bottom w:val="single" w:sz="8" w:space="0" w:color="auto"/>
              <w:right w:val="single" w:sz="8" w:space="0" w:color="auto"/>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 </w:t>
            </w:r>
          </w:p>
        </w:tc>
        <w:tc>
          <w:tcPr>
            <w:tcW w:w="897" w:type="pct"/>
            <w:gridSpan w:val="2"/>
            <w:tcBorders>
              <w:top w:val="nil"/>
              <w:left w:val="nil"/>
              <w:bottom w:val="single" w:sz="8" w:space="0" w:color="auto"/>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b/>
                <w:bCs/>
                <w:sz w:val="16"/>
                <w:szCs w:val="16"/>
                <w:lang w:eastAsia="tr-TR"/>
              </w:rPr>
            </w:pPr>
            <w:r w:rsidRPr="000875F4">
              <w:rPr>
                <w:rFonts w:ascii="Arial TUR" w:eastAsia="Times New Roman" w:hAnsi="Arial TUR" w:cs="Arial TUR"/>
                <w:b/>
                <w:bCs/>
                <w:sz w:val="16"/>
                <w:szCs w:val="16"/>
                <w:lang w:eastAsia="tr-TR"/>
              </w:rPr>
              <w:t>Amortisman Giderleri</w:t>
            </w:r>
          </w:p>
        </w:tc>
        <w:tc>
          <w:tcPr>
            <w:tcW w:w="416"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b/>
                <w:bCs/>
                <w:sz w:val="16"/>
                <w:szCs w:val="16"/>
                <w:lang w:eastAsia="tr-TR"/>
              </w:rPr>
            </w:pPr>
            <w:r>
              <w:rPr>
                <w:rFonts w:ascii="Arial" w:hAnsi="Arial" w:cs="Arial"/>
                <w:b/>
                <w:bCs/>
                <w:sz w:val="16"/>
                <w:szCs w:val="16"/>
              </w:rPr>
              <w:t>13.227.063,92</w:t>
            </w:r>
          </w:p>
        </w:tc>
        <w:tc>
          <w:tcPr>
            <w:tcW w:w="376" w:type="pct"/>
            <w:gridSpan w:val="2"/>
            <w:tcBorders>
              <w:top w:val="single" w:sz="4" w:space="0" w:color="auto"/>
              <w:left w:val="nil"/>
              <w:bottom w:val="single" w:sz="4" w:space="0" w:color="auto"/>
              <w:right w:val="single" w:sz="4"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b/>
                <w:bCs/>
                <w:sz w:val="16"/>
                <w:szCs w:val="16"/>
                <w:lang w:eastAsia="tr-TR"/>
              </w:rPr>
            </w:pPr>
            <w:r>
              <w:rPr>
                <w:rFonts w:ascii="Arial" w:hAnsi="Arial" w:cs="Arial"/>
                <w:b/>
                <w:bCs/>
                <w:sz w:val="16"/>
                <w:szCs w:val="16"/>
              </w:rPr>
              <w:t>8.641.930,23</w:t>
            </w:r>
          </w:p>
        </w:tc>
        <w:tc>
          <w:tcPr>
            <w:tcW w:w="390" w:type="pct"/>
            <w:gridSpan w:val="2"/>
            <w:tcBorders>
              <w:top w:val="single" w:sz="4" w:space="0" w:color="auto"/>
              <w:left w:val="nil"/>
              <w:bottom w:val="single" w:sz="4" w:space="0" w:color="auto"/>
              <w:right w:val="single" w:sz="4"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b/>
                <w:bCs/>
                <w:sz w:val="16"/>
                <w:szCs w:val="18"/>
                <w:lang w:eastAsia="tr-TR"/>
              </w:rPr>
            </w:pPr>
            <w:r>
              <w:rPr>
                <w:rFonts w:ascii="Arial" w:hAnsi="Arial" w:cs="Arial"/>
                <w:b/>
                <w:bCs/>
                <w:sz w:val="16"/>
                <w:szCs w:val="16"/>
              </w:rPr>
              <w:t>11.611.682,73</w:t>
            </w:r>
          </w:p>
        </w:tc>
        <w:tc>
          <w:tcPr>
            <w:tcW w:w="44" w:type="pct"/>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b/>
                <w:bCs/>
                <w:sz w:val="16"/>
                <w:szCs w:val="16"/>
                <w:lang w:eastAsia="tr-TR"/>
              </w:rPr>
            </w:pPr>
          </w:p>
        </w:tc>
        <w:tc>
          <w:tcPr>
            <w:tcW w:w="1382" w:type="pct"/>
            <w:gridSpan w:val="11"/>
            <w:tcBorders>
              <w:top w:val="single" w:sz="8" w:space="0" w:color="auto"/>
              <w:left w:val="single" w:sz="8" w:space="0" w:color="auto"/>
              <w:bottom w:val="single" w:sz="8" w:space="0" w:color="auto"/>
              <w:right w:val="nil"/>
            </w:tcBorders>
            <w:shd w:val="clear" w:color="auto" w:fill="auto"/>
            <w:noWrap/>
            <w:vAlign w:val="center"/>
            <w:hideMark/>
          </w:tcPr>
          <w:p w:rsidR="005C287E" w:rsidRPr="000875F4" w:rsidRDefault="005C287E" w:rsidP="005C287E">
            <w:pPr>
              <w:spacing w:after="0" w:line="240" w:lineRule="auto"/>
              <w:jc w:val="lef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İNDİRİM, İADE VE İSKONTO TÜRÜ</w:t>
            </w:r>
          </w:p>
        </w:tc>
        <w:tc>
          <w:tcPr>
            <w:tcW w:w="376" w:type="pct"/>
            <w:gridSpan w:val="2"/>
            <w:tcBorders>
              <w:top w:val="single" w:sz="8" w:space="0" w:color="auto"/>
              <w:left w:val="nil"/>
              <w:bottom w:val="single" w:sz="8" w:space="0" w:color="auto"/>
              <w:right w:val="single" w:sz="8"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b/>
                <w:bCs/>
                <w:sz w:val="18"/>
                <w:szCs w:val="18"/>
                <w:lang w:eastAsia="tr-TR"/>
              </w:rPr>
            </w:pPr>
            <w:r>
              <w:rPr>
                <w:rFonts w:ascii="Arial" w:hAnsi="Arial" w:cs="Arial"/>
                <w:b/>
                <w:bCs/>
                <w:sz w:val="18"/>
                <w:szCs w:val="18"/>
              </w:rPr>
              <w:t>31.12.2020</w:t>
            </w:r>
          </w:p>
        </w:tc>
        <w:tc>
          <w:tcPr>
            <w:tcW w:w="392" w:type="pct"/>
            <w:gridSpan w:val="2"/>
            <w:tcBorders>
              <w:top w:val="single" w:sz="8" w:space="0" w:color="auto"/>
              <w:left w:val="nil"/>
              <w:bottom w:val="single" w:sz="8" w:space="0" w:color="auto"/>
              <w:right w:val="single" w:sz="8"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b/>
                <w:bCs/>
                <w:sz w:val="18"/>
                <w:szCs w:val="18"/>
                <w:lang w:eastAsia="tr-TR"/>
              </w:rPr>
            </w:pPr>
            <w:r>
              <w:rPr>
                <w:rFonts w:ascii="Arial" w:hAnsi="Arial" w:cs="Arial"/>
                <w:b/>
                <w:bCs/>
                <w:sz w:val="18"/>
                <w:szCs w:val="18"/>
              </w:rPr>
              <w:t>31.12.2021</w:t>
            </w:r>
          </w:p>
        </w:tc>
        <w:tc>
          <w:tcPr>
            <w:tcW w:w="389" w:type="pct"/>
            <w:gridSpan w:val="2"/>
            <w:tcBorders>
              <w:top w:val="single" w:sz="8" w:space="0" w:color="auto"/>
              <w:left w:val="nil"/>
              <w:bottom w:val="single" w:sz="8" w:space="0" w:color="auto"/>
              <w:right w:val="single" w:sz="8" w:space="0" w:color="auto"/>
            </w:tcBorders>
            <w:shd w:val="clear" w:color="auto" w:fill="auto"/>
            <w:noWrap/>
            <w:vAlign w:val="center"/>
            <w:hideMark/>
          </w:tcPr>
          <w:p w:rsidR="005C287E" w:rsidRPr="000875F4" w:rsidRDefault="005C287E" w:rsidP="005C287E">
            <w:pPr>
              <w:spacing w:after="0" w:line="240" w:lineRule="auto"/>
              <w:jc w:val="right"/>
              <w:rPr>
                <w:rFonts w:ascii="Arial TUR" w:eastAsia="Times New Roman" w:hAnsi="Arial TUR" w:cs="Arial TUR"/>
                <w:b/>
                <w:bCs/>
                <w:sz w:val="18"/>
                <w:szCs w:val="18"/>
                <w:lang w:eastAsia="tr-TR"/>
              </w:rPr>
            </w:pPr>
            <w:r>
              <w:rPr>
                <w:rFonts w:ascii="Arial" w:hAnsi="Arial" w:cs="Arial"/>
                <w:b/>
                <w:bCs/>
                <w:sz w:val="18"/>
                <w:szCs w:val="18"/>
              </w:rPr>
              <w:t>31.12.2022</w:t>
            </w:r>
          </w:p>
        </w:tc>
      </w:tr>
      <w:tr w:rsidR="005C287E" w:rsidRPr="000875F4" w:rsidTr="005C287E">
        <w:trPr>
          <w:gridAfter w:val="1"/>
          <w:wAfter w:w="23" w:type="pct"/>
          <w:trHeight w:val="20"/>
        </w:trPr>
        <w:tc>
          <w:tcPr>
            <w:tcW w:w="123" w:type="pct"/>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center"/>
              <w:rPr>
                <w:rFonts w:ascii="Arial TUR" w:eastAsia="Times New Roman" w:hAnsi="Arial TUR" w:cs="Arial TUR"/>
                <w:b/>
                <w:bCs/>
                <w:sz w:val="18"/>
                <w:szCs w:val="18"/>
                <w:lang w:eastAsia="tr-TR"/>
              </w:rPr>
            </w:pPr>
          </w:p>
        </w:tc>
        <w:tc>
          <w:tcPr>
            <w:tcW w:w="96" w:type="pct"/>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Times New Roman" w:eastAsia="Times New Roman" w:hAnsi="Times New Roman"/>
                <w:sz w:val="20"/>
                <w:szCs w:val="20"/>
                <w:lang w:eastAsia="tr-TR"/>
              </w:rPr>
            </w:pPr>
          </w:p>
        </w:tc>
        <w:tc>
          <w:tcPr>
            <w:tcW w:w="96" w:type="pct"/>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Times New Roman" w:eastAsia="Times New Roman" w:hAnsi="Times New Roman"/>
                <w:sz w:val="20"/>
                <w:szCs w:val="20"/>
                <w:lang w:eastAsia="tr-TR"/>
              </w:rPr>
            </w:pPr>
          </w:p>
        </w:tc>
        <w:tc>
          <w:tcPr>
            <w:tcW w:w="897" w:type="pct"/>
            <w:gridSpan w:val="2"/>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Times New Roman" w:eastAsia="Times New Roman" w:hAnsi="Times New Roman"/>
                <w:sz w:val="20"/>
                <w:szCs w:val="20"/>
                <w:lang w:eastAsia="tr-TR"/>
              </w:rPr>
            </w:pPr>
          </w:p>
        </w:tc>
        <w:tc>
          <w:tcPr>
            <w:tcW w:w="416" w:type="pct"/>
            <w:gridSpan w:val="2"/>
            <w:tcBorders>
              <w:top w:val="nil"/>
              <w:left w:val="nil"/>
              <w:bottom w:val="nil"/>
              <w:right w:val="nil"/>
            </w:tcBorders>
            <w:shd w:val="clear" w:color="auto" w:fill="auto"/>
            <w:noWrap/>
            <w:vAlign w:val="bottom"/>
          </w:tcPr>
          <w:p w:rsidR="005C287E" w:rsidRPr="000875F4" w:rsidRDefault="005C287E" w:rsidP="005C287E">
            <w:pPr>
              <w:spacing w:after="0" w:line="240" w:lineRule="auto"/>
              <w:jc w:val="center"/>
              <w:rPr>
                <w:rFonts w:ascii="Times New Roman" w:eastAsia="Times New Roman" w:hAnsi="Times New Roman"/>
                <w:sz w:val="20"/>
                <w:szCs w:val="20"/>
                <w:lang w:eastAsia="tr-TR"/>
              </w:rPr>
            </w:pPr>
          </w:p>
        </w:tc>
        <w:tc>
          <w:tcPr>
            <w:tcW w:w="376" w:type="pct"/>
            <w:gridSpan w:val="2"/>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center"/>
              <w:rPr>
                <w:rFonts w:ascii="Times New Roman" w:eastAsia="Times New Roman" w:hAnsi="Times New Roman"/>
                <w:sz w:val="20"/>
                <w:szCs w:val="20"/>
                <w:lang w:eastAsia="tr-TR"/>
              </w:rPr>
            </w:pPr>
          </w:p>
        </w:tc>
        <w:tc>
          <w:tcPr>
            <w:tcW w:w="390" w:type="pct"/>
            <w:gridSpan w:val="2"/>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right"/>
              <w:rPr>
                <w:rFonts w:ascii="Arial TUR" w:eastAsia="Times New Roman" w:hAnsi="Arial TUR" w:cs="Arial TUR"/>
                <w:b/>
                <w:bCs/>
                <w:sz w:val="16"/>
                <w:szCs w:val="18"/>
                <w:lang w:eastAsia="tr-TR"/>
              </w:rPr>
            </w:pPr>
          </w:p>
        </w:tc>
        <w:tc>
          <w:tcPr>
            <w:tcW w:w="44" w:type="pct"/>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Times New Roman" w:eastAsia="Times New Roman" w:hAnsi="Times New Roman"/>
                <w:sz w:val="20"/>
                <w:szCs w:val="20"/>
                <w:lang w:eastAsia="tr-TR"/>
              </w:rPr>
            </w:pPr>
          </w:p>
        </w:tc>
        <w:tc>
          <w:tcPr>
            <w:tcW w:w="128" w:type="pct"/>
            <w:tcBorders>
              <w:top w:val="nil"/>
              <w:left w:val="single" w:sz="8" w:space="0" w:color="auto"/>
              <w:bottom w:val="single" w:sz="4" w:space="0" w:color="auto"/>
              <w:right w:val="nil"/>
            </w:tcBorders>
            <w:shd w:val="clear" w:color="auto" w:fill="auto"/>
            <w:noWrap/>
            <w:vAlign w:val="center"/>
            <w:hideMark/>
          </w:tcPr>
          <w:p w:rsidR="005C287E" w:rsidRPr="000875F4" w:rsidRDefault="005C287E" w:rsidP="005C287E">
            <w:pPr>
              <w:spacing w:after="0" w:line="240" w:lineRule="auto"/>
              <w:jc w:val="center"/>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610</w:t>
            </w:r>
          </w:p>
        </w:tc>
        <w:tc>
          <w:tcPr>
            <w:tcW w:w="96" w:type="pct"/>
            <w:tcBorders>
              <w:top w:val="nil"/>
              <w:left w:val="single" w:sz="8" w:space="0" w:color="auto"/>
              <w:bottom w:val="nil"/>
              <w:right w:val="single" w:sz="8" w:space="0" w:color="auto"/>
            </w:tcBorders>
            <w:shd w:val="clear" w:color="auto" w:fill="auto"/>
            <w:noWrap/>
            <w:vAlign w:val="center"/>
            <w:hideMark/>
          </w:tcPr>
          <w:p w:rsidR="005C287E" w:rsidRPr="000875F4" w:rsidRDefault="005C287E" w:rsidP="005C287E">
            <w:pPr>
              <w:spacing w:after="0" w:line="240" w:lineRule="auto"/>
              <w:jc w:val="lef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03</w:t>
            </w:r>
          </w:p>
        </w:tc>
        <w:tc>
          <w:tcPr>
            <w:tcW w:w="96" w:type="pct"/>
            <w:tcBorders>
              <w:top w:val="nil"/>
              <w:left w:val="nil"/>
              <w:bottom w:val="nil"/>
              <w:right w:val="single" w:sz="8" w:space="0" w:color="auto"/>
            </w:tcBorders>
            <w:shd w:val="clear" w:color="auto" w:fill="auto"/>
            <w:noWrap/>
            <w:vAlign w:val="center"/>
            <w:hideMark/>
          </w:tcPr>
          <w:p w:rsidR="005C287E" w:rsidRPr="000875F4" w:rsidRDefault="005C287E" w:rsidP="005C287E">
            <w:pPr>
              <w:spacing w:after="0" w:line="240" w:lineRule="auto"/>
              <w:jc w:val="lef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 </w:t>
            </w:r>
          </w:p>
        </w:tc>
        <w:tc>
          <w:tcPr>
            <w:tcW w:w="96" w:type="pct"/>
            <w:gridSpan w:val="2"/>
            <w:tcBorders>
              <w:top w:val="nil"/>
              <w:left w:val="nil"/>
              <w:bottom w:val="nil"/>
              <w:right w:val="single" w:sz="8" w:space="0" w:color="auto"/>
            </w:tcBorders>
            <w:shd w:val="clear" w:color="auto" w:fill="auto"/>
            <w:noWrap/>
            <w:vAlign w:val="center"/>
            <w:hideMark/>
          </w:tcPr>
          <w:p w:rsidR="005C287E" w:rsidRPr="000875F4" w:rsidRDefault="005C287E" w:rsidP="005C287E">
            <w:pPr>
              <w:spacing w:after="0" w:line="240" w:lineRule="auto"/>
              <w:jc w:val="lef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 </w:t>
            </w:r>
          </w:p>
        </w:tc>
        <w:tc>
          <w:tcPr>
            <w:tcW w:w="96" w:type="pct"/>
            <w:gridSpan w:val="2"/>
            <w:tcBorders>
              <w:top w:val="nil"/>
              <w:left w:val="nil"/>
              <w:bottom w:val="nil"/>
              <w:right w:val="single" w:sz="8" w:space="0" w:color="auto"/>
            </w:tcBorders>
            <w:shd w:val="clear" w:color="auto" w:fill="auto"/>
            <w:noWrap/>
            <w:vAlign w:val="center"/>
            <w:hideMark/>
          </w:tcPr>
          <w:p w:rsidR="005C287E" w:rsidRPr="000875F4" w:rsidRDefault="005C287E" w:rsidP="005C287E">
            <w:pPr>
              <w:spacing w:after="0" w:line="240" w:lineRule="auto"/>
              <w:jc w:val="lef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 </w:t>
            </w:r>
          </w:p>
        </w:tc>
        <w:tc>
          <w:tcPr>
            <w:tcW w:w="871" w:type="pct"/>
            <w:gridSpan w:val="4"/>
            <w:tcBorders>
              <w:top w:val="nil"/>
              <w:left w:val="nil"/>
              <w:bottom w:val="nil"/>
              <w:right w:val="nil"/>
            </w:tcBorders>
            <w:shd w:val="clear" w:color="auto" w:fill="auto"/>
            <w:noWrap/>
            <w:vAlign w:val="center"/>
            <w:hideMark/>
          </w:tcPr>
          <w:p w:rsidR="005C287E" w:rsidRPr="000875F4" w:rsidRDefault="005C287E" w:rsidP="005C287E">
            <w:pPr>
              <w:spacing w:after="0" w:line="240" w:lineRule="auto"/>
              <w:jc w:val="lef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Teşebbüs ve Mülkiyet Gelirleri</w:t>
            </w:r>
          </w:p>
        </w:tc>
        <w:tc>
          <w:tcPr>
            <w:tcW w:w="376" w:type="pct"/>
            <w:gridSpan w:val="2"/>
            <w:tcBorders>
              <w:top w:val="nil"/>
              <w:left w:val="single" w:sz="8" w:space="0" w:color="auto"/>
              <w:bottom w:val="single" w:sz="4" w:space="0" w:color="auto"/>
              <w:right w:val="single" w:sz="8" w:space="0" w:color="auto"/>
            </w:tcBorders>
            <w:shd w:val="clear" w:color="auto" w:fill="auto"/>
            <w:noWrap/>
            <w:vAlign w:val="center"/>
          </w:tcPr>
          <w:p w:rsidR="005C287E" w:rsidRPr="000875F4" w:rsidRDefault="005C287E" w:rsidP="005C287E">
            <w:pPr>
              <w:spacing w:after="0" w:line="240" w:lineRule="auto"/>
              <w:jc w:val="right"/>
              <w:rPr>
                <w:rFonts w:ascii="Arial" w:eastAsia="Times New Roman" w:hAnsi="Arial" w:cs="Arial"/>
                <w:b/>
                <w:bCs/>
                <w:sz w:val="16"/>
                <w:szCs w:val="16"/>
                <w:lang w:eastAsia="tr-TR"/>
              </w:rPr>
            </w:pPr>
            <w:r>
              <w:rPr>
                <w:rFonts w:ascii="Arial" w:hAnsi="Arial" w:cs="Arial"/>
                <w:b/>
                <w:bCs/>
                <w:sz w:val="16"/>
                <w:szCs w:val="16"/>
              </w:rPr>
              <w:t>4.981.428,70</w:t>
            </w:r>
          </w:p>
        </w:tc>
        <w:tc>
          <w:tcPr>
            <w:tcW w:w="392" w:type="pct"/>
            <w:gridSpan w:val="2"/>
            <w:tcBorders>
              <w:top w:val="nil"/>
              <w:left w:val="nil"/>
              <w:bottom w:val="single" w:sz="4" w:space="0" w:color="auto"/>
              <w:right w:val="single" w:sz="8" w:space="0" w:color="auto"/>
            </w:tcBorders>
            <w:shd w:val="clear" w:color="auto" w:fill="auto"/>
            <w:noWrap/>
            <w:vAlign w:val="center"/>
          </w:tcPr>
          <w:p w:rsidR="005C287E" w:rsidRPr="000875F4" w:rsidRDefault="005C287E" w:rsidP="005C287E">
            <w:pPr>
              <w:spacing w:after="0" w:line="240" w:lineRule="auto"/>
              <w:jc w:val="right"/>
              <w:rPr>
                <w:rFonts w:ascii="Arial" w:eastAsia="Times New Roman" w:hAnsi="Arial" w:cs="Arial"/>
                <w:b/>
                <w:bCs/>
                <w:sz w:val="16"/>
                <w:szCs w:val="16"/>
                <w:lang w:eastAsia="tr-TR"/>
              </w:rPr>
            </w:pPr>
            <w:r>
              <w:rPr>
                <w:rFonts w:ascii="Arial" w:hAnsi="Arial" w:cs="Arial"/>
                <w:b/>
                <w:bCs/>
                <w:sz w:val="16"/>
                <w:szCs w:val="16"/>
              </w:rPr>
              <w:t>6.156.175,88</w:t>
            </w:r>
          </w:p>
        </w:tc>
        <w:tc>
          <w:tcPr>
            <w:tcW w:w="389" w:type="pct"/>
            <w:gridSpan w:val="2"/>
            <w:tcBorders>
              <w:top w:val="nil"/>
              <w:left w:val="nil"/>
              <w:bottom w:val="single" w:sz="4" w:space="0" w:color="auto"/>
              <w:right w:val="single" w:sz="8" w:space="0" w:color="auto"/>
            </w:tcBorders>
            <w:shd w:val="clear" w:color="auto" w:fill="auto"/>
            <w:noWrap/>
            <w:vAlign w:val="center"/>
          </w:tcPr>
          <w:p w:rsidR="005C287E" w:rsidRPr="000875F4" w:rsidRDefault="005C287E" w:rsidP="005C287E">
            <w:pPr>
              <w:spacing w:after="0" w:line="240" w:lineRule="auto"/>
              <w:jc w:val="right"/>
              <w:rPr>
                <w:rFonts w:ascii="Arial" w:eastAsia="Times New Roman" w:hAnsi="Arial" w:cs="Arial"/>
                <w:b/>
                <w:bCs/>
                <w:sz w:val="16"/>
                <w:szCs w:val="16"/>
                <w:lang w:eastAsia="tr-TR"/>
              </w:rPr>
            </w:pPr>
            <w:r>
              <w:rPr>
                <w:rFonts w:ascii="Arial" w:hAnsi="Arial" w:cs="Arial"/>
                <w:b/>
                <w:bCs/>
                <w:sz w:val="16"/>
                <w:szCs w:val="16"/>
              </w:rPr>
              <w:t>8.578.377,62</w:t>
            </w:r>
          </w:p>
        </w:tc>
      </w:tr>
      <w:tr w:rsidR="005C287E" w:rsidRPr="000875F4" w:rsidTr="005C287E">
        <w:trPr>
          <w:gridAfter w:val="1"/>
          <w:wAfter w:w="23" w:type="pct"/>
          <w:trHeight w:val="20"/>
        </w:trPr>
        <w:tc>
          <w:tcPr>
            <w:tcW w:w="123" w:type="pct"/>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right"/>
              <w:rPr>
                <w:rFonts w:ascii="Arial" w:eastAsia="Times New Roman" w:hAnsi="Arial" w:cs="Arial"/>
                <w:b/>
                <w:bCs/>
                <w:sz w:val="16"/>
                <w:szCs w:val="16"/>
                <w:lang w:eastAsia="tr-TR"/>
              </w:rPr>
            </w:pPr>
          </w:p>
        </w:tc>
        <w:tc>
          <w:tcPr>
            <w:tcW w:w="96" w:type="pct"/>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Times New Roman" w:eastAsia="Times New Roman" w:hAnsi="Times New Roman"/>
                <w:sz w:val="20"/>
                <w:szCs w:val="20"/>
                <w:lang w:eastAsia="tr-TR"/>
              </w:rPr>
            </w:pPr>
          </w:p>
        </w:tc>
        <w:tc>
          <w:tcPr>
            <w:tcW w:w="96" w:type="pct"/>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Times New Roman" w:eastAsia="Times New Roman" w:hAnsi="Times New Roman"/>
                <w:sz w:val="20"/>
                <w:szCs w:val="20"/>
                <w:lang w:eastAsia="tr-TR"/>
              </w:rPr>
            </w:pPr>
          </w:p>
        </w:tc>
        <w:tc>
          <w:tcPr>
            <w:tcW w:w="897" w:type="pct"/>
            <w:gridSpan w:val="2"/>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Times New Roman" w:eastAsia="Times New Roman" w:hAnsi="Times New Roman"/>
                <w:sz w:val="20"/>
                <w:szCs w:val="20"/>
                <w:lang w:eastAsia="tr-TR"/>
              </w:rPr>
            </w:pPr>
          </w:p>
        </w:tc>
        <w:tc>
          <w:tcPr>
            <w:tcW w:w="416" w:type="pct"/>
            <w:gridSpan w:val="2"/>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Times New Roman" w:eastAsia="Times New Roman" w:hAnsi="Times New Roman"/>
                <w:sz w:val="20"/>
                <w:szCs w:val="20"/>
                <w:lang w:eastAsia="tr-TR"/>
              </w:rPr>
            </w:pPr>
          </w:p>
        </w:tc>
        <w:tc>
          <w:tcPr>
            <w:tcW w:w="376" w:type="pct"/>
            <w:gridSpan w:val="2"/>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Times New Roman" w:eastAsia="Times New Roman" w:hAnsi="Times New Roman"/>
                <w:sz w:val="20"/>
                <w:szCs w:val="20"/>
                <w:lang w:eastAsia="tr-TR"/>
              </w:rPr>
            </w:pPr>
          </w:p>
        </w:tc>
        <w:tc>
          <w:tcPr>
            <w:tcW w:w="390" w:type="pct"/>
            <w:gridSpan w:val="2"/>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right"/>
              <w:rPr>
                <w:rFonts w:ascii="Arial TUR" w:eastAsia="Times New Roman" w:hAnsi="Arial TUR" w:cs="Arial TUR"/>
                <w:b/>
                <w:bCs/>
                <w:sz w:val="16"/>
                <w:szCs w:val="18"/>
                <w:lang w:eastAsia="tr-TR"/>
              </w:rPr>
            </w:pPr>
          </w:p>
        </w:tc>
        <w:tc>
          <w:tcPr>
            <w:tcW w:w="44" w:type="pct"/>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Times New Roman" w:eastAsia="Times New Roman" w:hAnsi="Times New Roman"/>
                <w:sz w:val="20"/>
                <w:szCs w:val="20"/>
                <w:lang w:eastAsia="tr-TR"/>
              </w:rPr>
            </w:pPr>
          </w:p>
        </w:tc>
        <w:tc>
          <w:tcPr>
            <w:tcW w:w="128" w:type="pct"/>
            <w:tcBorders>
              <w:top w:val="nil"/>
              <w:left w:val="single" w:sz="8" w:space="0" w:color="auto"/>
              <w:bottom w:val="single" w:sz="4" w:space="0" w:color="auto"/>
              <w:right w:val="nil"/>
            </w:tcBorders>
            <w:shd w:val="clear" w:color="auto" w:fill="auto"/>
            <w:noWrap/>
            <w:vAlign w:val="center"/>
            <w:hideMark/>
          </w:tcPr>
          <w:p w:rsidR="005C287E" w:rsidRPr="000875F4" w:rsidRDefault="005C287E" w:rsidP="005C287E">
            <w:pPr>
              <w:spacing w:after="0" w:line="240" w:lineRule="auto"/>
              <w:jc w:val="center"/>
              <w:rPr>
                <w:rFonts w:ascii="Arial" w:eastAsia="Times New Roman" w:hAnsi="Arial" w:cs="Arial"/>
                <w:bCs/>
                <w:sz w:val="16"/>
                <w:szCs w:val="16"/>
                <w:lang w:eastAsia="tr-TR"/>
              </w:rPr>
            </w:pPr>
            <w:r w:rsidRPr="000875F4">
              <w:rPr>
                <w:rFonts w:ascii="Arial" w:eastAsia="Times New Roman" w:hAnsi="Arial" w:cs="Arial"/>
                <w:bCs/>
                <w:sz w:val="16"/>
                <w:szCs w:val="16"/>
                <w:lang w:eastAsia="tr-TR"/>
              </w:rPr>
              <w:t>610</w:t>
            </w:r>
          </w:p>
        </w:tc>
        <w:tc>
          <w:tcPr>
            <w:tcW w:w="96" w:type="pct"/>
            <w:tcBorders>
              <w:top w:val="single" w:sz="8" w:space="0" w:color="auto"/>
              <w:left w:val="single" w:sz="8" w:space="0" w:color="auto"/>
              <w:bottom w:val="nil"/>
              <w:right w:val="single" w:sz="8" w:space="0" w:color="auto"/>
            </w:tcBorders>
            <w:shd w:val="clear" w:color="auto" w:fill="auto"/>
            <w:noWrap/>
            <w:vAlign w:val="center"/>
            <w:hideMark/>
          </w:tcPr>
          <w:p w:rsidR="005C287E" w:rsidRPr="000875F4" w:rsidRDefault="005C287E" w:rsidP="005C287E">
            <w:pPr>
              <w:spacing w:after="0" w:line="240" w:lineRule="auto"/>
              <w:jc w:val="left"/>
              <w:rPr>
                <w:rFonts w:ascii="Arial" w:eastAsia="Times New Roman" w:hAnsi="Arial" w:cs="Arial"/>
                <w:bCs/>
                <w:sz w:val="16"/>
                <w:szCs w:val="16"/>
                <w:lang w:eastAsia="tr-TR"/>
              </w:rPr>
            </w:pPr>
            <w:r w:rsidRPr="000875F4">
              <w:rPr>
                <w:rFonts w:ascii="Arial" w:eastAsia="Times New Roman" w:hAnsi="Arial" w:cs="Arial"/>
                <w:bCs/>
                <w:sz w:val="16"/>
                <w:szCs w:val="16"/>
                <w:lang w:eastAsia="tr-TR"/>
              </w:rPr>
              <w:t>03</w:t>
            </w:r>
          </w:p>
        </w:tc>
        <w:tc>
          <w:tcPr>
            <w:tcW w:w="96" w:type="pct"/>
            <w:tcBorders>
              <w:top w:val="single" w:sz="4" w:space="0" w:color="auto"/>
              <w:left w:val="nil"/>
              <w:bottom w:val="nil"/>
              <w:right w:val="single" w:sz="8" w:space="0" w:color="auto"/>
            </w:tcBorders>
            <w:shd w:val="clear" w:color="auto" w:fill="auto"/>
            <w:noWrap/>
            <w:vAlign w:val="center"/>
            <w:hideMark/>
          </w:tcPr>
          <w:p w:rsidR="005C287E" w:rsidRPr="000875F4" w:rsidRDefault="005C287E" w:rsidP="005C287E">
            <w:pPr>
              <w:spacing w:after="0" w:line="240" w:lineRule="auto"/>
              <w:jc w:val="left"/>
              <w:rPr>
                <w:rFonts w:ascii="Arial" w:eastAsia="Times New Roman" w:hAnsi="Arial" w:cs="Arial"/>
                <w:bCs/>
                <w:sz w:val="16"/>
                <w:szCs w:val="16"/>
                <w:lang w:eastAsia="tr-TR"/>
              </w:rPr>
            </w:pPr>
            <w:r w:rsidRPr="000875F4">
              <w:rPr>
                <w:rFonts w:ascii="Arial" w:eastAsia="Times New Roman" w:hAnsi="Arial" w:cs="Arial"/>
                <w:bCs/>
                <w:sz w:val="16"/>
                <w:szCs w:val="16"/>
                <w:lang w:eastAsia="tr-TR"/>
              </w:rPr>
              <w:t>2</w:t>
            </w:r>
          </w:p>
        </w:tc>
        <w:tc>
          <w:tcPr>
            <w:tcW w:w="96" w:type="pct"/>
            <w:gridSpan w:val="2"/>
            <w:tcBorders>
              <w:top w:val="single" w:sz="4" w:space="0" w:color="auto"/>
              <w:left w:val="nil"/>
              <w:bottom w:val="nil"/>
              <w:right w:val="single" w:sz="8" w:space="0" w:color="auto"/>
            </w:tcBorders>
            <w:shd w:val="clear" w:color="auto" w:fill="auto"/>
            <w:noWrap/>
            <w:vAlign w:val="center"/>
            <w:hideMark/>
          </w:tcPr>
          <w:p w:rsidR="005C287E" w:rsidRPr="000875F4" w:rsidRDefault="005C287E" w:rsidP="005C287E">
            <w:pPr>
              <w:spacing w:after="0" w:line="240" w:lineRule="auto"/>
              <w:jc w:val="left"/>
              <w:rPr>
                <w:rFonts w:ascii="Arial" w:eastAsia="Times New Roman" w:hAnsi="Arial" w:cs="Arial"/>
                <w:bCs/>
                <w:sz w:val="16"/>
                <w:szCs w:val="16"/>
                <w:lang w:eastAsia="tr-TR"/>
              </w:rPr>
            </w:pPr>
            <w:r w:rsidRPr="000875F4">
              <w:rPr>
                <w:rFonts w:ascii="Arial" w:eastAsia="Times New Roman" w:hAnsi="Arial" w:cs="Arial"/>
                <w:bCs/>
                <w:sz w:val="16"/>
                <w:szCs w:val="16"/>
                <w:lang w:eastAsia="tr-TR"/>
              </w:rPr>
              <w:t>1</w:t>
            </w:r>
          </w:p>
        </w:tc>
        <w:tc>
          <w:tcPr>
            <w:tcW w:w="96" w:type="pct"/>
            <w:gridSpan w:val="2"/>
            <w:tcBorders>
              <w:top w:val="single" w:sz="4" w:space="0" w:color="auto"/>
              <w:left w:val="nil"/>
              <w:bottom w:val="nil"/>
              <w:right w:val="single" w:sz="8" w:space="0" w:color="auto"/>
            </w:tcBorders>
            <w:shd w:val="clear" w:color="auto" w:fill="auto"/>
            <w:noWrap/>
            <w:vAlign w:val="center"/>
            <w:hideMark/>
          </w:tcPr>
          <w:p w:rsidR="005C287E" w:rsidRPr="000875F4" w:rsidRDefault="005C287E" w:rsidP="005C287E">
            <w:pPr>
              <w:spacing w:after="0" w:line="240" w:lineRule="auto"/>
              <w:jc w:val="left"/>
              <w:rPr>
                <w:rFonts w:ascii="Arial" w:eastAsia="Times New Roman" w:hAnsi="Arial" w:cs="Arial"/>
                <w:bCs/>
                <w:sz w:val="16"/>
                <w:szCs w:val="16"/>
                <w:lang w:eastAsia="tr-TR"/>
              </w:rPr>
            </w:pPr>
            <w:r w:rsidRPr="000875F4">
              <w:rPr>
                <w:rFonts w:ascii="Arial" w:eastAsia="Times New Roman" w:hAnsi="Arial" w:cs="Arial"/>
                <w:bCs/>
                <w:sz w:val="16"/>
                <w:szCs w:val="16"/>
                <w:lang w:eastAsia="tr-TR"/>
              </w:rPr>
              <w:t> </w:t>
            </w:r>
          </w:p>
        </w:tc>
        <w:tc>
          <w:tcPr>
            <w:tcW w:w="871" w:type="pct"/>
            <w:gridSpan w:val="4"/>
            <w:tcBorders>
              <w:top w:val="single" w:sz="4" w:space="0" w:color="auto"/>
              <w:left w:val="nil"/>
              <w:bottom w:val="nil"/>
              <w:right w:val="nil"/>
            </w:tcBorders>
            <w:shd w:val="clear" w:color="auto" w:fill="auto"/>
            <w:vAlign w:val="center"/>
            <w:hideMark/>
          </w:tcPr>
          <w:p w:rsidR="005C287E" w:rsidRPr="000875F4" w:rsidRDefault="005C287E" w:rsidP="005C287E">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Malların kullanma veya faaliyet. bulunma izni gelir.</w:t>
            </w:r>
          </w:p>
        </w:tc>
        <w:tc>
          <w:tcPr>
            <w:tcW w:w="376" w:type="pct"/>
            <w:gridSpan w:val="2"/>
            <w:tcBorders>
              <w:top w:val="nil"/>
              <w:left w:val="single" w:sz="8" w:space="0" w:color="auto"/>
              <w:bottom w:val="single" w:sz="4" w:space="0" w:color="auto"/>
              <w:right w:val="single" w:sz="8" w:space="0" w:color="auto"/>
            </w:tcBorders>
            <w:shd w:val="clear" w:color="auto" w:fill="auto"/>
            <w:noWrap/>
            <w:vAlign w:val="center"/>
          </w:tcPr>
          <w:p w:rsidR="005C287E" w:rsidRPr="000875F4" w:rsidRDefault="005C287E" w:rsidP="005C287E">
            <w:pPr>
              <w:spacing w:after="0" w:line="240" w:lineRule="auto"/>
              <w:jc w:val="right"/>
              <w:rPr>
                <w:rFonts w:ascii="Arial" w:eastAsia="Times New Roman" w:hAnsi="Arial" w:cs="Arial"/>
                <w:sz w:val="16"/>
                <w:szCs w:val="16"/>
                <w:lang w:eastAsia="tr-TR"/>
              </w:rPr>
            </w:pPr>
            <w:r>
              <w:rPr>
                <w:rFonts w:ascii="Arial" w:hAnsi="Arial" w:cs="Arial"/>
                <w:sz w:val="16"/>
                <w:szCs w:val="16"/>
              </w:rPr>
              <w:t>4.981.428,70</w:t>
            </w:r>
          </w:p>
        </w:tc>
        <w:tc>
          <w:tcPr>
            <w:tcW w:w="392" w:type="pct"/>
            <w:gridSpan w:val="2"/>
            <w:tcBorders>
              <w:top w:val="nil"/>
              <w:left w:val="nil"/>
              <w:bottom w:val="single" w:sz="4" w:space="0" w:color="auto"/>
              <w:right w:val="single" w:sz="8" w:space="0" w:color="auto"/>
            </w:tcBorders>
            <w:shd w:val="clear" w:color="auto" w:fill="auto"/>
            <w:noWrap/>
            <w:vAlign w:val="center"/>
          </w:tcPr>
          <w:p w:rsidR="005C287E" w:rsidRPr="000875F4" w:rsidRDefault="005C287E" w:rsidP="005C287E">
            <w:pPr>
              <w:spacing w:after="0" w:line="240" w:lineRule="auto"/>
              <w:jc w:val="right"/>
              <w:rPr>
                <w:rFonts w:ascii="Arial" w:eastAsia="Times New Roman" w:hAnsi="Arial" w:cs="Arial"/>
                <w:sz w:val="16"/>
                <w:szCs w:val="16"/>
                <w:lang w:eastAsia="tr-TR"/>
              </w:rPr>
            </w:pPr>
            <w:r>
              <w:rPr>
                <w:rFonts w:ascii="Arial" w:hAnsi="Arial" w:cs="Arial"/>
                <w:sz w:val="16"/>
                <w:szCs w:val="16"/>
              </w:rPr>
              <w:t>6.156.175,88</w:t>
            </w:r>
          </w:p>
        </w:tc>
        <w:tc>
          <w:tcPr>
            <w:tcW w:w="389" w:type="pct"/>
            <w:gridSpan w:val="2"/>
            <w:tcBorders>
              <w:top w:val="nil"/>
              <w:left w:val="nil"/>
              <w:bottom w:val="single" w:sz="4" w:space="0" w:color="auto"/>
              <w:right w:val="single" w:sz="8" w:space="0" w:color="auto"/>
            </w:tcBorders>
            <w:shd w:val="clear" w:color="auto" w:fill="auto"/>
            <w:noWrap/>
            <w:vAlign w:val="center"/>
          </w:tcPr>
          <w:p w:rsidR="005C287E" w:rsidRPr="000875F4" w:rsidRDefault="005C287E" w:rsidP="005C287E">
            <w:pPr>
              <w:spacing w:after="0" w:line="240" w:lineRule="auto"/>
              <w:jc w:val="right"/>
              <w:rPr>
                <w:rFonts w:ascii="Arial" w:eastAsia="Times New Roman" w:hAnsi="Arial" w:cs="Arial"/>
                <w:bCs/>
                <w:sz w:val="16"/>
                <w:szCs w:val="16"/>
                <w:lang w:eastAsia="tr-TR"/>
              </w:rPr>
            </w:pPr>
            <w:r>
              <w:rPr>
                <w:rFonts w:ascii="Arial" w:hAnsi="Arial" w:cs="Arial"/>
                <w:sz w:val="16"/>
                <w:szCs w:val="16"/>
              </w:rPr>
              <w:t>8.578.377,62</w:t>
            </w:r>
          </w:p>
        </w:tc>
      </w:tr>
      <w:tr w:rsidR="005C287E" w:rsidRPr="000875F4" w:rsidTr="005C287E">
        <w:trPr>
          <w:gridAfter w:val="1"/>
          <w:wAfter w:w="23" w:type="pct"/>
          <w:trHeight w:val="20"/>
        </w:trPr>
        <w:tc>
          <w:tcPr>
            <w:tcW w:w="123" w:type="pct"/>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right"/>
              <w:rPr>
                <w:rFonts w:ascii="Arial" w:eastAsia="Times New Roman" w:hAnsi="Arial" w:cs="Arial"/>
                <w:sz w:val="16"/>
                <w:szCs w:val="16"/>
                <w:lang w:eastAsia="tr-TR"/>
              </w:rPr>
            </w:pPr>
          </w:p>
        </w:tc>
        <w:tc>
          <w:tcPr>
            <w:tcW w:w="96" w:type="pct"/>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Times New Roman" w:eastAsia="Times New Roman" w:hAnsi="Times New Roman"/>
                <w:sz w:val="20"/>
                <w:szCs w:val="20"/>
                <w:lang w:eastAsia="tr-TR"/>
              </w:rPr>
            </w:pPr>
          </w:p>
        </w:tc>
        <w:tc>
          <w:tcPr>
            <w:tcW w:w="96" w:type="pct"/>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Times New Roman" w:eastAsia="Times New Roman" w:hAnsi="Times New Roman"/>
                <w:sz w:val="20"/>
                <w:szCs w:val="20"/>
                <w:lang w:eastAsia="tr-TR"/>
              </w:rPr>
            </w:pPr>
          </w:p>
        </w:tc>
        <w:tc>
          <w:tcPr>
            <w:tcW w:w="897" w:type="pct"/>
            <w:gridSpan w:val="2"/>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Times New Roman" w:eastAsia="Times New Roman" w:hAnsi="Times New Roman"/>
                <w:sz w:val="20"/>
                <w:szCs w:val="20"/>
                <w:lang w:eastAsia="tr-TR"/>
              </w:rPr>
            </w:pPr>
          </w:p>
        </w:tc>
        <w:tc>
          <w:tcPr>
            <w:tcW w:w="416" w:type="pct"/>
            <w:gridSpan w:val="2"/>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Times New Roman" w:eastAsia="Times New Roman" w:hAnsi="Times New Roman"/>
                <w:sz w:val="20"/>
                <w:szCs w:val="20"/>
                <w:lang w:eastAsia="tr-TR"/>
              </w:rPr>
            </w:pPr>
          </w:p>
        </w:tc>
        <w:tc>
          <w:tcPr>
            <w:tcW w:w="376" w:type="pct"/>
            <w:gridSpan w:val="2"/>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Times New Roman" w:eastAsia="Times New Roman" w:hAnsi="Times New Roman"/>
                <w:sz w:val="20"/>
                <w:szCs w:val="20"/>
                <w:lang w:eastAsia="tr-TR"/>
              </w:rPr>
            </w:pPr>
          </w:p>
        </w:tc>
        <w:tc>
          <w:tcPr>
            <w:tcW w:w="390" w:type="pct"/>
            <w:gridSpan w:val="2"/>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right"/>
              <w:rPr>
                <w:rFonts w:ascii="Arial TUR" w:eastAsia="Times New Roman" w:hAnsi="Arial TUR" w:cs="Arial TUR"/>
                <w:b/>
                <w:bCs/>
                <w:sz w:val="16"/>
                <w:szCs w:val="18"/>
                <w:lang w:eastAsia="tr-TR"/>
              </w:rPr>
            </w:pPr>
          </w:p>
        </w:tc>
        <w:tc>
          <w:tcPr>
            <w:tcW w:w="44" w:type="pct"/>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Times New Roman" w:eastAsia="Times New Roman" w:hAnsi="Times New Roman"/>
                <w:sz w:val="20"/>
                <w:szCs w:val="20"/>
                <w:lang w:eastAsia="tr-TR"/>
              </w:rPr>
            </w:pPr>
          </w:p>
        </w:tc>
        <w:tc>
          <w:tcPr>
            <w:tcW w:w="128" w:type="pct"/>
            <w:tcBorders>
              <w:top w:val="nil"/>
              <w:left w:val="single" w:sz="8" w:space="0" w:color="auto"/>
              <w:bottom w:val="single" w:sz="4" w:space="0" w:color="auto"/>
              <w:right w:val="nil"/>
            </w:tcBorders>
            <w:shd w:val="clear" w:color="auto" w:fill="auto"/>
            <w:noWrap/>
            <w:vAlign w:val="center"/>
            <w:hideMark/>
          </w:tcPr>
          <w:p w:rsidR="005C287E" w:rsidRPr="000875F4" w:rsidRDefault="005C287E" w:rsidP="005C287E">
            <w:pPr>
              <w:spacing w:after="0" w:line="240" w:lineRule="auto"/>
              <w:jc w:val="center"/>
              <w:rPr>
                <w:rFonts w:ascii="Arial" w:eastAsia="Times New Roman" w:hAnsi="Arial" w:cs="Arial"/>
                <w:bCs/>
                <w:sz w:val="16"/>
                <w:szCs w:val="16"/>
                <w:lang w:eastAsia="tr-TR"/>
              </w:rPr>
            </w:pPr>
            <w:r w:rsidRPr="000875F4">
              <w:rPr>
                <w:rFonts w:ascii="Arial" w:eastAsia="Times New Roman" w:hAnsi="Arial" w:cs="Arial"/>
                <w:bCs/>
                <w:sz w:val="16"/>
                <w:szCs w:val="16"/>
                <w:lang w:eastAsia="tr-TR"/>
              </w:rPr>
              <w:t>610</w:t>
            </w:r>
          </w:p>
        </w:tc>
        <w:tc>
          <w:tcPr>
            <w:tcW w:w="96" w:type="pct"/>
            <w:tcBorders>
              <w:top w:val="single" w:sz="8" w:space="0" w:color="auto"/>
              <w:left w:val="single" w:sz="8" w:space="0" w:color="auto"/>
              <w:bottom w:val="nil"/>
              <w:right w:val="single" w:sz="8" w:space="0" w:color="auto"/>
            </w:tcBorders>
            <w:shd w:val="clear" w:color="auto" w:fill="auto"/>
            <w:noWrap/>
            <w:vAlign w:val="center"/>
            <w:hideMark/>
          </w:tcPr>
          <w:p w:rsidR="005C287E" w:rsidRPr="000875F4" w:rsidRDefault="005C287E" w:rsidP="005C287E">
            <w:pPr>
              <w:spacing w:after="0" w:line="240" w:lineRule="auto"/>
              <w:jc w:val="left"/>
              <w:rPr>
                <w:rFonts w:ascii="Arial" w:eastAsia="Times New Roman" w:hAnsi="Arial" w:cs="Arial"/>
                <w:bCs/>
                <w:sz w:val="16"/>
                <w:szCs w:val="16"/>
                <w:lang w:eastAsia="tr-TR"/>
              </w:rPr>
            </w:pPr>
            <w:r w:rsidRPr="000875F4">
              <w:rPr>
                <w:rFonts w:ascii="Arial" w:eastAsia="Times New Roman" w:hAnsi="Arial" w:cs="Arial"/>
                <w:bCs/>
                <w:sz w:val="16"/>
                <w:szCs w:val="16"/>
                <w:lang w:eastAsia="tr-TR"/>
              </w:rPr>
              <w:t>03</w:t>
            </w:r>
          </w:p>
        </w:tc>
        <w:tc>
          <w:tcPr>
            <w:tcW w:w="96" w:type="pct"/>
            <w:tcBorders>
              <w:top w:val="single" w:sz="4" w:space="0" w:color="auto"/>
              <w:left w:val="nil"/>
              <w:bottom w:val="nil"/>
              <w:right w:val="single" w:sz="8" w:space="0" w:color="auto"/>
            </w:tcBorders>
            <w:shd w:val="clear" w:color="auto" w:fill="auto"/>
            <w:noWrap/>
            <w:vAlign w:val="center"/>
            <w:hideMark/>
          </w:tcPr>
          <w:p w:rsidR="005C287E" w:rsidRPr="000875F4" w:rsidRDefault="005C287E" w:rsidP="005C287E">
            <w:pPr>
              <w:spacing w:after="0" w:line="240" w:lineRule="auto"/>
              <w:jc w:val="left"/>
              <w:rPr>
                <w:rFonts w:ascii="Arial" w:eastAsia="Times New Roman" w:hAnsi="Arial" w:cs="Arial"/>
                <w:bCs/>
                <w:sz w:val="16"/>
                <w:szCs w:val="16"/>
                <w:lang w:eastAsia="tr-TR"/>
              </w:rPr>
            </w:pPr>
            <w:r w:rsidRPr="000875F4">
              <w:rPr>
                <w:rFonts w:ascii="Arial" w:eastAsia="Times New Roman" w:hAnsi="Arial" w:cs="Arial"/>
                <w:bCs/>
                <w:sz w:val="16"/>
                <w:szCs w:val="16"/>
                <w:lang w:eastAsia="tr-TR"/>
              </w:rPr>
              <w:t>2</w:t>
            </w:r>
          </w:p>
        </w:tc>
        <w:tc>
          <w:tcPr>
            <w:tcW w:w="96" w:type="pct"/>
            <w:gridSpan w:val="2"/>
            <w:tcBorders>
              <w:top w:val="single" w:sz="4" w:space="0" w:color="auto"/>
              <w:left w:val="nil"/>
              <w:bottom w:val="nil"/>
              <w:right w:val="single" w:sz="8" w:space="0" w:color="auto"/>
            </w:tcBorders>
            <w:shd w:val="clear" w:color="auto" w:fill="auto"/>
            <w:noWrap/>
            <w:vAlign w:val="center"/>
            <w:hideMark/>
          </w:tcPr>
          <w:p w:rsidR="005C287E" w:rsidRPr="000875F4" w:rsidRDefault="005C287E" w:rsidP="005C287E">
            <w:pPr>
              <w:spacing w:after="0" w:line="240" w:lineRule="auto"/>
              <w:jc w:val="left"/>
              <w:rPr>
                <w:rFonts w:ascii="Arial" w:eastAsia="Times New Roman" w:hAnsi="Arial" w:cs="Arial"/>
                <w:bCs/>
                <w:sz w:val="16"/>
                <w:szCs w:val="16"/>
                <w:lang w:eastAsia="tr-TR"/>
              </w:rPr>
            </w:pPr>
            <w:r w:rsidRPr="000875F4">
              <w:rPr>
                <w:rFonts w:ascii="Arial" w:eastAsia="Times New Roman" w:hAnsi="Arial" w:cs="Arial"/>
                <w:bCs/>
                <w:sz w:val="16"/>
                <w:szCs w:val="16"/>
                <w:lang w:eastAsia="tr-TR"/>
              </w:rPr>
              <w:t>1</w:t>
            </w:r>
          </w:p>
        </w:tc>
        <w:tc>
          <w:tcPr>
            <w:tcW w:w="96" w:type="pct"/>
            <w:gridSpan w:val="2"/>
            <w:tcBorders>
              <w:top w:val="single" w:sz="4" w:space="0" w:color="auto"/>
              <w:left w:val="nil"/>
              <w:bottom w:val="nil"/>
              <w:right w:val="single" w:sz="8" w:space="0" w:color="auto"/>
            </w:tcBorders>
            <w:shd w:val="clear" w:color="auto" w:fill="auto"/>
            <w:noWrap/>
            <w:vAlign w:val="center"/>
            <w:hideMark/>
          </w:tcPr>
          <w:p w:rsidR="005C287E" w:rsidRPr="000875F4" w:rsidRDefault="005C287E" w:rsidP="005C287E">
            <w:pPr>
              <w:spacing w:after="0" w:line="240" w:lineRule="auto"/>
              <w:jc w:val="left"/>
              <w:rPr>
                <w:rFonts w:ascii="Arial" w:eastAsia="Times New Roman" w:hAnsi="Arial" w:cs="Arial"/>
                <w:bCs/>
                <w:sz w:val="16"/>
                <w:szCs w:val="16"/>
                <w:lang w:eastAsia="tr-TR"/>
              </w:rPr>
            </w:pPr>
            <w:r w:rsidRPr="000875F4">
              <w:rPr>
                <w:rFonts w:ascii="Arial" w:eastAsia="Times New Roman" w:hAnsi="Arial" w:cs="Arial"/>
                <w:bCs/>
                <w:sz w:val="16"/>
                <w:szCs w:val="16"/>
                <w:lang w:eastAsia="tr-TR"/>
              </w:rPr>
              <w:t>10</w:t>
            </w:r>
          </w:p>
        </w:tc>
        <w:tc>
          <w:tcPr>
            <w:tcW w:w="871" w:type="pct"/>
            <w:gridSpan w:val="4"/>
            <w:tcBorders>
              <w:top w:val="single" w:sz="4" w:space="0" w:color="auto"/>
              <w:left w:val="nil"/>
              <w:bottom w:val="nil"/>
              <w:right w:val="nil"/>
            </w:tcBorders>
            <w:shd w:val="clear" w:color="auto" w:fill="auto"/>
            <w:noWrap/>
            <w:vAlign w:val="center"/>
            <w:hideMark/>
          </w:tcPr>
          <w:p w:rsidR="005C287E" w:rsidRPr="000875F4" w:rsidRDefault="005C287E" w:rsidP="005C287E">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Elektrik Piyasası Lisans Gelirleri</w:t>
            </w:r>
          </w:p>
        </w:tc>
        <w:tc>
          <w:tcPr>
            <w:tcW w:w="376" w:type="pct"/>
            <w:gridSpan w:val="2"/>
            <w:tcBorders>
              <w:top w:val="nil"/>
              <w:left w:val="single" w:sz="8" w:space="0" w:color="auto"/>
              <w:bottom w:val="single" w:sz="4" w:space="0" w:color="auto"/>
              <w:right w:val="single" w:sz="8"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sz w:val="16"/>
                <w:szCs w:val="16"/>
                <w:lang w:eastAsia="tr-TR"/>
              </w:rPr>
            </w:pPr>
            <w:r>
              <w:rPr>
                <w:rFonts w:ascii="Arial" w:hAnsi="Arial" w:cs="Arial"/>
                <w:sz w:val="16"/>
                <w:szCs w:val="16"/>
              </w:rPr>
              <w:t>437.345,22</w:t>
            </w:r>
          </w:p>
        </w:tc>
        <w:tc>
          <w:tcPr>
            <w:tcW w:w="392" w:type="pct"/>
            <w:gridSpan w:val="2"/>
            <w:tcBorders>
              <w:top w:val="nil"/>
              <w:left w:val="nil"/>
              <w:bottom w:val="single" w:sz="4" w:space="0" w:color="auto"/>
              <w:right w:val="single" w:sz="8"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sz w:val="16"/>
                <w:szCs w:val="16"/>
                <w:lang w:eastAsia="tr-TR"/>
              </w:rPr>
            </w:pPr>
            <w:r>
              <w:rPr>
                <w:rFonts w:ascii="Arial" w:hAnsi="Arial" w:cs="Arial"/>
                <w:sz w:val="16"/>
                <w:szCs w:val="16"/>
              </w:rPr>
              <w:t>2.658.577,33</w:t>
            </w:r>
          </w:p>
        </w:tc>
        <w:tc>
          <w:tcPr>
            <w:tcW w:w="389" w:type="pct"/>
            <w:gridSpan w:val="2"/>
            <w:tcBorders>
              <w:top w:val="nil"/>
              <w:left w:val="nil"/>
              <w:bottom w:val="single" w:sz="4" w:space="0" w:color="auto"/>
              <w:right w:val="single" w:sz="8" w:space="0" w:color="auto"/>
            </w:tcBorders>
            <w:shd w:val="clear" w:color="auto" w:fill="auto"/>
            <w:noWrap/>
            <w:vAlign w:val="center"/>
          </w:tcPr>
          <w:p w:rsidR="005C287E" w:rsidRPr="000875F4" w:rsidRDefault="005C287E" w:rsidP="005C287E">
            <w:pPr>
              <w:spacing w:after="0" w:line="240" w:lineRule="auto"/>
              <w:jc w:val="right"/>
              <w:rPr>
                <w:rFonts w:ascii="Arial" w:eastAsia="Times New Roman" w:hAnsi="Arial" w:cs="Arial"/>
                <w:bCs/>
                <w:sz w:val="16"/>
                <w:szCs w:val="16"/>
                <w:lang w:eastAsia="tr-TR"/>
              </w:rPr>
            </w:pPr>
            <w:r>
              <w:rPr>
                <w:rFonts w:ascii="Arial" w:hAnsi="Arial" w:cs="Arial"/>
                <w:sz w:val="16"/>
                <w:szCs w:val="16"/>
              </w:rPr>
              <w:t>6.169.827,23</w:t>
            </w:r>
          </w:p>
        </w:tc>
      </w:tr>
      <w:tr w:rsidR="005C287E" w:rsidRPr="000875F4" w:rsidTr="005C287E">
        <w:trPr>
          <w:gridAfter w:val="1"/>
          <w:wAfter w:w="23" w:type="pct"/>
          <w:trHeight w:val="20"/>
        </w:trPr>
        <w:tc>
          <w:tcPr>
            <w:tcW w:w="123" w:type="pct"/>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p>
        </w:tc>
        <w:tc>
          <w:tcPr>
            <w:tcW w:w="96" w:type="pct"/>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Times New Roman" w:eastAsia="Times New Roman" w:hAnsi="Times New Roman"/>
                <w:sz w:val="20"/>
                <w:szCs w:val="20"/>
                <w:lang w:eastAsia="tr-TR"/>
              </w:rPr>
            </w:pPr>
          </w:p>
        </w:tc>
        <w:tc>
          <w:tcPr>
            <w:tcW w:w="96" w:type="pct"/>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Times New Roman" w:eastAsia="Times New Roman" w:hAnsi="Times New Roman"/>
                <w:sz w:val="20"/>
                <w:szCs w:val="20"/>
                <w:lang w:eastAsia="tr-TR"/>
              </w:rPr>
            </w:pPr>
          </w:p>
        </w:tc>
        <w:tc>
          <w:tcPr>
            <w:tcW w:w="897" w:type="pct"/>
            <w:gridSpan w:val="2"/>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Times New Roman" w:eastAsia="Times New Roman" w:hAnsi="Times New Roman"/>
                <w:sz w:val="20"/>
                <w:szCs w:val="20"/>
                <w:lang w:eastAsia="tr-TR"/>
              </w:rPr>
            </w:pPr>
          </w:p>
        </w:tc>
        <w:tc>
          <w:tcPr>
            <w:tcW w:w="416" w:type="pct"/>
            <w:gridSpan w:val="2"/>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Times New Roman" w:eastAsia="Times New Roman" w:hAnsi="Times New Roman"/>
                <w:sz w:val="20"/>
                <w:szCs w:val="20"/>
                <w:lang w:eastAsia="tr-TR"/>
              </w:rPr>
            </w:pPr>
          </w:p>
        </w:tc>
        <w:tc>
          <w:tcPr>
            <w:tcW w:w="376" w:type="pct"/>
            <w:gridSpan w:val="2"/>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Times New Roman" w:eastAsia="Times New Roman" w:hAnsi="Times New Roman"/>
                <w:sz w:val="20"/>
                <w:szCs w:val="20"/>
                <w:lang w:eastAsia="tr-TR"/>
              </w:rPr>
            </w:pPr>
          </w:p>
        </w:tc>
        <w:tc>
          <w:tcPr>
            <w:tcW w:w="390" w:type="pct"/>
            <w:gridSpan w:val="2"/>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right"/>
              <w:rPr>
                <w:rFonts w:ascii="Arial TUR" w:eastAsia="Times New Roman" w:hAnsi="Arial TUR" w:cs="Arial TUR"/>
                <w:b/>
                <w:bCs/>
                <w:sz w:val="16"/>
                <w:szCs w:val="18"/>
                <w:lang w:eastAsia="tr-TR"/>
              </w:rPr>
            </w:pPr>
          </w:p>
        </w:tc>
        <w:tc>
          <w:tcPr>
            <w:tcW w:w="44" w:type="pct"/>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Times New Roman" w:eastAsia="Times New Roman" w:hAnsi="Times New Roman"/>
                <w:sz w:val="20"/>
                <w:szCs w:val="20"/>
                <w:lang w:eastAsia="tr-TR"/>
              </w:rPr>
            </w:pPr>
          </w:p>
        </w:tc>
        <w:tc>
          <w:tcPr>
            <w:tcW w:w="128" w:type="pct"/>
            <w:tcBorders>
              <w:top w:val="nil"/>
              <w:left w:val="single" w:sz="8" w:space="0" w:color="auto"/>
              <w:bottom w:val="single" w:sz="4" w:space="0" w:color="auto"/>
              <w:right w:val="nil"/>
            </w:tcBorders>
            <w:shd w:val="clear" w:color="auto" w:fill="auto"/>
            <w:noWrap/>
            <w:vAlign w:val="center"/>
            <w:hideMark/>
          </w:tcPr>
          <w:p w:rsidR="005C287E" w:rsidRPr="000875F4" w:rsidRDefault="005C287E" w:rsidP="005C287E">
            <w:pPr>
              <w:spacing w:after="0" w:line="240" w:lineRule="auto"/>
              <w:jc w:val="center"/>
              <w:rPr>
                <w:rFonts w:ascii="Arial" w:eastAsia="Times New Roman" w:hAnsi="Arial" w:cs="Arial"/>
                <w:bCs/>
                <w:sz w:val="16"/>
                <w:szCs w:val="16"/>
                <w:lang w:eastAsia="tr-TR"/>
              </w:rPr>
            </w:pPr>
            <w:r w:rsidRPr="000875F4">
              <w:rPr>
                <w:rFonts w:ascii="Arial" w:eastAsia="Times New Roman" w:hAnsi="Arial" w:cs="Arial"/>
                <w:bCs/>
                <w:sz w:val="16"/>
                <w:szCs w:val="16"/>
                <w:lang w:eastAsia="tr-TR"/>
              </w:rPr>
              <w:t>610</w:t>
            </w:r>
          </w:p>
        </w:tc>
        <w:tc>
          <w:tcPr>
            <w:tcW w:w="96" w:type="pct"/>
            <w:tcBorders>
              <w:top w:val="single" w:sz="8" w:space="0" w:color="auto"/>
              <w:left w:val="single" w:sz="8" w:space="0" w:color="auto"/>
              <w:bottom w:val="nil"/>
              <w:right w:val="single" w:sz="8" w:space="0" w:color="auto"/>
            </w:tcBorders>
            <w:shd w:val="clear" w:color="auto" w:fill="auto"/>
            <w:noWrap/>
            <w:vAlign w:val="center"/>
            <w:hideMark/>
          </w:tcPr>
          <w:p w:rsidR="005C287E" w:rsidRPr="000875F4" w:rsidRDefault="005C287E" w:rsidP="005C287E">
            <w:pPr>
              <w:spacing w:after="0" w:line="240" w:lineRule="auto"/>
              <w:jc w:val="left"/>
              <w:rPr>
                <w:rFonts w:ascii="Arial" w:eastAsia="Times New Roman" w:hAnsi="Arial" w:cs="Arial"/>
                <w:bCs/>
                <w:sz w:val="16"/>
                <w:szCs w:val="16"/>
                <w:lang w:eastAsia="tr-TR"/>
              </w:rPr>
            </w:pPr>
            <w:r w:rsidRPr="000875F4">
              <w:rPr>
                <w:rFonts w:ascii="Arial" w:eastAsia="Times New Roman" w:hAnsi="Arial" w:cs="Arial"/>
                <w:bCs/>
                <w:sz w:val="16"/>
                <w:szCs w:val="16"/>
                <w:lang w:eastAsia="tr-TR"/>
              </w:rPr>
              <w:t>03</w:t>
            </w:r>
          </w:p>
        </w:tc>
        <w:tc>
          <w:tcPr>
            <w:tcW w:w="96" w:type="pct"/>
            <w:tcBorders>
              <w:top w:val="single" w:sz="4" w:space="0" w:color="auto"/>
              <w:left w:val="nil"/>
              <w:bottom w:val="nil"/>
              <w:right w:val="single" w:sz="8" w:space="0" w:color="auto"/>
            </w:tcBorders>
            <w:shd w:val="clear" w:color="auto" w:fill="auto"/>
            <w:noWrap/>
            <w:vAlign w:val="center"/>
            <w:hideMark/>
          </w:tcPr>
          <w:p w:rsidR="005C287E" w:rsidRPr="000875F4" w:rsidRDefault="005C287E" w:rsidP="005C287E">
            <w:pPr>
              <w:spacing w:after="0" w:line="240" w:lineRule="auto"/>
              <w:jc w:val="left"/>
              <w:rPr>
                <w:rFonts w:ascii="Arial" w:eastAsia="Times New Roman" w:hAnsi="Arial" w:cs="Arial"/>
                <w:bCs/>
                <w:sz w:val="16"/>
                <w:szCs w:val="16"/>
                <w:lang w:eastAsia="tr-TR"/>
              </w:rPr>
            </w:pPr>
            <w:r w:rsidRPr="000875F4">
              <w:rPr>
                <w:rFonts w:ascii="Arial" w:eastAsia="Times New Roman" w:hAnsi="Arial" w:cs="Arial"/>
                <w:bCs/>
                <w:sz w:val="16"/>
                <w:szCs w:val="16"/>
                <w:lang w:eastAsia="tr-TR"/>
              </w:rPr>
              <w:t>2</w:t>
            </w:r>
          </w:p>
        </w:tc>
        <w:tc>
          <w:tcPr>
            <w:tcW w:w="96" w:type="pct"/>
            <w:gridSpan w:val="2"/>
            <w:tcBorders>
              <w:top w:val="single" w:sz="4" w:space="0" w:color="auto"/>
              <w:left w:val="nil"/>
              <w:bottom w:val="nil"/>
              <w:right w:val="single" w:sz="8" w:space="0" w:color="auto"/>
            </w:tcBorders>
            <w:shd w:val="clear" w:color="auto" w:fill="auto"/>
            <w:noWrap/>
            <w:vAlign w:val="center"/>
            <w:hideMark/>
          </w:tcPr>
          <w:p w:rsidR="005C287E" w:rsidRPr="000875F4" w:rsidRDefault="005C287E" w:rsidP="005C287E">
            <w:pPr>
              <w:spacing w:after="0" w:line="240" w:lineRule="auto"/>
              <w:jc w:val="left"/>
              <w:rPr>
                <w:rFonts w:ascii="Arial" w:eastAsia="Times New Roman" w:hAnsi="Arial" w:cs="Arial"/>
                <w:bCs/>
                <w:sz w:val="16"/>
                <w:szCs w:val="16"/>
                <w:lang w:eastAsia="tr-TR"/>
              </w:rPr>
            </w:pPr>
            <w:r w:rsidRPr="000875F4">
              <w:rPr>
                <w:rFonts w:ascii="Arial" w:eastAsia="Times New Roman" w:hAnsi="Arial" w:cs="Arial"/>
                <w:bCs/>
                <w:sz w:val="16"/>
                <w:szCs w:val="16"/>
                <w:lang w:eastAsia="tr-TR"/>
              </w:rPr>
              <w:t>1</w:t>
            </w:r>
          </w:p>
        </w:tc>
        <w:tc>
          <w:tcPr>
            <w:tcW w:w="96" w:type="pct"/>
            <w:gridSpan w:val="2"/>
            <w:tcBorders>
              <w:top w:val="single" w:sz="4" w:space="0" w:color="auto"/>
              <w:left w:val="nil"/>
              <w:bottom w:val="nil"/>
              <w:right w:val="single" w:sz="8" w:space="0" w:color="auto"/>
            </w:tcBorders>
            <w:shd w:val="clear" w:color="auto" w:fill="auto"/>
            <w:noWrap/>
            <w:vAlign w:val="center"/>
            <w:hideMark/>
          </w:tcPr>
          <w:p w:rsidR="005C287E" w:rsidRPr="000875F4" w:rsidRDefault="005C287E" w:rsidP="005C287E">
            <w:pPr>
              <w:spacing w:after="0" w:line="240" w:lineRule="auto"/>
              <w:jc w:val="left"/>
              <w:rPr>
                <w:rFonts w:ascii="Arial" w:eastAsia="Times New Roman" w:hAnsi="Arial" w:cs="Arial"/>
                <w:bCs/>
                <w:sz w:val="16"/>
                <w:szCs w:val="16"/>
                <w:lang w:eastAsia="tr-TR"/>
              </w:rPr>
            </w:pPr>
            <w:r w:rsidRPr="000875F4">
              <w:rPr>
                <w:rFonts w:ascii="Arial" w:eastAsia="Times New Roman" w:hAnsi="Arial" w:cs="Arial"/>
                <w:bCs/>
                <w:sz w:val="16"/>
                <w:szCs w:val="16"/>
                <w:lang w:eastAsia="tr-TR"/>
              </w:rPr>
              <w:t>11</w:t>
            </w:r>
          </w:p>
        </w:tc>
        <w:tc>
          <w:tcPr>
            <w:tcW w:w="871" w:type="pct"/>
            <w:gridSpan w:val="4"/>
            <w:tcBorders>
              <w:top w:val="single" w:sz="4" w:space="0" w:color="auto"/>
              <w:left w:val="nil"/>
              <w:bottom w:val="single" w:sz="4" w:space="0" w:color="auto"/>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r w:rsidRPr="000875F4">
              <w:rPr>
                <w:rFonts w:ascii="Arial TUR" w:eastAsia="Times New Roman" w:hAnsi="Arial TUR" w:cs="Arial TUR"/>
                <w:sz w:val="16"/>
                <w:szCs w:val="16"/>
                <w:lang w:eastAsia="tr-TR"/>
              </w:rPr>
              <w:t>Doğal Gaz Piyasası Lisans ve Ser.Gel.</w:t>
            </w:r>
          </w:p>
        </w:tc>
        <w:tc>
          <w:tcPr>
            <w:tcW w:w="376" w:type="pct"/>
            <w:gridSpan w:val="2"/>
            <w:tcBorders>
              <w:top w:val="nil"/>
              <w:left w:val="single" w:sz="8" w:space="0" w:color="auto"/>
              <w:bottom w:val="single" w:sz="4" w:space="0" w:color="auto"/>
              <w:right w:val="single" w:sz="8"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sz w:val="16"/>
                <w:szCs w:val="16"/>
                <w:lang w:eastAsia="tr-TR"/>
              </w:rPr>
            </w:pPr>
            <w:r>
              <w:rPr>
                <w:rFonts w:ascii="Arial" w:hAnsi="Arial" w:cs="Arial"/>
                <w:sz w:val="16"/>
                <w:szCs w:val="16"/>
              </w:rPr>
              <w:t>398.274,41</w:t>
            </w:r>
          </w:p>
        </w:tc>
        <w:tc>
          <w:tcPr>
            <w:tcW w:w="392" w:type="pct"/>
            <w:gridSpan w:val="2"/>
            <w:tcBorders>
              <w:top w:val="nil"/>
              <w:left w:val="nil"/>
              <w:bottom w:val="single" w:sz="4" w:space="0" w:color="auto"/>
              <w:right w:val="single" w:sz="8"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sz w:val="16"/>
                <w:szCs w:val="16"/>
                <w:lang w:eastAsia="tr-TR"/>
              </w:rPr>
            </w:pPr>
            <w:r>
              <w:rPr>
                <w:rFonts w:ascii="Arial" w:hAnsi="Arial" w:cs="Arial"/>
                <w:sz w:val="16"/>
                <w:szCs w:val="16"/>
              </w:rPr>
              <w:t>76.747,06</w:t>
            </w:r>
          </w:p>
        </w:tc>
        <w:tc>
          <w:tcPr>
            <w:tcW w:w="389" w:type="pct"/>
            <w:gridSpan w:val="2"/>
            <w:tcBorders>
              <w:top w:val="nil"/>
              <w:left w:val="nil"/>
              <w:bottom w:val="single" w:sz="4" w:space="0" w:color="auto"/>
              <w:right w:val="single" w:sz="8" w:space="0" w:color="auto"/>
            </w:tcBorders>
            <w:shd w:val="clear" w:color="auto" w:fill="auto"/>
            <w:noWrap/>
            <w:vAlign w:val="center"/>
          </w:tcPr>
          <w:p w:rsidR="005C287E" w:rsidRPr="000875F4" w:rsidRDefault="005C287E" w:rsidP="005C287E">
            <w:pPr>
              <w:spacing w:after="0" w:line="240" w:lineRule="auto"/>
              <w:jc w:val="right"/>
              <w:rPr>
                <w:rFonts w:ascii="Arial" w:eastAsia="Times New Roman" w:hAnsi="Arial" w:cs="Arial"/>
                <w:bCs/>
                <w:sz w:val="16"/>
                <w:szCs w:val="16"/>
                <w:lang w:eastAsia="tr-TR"/>
              </w:rPr>
            </w:pPr>
            <w:r>
              <w:rPr>
                <w:rFonts w:ascii="Arial" w:hAnsi="Arial" w:cs="Arial"/>
                <w:sz w:val="16"/>
                <w:szCs w:val="16"/>
              </w:rPr>
              <w:t>728.423,14</w:t>
            </w:r>
          </w:p>
        </w:tc>
      </w:tr>
      <w:tr w:rsidR="005C287E" w:rsidRPr="000875F4" w:rsidTr="005C287E">
        <w:trPr>
          <w:gridAfter w:val="1"/>
          <w:wAfter w:w="23" w:type="pct"/>
          <w:trHeight w:val="20"/>
        </w:trPr>
        <w:tc>
          <w:tcPr>
            <w:tcW w:w="123" w:type="pct"/>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p>
        </w:tc>
        <w:tc>
          <w:tcPr>
            <w:tcW w:w="96" w:type="pct"/>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Times New Roman" w:eastAsia="Times New Roman" w:hAnsi="Times New Roman"/>
                <w:sz w:val="20"/>
                <w:szCs w:val="20"/>
                <w:lang w:eastAsia="tr-TR"/>
              </w:rPr>
            </w:pPr>
          </w:p>
        </w:tc>
        <w:tc>
          <w:tcPr>
            <w:tcW w:w="96" w:type="pct"/>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Times New Roman" w:eastAsia="Times New Roman" w:hAnsi="Times New Roman"/>
                <w:sz w:val="20"/>
                <w:szCs w:val="20"/>
                <w:lang w:eastAsia="tr-TR"/>
              </w:rPr>
            </w:pPr>
          </w:p>
        </w:tc>
        <w:tc>
          <w:tcPr>
            <w:tcW w:w="897" w:type="pct"/>
            <w:gridSpan w:val="2"/>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Times New Roman" w:eastAsia="Times New Roman" w:hAnsi="Times New Roman"/>
                <w:sz w:val="20"/>
                <w:szCs w:val="20"/>
                <w:lang w:eastAsia="tr-TR"/>
              </w:rPr>
            </w:pPr>
          </w:p>
        </w:tc>
        <w:tc>
          <w:tcPr>
            <w:tcW w:w="416" w:type="pct"/>
            <w:gridSpan w:val="2"/>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Times New Roman" w:eastAsia="Times New Roman" w:hAnsi="Times New Roman"/>
                <w:sz w:val="20"/>
                <w:szCs w:val="20"/>
                <w:lang w:eastAsia="tr-TR"/>
              </w:rPr>
            </w:pPr>
          </w:p>
        </w:tc>
        <w:tc>
          <w:tcPr>
            <w:tcW w:w="376" w:type="pct"/>
            <w:gridSpan w:val="2"/>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Times New Roman" w:eastAsia="Times New Roman" w:hAnsi="Times New Roman"/>
                <w:sz w:val="20"/>
                <w:szCs w:val="20"/>
                <w:lang w:eastAsia="tr-TR"/>
              </w:rPr>
            </w:pPr>
          </w:p>
        </w:tc>
        <w:tc>
          <w:tcPr>
            <w:tcW w:w="390" w:type="pct"/>
            <w:gridSpan w:val="2"/>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right"/>
              <w:rPr>
                <w:rFonts w:ascii="Arial TUR" w:eastAsia="Times New Roman" w:hAnsi="Arial TUR" w:cs="Arial TUR"/>
                <w:b/>
                <w:bCs/>
                <w:sz w:val="16"/>
                <w:szCs w:val="18"/>
                <w:lang w:eastAsia="tr-TR"/>
              </w:rPr>
            </w:pPr>
          </w:p>
        </w:tc>
        <w:tc>
          <w:tcPr>
            <w:tcW w:w="44" w:type="pct"/>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Times New Roman" w:eastAsia="Times New Roman" w:hAnsi="Times New Roman"/>
                <w:sz w:val="20"/>
                <w:szCs w:val="20"/>
                <w:lang w:eastAsia="tr-TR"/>
              </w:rPr>
            </w:pPr>
          </w:p>
        </w:tc>
        <w:tc>
          <w:tcPr>
            <w:tcW w:w="128" w:type="pct"/>
            <w:tcBorders>
              <w:top w:val="nil"/>
              <w:left w:val="single" w:sz="8" w:space="0" w:color="auto"/>
              <w:bottom w:val="single" w:sz="4" w:space="0" w:color="auto"/>
              <w:right w:val="nil"/>
            </w:tcBorders>
            <w:shd w:val="clear" w:color="auto" w:fill="auto"/>
            <w:noWrap/>
            <w:vAlign w:val="center"/>
            <w:hideMark/>
          </w:tcPr>
          <w:p w:rsidR="005C287E" w:rsidRPr="000875F4" w:rsidRDefault="005C287E" w:rsidP="005C287E">
            <w:pPr>
              <w:spacing w:after="0" w:line="240" w:lineRule="auto"/>
              <w:jc w:val="left"/>
              <w:rPr>
                <w:rFonts w:ascii="Arial TUR" w:eastAsia="Times New Roman" w:hAnsi="Arial TUR" w:cs="Arial TUR"/>
                <w:bCs/>
                <w:sz w:val="16"/>
                <w:szCs w:val="16"/>
                <w:lang w:eastAsia="tr-TR"/>
              </w:rPr>
            </w:pPr>
            <w:r w:rsidRPr="000875F4">
              <w:rPr>
                <w:rFonts w:ascii="Arial TUR" w:eastAsia="Times New Roman" w:hAnsi="Arial TUR" w:cs="Arial TUR"/>
                <w:bCs/>
                <w:sz w:val="16"/>
                <w:szCs w:val="16"/>
                <w:lang w:eastAsia="tr-TR"/>
              </w:rPr>
              <w:t>610</w:t>
            </w:r>
          </w:p>
        </w:tc>
        <w:tc>
          <w:tcPr>
            <w:tcW w:w="96" w:type="pct"/>
            <w:tcBorders>
              <w:top w:val="single" w:sz="8" w:space="0" w:color="auto"/>
              <w:left w:val="single" w:sz="8" w:space="0" w:color="auto"/>
              <w:bottom w:val="nil"/>
              <w:right w:val="single" w:sz="8" w:space="0" w:color="auto"/>
            </w:tcBorders>
            <w:shd w:val="clear" w:color="auto" w:fill="auto"/>
            <w:noWrap/>
            <w:vAlign w:val="center"/>
            <w:hideMark/>
          </w:tcPr>
          <w:p w:rsidR="005C287E" w:rsidRPr="000875F4" w:rsidRDefault="005C287E" w:rsidP="005C287E">
            <w:pPr>
              <w:spacing w:after="0" w:line="240" w:lineRule="auto"/>
              <w:jc w:val="left"/>
              <w:rPr>
                <w:rFonts w:ascii="Arial TUR" w:eastAsia="Times New Roman" w:hAnsi="Arial TUR" w:cs="Arial TUR"/>
                <w:bCs/>
                <w:sz w:val="16"/>
                <w:szCs w:val="16"/>
                <w:lang w:eastAsia="tr-TR"/>
              </w:rPr>
            </w:pPr>
            <w:r w:rsidRPr="000875F4">
              <w:rPr>
                <w:rFonts w:ascii="Arial TUR" w:eastAsia="Times New Roman" w:hAnsi="Arial TUR" w:cs="Arial TUR"/>
                <w:bCs/>
                <w:sz w:val="16"/>
                <w:szCs w:val="16"/>
                <w:lang w:eastAsia="tr-TR"/>
              </w:rPr>
              <w:t>03</w:t>
            </w:r>
          </w:p>
        </w:tc>
        <w:tc>
          <w:tcPr>
            <w:tcW w:w="96" w:type="pct"/>
            <w:tcBorders>
              <w:top w:val="single" w:sz="4" w:space="0" w:color="auto"/>
              <w:left w:val="nil"/>
              <w:bottom w:val="nil"/>
              <w:right w:val="single" w:sz="8" w:space="0" w:color="auto"/>
            </w:tcBorders>
            <w:shd w:val="clear" w:color="auto" w:fill="auto"/>
            <w:noWrap/>
            <w:vAlign w:val="center"/>
            <w:hideMark/>
          </w:tcPr>
          <w:p w:rsidR="005C287E" w:rsidRPr="000875F4" w:rsidRDefault="005C287E" w:rsidP="005C287E">
            <w:pPr>
              <w:spacing w:after="0" w:line="240" w:lineRule="auto"/>
              <w:jc w:val="left"/>
              <w:rPr>
                <w:rFonts w:ascii="Arial TUR" w:eastAsia="Times New Roman" w:hAnsi="Arial TUR" w:cs="Arial TUR"/>
                <w:bCs/>
                <w:sz w:val="16"/>
                <w:szCs w:val="16"/>
                <w:lang w:eastAsia="tr-TR"/>
              </w:rPr>
            </w:pPr>
            <w:r w:rsidRPr="000875F4">
              <w:rPr>
                <w:rFonts w:ascii="Arial TUR" w:eastAsia="Times New Roman" w:hAnsi="Arial TUR" w:cs="Arial TUR"/>
                <w:bCs/>
                <w:sz w:val="16"/>
                <w:szCs w:val="16"/>
                <w:lang w:eastAsia="tr-TR"/>
              </w:rPr>
              <w:t>2</w:t>
            </w:r>
          </w:p>
        </w:tc>
        <w:tc>
          <w:tcPr>
            <w:tcW w:w="96" w:type="pct"/>
            <w:gridSpan w:val="2"/>
            <w:tcBorders>
              <w:top w:val="single" w:sz="4" w:space="0" w:color="auto"/>
              <w:left w:val="nil"/>
              <w:bottom w:val="nil"/>
              <w:right w:val="single" w:sz="8" w:space="0" w:color="auto"/>
            </w:tcBorders>
            <w:shd w:val="clear" w:color="auto" w:fill="auto"/>
            <w:noWrap/>
            <w:vAlign w:val="center"/>
            <w:hideMark/>
          </w:tcPr>
          <w:p w:rsidR="005C287E" w:rsidRPr="000875F4" w:rsidRDefault="005C287E" w:rsidP="005C287E">
            <w:pPr>
              <w:spacing w:after="0" w:line="240" w:lineRule="auto"/>
              <w:jc w:val="left"/>
              <w:rPr>
                <w:rFonts w:ascii="Arial TUR" w:eastAsia="Times New Roman" w:hAnsi="Arial TUR" w:cs="Arial TUR"/>
                <w:bCs/>
                <w:sz w:val="16"/>
                <w:szCs w:val="16"/>
                <w:lang w:eastAsia="tr-TR"/>
              </w:rPr>
            </w:pPr>
            <w:r w:rsidRPr="000875F4">
              <w:rPr>
                <w:rFonts w:ascii="Arial TUR" w:eastAsia="Times New Roman" w:hAnsi="Arial TUR" w:cs="Arial TUR"/>
                <w:bCs/>
                <w:sz w:val="16"/>
                <w:szCs w:val="16"/>
                <w:lang w:eastAsia="tr-TR"/>
              </w:rPr>
              <w:t>1</w:t>
            </w:r>
          </w:p>
        </w:tc>
        <w:tc>
          <w:tcPr>
            <w:tcW w:w="96" w:type="pct"/>
            <w:gridSpan w:val="2"/>
            <w:tcBorders>
              <w:top w:val="single" w:sz="4" w:space="0" w:color="auto"/>
              <w:left w:val="nil"/>
              <w:bottom w:val="nil"/>
              <w:right w:val="single" w:sz="8" w:space="0" w:color="auto"/>
            </w:tcBorders>
            <w:shd w:val="clear" w:color="auto" w:fill="auto"/>
            <w:noWrap/>
            <w:vAlign w:val="center"/>
            <w:hideMark/>
          </w:tcPr>
          <w:p w:rsidR="005C287E" w:rsidRPr="000875F4" w:rsidRDefault="005C287E" w:rsidP="005C287E">
            <w:pPr>
              <w:spacing w:after="0" w:line="240" w:lineRule="auto"/>
              <w:jc w:val="left"/>
              <w:rPr>
                <w:rFonts w:ascii="Arial TUR" w:eastAsia="Times New Roman" w:hAnsi="Arial TUR" w:cs="Arial TUR"/>
                <w:bCs/>
                <w:sz w:val="16"/>
                <w:szCs w:val="16"/>
                <w:lang w:eastAsia="tr-TR"/>
              </w:rPr>
            </w:pPr>
            <w:r w:rsidRPr="000875F4">
              <w:rPr>
                <w:rFonts w:ascii="Arial TUR" w:eastAsia="Times New Roman" w:hAnsi="Arial TUR" w:cs="Arial TUR"/>
                <w:bCs/>
                <w:sz w:val="16"/>
                <w:szCs w:val="16"/>
                <w:lang w:eastAsia="tr-TR"/>
              </w:rPr>
              <w:t>12</w:t>
            </w:r>
          </w:p>
        </w:tc>
        <w:tc>
          <w:tcPr>
            <w:tcW w:w="871" w:type="pct"/>
            <w:gridSpan w:val="4"/>
            <w:tcBorders>
              <w:top w:val="nil"/>
              <w:left w:val="nil"/>
              <w:bottom w:val="nil"/>
              <w:right w:val="nil"/>
            </w:tcBorders>
            <w:shd w:val="clear" w:color="auto" w:fill="auto"/>
            <w:noWrap/>
            <w:vAlign w:val="center"/>
            <w:hideMark/>
          </w:tcPr>
          <w:p w:rsidR="005C287E" w:rsidRPr="000875F4" w:rsidRDefault="005C287E" w:rsidP="005C287E">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Petrol Piyasası Lisans Gelirleri</w:t>
            </w:r>
          </w:p>
        </w:tc>
        <w:tc>
          <w:tcPr>
            <w:tcW w:w="376" w:type="pct"/>
            <w:gridSpan w:val="2"/>
            <w:tcBorders>
              <w:top w:val="nil"/>
              <w:left w:val="single" w:sz="8" w:space="0" w:color="auto"/>
              <w:bottom w:val="single" w:sz="4" w:space="0" w:color="auto"/>
              <w:right w:val="single" w:sz="8"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sz w:val="16"/>
                <w:szCs w:val="16"/>
                <w:lang w:eastAsia="tr-TR"/>
              </w:rPr>
            </w:pPr>
            <w:r>
              <w:rPr>
                <w:rFonts w:ascii="Arial" w:hAnsi="Arial" w:cs="Arial"/>
                <w:sz w:val="16"/>
                <w:szCs w:val="16"/>
              </w:rPr>
              <w:t>3.790.059,07</w:t>
            </w:r>
          </w:p>
        </w:tc>
        <w:tc>
          <w:tcPr>
            <w:tcW w:w="392" w:type="pct"/>
            <w:gridSpan w:val="2"/>
            <w:tcBorders>
              <w:top w:val="nil"/>
              <w:left w:val="nil"/>
              <w:bottom w:val="single" w:sz="4" w:space="0" w:color="auto"/>
              <w:right w:val="single" w:sz="8"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sz w:val="16"/>
                <w:szCs w:val="16"/>
                <w:lang w:eastAsia="tr-TR"/>
              </w:rPr>
            </w:pPr>
            <w:r>
              <w:rPr>
                <w:rFonts w:ascii="Arial" w:hAnsi="Arial" w:cs="Arial"/>
                <w:sz w:val="16"/>
                <w:szCs w:val="16"/>
              </w:rPr>
              <w:t>2.398.501,49</w:t>
            </w:r>
          </w:p>
        </w:tc>
        <w:tc>
          <w:tcPr>
            <w:tcW w:w="389" w:type="pct"/>
            <w:gridSpan w:val="2"/>
            <w:tcBorders>
              <w:top w:val="nil"/>
              <w:left w:val="nil"/>
              <w:bottom w:val="single" w:sz="4" w:space="0" w:color="auto"/>
              <w:right w:val="single" w:sz="8" w:space="0" w:color="auto"/>
            </w:tcBorders>
            <w:shd w:val="clear" w:color="auto" w:fill="auto"/>
            <w:noWrap/>
            <w:vAlign w:val="center"/>
          </w:tcPr>
          <w:p w:rsidR="005C287E" w:rsidRPr="000875F4" w:rsidRDefault="005C287E" w:rsidP="005C287E">
            <w:pPr>
              <w:spacing w:after="0" w:line="240" w:lineRule="auto"/>
              <w:jc w:val="right"/>
              <w:rPr>
                <w:rFonts w:ascii="Arial" w:eastAsia="Times New Roman" w:hAnsi="Arial" w:cs="Arial"/>
                <w:bCs/>
                <w:sz w:val="16"/>
                <w:szCs w:val="16"/>
                <w:lang w:eastAsia="tr-TR"/>
              </w:rPr>
            </w:pPr>
            <w:r>
              <w:rPr>
                <w:rFonts w:ascii="Arial" w:hAnsi="Arial" w:cs="Arial"/>
                <w:sz w:val="16"/>
                <w:szCs w:val="16"/>
              </w:rPr>
              <w:t>1.158.147,84</w:t>
            </w:r>
          </w:p>
        </w:tc>
      </w:tr>
      <w:tr w:rsidR="005C287E" w:rsidRPr="000875F4" w:rsidTr="005C287E">
        <w:trPr>
          <w:gridAfter w:val="1"/>
          <w:wAfter w:w="23" w:type="pct"/>
          <w:trHeight w:val="20"/>
        </w:trPr>
        <w:tc>
          <w:tcPr>
            <w:tcW w:w="123" w:type="pct"/>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p>
        </w:tc>
        <w:tc>
          <w:tcPr>
            <w:tcW w:w="96" w:type="pct"/>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Times New Roman" w:eastAsia="Times New Roman" w:hAnsi="Times New Roman"/>
                <w:sz w:val="20"/>
                <w:szCs w:val="20"/>
                <w:lang w:eastAsia="tr-TR"/>
              </w:rPr>
            </w:pPr>
          </w:p>
        </w:tc>
        <w:tc>
          <w:tcPr>
            <w:tcW w:w="96" w:type="pct"/>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Times New Roman" w:eastAsia="Times New Roman" w:hAnsi="Times New Roman"/>
                <w:sz w:val="20"/>
                <w:szCs w:val="20"/>
                <w:lang w:eastAsia="tr-TR"/>
              </w:rPr>
            </w:pPr>
          </w:p>
        </w:tc>
        <w:tc>
          <w:tcPr>
            <w:tcW w:w="897" w:type="pct"/>
            <w:gridSpan w:val="2"/>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Times New Roman" w:eastAsia="Times New Roman" w:hAnsi="Times New Roman"/>
                <w:sz w:val="20"/>
                <w:szCs w:val="20"/>
                <w:lang w:eastAsia="tr-TR"/>
              </w:rPr>
            </w:pPr>
          </w:p>
        </w:tc>
        <w:tc>
          <w:tcPr>
            <w:tcW w:w="416" w:type="pct"/>
            <w:gridSpan w:val="2"/>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Times New Roman" w:eastAsia="Times New Roman" w:hAnsi="Times New Roman"/>
                <w:sz w:val="20"/>
                <w:szCs w:val="20"/>
                <w:lang w:eastAsia="tr-TR"/>
              </w:rPr>
            </w:pPr>
          </w:p>
        </w:tc>
        <w:tc>
          <w:tcPr>
            <w:tcW w:w="376" w:type="pct"/>
            <w:gridSpan w:val="2"/>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Times New Roman" w:eastAsia="Times New Roman" w:hAnsi="Times New Roman"/>
                <w:sz w:val="20"/>
                <w:szCs w:val="20"/>
                <w:lang w:eastAsia="tr-TR"/>
              </w:rPr>
            </w:pPr>
          </w:p>
        </w:tc>
        <w:tc>
          <w:tcPr>
            <w:tcW w:w="390" w:type="pct"/>
            <w:gridSpan w:val="2"/>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right"/>
              <w:rPr>
                <w:rFonts w:ascii="Arial TUR" w:eastAsia="Times New Roman" w:hAnsi="Arial TUR" w:cs="Arial TUR"/>
                <w:b/>
                <w:bCs/>
                <w:sz w:val="16"/>
                <w:szCs w:val="18"/>
                <w:lang w:eastAsia="tr-TR"/>
              </w:rPr>
            </w:pPr>
          </w:p>
        </w:tc>
        <w:tc>
          <w:tcPr>
            <w:tcW w:w="44" w:type="pct"/>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Times New Roman" w:eastAsia="Times New Roman" w:hAnsi="Times New Roman"/>
                <w:sz w:val="20"/>
                <w:szCs w:val="20"/>
                <w:lang w:eastAsia="tr-TR"/>
              </w:rPr>
            </w:pPr>
          </w:p>
        </w:tc>
        <w:tc>
          <w:tcPr>
            <w:tcW w:w="128" w:type="pct"/>
            <w:tcBorders>
              <w:top w:val="nil"/>
              <w:left w:val="single" w:sz="8" w:space="0" w:color="auto"/>
              <w:bottom w:val="nil"/>
              <w:right w:val="nil"/>
            </w:tcBorders>
            <w:shd w:val="clear" w:color="auto" w:fill="auto"/>
            <w:noWrap/>
            <w:vAlign w:val="center"/>
            <w:hideMark/>
          </w:tcPr>
          <w:p w:rsidR="005C287E" w:rsidRPr="000875F4" w:rsidRDefault="005C287E" w:rsidP="005C287E">
            <w:pPr>
              <w:spacing w:after="0" w:line="240" w:lineRule="auto"/>
              <w:jc w:val="left"/>
              <w:rPr>
                <w:rFonts w:ascii="Arial TUR" w:eastAsia="Times New Roman" w:hAnsi="Arial TUR" w:cs="Arial TUR"/>
                <w:bCs/>
                <w:sz w:val="16"/>
                <w:szCs w:val="16"/>
                <w:lang w:eastAsia="tr-TR"/>
              </w:rPr>
            </w:pPr>
            <w:r w:rsidRPr="000875F4">
              <w:rPr>
                <w:rFonts w:ascii="Arial TUR" w:eastAsia="Times New Roman" w:hAnsi="Arial TUR" w:cs="Arial TUR"/>
                <w:bCs/>
                <w:noProof/>
                <w:sz w:val="16"/>
                <w:szCs w:val="16"/>
                <w:lang w:eastAsia="tr-TR"/>
              </w:rPr>
              <mc:AlternateContent>
                <mc:Choice Requires="wps">
                  <w:drawing>
                    <wp:anchor distT="0" distB="0" distL="114300" distR="114300" simplePos="0" relativeHeight="251669504" behindDoc="0" locked="0" layoutInCell="1" allowOverlap="1" wp14:anchorId="68F3A225" wp14:editId="65A04E0A">
                      <wp:simplePos x="0" y="0"/>
                      <wp:positionH relativeFrom="column">
                        <wp:posOffset>-76200</wp:posOffset>
                      </wp:positionH>
                      <wp:positionV relativeFrom="paragraph">
                        <wp:posOffset>144780</wp:posOffset>
                      </wp:positionV>
                      <wp:extent cx="1104900" cy="0"/>
                      <wp:effectExtent l="0" t="0" r="19050" b="19050"/>
                      <wp:wrapNone/>
                      <wp:docPr id="4" name="Düz Bağlayıcı 4"/>
                      <wp:cNvGraphicFramePr/>
                      <a:graphic xmlns:a="http://schemas.openxmlformats.org/drawingml/2006/main">
                        <a:graphicData uri="http://schemas.microsoft.com/office/word/2010/wordprocessingShape">
                          <wps:wsp>
                            <wps:cNvCnPr/>
                            <wps:spPr>
                              <a:xfrm flipH="1">
                                <a:off x="0" y="0"/>
                                <a:ext cx="110490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7321652C" id="Düz Bağlayıcı 4" o:spid="_x0000_s1026" style="position:absolute;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pt,11.4pt" to="81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"/>
                  </w:pict>
                </mc:Fallback>
              </mc:AlternateContent>
            </w:r>
            <w:r w:rsidRPr="000875F4">
              <w:rPr>
                <w:rFonts w:ascii="Arial TUR" w:eastAsia="Times New Roman" w:hAnsi="Arial TUR" w:cs="Arial TUR"/>
                <w:bCs/>
                <w:sz w:val="16"/>
                <w:szCs w:val="16"/>
                <w:lang w:eastAsia="tr-TR"/>
              </w:rPr>
              <w:t>610</w:t>
            </w:r>
          </w:p>
        </w:tc>
        <w:tc>
          <w:tcPr>
            <w:tcW w:w="96" w:type="pct"/>
            <w:tcBorders>
              <w:top w:val="single" w:sz="8" w:space="0" w:color="auto"/>
              <w:left w:val="single" w:sz="8" w:space="0" w:color="auto"/>
              <w:bottom w:val="nil"/>
              <w:right w:val="single" w:sz="8" w:space="0" w:color="auto"/>
            </w:tcBorders>
            <w:shd w:val="clear" w:color="auto" w:fill="auto"/>
            <w:noWrap/>
            <w:vAlign w:val="center"/>
            <w:hideMark/>
          </w:tcPr>
          <w:p w:rsidR="005C287E" w:rsidRPr="000875F4" w:rsidRDefault="005C287E" w:rsidP="005C287E">
            <w:pPr>
              <w:spacing w:after="0" w:line="240" w:lineRule="auto"/>
              <w:jc w:val="left"/>
              <w:rPr>
                <w:rFonts w:ascii="Arial TUR" w:eastAsia="Times New Roman" w:hAnsi="Arial TUR" w:cs="Arial TUR"/>
                <w:bCs/>
                <w:sz w:val="16"/>
                <w:szCs w:val="16"/>
                <w:lang w:eastAsia="tr-TR"/>
              </w:rPr>
            </w:pPr>
            <w:r w:rsidRPr="000875F4">
              <w:rPr>
                <w:rFonts w:ascii="Arial TUR" w:eastAsia="Times New Roman" w:hAnsi="Arial TUR" w:cs="Arial TUR"/>
                <w:bCs/>
                <w:sz w:val="16"/>
                <w:szCs w:val="16"/>
                <w:lang w:eastAsia="tr-TR"/>
              </w:rPr>
              <w:t>03</w:t>
            </w:r>
          </w:p>
        </w:tc>
        <w:tc>
          <w:tcPr>
            <w:tcW w:w="96" w:type="pct"/>
            <w:tcBorders>
              <w:top w:val="single" w:sz="4" w:space="0" w:color="auto"/>
              <w:left w:val="nil"/>
              <w:bottom w:val="nil"/>
              <w:right w:val="single" w:sz="8" w:space="0" w:color="auto"/>
            </w:tcBorders>
            <w:shd w:val="clear" w:color="auto" w:fill="auto"/>
            <w:noWrap/>
            <w:vAlign w:val="center"/>
            <w:hideMark/>
          </w:tcPr>
          <w:p w:rsidR="005C287E" w:rsidRPr="000875F4" w:rsidRDefault="005C287E" w:rsidP="005C287E">
            <w:pPr>
              <w:spacing w:after="0" w:line="240" w:lineRule="auto"/>
              <w:jc w:val="left"/>
              <w:rPr>
                <w:rFonts w:ascii="Arial TUR" w:eastAsia="Times New Roman" w:hAnsi="Arial TUR" w:cs="Arial TUR"/>
                <w:bCs/>
                <w:sz w:val="16"/>
                <w:szCs w:val="16"/>
                <w:lang w:eastAsia="tr-TR"/>
              </w:rPr>
            </w:pPr>
            <w:r w:rsidRPr="000875F4">
              <w:rPr>
                <w:rFonts w:ascii="Arial TUR" w:eastAsia="Times New Roman" w:hAnsi="Arial TUR" w:cs="Arial TUR"/>
                <w:bCs/>
                <w:sz w:val="16"/>
                <w:szCs w:val="16"/>
                <w:lang w:eastAsia="tr-TR"/>
              </w:rPr>
              <w:t>2</w:t>
            </w:r>
          </w:p>
        </w:tc>
        <w:tc>
          <w:tcPr>
            <w:tcW w:w="96" w:type="pct"/>
            <w:gridSpan w:val="2"/>
            <w:tcBorders>
              <w:top w:val="single" w:sz="4" w:space="0" w:color="auto"/>
              <w:left w:val="nil"/>
              <w:bottom w:val="nil"/>
              <w:right w:val="single" w:sz="8" w:space="0" w:color="auto"/>
            </w:tcBorders>
            <w:shd w:val="clear" w:color="auto" w:fill="auto"/>
            <w:noWrap/>
            <w:vAlign w:val="center"/>
            <w:hideMark/>
          </w:tcPr>
          <w:p w:rsidR="005C287E" w:rsidRPr="000875F4" w:rsidRDefault="005C287E" w:rsidP="005C287E">
            <w:pPr>
              <w:spacing w:after="0" w:line="240" w:lineRule="auto"/>
              <w:jc w:val="left"/>
              <w:rPr>
                <w:rFonts w:ascii="Arial TUR" w:eastAsia="Times New Roman" w:hAnsi="Arial TUR" w:cs="Arial TUR"/>
                <w:bCs/>
                <w:sz w:val="16"/>
                <w:szCs w:val="16"/>
                <w:lang w:eastAsia="tr-TR"/>
              </w:rPr>
            </w:pPr>
            <w:r w:rsidRPr="000875F4">
              <w:rPr>
                <w:rFonts w:ascii="Arial TUR" w:eastAsia="Times New Roman" w:hAnsi="Arial TUR" w:cs="Arial TUR"/>
                <w:bCs/>
                <w:sz w:val="16"/>
                <w:szCs w:val="16"/>
                <w:lang w:eastAsia="tr-TR"/>
              </w:rPr>
              <w:t>1</w:t>
            </w:r>
          </w:p>
        </w:tc>
        <w:tc>
          <w:tcPr>
            <w:tcW w:w="96" w:type="pct"/>
            <w:gridSpan w:val="2"/>
            <w:tcBorders>
              <w:top w:val="single" w:sz="4" w:space="0" w:color="auto"/>
              <w:left w:val="nil"/>
              <w:bottom w:val="nil"/>
              <w:right w:val="single" w:sz="8" w:space="0" w:color="auto"/>
            </w:tcBorders>
            <w:shd w:val="clear" w:color="auto" w:fill="auto"/>
            <w:noWrap/>
            <w:vAlign w:val="center"/>
            <w:hideMark/>
          </w:tcPr>
          <w:p w:rsidR="005C287E" w:rsidRPr="000875F4" w:rsidRDefault="005C287E" w:rsidP="005C287E">
            <w:pPr>
              <w:spacing w:after="0" w:line="240" w:lineRule="auto"/>
              <w:jc w:val="left"/>
              <w:rPr>
                <w:rFonts w:ascii="Arial TUR" w:eastAsia="Times New Roman" w:hAnsi="Arial TUR" w:cs="Arial TUR"/>
                <w:bCs/>
                <w:sz w:val="16"/>
                <w:szCs w:val="16"/>
                <w:lang w:eastAsia="tr-TR"/>
              </w:rPr>
            </w:pPr>
            <w:r w:rsidRPr="000875F4">
              <w:rPr>
                <w:rFonts w:ascii="Arial TUR" w:eastAsia="Times New Roman" w:hAnsi="Arial TUR" w:cs="Arial TUR"/>
                <w:bCs/>
                <w:sz w:val="16"/>
                <w:szCs w:val="16"/>
                <w:lang w:eastAsia="tr-TR"/>
              </w:rPr>
              <w:t>13</w:t>
            </w:r>
          </w:p>
        </w:tc>
        <w:tc>
          <w:tcPr>
            <w:tcW w:w="871" w:type="pct"/>
            <w:gridSpan w:val="4"/>
            <w:tcBorders>
              <w:top w:val="single" w:sz="4" w:space="0" w:color="auto"/>
              <w:left w:val="nil"/>
              <w:bottom w:val="nil"/>
              <w:right w:val="nil"/>
            </w:tcBorders>
            <w:shd w:val="clear" w:color="auto" w:fill="auto"/>
            <w:noWrap/>
            <w:vAlign w:val="center"/>
            <w:hideMark/>
          </w:tcPr>
          <w:p w:rsidR="005C287E" w:rsidRPr="000875F4" w:rsidRDefault="005C287E" w:rsidP="005C287E">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LPG Piyasası Lisans Gelirleri</w:t>
            </w:r>
          </w:p>
        </w:tc>
        <w:tc>
          <w:tcPr>
            <w:tcW w:w="376" w:type="pct"/>
            <w:gridSpan w:val="2"/>
            <w:tcBorders>
              <w:top w:val="nil"/>
              <w:left w:val="single" w:sz="8" w:space="0" w:color="auto"/>
              <w:bottom w:val="single" w:sz="4" w:space="0" w:color="auto"/>
              <w:right w:val="single" w:sz="8"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sz w:val="16"/>
                <w:szCs w:val="16"/>
                <w:lang w:eastAsia="tr-TR"/>
              </w:rPr>
            </w:pPr>
            <w:r>
              <w:rPr>
                <w:rFonts w:ascii="Arial" w:hAnsi="Arial" w:cs="Arial"/>
                <w:sz w:val="16"/>
                <w:szCs w:val="16"/>
              </w:rPr>
              <w:t>355.750,00</w:t>
            </w:r>
          </w:p>
        </w:tc>
        <w:tc>
          <w:tcPr>
            <w:tcW w:w="392" w:type="pct"/>
            <w:gridSpan w:val="2"/>
            <w:tcBorders>
              <w:top w:val="nil"/>
              <w:left w:val="nil"/>
              <w:bottom w:val="single" w:sz="4" w:space="0" w:color="auto"/>
              <w:right w:val="single" w:sz="8"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sz w:val="16"/>
                <w:szCs w:val="16"/>
                <w:lang w:eastAsia="tr-TR"/>
              </w:rPr>
            </w:pPr>
            <w:r>
              <w:rPr>
                <w:rFonts w:ascii="Arial" w:hAnsi="Arial" w:cs="Arial"/>
                <w:sz w:val="16"/>
                <w:szCs w:val="16"/>
              </w:rPr>
              <w:t>1.022.350,00</w:t>
            </w:r>
          </w:p>
        </w:tc>
        <w:tc>
          <w:tcPr>
            <w:tcW w:w="389" w:type="pct"/>
            <w:gridSpan w:val="2"/>
            <w:tcBorders>
              <w:top w:val="nil"/>
              <w:left w:val="nil"/>
              <w:bottom w:val="single" w:sz="4" w:space="0" w:color="auto"/>
              <w:right w:val="single" w:sz="8" w:space="0" w:color="auto"/>
            </w:tcBorders>
            <w:shd w:val="clear" w:color="auto" w:fill="auto"/>
            <w:noWrap/>
            <w:vAlign w:val="center"/>
          </w:tcPr>
          <w:p w:rsidR="005C287E" w:rsidRPr="000875F4" w:rsidRDefault="005C287E" w:rsidP="005C287E">
            <w:pPr>
              <w:spacing w:after="0" w:line="240" w:lineRule="auto"/>
              <w:jc w:val="right"/>
              <w:rPr>
                <w:rFonts w:ascii="Arial" w:eastAsia="Times New Roman" w:hAnsi="Arial" w:cs="Arial"/>
                <w:bCs/>
                <w:sz w:val="16"/>
                <w:szCs w:val="16"/>
                <w:lang w:eastAsia="tr-TR"/>
              </w:rPr>
            </w:pPr>
            <w:r>
              <w:rPr>
                <w:rFonts w:ascii="Arial" w:hAnsi="Arial" w:cs="Arial"/>
                <w:sz w:val="16"/>
                <w:szCs w:val="16"/>
              </w:rPr>
              <w:t>521.979,41</w:t>
            </w:r>
          </w:p>
        </w:tc>
      </w:tr>
      <w:tr w:rsidR="005C287E" w:rsidRPr="000875F4" w:rsidTr="005C287E">
        <w:trPr>
          <w:gridAfter w:val="1"/>
          <w:wAfter w:w="23" w:type="pct"/>
          <w:trHeight w:val="20"/>
        </w:trPr>
        <w:tc>
          <w:tcPr>
            <w:tcW w:w="123" w:type="pct"/>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sz w:val="16"/>
                <w:szCs w:val="16"/>
                <w:lang w:eastAsia="tr-TR"/>
              </w:rPr>
            </w:pPr>
          </w:p>
        </w:tc>
        <w:tc>
          <w:tcPr>
            <w:tcW w:w="96" w:type="pct"/>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Times New Roman" w:eastAsia="Times New Roman" w:hAnsi="Times New Roman"/>
                <w:sz w:val="20"/>
                <w:szCs w:val="20"/>
                <w:lang w:eastAsia="tr-TR"/>
              </w:rPr>
            </w:pPr>
          </w:p>
        </w:tc>
        <w:tc>
          <w:tcPr>
            <w:tcW w:w="96" w:type="pct"/>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Times New Roman" w:eastAsia="Times New Roman" w:hAnsi="Times New Roman"/>
                <w:sz w:val="20"/>
                <w:szCs w:val="20"/>
                <w:lang w:eastAsia="tr-TR"/>
              </w:rPr>
            </w:pPr>
          </w:p>
        </w:tc>
        <w:tc>
          <w:tcPr>
            <w:tcW w:w="897" w:type="pct"/>
            <w:gridSpan w:val="2"/>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Times New Roman" w:eastAsia="Times New Roman" w:hAnsi="Times New Roman"/>
                <w:sz w:val="20"/>
                <w:szCs w:val="20"/>
                <w:lang w:eastAsia="tr-TR"/>
              </w:rPr>
            </w:pPr>
          </w:p>
        </w:tc>
        <w:tc>
          <w:tcPr>
            <w:tcW w:w="416" w:type="pct"/>
            <w:gridSpan w:val="2"/>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Times New Roman" w:eastAsia="Times New Roman" w:hAnsi="Times New Roman"/>
                <w:sz w:val="20"/>
                <w:szCs w:val="20"/>
                <w:lang w:eastAsia="tr-TR"/>
              </w:rPr>
            </w:pPr>
          </w:p>
        </w:tc>
        <w:tc>
          <w:tcPr>
            <w:tcW w:w="376" w:type="pct"/>
            <w:gridSpan w:val="2"/>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Times New Roman" w:eastAsia="Times New Roman" w:hAnsi="Times New Roman"/>
                <w:sz w:val="20"/>
                <w:szCs w:val="20"/>
                <w:lang w:eastAsia="tr-TR"/>
              </w:rPr>
            </w:pPr>
          </w:p>
        </w:tc>
        <w:tc>
          <w:tcPr>
            <w:tcW w:w="390" w:type="pct"/>
            <w:gridSpan w:val="2"/>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right"/>
              <w:rPr>
                <w:rFonts w:ascii="Arial TUR" w:eastAsia="Times New Roman" w:hAnsi="Arial TUR" w:cs="Arial TUR"/>
                <w:b/>
                <w:bCs/>
                <w:sz w:val="16"/>
                <w:szCs w:val="18"/>
                <w:lang w:eastAsia="tr-TR"/>
              </w:rPr>
            </w:pPr>
          </w:p>
        </w:tc>
        <w:tc>
          <w:tcPr>
            <w:tcW w:w="44" w:type="pct"/>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Times New Roman" w:eastAsia="Times New Roman" w:hAnsi="Times New Roman"/>
                <w:sz w:val="20"/>
                <w:szCs w:val="20"/>
                <w:lang w:eastAsia="tr-TR"/>
              </w:rPr>
            </w:pPr>
          </w:p>
        </w:tc>
        <w:tc>
          <w:tcPr>
            <w:tcW w:w="128" w:type="pct"/>
            <w:tcBorders>
              <w:top w:val="nil"/>
              <w:left w:val="single" w:sz="8" w:space="0" w:color="auto"/>
              <w:bottom w:val="nil"/>
              <w:right w:val="nil"/>
            </w:tcBorders>
            <w:shd w:val="clear" w:color="auto" w:fill="auto"/>
            <w:noWrap/>
            <w:vAlign w:val="center"/>
            <w:hideMark/>
          </w:tcPr>
          <w:p w:rsidR="005C287E" w:rsidRPr="000875F4" w:rsidRDefault="005C287E" w:rsidP="005C287E">
            <w:pPr>
              <w:spacing w:after="0" w:line="240" w:lineRule="auto"/>
              <w:jc w:val="center"/>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610</w:t>
            </w:r>
          </w:p>
        </w:tc>
        <w:tc>
          <w:tcPr>
            <w:tcW w:w="96" w:type="pct"/>
            <w:tcBorders>
              <w:top w:val="nil"/>
              <w:left w:val="single" w:sz="8" w:space="0" w:color="auto"/>
              <w:bottom w:val="single" w:sz="8" w:space="0" w:color="auto"/>
              <w:right w:val="single" w:sz="8" w:space="0" w:color="auto"/>
            </w:tcBorders>
            <w:shd w:val="clear" w:color="auto" w:fill="auto"/>
            <w:noWrap/>
            <w:vAlign w:val="center"/>
            <w:hideMark/>
          </w:tcPr>
          <w:p w:rsidR="005C287E" w:rsidRPr="000875F4" w:rsidRDefault="005C287E" w:rsidP="005C287E">
            <w:pPr>
              <w:spacing w:after="0" w:line="240" w:lineRule="auto"/>
              <w:jc w:val="lef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05</w:t>
            </w:r>
          </w:p>
        </w:tc>
        <w:tc>
          <w:tcPr>
            <w:tcW w:w="96" w:type="pct"/>
            <w:tcBorders>
              <w:top w:val="nil"/>
              <w:left w:val="nil"/>
              <w:bottom w:val="single" w:sz="8" w:space="0" w:color="auto"/>
              <w:right w:val="single" w:sz="8" w:space="0" w:color="auto"/>
            </w:tcBorders>
            <w:shd w:val="clear" w:color="auto" w:fill="auto"/>
            <w:noWrap/>
            <w:vAlign w:val="center"/>
            <w:hideMark/>
          </w:tcPr>
          <w:p w:rsidR="005C287E" w:rsidRPr="000875F4" w:rsidRDefault="005C287E" w:rsidP="005C287E">
            <w:pPr>
              <w:spacing w:after="0" w:line="240" w:lineRule="auto"/>
              <w:jc w:val="lef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9</w:t>
            </w:r>
          </w:p>
        </w:tc>
        <w:tc>
          <w:tcPr>
            <w:tcW w:w="96" w:type="pct"/>
            <w:gridSpan w:val="2"/>
            <w:tcBorders>
              <w:top w:val="nil"/>
              <w:left w:val="nil"/>
              <w:bottom w:val="single" w:sz="8" w:space="0" w:color="auto"/>
              <w:right w:val="single" w:sz="8" w:space="0" w:color="auto"/>
            </w:tcBorders>
            <w:shd w:val="clear" w:color="auto" w:fill="auto"/>
            <w:noWrap/>
            <w:vAlign w:val="center"/>
            <w:hideMark/>
          </w:tcPr>
          <w:p w:rsidR="005C287E" w:rsidRPr="000875F4" w:rsidRDefault="005C287E" w:rsidP="005C287E">
            <w:pPr>
              <w:spacing w:after="0" w:line="240" w:lineRule="auto"/>
              <w:jc w:val="lef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1</w:t>
            </w:r>
          </w:p>
        </w:tc>
        <w:tc>
          <w:tcPr>
            <w:tcW w:w="96" w:type="pct"/>
            <w:gridSpan w:val="2"/>
            <w:tcBorders>
              <w:top w:val="nil"/>
              <w:left w:val="nil"/>
              <w:bottom w:val="single" w:sz="8" w:space="0" w:color="auto"/>
              <w:right w:val="single" w:sz="8" w:space="0" w:color="auto"/>
            </w:tcBorders>
            <w:shd w:val="clear" w:color="auto" w:fill="auto"/>
            <w:noWrap/>
            <w:vAlign w:val="center"/>
            <w:hideMark/>
          </w:tcPr>
          <w:p w:rsidR="005C287E" w:rsidRPr="000875F4" w:rsidRDefault="005C287E" w:rsidP="005C287E">
            <w:pPr>
              <w:spacing w:after="0" w:line="240" w:lineRule="auto"/>
              <w:jc w:val="lef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99</w:t>
            </w:r>
          </w:p>
        </w:tc>
        <w:tc>
          <w:tcPr>
            <w:tcW w:w="871" w:type="pct"/>
            <w:gridSpan w:val="4"/>
            <w:tcBorders>
              <w:top w:val="single" w:sz="4" w:space="0" w:color="auto"/>
              <w:left w:val="nil"/>
              <w:bottom w:val="single" w:sz="4" w:space="0" w:color="auto"/>
              <w:right w:val="nil"/>
            </w:tcBorders>
            <w:shd w:val="clear" w:color="auto" w:fill="auto"/>
            <w:vAlign w:val="center"/>
            <w:hideMark/>
          </w:tcPr>
          <w:p w:rsidR="005C287E" w:rsidRPr="000875F4" w:rsidRDefault="005C287E" w:rsidP="005C287E">
            <w:pPr>
              <w:spacing w:after="0" w:line="240" w:lineRule="auto"/>
              <w:jc w:val="left"/>
              <w:rPr>
                <w:rFonts w:ascii="Arial TUR" w:eastAsia="Times New Roman" w:hAnsi="Arial TUR" w:cs="Arial TUR"/>
                <w:b/>
                <w:bCs/>
                <w:sz w:val="16"/>
                <w:szCs w:val="16"/>
                <w:lang w:eastAsia="tr-TR"/>
              </w:rPr>
            </w:pPr>
            <w:r w:rsidRPr="000875F4">
              <w:rPr>
                <w:rFonts w:ascii="Arial TUR" w:eastAsia="Times New Roman" w:hAnsi="Arial TUR" w:cs="Arial TUR"/>
                <w:b/>
                <w:bCs/>
                <w:sz w:val="16"/>
                <w:szCs w:val="16"/>
                <w:lang w:eastAsia="tr-TR"/>
              </w:rPr>
              <w:t>Yukarıda Tanımlanmayan Diğer Çeşitli Gelirler</w:t>
            </w:r>
          </w:p>
        </w:tc>
        <w:tc>
          <w:tcPr>
            <w:tcW w:w="376" w:type="pct"/>
            <w:gridSpan w:val="2"/>
            <w:tcBorders>
              <w:top w:val="nil"/>
              <w:left w:val="single" w:sz="8" w:space="0" w:color="auto"/>
              <w:bottom w:val="single" w:sz="8" w:space="0" w:color="auto"/>
              <w:right w:val="single" w:sz="8"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b/>
                <w:bCs/>
                <w:sz w:val="16"/>
                <w:szCs w:val="16"/>
                <w:lang w:eastAsia="tr-TR"/>
              </w:rPr>
            </w:pPr>
            <w:r>
              <w:rPr>
                <w:rFonts w:ascii="Arial" w:hAnsi="Arial" w:cs="Arial"/>
                <w:b/>
                <w:bCs/>
                <w:sz w:val="16"/>
                <w:szCs w:val="16"/>
              </w:rPr>
              <w:t>1.182.430,64</w:t>
            </w:r>
          </w:p>
        </w:tc>
        <w:tc>
          <w:tcPr>
            <w:tcW w:w="392" w:type="pct"/>
            <w:gridSpan w:val="2"/>
            <w:tcBorders>
              <w:top w:val="nil"/>
              <w:left w:val="nil"/>
              <w:bottom w:val="single" w:sz="8" w:space="0" w:color="auto"/>
              <w:right w:val="single" w:sz="8"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b/>
                <w:bCs/>
                <w:sz w:val="16"/>
                <w:szCs w:val="16"/>
                <w:lang w:eastAsia="tr-TR"/>
              </w:rPr>
            </w:pPr>
            <w:r>
              <w:rPr>
                <w:rFonts w:ascii="Arial" w:hAnsi="Arial" w:cs="Arial"/>
                <w:b/>
                <w:bCs/>
                <w:sz w:val="16"/>
                <w:szCs w:val="16"/>
              </w:rPr>
              <w:t>8.590.231,35</w:t>
            </w:r>
          </w:p>
        </w:tc>
        <w:tc>
          <w:tcPr>
            <w:tcW w:w="389" w:type="pct"/>
            <w:gridSpan w:val="2"/>
            <w:tcBorders>
              <w:top w:val="nil"/>
              <w:left w:val="nil"/>
              <w:bottom w:val="single" w:sz="8" w:space="0" w:color="auto"/>
              <w:right w:val="single" w:sz="8" w:space="0" w:color="auto"/>
            </w:tcBorders>
            <w:shd w:val="clear" w:color="auto" w:fill="auto"/>
            <w:noWrap/>
            <w:vAlign w:val="center"/>
          </w:tcPr>
          <w:p w:rsidR="005C287E" w:rsidRPr="000875F4" w:rsidRDefault="005C287E" w:rsidP="005C287E">
            <w:pPr>
              <w:spacing w:after="0" w:line="240" w:lineRule="auto"/>
              <w:jc w:val="right"/>
              <w:rPr>
                <w:rFonts w:ascii="Arial" w:eastAsia="Times New Roman" w:hAnsi="Arial" w:cs="Arial"/>
                <w:b/>
                <w:bCs/>
                <w:sz w:val="16"/>
                <w:szCs w:val="16"/>
                <w:lang w:eastAsia="tr-TR"/>
              </w:rPr>
            </w:pPr>
            <w:r>
              <w:rPr>
                <w:rFonts w:ascii="Arial" w:hAnsi="Arial" w:cs="Arial"/>
                <w:b/>
                <w:bCs/>
                <w:sz w:val="16"/>
                <w:szCs w:val="16"/>
              </w:rPr>
              <w:t>3.367.189,19</w:t>
            </w:r>
          </w:p>
        </w:tc>
      </w:tr>
      <w:tr w:rsidR="005C287E" w:rsidRPr="000875F4" w:rsidTr="005C287E">
        <w:trPr>
          <w:gridAfter w:val="1"/>
          <w:wAfter w:w="23" w:type="pct"/>
          <w:trHeight w:val="20"/>
        </w:trPr>
        <w:tc>
          <w:tcPr>
            <w:tcW w:w="123" w:type="pct"/>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b/>
                <w:bCs/>
                <w:sz w:val="16"/>
                <w:szCs w:val="16"/>
                <w:lang w:eastAsia="tr-TR"/>
              </w:rPr>
            </w:pPr>
          </w:p>
        </w:tc>
        <w:tc>
          <w:tcPr>
            <w:tcW w:w="96" w:type="pct"/>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Times New Roman" w:eastAsia="Times New Roman" w:hAnsi="Times New Roman"/>
                <w:sz w:val="20"/>
                <w:szCs w:val="20"/>
                <w:lang w:eastAsia="tr-TR"/>
              </w:rPr>
            </w:pPr>
          </w:p>
        </w:tc>
        <w:tc>
          <w:tcPr>
            <w:tcW w:w="96" w:type="pct"/>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Times New Roman" w:eastAsia="Times New Roman" w:hAnsi="Times New Roman"/>
                <w:sz w:val="20"/>
                <w:szCs w:val="20"/>
                <w:lang w:eastAsia="tr-TR"/>
              </w:rPr>
            </w:pPr>
          </w:p>
        </w:tc>
        <w:tc>
          <w:tcPr>
            <w:tcW w:w="897" w:type="pct"/>
            <w:gridSpan w:val="2"/>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Times New Roman" w:eastAsia="Times New Roman" w:hAnsi="Times New Roman"/>
                <w:sz w:val="20"/>
                <w:szCs w:val="20"/>
                <w:lang w:eastAsia="tr-TR"/>
              </w:rPr>
            </w:pPr>
          </w:p>
        </w:tc>
        <w:tc>
          <w:tcPr>
            <w:tcW w:w="416" w:type="pct"/>
            <w:gridSpan w:val="2"/>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Times New Roman" w:eastAsia="Times New Roman" w:hAnsi="Times New Roman"/>
                <w:sz w:val="20"/>
                <w:szCs w:val="20"/>
                <w:lang w:eastAsia="tr-TR"/>
              </w:rPr>
            </w:pPr>
          </w:p>
        </w:tc>
        <w:tc>
          <w:tcPr>
            <w:tcW w:w="376" w:type="pct"/>
            <w:gridSpan w:val="2"/>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Times New Roman" w:eastAsia="Times New Roman" w:hAnsi="Times New Roman"/>
                <w:sz w:val="20"/>
                <w:szCs w:val="20"/>
                <w:lang w:eastAsia="tr-TR"/>
              </w:rPr>
            </w:pPr>
          </w:p>
        </w:tc>
        <w:tc>
          <w:tcPr>
            <w:tcW w:w="390" w:type="pct"/>
            <w:gridSpan w:val="2"/>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right"/>
              <w:rPr>
                <w:rFonts w:ascii="Arial TUR" w:eastAsia="Times New Roman" w:hAnsi="Arial TUR" w:cs="Arial TUR"/>
                <w:b/>
                <w:bCs/>
                <w:sz w:val="16"/>
                <w:szCs w:val="18"/>
                <w:lang w:eastAsia="tr-TR"/>
              </w:rPr>
            </w:pPr>
          </w:p>
        </w:tc>
        <w:tc>
          <w:tcPr>
            <w:tcW w:w="44" w:type="pct"/>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Times New Roman" w:eastAsia="Times New Roman" w:hAnsi="Times New Roman"/>
                <w:sz w:val="20"/>
                <w:szCs w:val="20"/>
                <w:lang w:eastAsia="tr-TR"/>
              </w:rPr>
            </w:pPr>
          </w:p>
        </w:tc>
        <w:tc>
          <w:tcPr>
            <w:tcW w:w="1382" w:type="pct"/>
            <w:gridSpan w:val="11"/>
            <w:tcBorders>
              <w:top w:val="single" w:sz="8" w:space="0" w:color="auto"/>
              <w:left w:val="single" w:sz="8" w:space="0" w:color="auto"/>
              <w:bottom w:val="single" w:sz="8" w:space="0" w:color="auto"/>
              <w:right w:val="nil"/>
            </w:tcBorders>
            <w:shd w:val="clear" w:color="auto" w:fill="auto"/>
            <w:noWrap/>
            <w:vAlign w:val="center"/>
            <w:hideMark/>
          </w:tcPr>
          <w:p w:rsidR="005C287E" w:rsidRPr="000875F4" w:rsidRDefault="005C287E" w:rsidP="005C287E">
            <w:pPr>
              <w:spacing w:after="0" w:line="240" w:lineRule="auto"/>
              <w:jc w:val="lef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İNDİRİM, İADE VE İSKONTO TOPLAMI  ( C)</w:t>
            </w:r>
          </w:p>
        </w:tc>
        <w:tc>
          <w:tcPr>
            <w:tcW w:w="376" w:type="pct"/>
            <w:gridSpan w:val="2"/>
            <w:tcBorders>
              <w:top w:val="nil"/>
              <w:left w:val="single" w:sz="8" w:space="0" w:color="auto"/>
              <w:bottom w:val="single" w:sz="8" w:space="0" w:color="auto"/>
              <w:right w:val="single" w:sz="8" w:space="0" w:color="auto"/>
            </w:tcBorders>
            <w:shd w:val="clear" w:color="auto" w:fill="auto"/>
            <w:noWrap/>
            <w:vAlign w:val="bottom"/>
          </w:tcPr>
          <w:p w:rsidR="005C287E" w:rsidRPr="000875F4" w:rsidRDefault="005C287E" w:rsidP="005C287E">
            <w:pPr>
              <w:spacing w:after="0" w:line="240" w:lineRule="auto"/>
              <w:jc w:val="right"/>
              <w:rPr>
                <w:rFonts w:ascii="Arial TUR" w:eastAsia="Times New Roman" w:hAnsi="Arial TUR" w:cs="Arial TUR"/>
                <w:b/>
                <w:sz w:val="16"/>
                <w:szCs w:val="16"/>
                <w:lang w:eastAsia="tr-TR"/>
              </w:rPr>
            </w:pPr>
            <w:r w:rsidRPr="000875F4">
              <w:rPr>
                <w:rFonts w:ascii="Arial TUR" w:eastAsia="Times New Roman" w:hAnsi="Arial TUR" w:cs="Arial TUR"/>
                <w:b/>
                <w:sz w:val="16"/>
                <w:szCs w:val="16"/>
                <w:lang w:eastAsia="tr-TR"/>
              </w:rPr>
              <w:t>11.349.950,08</w:t>
            </w:r>
          </w:p>
        </w:tc>
        <w:tc>
          <w:tcPr>
            <w:tcW w:w="392" w:type="pct"/>
            <w:gridSpan w:val="2"/>
            <w:tcBorders>
              <w:top w:val="nil"/>
              <w:left w:val="nil"/>
              <w:bottom w:val="single" w:sz="8" w:space="0" w:color="auto"/>
              <w:right w:val="single" w:sz="8" w:space="0" w:color="auto"/>
            </w:tcBorders>
            <w:shd w:val="clear" w:color="auto" w:fill="auto"/>
            <w:noWrap/>
            <w:vAlign w:val="bottom"/>
          </w:tcPr>
          <w:p w:rsidR="005C287E" w:rsidRPr="000875F4" w:rsidRDefault="005C287E" w:rsidP="005C287E">
            <w:pPr>
              <w:spacing w:after="0" w:line="240" w:lineRule="auto"/>
              <w:jc w:val="right"/>
              <w:rPr>
                <w:rFonts w:ascii="Arial TUR" w:eastAsia="Times New Roman" w:hAnsi="Arial TUR" w:cs="Arial TUR"/>
                <w:b/>
                <w:sz w:val="16"/>
                <w:szCs w:val="16"/>
                <w:lang w:eastAsia="tr-TR"/>
              </w:rPr>
            </w:pPr>
            <w:r w:rsidRPr="005C287E">
              <w:rPr>
                <w:rFonts w:ascii="Arial TUR" w:eastAsia="Times New Roman" w:hAnsi="Arial TUR" w:cs="Arial TUR"/>
                <w:b/>
                <w:sz w:val="16"/>
                <w:szCs w:val="16"/>
                <w:lang w:eastAsia="tr-TR"/>
              </w:rPr>
              <w:t>14</w:t>
            </w:r>
            <w:r>
              <w:rPr>
                <w:rFonts w:ascii="Arial TUR" w:eastAsia="Times New Roman" w:hAnsi="Arial TUR" w:cs="Arial TUR"/>
                <w:b/>
                <w:sz w:val="16"/>
                <w:szCs w:val="16"/>
                <w:lang w:eastAsia="tr-TR"/>
              </w:rPr>
              <w:t>.</w:t>
            </w:r>
            <w:r w:rsidRPr="005C287E">
              <w:rPr>
                <w:rFonts w:ascii="Arial TUR" w:eastAsia="Times New Roman" w:hAnsi="Arial TUR" w:cs="Arial TUR"/>
                <w:b/>
                <w:sz w:val="16"/>
                <w:szCs w:val="16"/>
                <w:lang w:eastAsia="tr-TR"/>
              </w:rPr>
              <w:t>746</w:t>
            </w:r>
            <w:r>
              <w:rPr>
                <w:rFonts w:ascii="Arial TUR" w:eastAsia="Times New Roman" w:hAnsi="Arial TUR" w:cs="Arial TUR"/>
                <w:b/>
                <w:sz w:val="16"/>
                <w:szCs w:val="16"/>
                <w:lang w:eastAsia="tr-TR"/>
              </w:rPr>
              <w:t>.</w:t>
            </w:r>
            <w:r w:rsidRPr="005C287E">
              <w:rPr>
                <w:rFonts w:ascii="Arial TUR" w:eastAsia="Times New Roman" w:hAnsi="Arial TUR" w:cs="Arial TUR"/>
                <w:b/>
                <w:sz w:val="16"/>
                <w:szCs w:val="16"/>
                <w:lang w:eastAsia="tr-TR"/>
              </w:rPr>
              <w:t>407,23</w:t>
            </w:r>
          </w:p>
        </w:tc>
        <w:tc>
          <w:tcPr>
            <w:tcW w:w="389" w:type="pct"/>
            <w:gridSpan w:val="2"/>
            <w:tcBorders>
              <w:top w:val="nil"/>
              <w:left w:val="nil"/>
              <w:bottom w:val="single" w:sz="8" w:space="0" w:color="auto"/>
              <w:right w:val="single" w:sz="8" w:space="0" w:color="auto"/>
            </w:tcBorders>
            <w:shd w:val="clear" w:color="auto" w:fill="auto"/>
            <w:noWrap/>
            <w:vAlign w:val="bottom"/>
          </w:tcPr>
          <w:p w:rsidR="005C287E" w:rsidRPr="000875F4" w:rsidRDefault="005C287E" w:rsidP="005C287E">
            <w:pPr>
              <w:spacing w:after="0" w:line="240" w:lineRule="auto"/>
              <w:jc w:val="right"/>
              <w:rPr>
                <w:rFonts w:ascii="Arial" w:eastAsia="Times New Roman" w:hAnsi="Arial" w:cs="Arial"/>
                <w:b/>
                <w:bCs/>
                <w:sz w:val="16"/>
                <w:szCs w:val="16"/>
                <w:lang w:eastAsia="tr-TR"/>
              </w:rPr>
            </w:pPr>
            <w:r w:rsidRPr="005C287E">
              <w:rPr>
                <w:rFonts w:ascii="Arial" w:eastAsia="Times New Roman" w:hAnsi="Arial" w:cs="Arial"/>
                <w:b/>
                <w:bCs/>
                <w:sz w:val="16"/>
                <w:szCs w:val="16"/>
                <w:lang w:eastAsia="tr-TR"/>
              </w:rPr>
              <w:t>11</w:t>
            </w:r>
            <w:r>
              <w:rPr>
                <w:rFonts w:ascii="Arial" w:eastAsia="Times New Roman" w:hAnsi="Arial" w:cs="Arial"/>
                <w:b/>
                <w:bCs/>
                <w:sz w:val="16"/>
                <w:szCs w:val="16"/>
                <w:lang w:eastAsia="tr-TR"/>
              </w:rPr>
              <w:t>.</w:t>
            </w:r>
            <w:r w:rsidRPr="005C287E">
              <w:rPr>
                <w:rFonts w:ascii="Arial" w:eastAsia="Times New Roman" w:hAnsi="Arial" w:cs="Arial"/>
                <w:b/>
                <w:bCs/>
                <w:sz w:val="16"/>
                <w:szCs w:val="16"/>
                <w:lang w:eastAsia="tr-TR"/>
              </w:rPr>
              <w:t>945</w:t>
            </w:r>
            <w:r>
              <w:rPr>
                <w:rFonts w:ascii="Arial" w:eastAsia="Times New Roman" w:hAnsi="Arial" w:cs="Arial"/>
                <w:b/>
                <w:bCs/>
                <w:sz w:val="16"/>
                <w:szCs w:val="16"/>
                <w:lang w:eastAsia="tr-TR"/>
              </w:rPr>
              <w:t>.</w:t>
            </w:r>
            <w:r w:rsidRPr="005C287E">
              <w:rPr>
                <w:rFonts w:ascii="Arial" w:eastAsia="Times New Roman" w:hAnsi="Arial" w:cs="Arial"/>
                <w:b/>
                <w:bCs/>
                <w:sz w:val="16"/>
                <w:szCs w:val="16"/>
                <w:lang w:eastAsia="tr-TR"/>
              </w:rPr>
              <w:t>566,81</w:t>
            </w:r>
          </w:p>
        </w:tc>
      </w:tr>
      <w:tr w:rsidR="005C287E" w:rsidRPr="000875F4" w:rsidTr="005C287E">
        <w:trPr>
          <w:gridAfter w:val="1"/>
          <w:wAfter w:w="23" w:type="pct"/>
          <w:trHeight w:val="20"/>
        </w:trPr>
        <w:tc>
          <w:tcPr>
            <w:tcW w:w="123"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sz w:val="16"/>
                <w:szCs w:val="16"/>
                <w:lang w:eastAsia="tr-TR"/>
              </w:rPr>
            </w:pPr>
          </w:p>
        </w:tc>
        <w:tc>
          <w:tcPr>
            <w:tcW w:w="96"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96"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897"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416"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376"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390"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right"/>
              <w:rPr>
                <w:rFonts w:ascii="Arial TUR" w:eastAsia="Times New Roman" w:hAnsi="Arial TUR" w:cs="Arial TUR"/>
                <w:b/>
                <w:bCs/>
                <w:sz w:val="16"/>
                <w:szCs w:val="18"/>
                <w:lang w:eastAsia="tr-TR"/>
              </w:rPr>
            </w:pPr>
          </w:p>
        </w:tc>
        <w:tc>
          <w:tcPr>
            <w:tcW w:w="44"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128"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96"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96"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96"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96"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871" w:type="pct"/>
            <w:gridSpan w:val="4"/>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376" w:type="pct"/>
            <w:gridSpan w:val="2"/>
            <w:tcBorders>
              <w:top w:val="nil"/>
              <w:left w:val="nil"/>
              <w:bottom w:val="nil"/>
              <w:right w:val="nil"/>
            </w:tcBorders>
            <w:shd w:val="clear" w:color="auto" w:fill="auto"/>
            <w:noWrap/>
            <w:vAlign w:val="bottom"/>
          </w:tcPr>
          <w:p w:rsidR="000875F4" w:rsidRPr="000875F4" w:rsidRDefault="000875F4" w:rsidP="000875F4">
            <w:pPr>
              <w:spacing w:after="0" w:line="240" w:lineRule="auto"/>
              <w:jc w:val="right"/>
              <w:rPr>
                <w:rFonts w:ascii="Times New Roman" w:eastAsia="Times New Roman" w:hAnsi="Times New Roman"/>
                <w:sz w:val="20"/>
                <w:szCs w:val="20"/>
                <w:lang w:eastAsia="tr-TR"/>
              </w:rPr>
            </w:pPr>
          </w:p>
        </w:tc>
        <w:tc>
          <w:tcPr>
            <w:tcW w:w="392"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right"/>
              <w:rPr>
                <w:rFonts w:ascii="Times New Roman" w:eastAsia="Times New Roman" w:hAnsi="Times New Roman"/>
                <w:sz w:val="20"/>
                <w:szCs w:val="20"/>
                <w:lang w:eastAsia="tr-TR"/>
              </w:rPr>
            </w:pPr>
          </w:p>
        </w:tc>
        <w:tc>
          <w:tcPr>
            <w:tcW w:w="389"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right"/>
              <w:rPr>
                <w:rFonts w:ascii="Arial" w:eastAsia="Times New Roman" w:hAnsi="Arial" w:cs="Arial"/>
                <w:b/>
                <w:bCs/>
                <w:sz w:val="16"/>
                <w:szCs w:val="16"/>
                <w:lang w:eastAsia="tr-TR"/>
              </w:rPr>
            </w:pPr>
          </w:p>
        </w:tc>
      </w:tr>
      <w:tr w:rsidR="005C287E" w:rsidRPr="000875F4" w:rsidTr="005C287E">
        <w:trPr>
          <w:gridAfter w:val="1"/>
          <w:wAfter w:w="23" w:type="pct"/>
          <w:trHeight w:val="20"/>
        </w:trPr>
        <w:tc>
          <w:tcPr>
            <w:tcW w:w="123" w:type="pct"/>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Times New Roman" w:eastAsia="Times New Roman" w:hAnsi="Times New Roman"/>
                <w:sz w:val="20"/>
                <w:szCs w:val="20"/>
                <w:lang w:eastAsia="tr-TR"/>
              </w:rPr>
            </w:pPr>
          </w:p>
        </w:tc>
        <w:tc>
          <w:tcPr>
            <w:tcW w:w="96" w:type="pct"/>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Times New Roman" w:eastAsia="Times New Roman" w:hAnsi="Times New Roman"/>
                <w:sz w:val="20"/>
                <w:szCs w:val="20"/>
                <w:lang w:eastAsia="tr-TR"/>
              </w:rPr>
            </w:pPr>
          </w:p>
        </w:tc>
        <w:tc>
          <w:tcPr>
            <w:tcW w:w="96" w:type="pct"/>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Times New Roman" w:eastAsia="Times New Roman" w:hAnsi="Times New Roman"/>
                <w:sz w:val="20"/>
                <w:szCs w:val="20"/>
                <w:lang w:eastAsia="tr-TR"/>
              </w:rPr>
            </w:pPr>
          </w:p>
        </w:tc>
        <w:tc>
          <w:tcPr>
            <w:tcW w:w="897" w:type="pct"/>
            <w:gridSpan w:val="2"/>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Times New Roman" w:eastAsia="Times New Roman" w:hAnsi="Times New Roman"/>
                <w:sz w:val="20"/>
                <w:szCs w:val="20"/>
                <w:lang w:eastAsia="tr-TR"/>
              </w:rPr>
            </w:pPr>
          </w:p>
        </w:tc>
        <w:tc>
          <w:tcPr>
            <w:tcW w:w="416" w:type="pct"/>
            <w:gridSpan w:val="2"/>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Times New Roman" w:eastAsia="Times New Roman" w:hAnsi="Times New Roman"/>
                <w:sz w:val="20"/>
                <w:szCs w:val="20"/>
                <w:lang w:eastAsia="tr-TR"/>
              </w:rPr>
            </w:pPr>
          </w:p>
        </w:tc>
        <w:tc>
          <w:tcPr>
            <w:tcW w:w="376" w:type="pct"/>
            <w:gridSpan w:val="2"/>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Times New Roman" w:eastAsia="Times New Roman" w:hAnsi="Times New Roman"/>
                <w:sz w:val="20"/>
                <w:szCs w:val="20"/>
                <w:lang w:eastAsia="tr-TR"/>
              </w:rPr>
            </w:pPr>
          </w:p>
        </w:tc>
        <w:tc>
          <w:tcPr>
            <w:tcW w:w="390" w:type="pct"/>
            <w:gridSpan w:val="2"/>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right"/>
              <w:rPr>
                <w:rFonts w:ascii="Arial TUR" w:eastAsia="Times New Roman" w:hAnsi="Arial TUR" w:cs="Arial TUR"/>
                <w:b/>
                <w:bCs/>
                <w:sz w:val="16"/>
                <w:szCs w:val="18"/>
                <w:lang w:eastAsia="tr-TR"/>
              </w:rPr>
            </w:pPr>
          </w:p>
        </w:tc>
        <w:tc>
          <w:tcPr>
            <w:tcW w:w="44" w:type="pct"/>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Times New Roman" w:eastAsia="Times New Roman" w:hAnsi="Times New Roman"/>
                <w:sz w:val="20"/>
                <w:szCs w:val="20"/>
                <w:lang w:eastAsia="tr-TR"/>
              </w:rPr>
            </w:pPr>
          </w:p>
        </w:tc>
        <w:tc>
          <w:tcPr>
            <w:tcW w:w="1382" w:type="pct"/>
            <w:gridSpan w:val="11"/>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5C287E" w:rsidRPr="000875F4" w:rsidRDefault="005C287E" w:rsidP="005C287E">
            <w:pPr>
              <w:spacing w:after="0" w:line="240" w:lineRule="auto"/>
              <w:jc w:val="lef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NET GELİR (D)=(B - C)</w:t>
            </w:r>
          </w:p>
        </w:tc>
        <w:tc>
          <w:tcPr>
            <w:tcW w:w="376" w:type="pct"/>
            <w:gridSpan w:val="2"/>
            <w:tcBorders>
              <w:top w:val="single" w:sz="8" w:space="0" w:color="auto"/>
              <w:left w:val="nil"/>
              <w:bottom w:val="single" w:sz="8" w:space="0" w:color="auto"/>
              <w:right w:val="single" w:sz="8"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b/>
                <w:bCs/>
                <w:sz w:val="16"/>
                <w:szCs w:val="16"/>
                <w:lang w:eastAsia="tr-TR"/>
              </w:rPr>
            </w:pPr>
            <w:r>
              <w:rPr>
                <w:rFonts w:ascii="Arial" w:hAnsi="Arial" w:cs="Arial"/>
                <w:b/>
                <w:bCs/>
                <w:sz w:val="16"/>
                <w:szCs w:val="16"/>
              </w:rPr>
              <w:t>438.331.817,05</w:t>
            </w:r>
          </w:p>
        </w:tc>
        <w:tc>
          <w:tcPr>
            <w:tcW w:w="392" w:type="pct"/>
            <w:gridSpan w:val="2"/>
            <w:tcBorders>
              <w:top w:val="single" w:sz="8" w:space="0" w:color="auto"/>
              <w:left w:val="nil"/>
              <w:bottom w:val="single" w:sz="8" w:space="0" w:color="auto"/>
              <w:right w:val="single" w:sz="8"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b/>
                <w:bCs/>
                <w:sz w:val="16"/>
                <w:szCs w:val="16"/>
                <w:lang w:eastAsia="tr-TR"/>
              </w:rPr>
            </w:pPr>
            <w:r>
              <w:rPr>
                <w:rFonts w:ascii="Arial" w:hAnsi="Arial" w:cs="Arial"/>
                <w:b/>
                <w:bCs/>
                <w:sz w:val="16"/>
                <w:szCs w:val="16"/>
              </w:rPr>
              <w:t>510.246.243,39</w:t>
            </w:r>
          </w:p>
        </w:tc>
        <w:tc>
          <w:tcPr>
            <w:tcW w:w="389" w:type="pct"/>
            <w:gridSpan w:val="2"/>
            <w:tcBorders>
              <w:top w:val="single" w:sz="8" w:space="0" w:color="auto"/>
              <w:left w:val="nil"/>
              <w:bottom w:val="single" w:sz="8" w:space="0" w:color="auto"/>
              <w:right w:val="single" w:sz="8"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b/>
                <w:bCs/>
                <w:sz w:val="16"/>
                <w:szCs w:val="16"/>
                <w:lang w:eastAsia="tr-TR"/>
              </w:rPr>
            </w:pPr>
            <w:r>
              <w:rPr>
                <w:rFonts w:ascii="Arial" w:hAnsi="Arial" w:cs="Arial"/>
                <w:b/>
                <w:bCs/>
                <w:sz w:val="16"/>
                <w:szCs w:val="16"/>
              </w:rPr>
              <w:t>896.100.234,74</w:t>
            </w:r>
          </w:p>
        </w:tc>
      </w:tr>
      <w:tr w:rsidR="005C287E" w:rsidRPr="000875F4" w:rsidTr="005C287E">
        <w:trPr>
          <w:gridAfter w:val="1"/>
          <w:wAfter w:w="23" w:type="pct"/>
          <w:trHeight w:val="20"/>
        </w:trPr>
        <w:tc>
          <w:tcPr>
            <w:tcW w:w="123"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Arial TUR" w:eastAsia="Times New Roman" w:hAnsi="Arial TUR" w:cs="Arial TUR"/>
                <w:b/>
                <w:bCs/>
                <w:sz w:val="16"/>
                <w:szCs w:val="16"/>
                <w:lang w:eastAsia="tr-TR"/>
              </w:rPr>
            </w:pPr>
          </w:p>
        </w:tc>
        <w:tc>
          <w:tcPr>
            <w:tcW w:w="96"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96"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897"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416"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376"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390"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right"/>
              <w:rPr>
                <w:rFonts w:ascii="Arial TUR" w:eastAsia="Times New Roman" w:hAnsi="Arial TUR" w:cs="Arial TUR"/>
                <w:b/>
                <w:bCs/>
                <w:sz w:val="16"/>
                <w:szCs w:val="18"/>
                <w:lang w:eastAsia="tr-TR"/>
              </w:rPr>
            </w:pPr>
          </w:p>
        </w:tc>
        <w:tc>
          <w:tcPr>
            <w:tcW w:w="44"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128"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96"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96"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96"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96"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871" w:type="pct"/>
            <w:gridSpan w:val="4"/>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376" w:type="pct"/>
            <w:gridSpan w:val="2"/>
            <w:tcBorders>
              <w:top w:val="nil"/>
              <w:left w:val="nil"/>
              <w:bottom w:val="nil"/>
              <w:right w:val="nil"/>
            </w:tcBorders>
            <w:shd w:val="clear" w:color="auto" w:fill="auto"/>
            <w:noWrap/>
            <w:vAlign w:val="bottom"/>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392"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389"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r>
      <w:tr w:rsidR="005C287E" w:rsidRPr="000875F4" w:rsidTr="005C287E">
        <w:trPr>
          <w:gridAfter w:val="1"/>
          <w:wAfter w:w="23" w:type="pct"/>
          <w:trHeight w:val="20"/>
        </w:trPr>
        <w:tc>
          <w:tcPr>
            <w:tcW w:w="1211" w:type="pct"/>
            <w:gridSpan w:val="5"/>
            <w:tcBorders>
              <w:top w:val="single" w:sz="8" w:space="0" w:color="auto"/>
              <w:left w:val="single" w:sz="8" w:space="0" w:color="auto"/>
              <w:bottom w:val="single" w:sz="8" w:space="0" w:color="auto"/>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b/>
                <w:bCs/>
                <w:sz w:val="16"/>
                <w:szCs w:val="16"/>
                <w:lang w:eastAsia="tr-TR"/>
              </w:rPr>
            </w:pPr>
            <w:r w:rsidRPr="000875F4">
              <w:rPr>
                <w:rFonts w:ascii="Arial TUR" w:eastAsia="Times New Roman" w:hAnsi="Arial TUR" w:cs="Arial TUR"/>
                <w:b/>
                <w:bCs/>
                <w:sz w:val="16"/>
                <w:szCs w:val="16"/>
                <w:lang w:eastAsia="tr-TR"/>
              </w:rPr>
              <w:t>GİDERLER TOPLAMI (A)</w:t>
            </w:r>
          </w:p>
        </w:tc>
        <w:tc>
          <w:tcPr>
            <w:tcW w:w="416" w:type="pct"/>
            <w:gridSpan w:val="2"/>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287E" w:rsidRPr="000875F4" w:rsidRDefault="005C287E" w:rsidP="005C287E">
            <w:pPr>
              <w:spacing w:after="0" w:line="240" w:lineRule="auto"/>
              <w:jc w:val="left"/>
              <w:rPr>
                <w:rFonts w:ascii="Arial TUR" w:eastAsia="Times New Roman" w:hAnsi="Arial TUR" w:cs="Arial TUR"/>
                <w:b/>
                <w:bCs/>
                <w:sz w:val="16"/>
                <w:szCs w:val="16"/>
                <w:lang w:eastAsia="tr-TR"/>
              </w:rPr>
            </w:pPr>
            <w:r>
              <w:rPr>
                <w:rFonts w:ascii="Arial" w:hAnsi="Arial" w:cs="Arial"/>
                <w:b/>
                <w:bCs/>
                <w:sz w:val="16"/>
                <w:szCs w:val="16"/>
              </w:rPr>
              <w:t>304.672.692,38</w:t>
            </w:r>
          </w:p>
        </w:tc>
        <w:tc>
          <w:tcPr>
            <w:tcW w:w="376" w:type="pct"/>
            <w:gridSpan w:val="2"/>
            <w:tcBorders>
              <w:top w:val="single" w:sz="8" w:space="0" w:color="auto"/>
              <w:left w:val="nil"/>
              <w:bottom w:val="single" w:sz="8" w:space="0" w:color="auto"/>
              <w:right w:val="single" w:sz="8" w:space="0" w:color="auto"/>
            </w:tcBorders>
            <w:shd w:val="clear" w:color="auto" w:fill="auto"/>
            <w:noWrap/>
            <w:vAlign w:val="center"/>
          </w:tcPr>
          <w:p w:rsidR="005C287E" w:rsidRPr="000875F4" w:rsidRDefault="005C287E" w:rsidP="005C287E">
            <w:pPr>
              <w:spacing w:after="0" w:line="240" w:lineRule="auto"/>
              <w:jc w:val="left"/>
              <w:rPr>
                <w:rFonts w:ascii="Arial TUR" w:eastAsia="Times New Roman" w:hAnsi="Arial TUR" w:cs="Arial TUR"/>
                <w:b/>
                <w:bCs/>
                <w:sz w:val="16"/>
                <w:szCs w:val="16"/>
                <w:lang w:eastAsia="tr-TR"/>
              </w:rPr>
            </w:pPr>
            <w:r>
              <w:rPr>
                <w:rFonts w:ascii="Arial" w:hAnsi="Arial" w:cs="Arial"/>
                <w:b/>
                <w:bCs/>
                <w:sz w:val="16"/>
                <w:szCs w:val="16"/>
              </w:rPr>
              <w:t>622.253.338,35</w:t>
            </w:r>
          </w:p>
        </w:tc>
        <w:tc>
          <w:tcPr>
            <w:tcW w:w="390" w:type="pct"/>
            <w:gridSpan w:val="2"/>
            <w:tcBorders>
              <w:top w:val="single" w:sz="8" w:space="0" w:color="auto"/>
              <w:left w:val="nil"/>
              <w:bottom w:val="single" w:sz="8" w:space="0" w:color="auto"/>
              <w:right w:val="single" w:sz="8"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b/>
                <w:bCs/>
                <w:sz w:val="16"/>
                <w:szCs w:val="18"/>
                <w:lang w:eastAsia="tr-TR"/>
              </w:rPr>
            </w:pPr>
            <w:r>
              <w:rPr>
                <w:rFonts w:ascii="Arial" w:hAnsi="Arial" w:cs="Arial"/>
                <w:b/>
                <w:bCs/>
                <w:sz w:val="16"/>
                <w:szCs w:val="16"/>
              </w:rPr>
              <w:t>886.756.067,29</w:t>
            </w:r>
          </w:p>
        </w:tc>
        <w:tc>
          <w:tcPr>
            <w:tcW w:w="44" w:type="pct"/>
            <w:tcBorders>
              <w:top w:val="nil"/>
              <w:left w:val="nil"/>
              <w:bottom w:val="nil"/>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b/>
                <w:bCs/>
                <w:sz w:val="16"/>
                <w:szCs w:val="16"/>
                <w:lang w:eastAsia="tr-TR"/>
              </w:rPr>
            </w:pPr>
          </w:p>
        </w:tc>
        <w:tc>
          <w:tcPr>
            <w:tcW w:w="1382" w:type="pct"/>
            <w:gridSpan w:val="11"/>
            <w:tcBorders>
              <w:top w:val="single" w:sz="8" w:space="0" w:color="auto"/>
              <w:left w:val="single" w:sz="8" w:space="0" w:color="auto"/>
              <w:bottom w:val="single" w:sz="8" w:space="0" w:color="auto"/>
              <w:right w:val="nil"/>
            </w:tcBorders>
            <w:shd w:val="clear" w:color="auto" w:fill="auto"/>
            <w:noWrap/>
            <w:vAlign w:val="bottom"/>
            <w:hideMark/>
          </w:tcPr>
          <w:p w:rsidR="005C287E" w:rsidRPr="000875F4" w:rsidRDefault="005C287E" w:rsidP="005C287E">
            <w:pPr>
              <w:spacing w:after="0" w:line="240" w:lineRule="auto"/>
              <w:jc w:val="left"/>
              <w:rPr>
                <w:rFonts w:ascii="Arial TUR" w:eastAsia="Times New Roman" w:hAnsi="Arial TUR" w:cs="Arial TUR"/>
                <w:b/>
                <w:bCs/>
                <w:sz w:val="16"/>
                <w:szCs w:val="16"/>
                <w:lang w:eastAsia="tr-TR"/>
              </w:rPr>
            </w:pPr>
            <w:r w:rsidRPr="000875F4">
              <w:rPr>
                <w:rFonts w:ascii="Arial TUR" w:eastAsia="Times New Roman" w:hAnsi="Arial TUR" w:cs="Arial TUR"/>
                <w:b/>
                <w:bCs/>
                <w:sz w:val="16"/>
                <w:szCs w:val="16"/>
                <w:lang w:eastAsia="tr-TR"/>
              </w:rPr>
              <w:t>FAALİYET SONUCU (D-A) (+/-)</w:t>
            </w:r>
          </w:p>
        </w:tc>
        <w:tc>
          <w:tcPr>
            <w:tcW w:w="376" w:type="pct"/>
            <w:gridSpan w:val="2"/>
            <w:tcBorders>
              <w:top w:val="single" w:sz="8" w:space="0" w:color="auto"/>
              <w:left w:val="single" w:sz="8" w:space="0" w:color="auto"/>
              <w:bottom w:val="single" w:sz="8" w:space="0" w:color="auto"/>
              <w:right w:val="single" w:sz="8" w:space="0" w:color="auto"/>
            </w:tcBorders>
            <w:shd w:val="clear" w:color="auto" w:fill="auto"/>
            <w:noWrap/>
            <w:vAlign w:val="center"/>
          </w:tcPr>
          <w:p w:rsidR="005C287E" w:rsidRPr="000875F4" w:rsidRDefault="005C287E" w:rsidP="005C287E">
            <w:pPr>
              <w:spacing w:after="0" w:line="240" w:lineRule="auto"/>
              <w:jc w:val="left"/>
              <w:rPr>
                <w:rFonts w:ascii="Arial TUR" w:eastAsia="Times New Roman" w:hAnsi="Arial TUR" w:cs="Arial TUR"/>
                <w:b/>
                <w:bCs/>
                <w:sz w:val="16"/>
                <w:szCs w:val="16"/>
                <w:lang w:eastAsia="tr-TR"/>
              </w:rPr>
            </w:pPr>
            <w:r>
              <w:rPr>
                <w:rFonts w:ascii="Arial" w:hAnsi="Arial" w:cs="Arial"/>
                <w:b/>
                <w:bCs/>
                <w:sz w:val="16"/>
                <w:szCs w:val="16"/>
              </w:rPr>
              <w:t>133.659.124,67</w:t>
            </w:r>
          </w:p>
        </w:tc>
        <w:tc>
          <w:tcPr>
            <w:tcW w:w="392" w:type="pct"/>
            <w:gridSpan w:val="2"/>
            <w:tcBorders>
              <w:top w:val="single" w:sz="8" w:space="0" w:color="auto"/>
              <w:left w:val="nil"/>
              <w:bottom w:val="single" w:sz="8" w:space="0" w:color="auto"/>
              <w:right w:val="single" w:sz="8"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b/>
                <w:bCs/>
                <w:sz w:val="16"/>
                <w:szCs w:val="16"/>
                <w:lang w:eastAsia="tr-TR"/>
              </w:rPr>
            </w:pPr>
            <w:r>
              <w:rPr>
                <w:rFonts w:ascii="Arial" w:hAnsi="Arial" w:cs="Arial"/>
                <w:b/>
                <w:bCs/>
                <w:sz w:val="16"/>
                <w:szCs w:val="16"/>
              </w:rPr>
              <w:t>-112.007.094,96</w:t>
            </w:r>
          </w:p>
        </w:tc>
        <w:tc>
          <w:tcPr>
            <w:tcW w:w="389" w:type="pct"/>
            <w:gridSpan w:val="2"/>
            <w:tcBorders>
              <w:top w:val="single" w:sz="8" w:space="0" w:color="auto"/>
              <w:left w:val="nil"/>
              <w:bottom w:val="single" w:sz="8" w:space="0" w:color="auto"/>
              <w:right w:val="single" w:sz="8" w:space="0" w:color="auto"/>
            </w:tcBorders>
            <w:shd w:val="clear" w:color="auto" w:fill="auto"/>
            <w:noWrap/>
            <w:vAlign w:val="center"/>
          </w:tcPr>
          <w:p w:rsidR="005C287E" w:rsidRPr="000875F4" w:rsidRDefault="005C287E" w:rsidP="005C287E">
            <w:pPr>
              <w:spacing w:after="0" w:line="240" w:lineRule="auto"/>
              <w:jc w:val="right"/>
              <w:rPr>
                <w:rFonts w:ascii="Arial TUR" w:eastAsia="Times New Roman" w:hAnsi="Arial TUR" w:cs="Arial TUR"/>
                <w:b/>
                <w:bCs/>
                <w:sz w:val="16"/>
                <w:szCs w:val="16"/>
                <w:lang w:eastAsia="tr-TR"/>
              </w:rPr>
            </w:pPr>
            <w:r>
              <w:rPr>
                <w:rFonts w:ascii="Arial" w:hAnsi="Arial" w:cs="Arial"/>
                <w:b/>
                <w:bCs/>
                <w:sz w:val="16"/>
                <w:szCs w:val="16"/>
              </w:rPr>
              <w:t>9.344.167,45</w:t>
            </w:r>
          </w:p>
        </w:tc>
      </w:tr>
      <w:tr w:rsidR="005C287E" w:rsidRPr="000875F4" w:rsidTr="005C287E">
        <w:trPr>
          <w:gridAfter w:val="1"/>
          <w:wAfter w:w="23" w:type="pct"/>
          <w:trHeight w:val="20"/>
        </w:trPr>
        <w:tc>
          <w:tcPr>
            <w:tcW w:w="123"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4"/>
                <w:szCs w:val="24"/>
                <w:lang w:eastAsia="tr-TR"/>
              </w:rPr>
            </w:pPr>
          </w:p>
        </w:tc>
        <w:tc>
          <w:tcPr>
            <w:tcW w:w="96"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center"/>
              <w:rPr>
                <w:rFonts w:ascii="Times New Roman" w:eastAsia="Times New Roman" w:hAnsi="Times New Roman"/>
                <w:sz w:val="20"/>
                <w:szCs w:val="20"/>
                <w:lang w:eastAsia="tr-TR"/>
              </w:rPr>
            </w:pPr>
          </w:p>
        </w:tc>
        <w:tc>
          <w:tcPr>
            <w:tcW w:w="96"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center"/>
              <w:rPr>
                <w:rFonts w:ascii="Times New Roman" w:eastAsia="Times New Roman" w:hAnsi="Times New Roman"/>
                <w:sz w:val="20"/>
                <w:szCs w:val="20"/>
                <w:lang w:eastAsia="tr-TR"/>
              </w:rPr>
            </w:pPr>
          </w:p>
        </w:tc>
        <w:tc>
          <w:tcPr>
            <w:tcW w:w="897"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center"/>
              <w:rPr>
                <w:rFonts w:ascii="Times New Roman" w:eastAsia="Times New Roman" w:hAnsi="Times New Roman"/>
                <w:sz w:val="20"/>
                <w:szCs w:val="20"/>
                <w:lang w:eastAsia="tr-TR"/>
              </w:rPr>
            </w:pPr>
          </w:p>
        </w:tc>
        <w:tc>
          <w:tcPr>
            <w:tcW w:w="416"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center"/>
              <w:rPr>
                <w:rFonts w:ascii="Times New Roman" w:eastAsia="Times New Roman" w:hAnsi="Times New Roman"/>
                <w:sz w:val="20"/>
                <w:szCs w:val="20"/>
                <w:lang w:eastAsia="tr-TR"/>
              </w:rPr>
            </w:pPr>
          </w:p>
        </w:tc>
        <w:tc>
          <w:tcPr>
            <w:tcW w:w="376"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center"/>
              <w:rPr>
                <w:rFonts w:ascii="Times New Roman" w:eastAsia="Times New Roman" w:hAnsi="Times New Roman"/>
                <w:sz w:val="20"/>
                <w:szCs w:val="20"/>
                <w:lang w:eastAsia="tr-TR"/>
              </w:rPr>
            </w:pPr>
          </w:p>
        </w:tc>
        <w:tc>
          <w:tcPr>
            <w:tcW w:w="390"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center"/>
              <w:rPr>
                <w:rFonts w:ascii="Times New Roman" w:eastAsia="Times New Roman" w:hAnsi="Times New Roman"/>
                <w:sz w:val="20"/>
                <w:szCs w:val="20"/>
                <w:lang w:eastAsia="tr-TR"/>
              </w:rPr>
            </w:pPr>
          </w:p>
        </w:tc>
        <w:tc>
          <w:tcPr>
            <w:tcW w:w="44"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center"/>
              <w:rPr>
                <w:rFonts w:ascii="Times New Roman" w:eastAsia="Times New Roman" w:hAnsi="Times New Roman"/>
                <w:sz w:val="20"/>
                <w:szCs w:val="20"/>
                <w:lang w:eastAsia="tr-TR"/>
              </w:rPr>
            </w:pPr>
          </w:p>
        </w:tc>
        <w:tc>
          <w:tcPr>
            <w:tcW w:w="128"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center"/>
              <w:rPr>
                <w:rFonts w:ascii="Times New Roman" w:eastAsia="Times New Roman" w:hAnsi="Times New Roman"/>
                <w:sz w:val="20"/>
                <w:szCs w:val="20"/>
                <w:lang w:eastAsia="tr-TR"/>
              </w:rPr>
            </w:pPr>
          </w:p>
        </w:tc>
        <w:tc>
          <w:tcPr>
            <w:tcW w:w="96"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center"/>
              <w:rPr>
                <w:rFonts w:ascii="Times New Roman" w:eastAsia="Times New Roman" w:hAnsi="Times New Roman"/>
                <w:sz w:val="20"/>
                <w:szCs w:val="20"/>
                <w:lang w:eastAsia="tr-TR"/>
              </w:rPr>
            </w:pPr>
          </w:p>
        </w:tc>
        <w:tc>
          <w:tcPr>
            <w:tcW w:w="96"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center"/>
              <w:rPr>
                <w:rFonts w:ascii="Times New Roman" w:eastAsia="Times New Roman" w:hAnsi="Times New Roman"/>
                <w:sz w:val="20"/>
                <w:szCs w:val="20"/>
                <w:lang w:eastAsia="tr-TR"/>
              </w:rPr>
            </w:pPr>
          </w:p>
        </w:tc>
        <w:tc>
          <w:tcPr>
            <w:tcW w:w="96"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center"/>
              <w:rPr>
                <w:rFonts w:ascii="Times New Roman" w:eastAsia="Times New Roman" w:hAnsi="Times New Roman"/>
                <w:sz w:val="20"/>
                <w:szCs w:val="20"/>
                <w:lang w:eastAsia="tr-TR"/>
              </w:rPr>
            </w:pPr>
          </w:p>
        </w:tc>
        <w:tc>
          <w:tcPr>
            <w:tcW w:w="96"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center"/>
              <w:rPr>
                <w:rFonts w:ascii="Times New Roman" w:eastAsia="Times New Roman" w:hAnsi="Times New Roman"/>
                <w:sz w:val="20"/>
                <w:szCs w:val="20"/>
                <w:lang w:eastAsia="tr-TR"/>
              </w:rPr>
            </w:pPr>
          </w:p>
        </w:tc>
        <w:tc>
          <w:tcPr>
            <w:tcW w:w="871" w:type="pct"/>
            <w:gridSpan w:val="4"/>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center"/>
              <w:rPr>
                <w:rFonts w:ascii="Times New Roman" w:eastAsia="Times New Roman" w:hAnsi="Times New Roman"/>
                <w:sz w:val="20"/>
                <w:szCs w:val="20"/>
                <w:lang w:eastAsia="tr-TR"/>
              </w:rPr>
            </w:pPr>
          </w:p>
        </w:tc>
        <w:tc>
          <w:tcPr>
            <w:tcW w:w="376"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center"/>
              <w:rPr>
                <w:rFonts w:ascii="Times New Roman" w:eastAsia="Times New Roman" w:hAnsi="Times New Roman"/>
                <w:sz w:val="20"/>
                <w:szCs w:val="20"/>
                <w:lang w:eastAsia="tr-TR"/>
              </w:rPr>
            </w:pPr>
          </w:p>
        </w:tc>
        <w:tc>
          <w:tcPr>
            <w:tcW w:w="392"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right"/>
              <w:rPr>
                <w:rFonts w:ascii="Arial TUR" w:eastAsia="Times New Roman" w:hAnsi="Arial TUR" w:cs="Arial TUR"/>
                <w:b/>
                <w:bCs/>
                <w:sz w:val="16"/>
                <w:szCs w:val="16"/>
                <w:lang w:eastAsia="tr-TR"/>
              </w:rPr>
            </w:pPr>
          </w:p>
        </w:tc>
        <w:tc>
          <w:tcPr>
            <w:tcW w:w="389"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right"/>
              <w:rPr>
                <w:rFonts w:ascii="Arial TUR" w:eastAsia="Times New Roman" w:hAnsi="Arial TUR" w:cs="Arial TUR"/>
                <w:b/>
                <w:bCs/>
                <w:sz w:val="16"/>
                <w:szCs w:val="16"/>
                <w:lang w:eastAsia="tr-TR"/>
              </w:rPr>
            </w:pPr>
          </w:p>
        </w:tc>
      </w:tr>
    </w:tbl>
    <w:p w:rsidR="009A5906" w:rsidRDefault="009A5906" w:rsidP="00A959D5">
      <w:pPr>
        <w:jc w:val="center"/>
        <w:rPr>
          <w:b/>
          <w:sz w:val="18"/>
          <w:szCs w:val="18"/>
          <w:highlight w:val="yellow"/>
        </w:rPr>
      </w:pPr>
    </w:p>
    <w:p w:rsidR="00933A6E" w:rsidRPr="00933A6E" w:rsidRDefault="00933A6E" w:rsidP="00933A6E">
      <w:pPr>
        <w:pStyle w:val="ListeParagraf"/>
        <w:ind w:left="0"/>
        <w:rPr>
          <w:i/>
          <w:sz w:val="18"/>
          <w:szCs w:val="18"/>
        </w:rPr>
      </w:pPr>
      <w:r w:rsidRPr="00933A6E">
        <w:rPr>
          <w:sz w:val="18"/>
          <w:szCs w:val="18"/>
        </w:rPr>
        <w:t>*</w:t>
      </w:r>
      <w:r w:rsidRPr="00933A6E">
        <w:rPr>
          <w:i/>
          <w:sz w:val="18"/>
          <w:szCs w:val="18"/>
        </w:rPr>
        <w:t xml:space="preserve">Bu tablodaki Gelir-Gider tutarları ile Bütçe Uygulama Sonuçları kısmındaki Gelir-Gider tutarlarının farklı olmasının sebebi, Bütçe Uygulama Sonuçları kısmındaki tutarların tahsilat esaslı olmasıdır. </w:t>
      </w:r>
    </w:p>
    <w:p w:rsidR="00933A6E" w:rsidRPr="00456863" w:rsidRDefault="00933A6E" w:rsidP="00A959D5">
      <w:pPr>
        <w:jc w:val="center"/>
        <w:rPr>
          <w:b/>
          <w:sz w:val="18"/>
          <w:szCs w:val="18"/>
          <w:highlight w:val="yellow"/>
        </w:rPr>
      </w:pPr>
    </w:p>
    <w:p w:rsidR="009A5906" w:rsidRPr="00456863" w:rsidRDefault="009A5906" w:rsidP="00A959D5">
      <w:pPr>
        <w:jc w:val="center"/>
        <w:rPr>
          <w:b/>
          <w:sz w:val="18"/>
          <w:szCs w:val="18"/>
          <w:highlight w:val="yellow"/>
        </w:rPr>
      </w:pPr>
    </w:p>
    <w:p w:rsidR="005A5806" w:rsidRPr="000875F4" w:rsidRDefault="001C3349" w:rsidP="00A959D5">
      <w:pPr>
        <w:jc w:val="center"/>
        <w:rPr>
          <w:b/>
          <w:sz w:val="18"/>
          <w:szCs w:val="18"/>
        </w:rPr>
      </w:pPr>
      <w:r w:rsidRPr="000875F4">
        <w:rPr>
          <w:b/>
          <w:sz w:val="18"/>
          <w:szCs w:val="18"/>
        </w:rPr>
        <w:t>201</w:t>
      </w:r>
      <w:r w:rsidR="000875F4" w:rsidRPr="000875F4">
        <w:rPr>
          <w:b/>
          <w:sz w:val="18"/>
          <w:szCs w:val="18"/>
        </w:rPr>
        <w:t>9</w:t>
      </w:r>
      <w:r w:rsidRPr="000875F4">
        <w:rPr>
          <w:b/>
          <w:sz w:val="18"/>
          <w:szCs w:val="18"/>
        </w:rPr>
        <w:t>-202</w:t>
      </w:r>
      <w:r w:rsidR="000875F4" w:rsidRPr="000875F4">
        <w:rPr>
          <w:b/>
          <w:sz w:val="18"/>
          <w:szCs w:val="18"/>
        </w:rPr>
        <w:t>1</w:t>
      </w:r>
      <w:r w:rsidR="005A5806" w:rsidRPr="000875F4">
        <w:rPr>
          <w:b/>
          <w:sz w:val="18"/>
          <w:szCs w:val="18"/>
        </w:rPr>
        <w:t xml:space="preserve"> YILI ENERJİ PİYASASI DÜZENLEME KURUMU BİLANÇOSU</w:t>
      </w:r>
    </w:p>
    <w:tbl>
      <w:tblPr>
        <w:tblW w:w="6860" w:type="pct"/>
        <w:tblLayout w:type="fixed"/>
        <w:tblCellMar>
          <w:left w:w="70" w:type="dxa"/>
          <w:right w:w="70" w:type="dxa"/>
        </w:tblCellMar>
        <w:tblLook w:val="04A0" w:firstRow="1" w:lastRow="0" w:firstColumn="1" w:lastColumn="0" w:noHBand="0" w:noVBand="1"/>
      </w:tblPr>
      <w:tblGrid>
        <w:gridCol w:w="162"/>
        <w:gridCol w:w="383"/>
        <w:gridCol w:w="2596"/>
        <w:gridCol w:w="1435"/>
        <w:gridCol w:w="1435"/>
        <w:gridCol w:w="1474"/>
        <w:gridCol w:w="165"/>
        <w:gridCol w:w="313"/>
        <w:gridCol w:w="3375"/>
        <w:gridCol w:w="1561"/>
        <w:gridCol w:w="1418"/>
        <w:gridCol w:w="1540"/>
        <w:gridCol w:w="1474"/>
        <w:gridCol w:w="1474"/>
        <w:gridCol w:w="1474"/>
        <w:gridCol w:w="1466"/>
      </w:tblGrid>
      <w:tr w:rsidR="000875F4" w:rsidRPr="000875F4" w:rsidTr="000875F4">
        <w:trPr>
          <w:gridAfter w:val="4"/>
          <w:wAfter w:w="1354" w:type="pct"/>
          <w:trHeight w:val="183"/>
          <w:tblHeader/>
        </w:trPr>
        <w:tc>
          <w:tcPr>
            <w:tcW w:w="37" w:type="pct"/>
            <w:tcBorders>
              <w:top w:val="single" w:sz="8" w:space="0" w:color="auto"/>
              <w:left w:val="single" w:sz="8" w:space="0" w:color="auto"/>
              <w:bottom w:val="single" w:sz="8" w:space="0" w:color="auto"/>
              <w:right w:val="nil"/>
            </w:tcBorders>
            <w:shd w:val="clear" w:color="000000" w:fill="F2F2F2"/>
            <w:noWrap/>
            <w:vAlign w:val="center"/>
            <w:hideMark/>
          </w:tcPr>
          <w:p w:rsidR="000875F4" w:rsidRPr="000875F4" w:rsidRDefault="000875F4" w:rsidP="000875F4">
            <w:pPr>
              <w:spacing w:after="0" w:line="240" w:lineRule="auto"/>
              <w:jc w:val="left"/>
              <w:rPr>
                <w:rFonts w:ascii="Arial" w:eastAsia="Times New Roman" w:hAnsi="Arial" w:cs="Arial"/>
                <w:b/>
                <w:bCs/>
                <w:sz w:val="24"/>
                <w:szCs w:val="24"/>
                <w:lang w:eastAsia="tr-TR"/>
              </w:rPr>
            </w:pPr>
            <w:r w:rsidRPr="000875F4">
              <w:rPr>
                <w:rFonts w:ascii="Arial" w:eastAsia="Times New Roman" w:hAnsi="Arial" w:cs="Arial"/>
                <w:b/>
                <w:bCs/>
                <w:sz w:val="24"/>
                <w:szCs w:val="24"/>
                <w:lang w:eastAsia="tr-TR"/>
              </w:rPr>
              <w:t> </w:t>
            </w:r>
          </w:p>
        </w:tc>
        <w:tc>
          <w:tcPr>
            <w:tcW w:w="88" w:type="pct"/>
            <w:tcBorders>
              <w:top w:val="single" w:sz="8" w:space="0" w:color="auto"/>
              <w:left w:val="nil"/>
              <w:bottom w:val="single" w:sz="8" w:space="0" w:color="auto"/>
              <w:right w:val="nil"/>
            </w:tcBorders>
            <w:shd w:val="clear" w:color="000000" w:fill="F2F2F2"/>
            <w:noWrap/>
            <w:vAlign w:val="center"/>
            <w:hideMark/>
          </w:tcPr>
          <w:p w:rsidR="000875F4" w:rsidRPr="000875F4" w:rsidRDefault="000875F4" w:rsidP="000875F4">
            <w:pPr>
              <w:spacing w:after="0" w:line="240" w:lineRule="auto"/>
              <w:jc w:val="center"/>
              <w:rPr>
                <w:rFonts w:ascii="Arial" w:eastAsia="Times New Roman" w:hAnsi="Arial" w:cs="Arial"/>
                <w:b/>
                <w:bCs/>
                <w:sz w:val="24"/>
                <w:szCs w:val="24"/>
                <w:lang w:eastAsia="tr-TR"/>
              </w:rPr>
            </w:pPr>
            <w:r w:rsidRPr="000875F4">
              <w:rPr>
                <w:rFonts w:ascii="Arial" w:eastAsia="Times New Roman" w:hAnsi="Arial" w:cs="Arial"/>
                <w:b/>
                <w:bCs/>
                <w:sz w:val="24"/>
                <w:szCs w:val="24"/>
                <w:lang w:eastAsia="tr-TR"/>
              </w:rPr>
              <w:t> </w:t>
            </w:r>
          </w:p>
        </w:tc>
        <w:tc>
          <w:tcPr>
            <w:tcW w:w="597" w:type="pct"/>
            <w:tcBorders>
              <w:top w:val="single" w:sz="8" w:space="0" w:color="auto"/>
              <w:left w:val="nil"/>
              <w:bottom w:val="single" w:sz="8" w:space="0" w:color="auto"/>
              <w:right w:val="nil"/>
            </w:tcBorders>
            <w:shd w:val="clear" w:color="000000" w:fill="F2F2F2"/>
            <w:noWrap/>
            <w:vAlign w:val="center"/>
            <w:hideMark/>
          </w:tcPr>
          <w:p w:rsidR="000875F4" w:rsidRPr="000875F4" w:rsidRDefault="000875F4" w:rsidP="000875F4">
            <w:pPr>
              <w:spacing w:after="0" w:line="240" w:lineRule="auto"/>
              <w:jc w:val="left"/>
              <w:rPr>
                <w:rFonts w:ascii="Arial" w:eastAsia="Times New Roman" w:hAnsi="Arial" w:cs="Arial"/>
                <w:b/>
                <w:bCs/>
                <w:sz w:val="24"/>
                <w:szCs w:val="24"/>
                <w:lang w:eastAsia="tr-TR"/>
              </w:rPr>
            </w:pPr>
            <w:r w:rsidRPr="000875F4">
              <w:rPr>
                <w:rFonts w:ascii="Arial" w:eastAsia="Times New Roman" w:hAnsi="Arial" w:cs="Arial"/>
                <w:b/>
                <w:bCs/>
                <w:sz w:val="20"/>
                <w:szCs w:val="24"/>
                <w:lang w:eastAsia="tr-TR"/>
              </w:rPr>
              <w:t>AKTİF HESAPLAR </w:t>
            </w:r>
          </w:p>
        </w:tc>
        <w:tc>
          <w:tcPr>
            <w:tcW w:w="330" w:type="pct"/>
            <w:tcBorders>
              <w:top w:val="single" w:sz="8" w:space="0" w:color="auto"/>
              <w:left w:val="single" w:sz="8" w:space="0" w:color="auto"/>
              <w:bottom w:val="single" w:sz="8" w:space="0" w:color="auto"/>
              <w:right w:val="single" w:sz="8" w:space="0" w:color="auto"/>
            </w:tcBorders>
            <w:shd w:val="clear" w:color="000000" w:fill="F2F2F2"/>
            <w:noWrap/>
            <w:vAlign w:val="center"/>
            <w:hideMark/>
          </w:tcPr>
          <w:p w:rsidR="000875F4" w:rsidRPr="000875F4" w:rsidRDefault="000875F4" w:rsidP="00AC5C30">
            <w:pPr>
              <w:spacing w:after="0" w:line="240" w:lineRule="auto"/>
              <w:jc w:val="right"/>
              <w:rPr>
                <w:rFonts w:ascii="Arial" w:eastAsia="Times New Roman" w:hAnsi="Arial" w:cs="Arial"/>
                <w:b/>
                <w:bCs/>
                <w:sz w:val="18"/>
                <w:szCs w:val="18"/>
                <w:lang w:eastAsia="tr-TR"/>
              </w:rPr>
            </w:pPr>
            <w:r w:rsidRPr="000875F4">
              <w:rPr>
                <w:rFonts w:ascii="Arial" w:eastAsia="Times New Roman" w:hAnsi="Arial" w:cs="Arial"/>
                <w:b/>
                <w:bCs/>
                <w:sz w:val="18"/>
                <w:szCs w:val="18"/>
                <w:lang w:eastAsia="tr-TR"/>
              </w:rPr>
              <w:t>31.12.20</w:t>
            </w:r>
            <w:r w:rsidR="00AC5C30">
              <w:rPr>
                <w:rFonts w:ascii="Arial" w:eastAsia="Times New Roman" w:hAnsi="Arial" w:cs="Arial"/>
                <w:b/>
                <w:bCs/>
                <w:sz w:val="18"/>
                <w:szCs w:val="18"/>
                <w:lang w:eastAsia="tr-TR"/>
              </w:rPr>
              <w:t>20</w:t>
            </w:r>
          </w:p>
        </w:tc>
        <w:tc>
          <w:tcPr>
            <w:tcW w:w="330" w:type="pct"/>
            <w:tcBorders>
              <w:top w:val="single" w:sz="8" w:space="0" w:color="auto"/>
              <w:left w:val="nil"/>
              <w:bottom w:val="single" w:sz="8" w:space="0" w:color="auto"/>
              <w:right w:val="single" w:sz="8" w:space="0" w:color="auto"/>
            </w:tcBorders>
            <w:shd w:val="clear" w:color="000000" w:fill="F2F2F2"/>
            <w:noWrap/>
            <w:vAlign w:val="center"/>
            <w:hideMark/>
          </w:tcPr>
          <w:p w:rsidR="000875F4" w:rsidRPr="000875F4" w:rsidRDefault="000875F4" w:rsidP="00AC5C30">
            <w:pPr>
              <w:spacing w:after="0" w:line="240" w:lineRule="auto"/>
              <w:jc w:val="right"/>
              <w:rPr>
                <w:rFonts w:ascii="Arial" w:eastAsia="Times New Roman" w:hAnsi="Arial" w:cs="Arial"/>
                <w:b/>
                <w:bCs/>
                <w:sz w:val="18"/>
                <w:szCs w:val="18"/>
                <w:lang w:eastAsia="tr-TR"/>
              </w:rPr>
            </w:pPr>
            <w:r w:rsidRPr="000875F4">
              <w:rPr>
                <w:rFonts w:ascii="Arial" w:eastAsia="Times New Roman" w:hAnsi="Arial" w:cs="Arial"/>
                <w:b/>
                <w:bCs/>
                <w:sz w:val="18"/>
                <w:szCs w:val="18"/>
                <w:lang w:eastAsia="tr-TR"/>
              </w:rPr>
              <w:t>31.12.202</w:t>
            </w:r>
            <w:r w:rsidR="00AC5C30">
              <w:rPr>
                <w:rFonts w:ascii="Arial" w:eastAsia="Times New Roman" w:hAnsi="Arial" w:cs="Arial"/>
                <w:b/>
                <w:bCs/>
                <w:sz w:val="18"/>
                <w:szCs w:val="18"/>
                <w:lang w:eastAsia="tr-TR"/>
              </w:rPr>
              <w:t>1</w:t>
            </w:r>
          </w:p>
        </w:tc>
        <w:tc>
          <w:tcPr>
            <w:tcW w:w="339" w:type="pct"/>
            <w:tcBorders>
              <w:top w:val="single" w:sz="8" w:space="0" w:color="auto"/>
              <w:left w:val="nil"/>
              <w:bottom w:val="single" w:sz="8" w:space="0" w:color="auto"/>
              <w:right w:val="single" w:sz="8" w:space="0" w:color="auto"/>
            </w:tcBorders>
            <w:shd w:val="clear" w:color="000000" w:fill="F2F2F2"/>
            <w:noWrap/>
            <w:vAlign w:val="center"/>
            <w:hideMark/>
          </w:tcPr>
          <w:p w:rsidR="000875F4" w:rsidRPr="000875F4" w:rsidRDefault="000875F4" w:rsidP="00AC5C30">
            <w:pPr>
              <w:spacing w:after="0" w:line="240" w:lineRule="auto"/>
              <w:jc w:val="right"/>
              <w:rPr>
                <w:rFonts w:ascii="Arial" w:eastAsia="Times New Roman" w:hAnsi="Arial" w:cs="Arial"/>
                <w:b/>
                <w:bCs/>
                <w:sz w:val="18"/>
                <w:szCs w:val="18"/>
                <w:lang w:eastAsia="tr-TR"/>
              </w:rPr>
            </w:pPr>
            <w:r w:rsidRPr="000875F4">
              <w:rPr>
                <w:rFonts w:ascii="Arial" w:eastAsia="Times New Roman" w:hAnsi="Arial" w:cs="Arial"/>
                <w:b/>
                <w:bCs/>
                <w:sz w:val="18"/>
                <w:szCs w:val="18"/>
                <w:lang w:eastAsia="tr-TR"/>
              </w:rPr>
              <w:t>31.12.202</w:t>
            </w:r>
            <w:r w:rsidR="00AC5C30">
              <w:rPr>
                <w:rFonts w:ascii="Arial" w:eastAsia="Times New Roman" w:hAnsi="Arial" w:cs="Arial"/>
                <w:b/>
                <w:bCs/>
                <w:sz w:val="18"/>
                <w:szCs w:val="18"/>
                <w:lang w:eastAsia="tr-TR"/>
              </w:rPr>
              <w:t>2</w:t>
            </w:r>
          </w:p>
        </w:tc>
        <w:tc>
          <w:tcPr>
            <w:tcW w:w="38" w:type="pct"/>
            <w:tcBorders>
              <w:top w:val="single" w:sz="8" w:space="0" w:color="auto"/>
              <w:left w:val="nil"/>
              <w:bottom w:val="single" w:sz="8" w:space="0" w:color="auto"/>
              <w:right w:val="nil"/>
            </w:tcBorders>
            <w:shd w:val="clear" w:color="000000" w:fill="F2F2F2"/>
            <w:noWrap/>
            <w:vAlign w:val="center"/>
            <w:hideMark/>
          </w:tcPr>
          <w:p w:rsidR="000875F4" w:rsidRPr="000875F4" w:rsidRDefault="000875F4" w:rsidP="000875F4">
            <w:pPr>
              <w:spacing w:after="0" w:line="240" w:lineRule="auto"/>
              <w:jc w:val="right"/>
              <w:rPr>
                <w:rFonts w:ascii="Arial" w:eastAsia="Times New Roman" w:hAnsi="Arial" w:cs="Arial"/>
                <w:b/>
                <w:bCs/>
                <w:sz w:val="26"/>
                <w:szCs w:val="26"/>
                <w:lang w:eastAsia="tr-TR"/>
              </w:rPr>
            </w:pPr>
            <w:r w:rsidRPr="000875F4">
              <w:rPr>
                <w:rFonts w:ascii="Arial" w:eastAsia="Times New Roman" w:hAnsi="Arial" w:cs="Arial"/>
                <w:b/>
                <w:bCs/>
                <w:sz w:val="26"/>
                <w:szCs w:val="26"/>
                <w:lang w:eastAsia="tr-TR"/>
              </w:rPr>
              <w:t> </w:t>
            </w:r>
          </w:p>
        </w:tc>
        <w:tc>
          <w:tcPr>
            <w:tcW w:w="72" w:type="pct"/>
            <w:tcBorders>
              <w:top w:val="single" w:sz="8" w:space="0" w:color="auto"/>
              <w:left w:val="nil"/>
              <w:bottom w:val="single" w:sz="8" w:space="0" w:color="auto"/>
              <w:right w:val="nil"/>
            </w:tcBorders>
            <w:shd w:val="clear" w:color="000000" w:fill="F2F2F2"/>
            <w:noWrap/>
            <w:vAlign w:val="center"/>
            <w:hideMark/>
          </w:tcPr>
          <w:p w:rsidR="000875F4" w:rsidRPr="000875F4" w:rsidRDefault="000875F4" w:rsidP="000875F4">
            <w:pPr>
              <w:spacing w:after="0" w:line="240" w:lineRule="auto"/>
              <w:jc w:val="right"/>
              <w:rPr>
                <w:rFonts w:ascii="Arial" w:eastAsia="Times New Roman" w:hAnsi="Arial" w:cs="Arial"/>
                <w:b/>
                <w:bCs/>
                <w:sz w:val="26"/>
                <w:szCs w:val="26"/>
                <w:lang w:eastAsia="tr-TR"/>
              </w:rPr>
            </w:pPr>
            <w:r w:rsidRPr="000875F4">
              <w:rPr>
                <w:rFonts w:ascii="Arial" w:eastAsia="Times New Roman" w:hAnsi="Arial" w:cs="Arial"/>
                <w:b/>
                <w:bCs/>
                <w:sz w:val="26"/>
                <w:szCs w:val="26"/>
                <w:lang w:eastAsia="tr-TR"/>
              </w:rPr>
              <w:t> </w:t>
            </w:r>
          </w:p>
        </w:tc>
        <w:tc>
          <w:tcPr>
            <w:tcW w:w="776" w:type="pct"/>
            <w:tcBorders>
              <w:top w:val="single" w:sz="8" w:space="0" w:color="auto"/>
              <w:left w:val="nil"/>
              <w:bottom w:val="single" w:sz="8" w:space="0" w:color="auto"/>
              <w:right w:val="nil"/>
            </w:tcBorders>
            <w:shd w:val="clear" w:color="000000" w:fill="F2F2F2"/>
            <w:noWrap/>
            <w:vAlign w:val="center"/>
            <w:hideMark/>
          </w:tcPr>
          <w:p w:rsidR="000875F4" w:rsidRPr="000875F4" w:rsidRDefault="000875F4" w:rsidP="000875F4">
            <w:pPr>
              <w:spacing w:after="0" w:line="240" w:lineRule="auto"/>
              <w:jc w:val="left"/>
              <w:rPr>
                <w:rFonts w:ascii="Arial" w:eastAsia="Times New Roman" w:hAnsi="Arial" w:cs="Arial"/>
                <w:b/>
                <w:bCs/>
                <w:sz w:val="24"/>
                <w:szCs w:val="24"/>
                <w:lang w:eastAsia="tr-TR"/>
              </w:rPr>
            </w:pPr>
            <w:r w:rsidRPr="000875F4">
              <w:rPr>
                <w:rFonts w:ascii="Arial" w:eastAsia="Times New Roman" w:hAnsi="Arial" w:cs="Arial"/>
                <w:b/>
                <w:bCs/>
                <w:sz w:val="20"/>
                <w:szCs w:val="24"/>
                <w:lang w:eastAsia="tr-TR"/>
              </w:rPr>
              <w:t>PASİF HESAPLAR </w:t>
            </w:r>
          </w:p>
        </w:tc>
        <w:tc>
          <w:tcPr>
            <w:tcW w:w="359" w:type="pct"/>
            <w:tcBorders>
              <w:top w:val="single" w:sz="8" w:space="0" w:color="auto"/>
              <w:left w:val="single" w:sz="8" w:space="0" w:color="auto"/>
              <w:bottom w:val="single" w:sz="8" w:space="0" w:color="auto"/>
              <w:right w:val="single" w:sz="8" w:space="0" w:color="auto"/>
            </w:tcBorders>
            <w:shd w:val="clear" w:color="000000" w:fill="F2F2F2"/>
            <w:noWrap/>
            <w:vAlign w:val="center"/>
            <w:hideMark/>
          </w:tcPr>
          <w:p w:rsidR="000875F4" w:rsidRPr="000875F4" w:rsidRDefault="000875F4" w:rsidP="00CE2EC2">
            <w:pPr>
              <w:spacing w:after="0" w:line="240" w:lineRule="auto"/>
              <w:jc w:val="right"/>
              <w:rPr>
                <w:rFonts w:ascii="Arial" w:eastAsia="Times New Roman" w:hAnsi="Arial" w:cs="Arial"/>
                <w:b/>
                <w:bCs/>
                <w:sz w:val="18"/>
                <w:szCs w:val="18"/>
                <w:lang w:eastAsia="tr-TR"/>
              </w:rPr>
            </w:pPr>
            <w:r w:rsidRPr="000875F4">
              <w:rPr>
                <w:rFonts w:ascii="Arial" w:eastAsia="Times New Roman" w:hAnsi="Arial" w:cs="Arial"/>
                <w:b/>
                <w:bCs/>
                <w:sz w:val="18"/>
                <w:szCs w:val="18"/>
                <w:lang w:eastAsia="tr-TR"/>
              </w:rPr>
              <w:t>31.12.20</w:t>
            </w:r>
            <w:r w:rsidR="00CE2EC2">
              <w:rPr>
                <w:rFonts w:ascii="Arial" w:eastAsia="Times New Roman" w:hAnsi="Arial" w:cs="Arial"/>
                <w:b/>
                <w:bCs/>
                <w:sz w:val="18"/>
                <w:szCs w:val="18"/>
                <w:lang w:eastAsia="tr-TR"/>
              </w:rPr>
              <w:t>20</w:t>
            </w:r>
          </w:p>
        </w:tc>
        <w:tc>
          <w:tcPr>
            <w:tcW w:w="326" w:type="pct"/>
            <w:tcBorders>
              <w:top w:val="single" w:sz="8" w:space="0" w:color="auto"/>
              <w:left w:val="nil"/>
              <w:bottom w:val="single" w:sz="8" w:space="0" w:color="auto"/>
              <w:right w:val="single" w:sz="8" w:space="0" w:color="auto"/>
            </w:tcBorders>
            <w:shd w:val="clear" w:color="000000" w:fill="F2F2F2"/>
            <w:noWrap/>
            <w:vAlign w:val="center"/>
            <w:hideMark/>
          </w:tcPr>
          <w:p w:rsidR="000875F4" w:rsidRPr="000875F4" w:rsidRDefault="000875F4" w:rsidP="00CE2EC2">
            <w:pPr>
              <w:spacing w:after="0" w:line="240" w:lineRule="auto"/>
              <w:jc w:val="right"/>
              <w:rPr>
                <w:rFonts w:ascii="Arial" w:eastAsia="Times New Roman" w:hAnsi="Arial" w:cs="Arial"/>
                <w:b/>
                <w:bCs/>
                <w:sz w:val="18"/>
                <w:szCs w:val="18"/>
                <w:lang w:eastAsia="tr-TR"/>
              </w:rPr>
            </w:pPr>
            <w:r w:rsidRPr="000875F4">
              <w:rPr>
                <w:rFonts w:ascii="Arial" w:eastAsia="Times New Roman" w:hAnsi="Arial" w:cs="Arial"/>
                <w:b/>
                <w:bCs/>
                <w:sz w:val="18"/>
                <w:szCs w:val="18"/>
                <w:lang w:eastAsia="tr-TR"/>
              </w:rPr>
              <w:t>31.12.202</w:t>
            </w:r>
            <w:r w:rsidR="00CE2EC2">
              <w:rPr>
                <w:rFonts w:ascii="Arial" w:eastAsia="Times New Roman" w:hAnsi="Arial" w:cs="Arial"/>
                <w:b/>
                <w:bCs/>
                <w:sz w:val="18"/>
                <w:szCs w:val="18"/>
                <w:lang w:eastAsia="tr-TR"/>
              </w:rPr>
              <w:t>1</w:t>
            </w:r>
          </w:p>
        </w:tc>
        <w:tc>
          <w:tcPr>
            <w:tcW w:w="354" w:type="pct"/>
            <w:tcBorders>
              <w:top w:val="single" w:sz="8" w:space="0" w:color="auto"/>
              <w:left w:val="nil"/>
              <w:bottom w:val="single" w:sz="8" w:space="0" w:color="auto"/>
              <w:right w:val="single" w:sz="8" w:space="0" w:color="auto"/>
            </w:tcBorders>
            <w:shd w:val="clear" w:color="000000" w:fill="F2F2F2"/>
            <w:noWrap/>
            <w:vAlign w:val="center"/>
            <w:hideMark/>
          </w:tcPr>
          <w:p w:rsidR="000875F4" w:rsidRPr="000875F4" w:rsidRDefault="000875F4" w:rsidP="00CE2EC2">
            <w:pPr>
              <w:spacing w:after="0" w:line="240" w:lineRule="auto"/>
              <w:jc w:val="right"/>
              <w:rPr>
                <w:rFonts w:ascii="Arial" w:eastAsia="Times New Roman" w:hAnsi="Arial" w:cs="Arial"/>
                <w:b/>
                <w:bCs/>
                <w:sz w:val="18"/>
                <w:szCs w:val="18"/>
                <w:lang w:eastAsia="tr-TR"/>
              </w:rPr>
            </w:pPr>
            <w:r w:rsidRPr="000875F4">
              <w:rPr>
                <w:rFonts w:ascii="Arial" w:eastAsia="Times New Roman" w:hAnsi="Arial" w:cs="Arial"/>
                <w:b/>
                <w:bCs/>
                <w:sz w:val="18"/>
                <w:szCs w:val="18"/>
                <w:lang w:eastAsia="tr-TR"/>
              </w:rPr>
              <w:t>31.12.202</w:t>
            </w:r>
            <w:r w:rsidR="00CE2EC2">
              <w:rPr>
                <w:rFonts w:ascii="Arial" w:eastAsia="Times New Roman" w:hAnsi="Arial" w:cs="Arial"/>
                <w:b/>
                <w:bCs/>
                <w:sz w:val="18"/>
                <w:szCs w:val="18"/>
                <w:lang w:eastAsia="tr-TR"/>
              </w:rPr>
              <w:t>2</w:t>
            </w:r>
          </w:p>
        </w:tc>
      </w:tr>
      <w:tr w:rsidR="00CE2EC2" w:rsidRPr="000875F4" w:rsidTr="000875F4">
        <w:trPr>
          <w:gridAfter w:val="4"/>
          <w:wAfter w:w="1354" w:type="pct"/>
          <w:trHeight w:val="20"/>
        </w:trPr>
        <w:tc>
          <w:tcPr>
            <w:tcW w:w="722" w:type="pct"/>
            <w:gridSpan w:val="3"/>
            <w:tcBorders>
              <w:top w:val="single" w:sz="8" w:space="0" w:color="auto"/>
              <w:left w:val="single" w:sz="8" w:space="0" w:color="auto"/>
              <w:bottom w:val="nil"/>
              <w:right w:val="single" w:sz="8" w:space="0" w:color="000000"/>
            </w:tcBorders>
            <w:shd w:val="clear" w:color="auto" w:fill="auto"/>
            <w:noWrap/>
            <w:vAlign w:val="center"/>
            <w:hideMark/>
          </w:tcPr>
          <w:p w:rsidR="00CE2EC2" w:rsidRPr="000875F4" w:rsidRDefault="00CE2EC2" w:rsidP="00CE2EC2">
            <w:pPr>
              <w:spacing w:after="0" w:line="240" w:lineRule="auto"/>
              <w:jc w:val="lef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1-DÖNEN VARLIKLAR</w:t>
            </w:r>
          </w:p>
        </w:tc>
        <w:tc>
          <w:tcPr>
            <w:tcW w:w="330" w:type="pct"/>
            <w:tcBorders>
              <w:top w:val="nil"/>
              <w:left w:val="nil"/>
              <w:bottom w:val="nil"/>
              <w:right w:val="single" w:sz="8" w:space="0" w:color="auto"/>
            </w:tcBorders>
            <w:shd w:val="clear" w:color="auto" w:fill="auto"/>
            <w:noWrap/>
            <w:vAlign w:val="center"/>
          </w:tcPr>
          <w:p w:rsidR="00CE2EC2" w:rsidRPr="000875F4" w:rsidRDefault="00CE2EC2" w:rsidP="00CE2EC2">
            <w:pPr>
              <w:spacing w:after="0" w:line="240" w:lineRule="auto"/>
              <w:jc w:val="right"/>
              <w:rPr>
                <w:rFonts w:ascii="Arial" w:eastAsia="Times New Roman" w:hAnsi="Arial" w:cs="Arial"/>
                <w:b/>
                <w:bCs/>
                <w:sz w:val="16"/>
                <w:szCs w:val="16"/>
                <w:lang w:eastAsia="tr-TR"/>
              </w:rPr>
            </w:pPr>
            <w:r>
              <w:rPr>
                <w:rFonts w:ascii="Arial" w:hAnsi="Arial" w:cs="Arial"/>
                <w:b/>
                <w:bCs/>
                <w:color w:val="000000"/>
                <w:sz w:val="16"/>
                <w:szCs w:val="16"/>
              </w:rPr>
              <w:t>226.385.178,45</w:t>
            </w:r>
          </w:p>
        </w:tc>
        <w:tc>
          <w:tcPr>
            <w:tcW w:w="330" w:type="pct"/>
            <w:tcBorders>
              <w:top w:val="nil"/>
              <w:left w:val="nil"/>
              <w:bottom w:val="nil"/>
              <w:right w:val="single" w:sz="8" w:space="0" w:color="auto"/>
            </w:tcBorders>
            <w:shd w:val="clear" w:color="auto" w:fill="auto"/>
            <w:noWrap/>
            <w:vAlign w:val="center"/>
          </w:tcPr>
          <w:p w:rsidR="00CE2EC2" w:rsidRPr="000875F4" w:rsidRDefault="00CE2EC2" w:rsidP="00CE2EC2">
            <w:pPr>
              <w:spacing w:after="0" w:line="240" w:lineRule="auto"/>
              <w:jc w:val="right"/>
              <w:rPr>
                <w:rFonts w:ascii="Arial" w:eastAsia="Times New Roman" w:hAnsi="Arial" w:cs="Arial"/>
                <w:b/>
                <w:bCs/>
                <w:sz w:val="16"/>
                <w:szCs w:val="16"/>
                <w:lang w:eastAsia="tr-TR"/>
              </w:rPr>
            </w:pPr>
            <w:r>
              <w:rPr>
                <w:rFonts w:ascii="Arial" w:hAnsi="Arial" w:cs="Arial"/>
                <w:b/>
                <w:bCs/>
                <w:color w:val="000000"/>
                <w:sz w:val="16"/>
                <w:szCs w:val="16"/>
              </w:rPr>
              <w:t>241.779.541,31</w:t>
            </w:r>
          </w:p>
        </w:tc>
        <w:tc>
          <w:tcPr>
            <w:tcW w:w="339" w:type="pct"/>
            <w:tcBorders>
              <w:top w:val="nil"/>
              <w:left w:val="nil"/>
              <w:bottom w:val="nil"/>
              <w:right w:val="single" w:sz="8" w:space="0" w:color="auto"/>
            </w:tcBorders>
            <w:shd w:val="clear" w:color="auto" w:fill="auto"/>
            <w:noWrap/>
            <w:vAlign w:val="center"/>
          </w:tcPr>
          <w:p w:rsidR="00CE2EC2" w:rsidRPr="000875F4" w:rsidRDefault="00CE2EC2" w:rsidP="00CE2EC2">
            <w:pPr>
              <w:spacing w:after="0" w:line="240" w:lineRule="auto"/>
              <w:jc w:val="right"/>
              <w:rPr>
                <w:rFonts w:ascii="Arial" w:eastAsia="Times New Roman" w:hAnsi="Arial" w:cs="Arial"/>
                <w:b/>
                <w:bCs/>
                <w:sz w:val="16"/>
                <w:szCs w:val="16"/>
                <w:lang w:eastAsia="tr-TR"/>
              </w:rPr>
            </w:pPr>
            <w:r>
              <w:rPr>
                <w:rFonts w:ascii="Arial" w:hAnsi="Arial" w:cs="Arial"/>
                <w:b/>
                <w:bCs/>
                <w:color w:val="000000"/>
                <w:sz w:val="16"/>
                <w:szCs w:val="16"/>
              </w:rPr>
              <w:t>443.823.332,35</w:t>
            </w:r>
          </w:p>
        </w:tc>
        <w:tc>
          <w:tcPr>
            <w:tcW w:w="886" w:type="pct"/>
            <w:gridSpan w:val="3"/>
            <w:tcBorders>
              <w:top w:val="single" w:sz="8" w:space="0" w:color="auto"/>
              <w:left w:val="single" w:sz="8" w:space="0" w:color="auto"/>
              <w:bottom w:val="nil"/>
              <w:right w:val="nil"/>
            </w:tcBorders>
            <w:shd w:val="clear" w:color="auto" w:fill="auto"/>
            <w:noWrap/>
            <w:vAlign w:val="center"/>
            <w:hideMark/>
          </w:tcPr>
          <w:p w:rsidR="00CE2EC2" w:rsidRPr="000875F4" w:rsidRDefault="00CE2EC2" w:rsidP="00CE2EC2">
            <w:pPr>
              <w:spacing w:after="0" w:line="240" w:lineRule="auto"/>
              <w:jc w:val="lef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3-KISA VADELİ YABANCI KAYNAKLAR</w:t>
            </w:r>
          </w:p>
        </w:tc>
        <w:tc>
          <w:tcPr>
            <w:tcW w:w="359" w:type="pct"/>
            <w:tcBorders>
              <w:top w:val="nil"/>
              <w:left w:val="single" w:sz="8" w:space="0" w:color="auto"/>
              <w:bottom w:val="nil"/>
              <w:right w:val="single" w:sz="8" w:space="0" w:color="auto"/>
            </w:tcBorders>
            <w:shd w:val="clear" w:color="auto" w:fill="auto"/>
            <w:noWrap/>
            <w:vAlign w:val="center"/>
          </w:tcPr>
          <w:p w:rsidR="00CE2EC2" w:rsidRPr="000875F4" w:rsidRDefault="00CE2EC2" w:rsidP="00CE2EC2">
            <w:pPr>
              <w:spacing w:after="0" w:line="240" w:lineRule="auto"/>
              <w:jc w:val="right"/>
              <w:rPr>
                <w:rFonts w:ascii="Arial" w:eastAsia="Times New Roman" w:hAnsi="Arial" w:cs="Arial"/>
                <w:b/>
                <w:bCs/>
                <w:sz w:val="16"/>
                <w:szCs w:val="16"/>
                <w:lang w:eastAsia="tr-TR"/>
              </w:rPr>
            </w:pPr>
            <w:r>
              <w:rPr>
                <w:rFonts w:ascii="Arial" w:hAnsi="Arial" w:cs="Arial"/>
                <w:b/>
                <w:bCs/>
                <w:color w:val="000000"/>
                <w:sz w:val="16"/>
                <w:szCs w:val="16"/>
              </w:rPr>
              <w:t>30.132.778,61</w:t>
            </w:r>
          </w:p>
        </w:tc>
        <w:tc>
          <w:tcPr>
            <w:tcW w:w="326" w:type="pct"/>
            <w:tcBorders>
              <w:top w:val="nil"/>
              <w:left w:val="nil"/>
              <w:bottom w:val="nil"/>
              <w:right w:val="nil"/>
            </w:tcBorders>
            <w:shd w:val="clear" w:color="auto" w:fill="auto"/>
            <w:noWrap/>
            <w:vAlign w:val="center"/>
          </w:tcPr>
          <w:p w:rsidR="00CE2EC2" w:rsidRPr="000875F4" w:rsidRDefault="00CE2EC2" w:rsidP="00CE2EC2">
            <w:pPr>
              <w:spacing w:after="0" w:line="240" w:lineRule="auto"/>
              <w:jc w:val="right"/>
              <w:rPr>
                <w:rFonts w:ascii="Arial" w:eastAsia="Times New Roman" w:hAnsi="Arial" w:cs="Arial"/>
                <w:b/>
                <w:bCs/>
                <w:sz w:val="16"/>
                <w:szCs w:val="16"/>
                <w:lang w:eastAsia="tr-TR"/>
              </w:rPr>
            </w:pPr>
            <w:r>
              <w:rPr>
                <w:rFonts w:ascii="Arial" w:hAnsi="Arial" w:cs="Arial"/>
                <w:b/>
                <w:bCs/>
                <w:color w:val="000000"/>
                <w:sz w:val="16"/>
                <w:szCs w:val="16"/>
              </w:rPr>
              <w:t>144.422.700,05</w:t>
            </w:r>
          </w:p>
        </w:tc>
        <w:tc>
          <w:tcPr>
            <w:tcW w:w="354" w:type="pct"/>
            <w:tcBorders>
              <w:top w:val="nil"/>
              <w:left w:val="single" w:sz="8" w:space="0" w:color="auto"/>
              <w:bottom w:val="nil"/>
              <w:right w:val="single" w:sz="8" w:space="0" w:color="auto"/>
            </w:tcBorders>
            <w:shd w:val="clear" w:color="auto" w:fill="auto"/>
            <w:noWrap/>
            <w:vAlign w:val="center"/>
          </w:tcPr>
          <w:p w:rsidR="00CE2EC2" w:rsidRPr="000875F4" w:rsidRDefault="00CE2EC2" w:rsidP="00CE2EC2">
            <w:pPr>
              <w:spacing w:after="0" w:line="240" w:lineRule="auto"/>
              <w:jc w:val="right"/>
              <w:rPr>
                <w:rFonts w:ascii="Arial" w:eastAsia="Times New Roman" w:hAnsi="Arial" w:cs="Arial"/>
                <w:b/>
                <w:bCs/>
                <w:sz w:val="16"/>
                <w:szCs w:val="16"/>
                <w:lang w:eastAsia="tr-TR"/>
              </w:rPr>
            </w:pPr>
            <w:r>
              <w:rPr>
                <w:rFonts w:ascii="Arial" w:hAnsi="Arial" w:cs="Arial"/>
                <w:b/>
                <w:bCs/>
                <w:color w:val="000000"/>
                <w:sz w:val="16"/>
                <w:szCs w:val="16"/>
              </w:rPr>
              <w:t>318.205.899,78</w:t>
            </w:r>
          </w:p>
        </w:tc>
      </w:tr>
      <w:tr w:rsidR="00AC5C30" w:rsidRPr="000875F4" w:rsidTr="000875F4">
        <w:trPr>
          <w:gridAfter w:val="4"/>
          <w:wAfter w:w="1354" w:type="pct"/>
          <w:trHeight w:val="20"/>
        </w:trPr>
        <w:tc>
          <w:tcPr>
            <w:tcW w:w="37" w:type="pct"/>
            <w:tcBorders>
              <w:top w:val="nil"/>
              <w:left w:val="single" w:sz="8" w:space="0" w:color="auto"/>
              <w:bottom w:val="nil"/>
              <w:right w:val="nil"/>
            </w:tcBorders>
            <w:shd w:val="clear" w:color="auto" w:fill="auto"/>
            <w:noWrap/>
            <w:vAlign w:val="center"/>
            <w:hideMark/>
          </w:tcPr>
          <w:p w:rsidR="00AC5C30" w:rsidRPr="000875F4" w:rsidRDefault="00AC5C30" w:rsidP="00AC5C30">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685" w:type="pct"/>
            <w:gridSpan w:val="2"/>
            <w:tcBorders>
              <w:top w:val="nil"/>
              <w:left w:val="nil"/>
              <w:bottom w:val="nil"/>
              <w:right w:val="single" w:sz="8" w:space="0" w:color="000000"/>
            </w:tcBorders>
            <w:shd w:val="clear" w:color="auto" w:fill="auto"/>
            <w:noWrap/>
            <w:vAlign w:val="center"/>
            <w:hideMark/>
          </w:tcPr>
          <w:p w:rsidR="00AC5C30" w:rsidRPr="000875F4" w:rsidRDefault="00AC5C30" w:rsidP="00AC5C30">
            <w:pPr>
              <w:spacing w:after="0" w:line="240" w:lineRule="auto"/>
              <w:jc w:val="left"/>
              <w:rPr>
                <w:rFonts w:ascii="Arial" w:eastAsia="Times New Roman" w:hAnsi="Arial" w:cs="Arial"/>
                <w:b/>
                <w:bCs/>
                <w:sz w:val="16"/>
                <w:szCs w:val="16"/>
                <w:lang w:eastAsia="tr-TR"/>
              </w:rPr>
            </w:pPr>
          </w:p>
          <w:p w:rsidR="00AC5C30" w:rsidRPr="000875F4" w:rsidRDefault="00AC5C30" w:rsidP="00AC5C30">
            <w:pPr>
              <w:spacing w:after="0" w:line="240" w:lineRule="auto"/>
              <w:jc w:val="lef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10-HAZIR DEĞERLER</w:t>
            </w:r>
          </w:p>
        </w:tc>
        <w:tc>
          <w:tcPr>
            <w:tcW w:w="330" w:type="pct"/>
            <w:tcBorders>
              <w:top w:val="nil"/>
              <w:left w:val="nil"/>
              <w:bottom w:val="nil"/>
              <w:right w:val="single" w:sz="8" w:space="0" w:color="auto"/>
            </w:tcBorders>
            <w:shd w:val="clear" w:color="auto" w:fill="auto"/>
            <w:noWrap/>
            <w:vAlign w:val="center"/>
          </w:tcPr>
          <w:p w:rsidR="00AC5C30" w:rsidRPr="000875F4" w:rsidRDefault="00AC5C30" w:rsidP="00AC5C30">
            <w:pPr>
              <w:spacing w:after="0" w:line="240" w:lineRule="auto"/>
              <w:jc w:val="right"/>
              <w:rPr>
                <w:rFonts w:ascii="Arial" w:eastAsia="Times New Roman" w:hAnsi="Arial" w:cs="Arial"/>
                <w:b/>
                <w:bCs/>
                <w:sz w:val="16"/>
                <w:szCs w:val="16"/>
                <w:lang w:eastAsia="tr-TR"/>
              </w:rPr>
            </w:pPr>
            <w:r>
              <w:rPr>
                <w:rFonts w:ascii="Arial" w:hAnsi="Arial" w:cs="Arial"/>
                <w:b/>
                <w:bCs/>
                <w:color w:val="000000"/>
                <w:sz w:val="16"/>
                <w:szCs w:val="16"/>
              </w:rPr>
              <w:t>9.600,00</w:t>
            </w:r>
          </w:p>
        </w:tc>
        <w:tc>
          <w:tcPr>
            <w:tcW w:w="330" w:type="pct"/>
            <w:tcBorders>
              <w:top w:val="nil"/>
              <w:left w:val="nil"/>
              <w:bottom w:val="nil"/>
              <w:right w:val="single" w:sz="8" w:space="0" w:color="auto"/>
            </w:tcBorders>
            <w:shd w:val="clear" w:color="auto" w:fill="auto"/>
            <w:noWrap/>
            <w:vAlign w:val="center"/>
          </w:tcPr>
          <w:p w:rsidR="00AC5C30" w:rsidRPr="000875F4" w:rsidRDefault="00AC5C30" w:rsidP="00AC5C30">
            <w:pPr>
              <w:spacing w:after="0" w:line="240" w:lineRule="auto"/>
              <w:jc w:val="right"/>
              <w:rPr>
                <w:rFonts w:ascii="Arial" w:eastAsia="Times New Roman" w:hAnsi="Arial" w:cs="Arial"/>
                <w:b/>
                <w:bCs/>
                <w:sz w:val="16"/>
                <w:szCs w:val="16"/>
                <w:lang w:eastAsia="tr-TR"/>
              </w:rPr>
            </w:pPr>
            <w:r>
              <w:rPr>
                <w:rFonts w:ascii="Arial" w:hAnsi="Arial" w:cs="Arial"/>
                <w:b/>
                <w:bCs/>
                <w:color w:val="000000"/>
                <w:sz w:val="16"/>
                <w:szCs w:val="16"/>
              </w:rPr>
              <w:t>0</w:t>
            </w:r>
          </w:p>
        </w:tc>
        <w:tc>
          <w:tcPr>
            <w:tcW w:w="339" w:type="pct"/>
            <w:tcBorders>
              <w:top w:val="nil"/>
              <w:left w:val="nil"/>
              <w:bottom w:val="nil"/>
              <w:right w:val="single" w:sz="8" w:space="0" w:color="auto"/>
            </w:tcBorders>
            <w:shd w:val="clear" w:color="auto" w:fill="auto"/>
            <w:noWrap/>
            <w:vAlign w:val="center"/>
          </w:tcPr>
          <w:p w:rsidR="00AC5C30" w:rsidRPr="000875F4" w:rsidRDefault="00AC5C30" w:rsidP="00AC5C30">
            <w:pPr>
              <w:spacing w:after="0" w:line="240" w:lineRule="auto"/>
              <w:jc w:val="right"/>
              <w:rPr>
                <w:rFonts w:ascii="Arial" w:eastAsia="Times New Roman" w:hAnsi="Arial" w:cs="Arial"/>
                <w:b/>
                <w:bCs/>
                <w:sz w:val="16"/>
                <w:szCs w:val="16"/>
                <w:lang w:eastAsia="tr-TR"/>
              </w:rPr>
            </w:pPr>
            <w:r>
              <w:rPr>
                <w:rFonts w:ascii="Arial" w:hAnsi="Arial" w:cs="Arial"/>
                <w:b/>
                <w:bCs/>
                <w:color w:val="000000"/>
                <w:sz w:val="16"/>
                <w:szCs w:val="16"/>
              </w:rPr>
              <w:t>2.726.978,44</w:t>
            </w:r>
          </w:p>
        </w:tc>
        <w:tc>
          <w:tcPr>
            <w:tcW w:w="38" w:type="pct"/>
            <w:tcBorders>
              <w:top w:val="nil"/>
              <w:left w:val="nil"/>
              <w:bottom w:val="nil"/>
              <w:right w:val="nil"/>
            </w:tcBorders>
            <w:shd w:val="clear" w:color="auto" w:fill="auto"/>
            <w:noWrap/>
            <w:vAlign w:val="center"/>
            <w:hideMark/>
          </w:tcPr>
          <w:p w:rsidR="00AC5C30" w:rsidRPr="000875F4" w:rsidRDefault="00AC5C30" w:rsidP="00AC5C30">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848" w:type="pct"/>
            <w:gridSpan w:val="2"/>
            <w:tcBorders>
              <w:top w:val="nil"/>
              <w:left w:val="nil"/>
              <w:bottom w:val="nil"/>
              <w:right w:val="nil"/>
            </w:tcBorders>
            <w:shd w:val="clear" w:color="auto" w:fill="auto"/>
            <w:noWrap/>
            <w:vAlign w:val="center"/>
            <w:hideMark/>
          </w:tcPr>
          <w:p w:rsidR="00AC5C30" w:rsidRPr="000875F4" w:rsidRDefault="00AC5C30" w:rsidP="00AC5C30">
            <w:pPr>
              <w:spacing w:after="0" w:line="240" w:lineRule="auto"/>
              <w:jc w:val="left"/>
              <w:rPr>
                <w:rFonts w:ascii="Arial" w:eastAsia="Times New Roman" w:hAnsi="Arial" w:cs="Arial"/>
                <w:b/>
                <w:bCs/>
                <w:sz w:val="16"/>
                <w:szCs w:val="16"/>
                <w:lang w:eastAsia="tr-TR"/>
              </w:rPr>
            </w:pPr>
          </w:p>
          <w:p w:rsidR="00AC5C30" w:rsidRPr="000875F4" w:rsidRDefault="00AC5C30" w:rsidP="00AC5C30">
            <w:pPr>
              <w:spacing w:after="0" w:line="240" w:lineRule="auto"/>
              <w:jc w:val="lef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32-FAALİYET BORÇLARI</w:t>
            </w:r>
          </w:p>
        </w:tc>
        <w:tc>
          <w:tcPr>
            <w:tcW w:w="359" w:type="pct"/>
            <w:tcBorders>
              <w:top w:val="nil"/>
              <w:left w:val="single" w:sz="8" w:space="0" w:color="auto"/>
              <w:bottom w:val="nil"/>
              <w:right w:val="single" w:sz="8" w:space="0" w:color="auto"/>
            </w:tcBorders>
            <w:shd w:val="clear" w:color="auto" w:fill="auto"/>
            <w:noWrap/>
            <w:vAlign w:val="center"/>
          </w:tcPr>
          <w:p w:rsidR="00AC5C30" w:rsidRPr="000875F4" w:rsidRDefault="00AC5C30" w:rsidP="00AC5C30">
            <w:pPr>
              <w:spacing w:after="0" w:line="240" w:lineRule="auto"/>
              <w:jc w:val="right"/>
              <w:rPr>
                <w:rFonts w:ascii="Arial" w:eastAsia="Times New Roman" w:hAnsi="Arial" w:cs="Arial"/>
                <w:b/>
                <w:bCs/>
                <w:sz w:val="16"/>
                <w:szCs w:val="16"/>
                <w:lang w:eastAsia="tr-TR"/>
              </w:rPr>
            </w:pPr>
          </w:p>
          <w:p w:rsidR="00AC5C30" w:rsidRPr="000875F4" w:rsidRDefault="00CE2EC2" w:rsidP="00AC5C30">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0,00</w:t>
            </w:r>
          </w:p>
        </w:tc>
        <w:tc>
          <w:tcPr>
            <w:tcW w:w="326" w:type="pct"/>
            <w:tcBorders>
              <w:top w:val="nil"/>
              <w:left w:val="nil"/>
              <w:bottom w:val="nil"/>
              <w:right w:val="nil"/>
            </w:tcBorders>
            <w:shd w:val="clear" w:color="auto" w:fill="auto"/>
            <w:noWrap/>
            <w:vAlign w:val="center"/>
          </w:tcPr>
          <w:p w:rsidR="00AC5C30" w:rsidRPr="000875F4" w:rsidRDefault="00AC5C30" w:rsidP="00AC5C30">
            <w:pPr>
              <w:spacing w:after="0" w:line="240" w:lineRule="auto"/>
              <w:jc w:val="right"/>
              <w:rPr>
                <w:rFonts w:ascii="Arial" w:eastAsia="Times New Roman" w:hAnsi="Arial" w:cs="Arial"/>
                <w:b/>
                <w:bCs/>
                <w:sz w:val="16"/>
                <w:szCs w:val="16"/>
                <w:lang w:eastAsia="tr-TR"/>
              </w:rPr>
            </w:pPr>
          </w:p>
          <w:p w:rsidR="00AC5C30" w:rsidRPr="000875F4" w:rsidRDefault="00AC5C30" w:rsidP="00AC5C30">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0,00</w:t>
            </w:r>
          </w:p>
        </w:tc>
        <w:tc>
          <w:tcPr>
            <w:tcW w:w="354" w:type="pct"/>
            <w:tcBorders>
              <w:top w:val="nil"/>
              <w:left w:val="single" w:sz="8" w:space="0" w:color="auto"/>
              <w:bottom w:val="nil"/>
              <w:right w:val="single" w:sz="8" w:space="0" w:color="auto"/>
            </w:tcBorders>
            <w:shd w:val="clear" w:color="auto" w:fill="auto"/>
            <w:noWrap/>
            <w:vAlign w:val="center"/>
          </w:tcPr>
          <w:p w:rsidR="00AC5C30" w:rsidRPr="000875F4" w:rsidRDefault="00AC5C30" w:rsidP="00AC5C30">
            <w:pPr>
              <w:spacing w:after="0" w:line="240" w:lineRule="auto"/>
              <w:jc w:val="right"/>
              <w:rPr>
                <w:rFonts w:ascii="Arial" w:eastAsia="Times New Roman" w:hAnsi="Arial" w:cs="Arial"/>
                <w:b/>
                <w:bCs/>
                <w:sz w:val="16"/>
                <w:szCs w:val="16"/>
                <w:lang w:eastAsia="tr-TR"/>
              </w:rPr>
            </w:pPr>
          </w:p>
          <w:p w:rsidR="00AC5C30" w:rsidRPr="000875F4" w:rsidRDefault="00AC5C30" w:rsidP="00AC5C30">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0,00</w:t>
            </w:r>
          </w:p>
        </w:tc>
      </w:tr>
      <w:tr w:rsidR="00AC5C30" w:rsidRPr="000875F4" w:rsidTr="000875F4">
        <w:trPr>
          <w:gridAfter w:val="4"/>
          <w:wAfter w:w="1354" w:type="pct"/>
          <w:trHeight w:val="20"/>
        </w:trPr>
        <w:tc>
          <w:tcPr>
            <w:tcW w:w="37" w:type="pct"/>
            <w:tcBorders>
              <w:top w:val="nil"/>
              <w:left w:val="single" w:sz="8" w:space="0" w:color="auto"/>
              <w:bottom w:val="nil"/>
              <w:right w:val="nil"/>
            </w:tcBorders>
            <w:shd w:val="clear" w:color="auto" w:fill="auto"/>
            <w:noWrap/>
            <w:vAlign w:val="center"/>
            <w:hideMark/>
          </w:tcPr>
          <w:p w:rsidR="00AC5C30" w:rsidRPr="000875F4" w:rsidRDefault="00AC5C30" w:rsidP="00AC5C30">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88" w:type="pct"/>
            <w:tcBorders>
              <w:top w:val="nil"/>
              <w:left w:val="nil"/>
              <w:bottom w:val="nil"/>
              <w:right w:val="nil"/>
            </w:tcBorders>
            <w:shd w:val="clear" w:color="auto" w:fill="auto"/>
            <w:noWrap/>
            <w:vAlign w:val="center"/>
            <w:hideMark/>
          </w:tcPr>
          <w:p w:rsidR="00AC5C30" w:rsidRPr="000875F4" w:rsidRDefault="00AC5C30" w:rsidP="00AC5C30">
            <w:pPr>
              <w:spacing w:after="0" w:line="240" w:lineRule="auto"/>
              <w:jc w:val="left"/>
              <w:rPr>
                <w:rFonts w:ascii="Arial" w:eastAsia="Times New Roman" w:hAnsi="Arial" w:cs="Arial"/>
                <w:sz w:val="16"/>
                <w:szCs w:val="16"/>
                <w:lang w:eastAsia="tr-TR"/>
              </w:rPr>
            </w:pPr>
          </w:p>
        </w:tc>
        <w:tc>
          <w:tcPr>
            <w:tcW w:w="597" w:type="pct"/>
            <w:tcBorders>
              <w:top w:val="nil"/>
              <w:left w:val="nil"/>
              <w:bottom w:val="nil"/>
              <w:right w:val="single" w:sz="8" w:space="0" w:color="auto"/>
            </w:tcBorders>
            <w:shd w:val="clear" w:color="auto" w:fill="auto"/>
            <w:noWrap/>
            <w:vAlign w:val="center"/>
            <w:hideMark/>
          </w:tcPr>
          <w:p w:rsidR="00AC5C30" w:rsidRPr="000875F4" w:rsidRDefault="00AC5C30" w:rsidP="00AC5C30">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102-Banka Hesabı</w:t>
            </w:r>
          </w:p>
        </w:tc>
        <w:tc>
          <w:tcPr>
            <w:tcW w:w="330" w:type="pct"/>
            <w:tcBorders>
              <w:top w:val="nil"/>
              <w:left w:val="nil"/>
              <w:bottom w:val="nil"/>
              <w:right w:val="single" w:sz="8" w:space="0" w:color="auto"/>
            </w:tcBorders>
            <w:shd w:val="clear" w:color="auto" w:fill="auto"/>
            <w:noWrap/>
            <w:vAlign w:val="center"/>
          </w:tcPr>
          <w:p w:rsidR="00AC5C30" w:rsidRPr="00AC5C30" w:rsidRDefault="00AC5C30" w:rsidP="00AC5C30">
            <w:pPr>
              <w:spacing w:after="0" w:line="240" w:lineRule="auto"/>
              <w:jc w:val="right"/>
              <w:rPr>
                <w:rFonts w:ascii="Arial" w:eastAsia="Times New Roman" w:hAnsi="Arial" w:cs="Arial"/>
                <w:sz w:val="16"/>
                <w:szCs w:val="16"/>
                <w:lang w:eastAsia="tr-TR"/>
              </w:rPr>
            </w:pPr>
            <w:r w:rsidRPr="00AC5C30">
              <w:rPr>
                <w:rFonts w:ascii="Arial" w:hAnsi="Arial" w:cs="Arial"/>
                <w:bCs/>
                <w:color w:val="000000"/>
                <w:sz w:val="16"/>
                <w:szCs w:val="16"/>
              </w:rPr>
              <w:t>9.600,00</w:t>
            </w:r>
          </w:p>
        </w:tc>
        <w:tc>
          <w:tcPr>
            <w:tcW w:w="330" w:type="pct"/>
            <w:tcBorders>
              <w:top w:val="nil"/>
              <w:left w:val="nil"/>
              <w:bottom w:val="nil"/>
              <w:right w:val="single" w:sz="8" w:space="0" w:color="auto"/>
            </w:tcBorders>
            <w:shd w:val="clear" w:color="auto" w:fill="auto"/>
            <w:noWrap/>
            <w:vAlign w:val="center"/>
          </w:tcPr>
          <w:p w:rsidR="00AC5C30" w:rsidRPr="000875F4" w:rsidRDefault="00AC5C30" w:rsidP="00AC5C30">
            <w:pPr>
              <w:spacing w:after="0" w:line="240" w:lineRule="auto"/>
              <w:jc w:val="right"/>
              <w:rPr>
                <w:rFonts w:ascii="Arial" w:eastAsia="Times New Roman" w:hAnsi="Arial" w:cs="Arial"/>
                <w:b/>
                <w:bCs/>
                <w:sz w:val="16"/>
                <w:szCs w:val="16"/>
                <w:lang w:eastAsia="tr-TR"/>
              </w:rPr>
            </w:pPr>
            <w:r>
              <w:rPr>
                <w:rFonts w:ascii="Arial" w:hAnsi="Arial" w:cs="Arial"/>
                <w:b/>
                <w:bCs/>
                <w:color w:val="000000"/>
                <w:sz w:val="16"/>
                <w:szCs w:val="16"/>
              </w:rPr>
              <w:t>0</w:t>
            </w:r>
          </w:p>
        </w:tc>
        <w:tc>
          <w:tcPr>
            <w:tcW w:w="339" w:type="pct"/>
            <w:tcBorders>
              <w:top w:val="nil"/>
              <w:left w:val="nil"/>
              <w:bottom w:val="nil"/>
              <w:right w:val="single" w:sz="8" w:space="0" w:color="auto"/>
            </w:tcBorders>
            <w:shd w:val="clear" w:color="auto" w:fill="auto"/>
            <w:noWrap/>
            <w:vAlign w:val="center"/>
          </w:tcPr>
          <w:p w:rsidR="00AC5C30" w:rsidRPr="000875F4" w:rsidRDefault="00AC5C30" w:rsidP="00AC5C30">
            <w:pPr>
              <w:spacing w:after="0" w:line="240" w:lineRule="auto"/>
              <w:jc w:val="right"/>
              <w:rPr>
                <w:rFonts w:ascii="Arial" w:eastAsia="Times New Roman" w:hAnsi="Arial" w:cs="Arial"/>
                <w:b/>
                <w:bCs/>
                <w:sz w:val="16"/>
                <w:szCs w:val="16"/>
                <w:lang w:eastAsia="tr-TR"/>
              </w:rPr>
            </w:pPr>
            <w:r>
              <w:rPr>
                <w:rFonts w:ascii="Arial" w:hAnsi="Arial" w:cs="Arial"/>
                <w:b/>
                <w:bCs/>
                <w:color w:val="000000"/>
                <w:sz w:val="16"/>
                <w:szCs w:val="16"/>
              </w:rPr>
              <w:t>2.726.978,44</w:t>
            </w:r>
          </w:p>
        </w:tc>
        <w:tc>
          <w:tcPr>
            <w:tcW w:w="38" w:type="pct"/>
            <w:tcBorders>
              <w:top w:val="nil"/>
              <w:left w:val="nil"/>
              <w:bottom w:val="nil"/>
              <w:right w:val="nil"/>
            </w:tcBorders>
            <w:shd w:val="clear" w:color="auto" w:fill="auto"/>
            <w:noWrap/>
            <w:vAlign w:val="center"/>
            <w:hideMark/>
          </w:tcPr>
          <w:p w:rsidR="00AC5C30" w:rsidRPr="000875F4" w:rsidRDefault="00AC5C30" w:rsidP="00AC5C30">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72" w:type="pct"/>
            <w:tcBorders>
              <w:top w:val="nil"/>
              <w:left w:val="nil"/>
              <w:bottom w:val="nil"/>
              <w:right w:val="nil"/>
            </w:tcBorders>
            <w:shd w:val="clear" w:color="auto" w:fill="auto"/>
            <w:noWrap/>
            <w:vAlign w:val="center"/>
            <w:hideMark/>
          </w:tcPr>
          <w:p w:rsidR="00AC5C30" w:rsidRPr="000875F4" w:rsidRDefault="00AC5C30" w:rsidP="00AC5C30">
            <w:pPr>
              <w:spacing w:after="0" w:line="240" w:lineRule="auto"/>
              <w:jc w:val="left"/>
              <w:rPr>
                <w:rFonts w:ascii="Arial" w:eastAsia="Times New Roman" w:hAnsi="Arial" w:cs="Arial"/>
                <w:sz w:val="16"/>
                <w:szCs w:val="16"/>
                <w:lang w:eastAsia="tr-TR"/>
              </w:rPr>
            </w:pPr>
          </w:p>
        </w:tc>
        <w:tc>
          <w:tcPr>
            <w:tcW w:w="776" w:type="pct"/>
            <w:tcBorders>
              <w:top w:val="nil"/>
              <w:left w:val="nil"/>
              <w:bottom w:val="nil"/>
              <w:right w:val="nil"/>
            </w:tcBorders>
            <w:shd w:val="clear" w:color="auto" w:fill="auto"/>
            <w:noWrap/>
            <w:vAlign w:val="center"/>
            <w:hideMark/>
          </w:tcPr>
          <w:p w:rsidR="00AC5C30" w:rsidRPr="000875F4" w:rsidRDefault="00AC5C30" w:rsidP="00AC5C30">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320-Bütçe Emanetleri Hesabı</w:t>
            </w:r>
          </w:p>
        </w:tc>
        <w:tc>
          <w:tcPr>
            <w:tcW w:w="359" w:type="pct"/>
            <w:tcBorders>
              <w:top w:val="nil"/>
              <w:left w:val="single" w:sz="8" w:space="0" w:color="auto"/>
              <w:bottom w:val="nil"/>
              <w:right w:val="single" w:sz="8" w:space="0" w:color="auto"/>
            </w:tcBorders>
            <w:shd w:val="clear" w:color="auto" w:fill="auto"/>
            <w:noWrap/>
            <w:vAlign w:val="center"/>
          </w:tcPr>
          <w:p w:rsidR="00AC5C30" w:rsidRPr="000875F4" w:rsidRDefault="00CE2EC2" w:rsidP="00AC5C30">
            <w:pPr>
              <w:spacing w:after="0" w:line="240" w:lineRule="auto"/>
              <w:jc w:val="right"/>
              <w:rPr>
                <w:rFonts w:ascii="Arial" w:eastAsia="Times New Roman" w:hAnsi="Arial" w:cs="Arial"/>
                <w:sz w:val="16"/>
                <w:szCs w:val="16"/>
                <w:lang w:eastAsia="tr-TR"/>
              </w:rPr>
            </w:pPr>
            <w:r w:rsidRPr="000875F4">
              <w:rPr>
                <w:rFonts w:ascii="Arial" w:eastAsia="Times New Roman" w:hAnsi="Arial" w:cs="Arial"/>
                <w:bCs/>
                <w:sz w:val="16"/>
                <w:szCs w:val="16"/>
                <w:lang w:eastAsia="tr-TR"/>
              </w:rPr>
              <w:t>0,00</w:t>
            </w:r>
          </w:p>
        </w:tc>
        <w:tc>
          <w:tcPr>
            <w:tcW w:w="326" w:type="pct"/>
            <w:tcBorders>
              <w:top w:val="nil"/>
              <w:left w:val="nil"/>
              <w:bottom w:val="nil"/>
              <w:right w:val="nil"/>
            </w:tcBorders>
            <w:shd w:val="clear" w:color="auto" w:fill="auto"/>
            <w:noWrap/>
            <w:vAlign w:val="center"/>
          </w:tcPr>
          <w:p w:rsidR="00AC5C30" w:rsidRPr="000875F4" w:rsidRDefault="00AC5C30" w:rsidP="00AC5C30">
            <w:pPr>
              <w:spacing w:after="0" w:line="240" w:lineRule="auto"/>
              <w:jc w:val="right"/>
              <w:rPr>
                <w:rFonts w:ascii="Arial" w:eastAsia="Times New Roman" w:hAnsi="Arial" w:cs="Arial"/>
                <w:sz w:val="16"/>
                <w:szCs w:val="16"/>
                <w:lang w:eastAsia="tr-TR"/>
              </w:rPr>
            </w:pPr>
            <w:r w:rsidRPr="000875F4">
              <w:rPr>
                <w:rFonts w:ascii="Arial" w:eastAsia="Times New Roman" w:hAnsi="Arial" w:cs="Arial"/>
                <w:bCs/>
                <w:sz w:val="16"/>
                <w:szCs w:val="16"/>
                <w:lang w:eastAsia="tr-TR"/>
              </w:rPr>
              <w:t>0,00</w:t>
            </w:r>
          </w:p>
        </w:tc>
        <w:tc>
          <w:tcPr>
            <w:tcW w:w="354" w:type="pct"/>
            <w:tcBorders>
              <w:top w:val="nil"/>
              <w:left w:val="single" w:sz="8" w:space="0" w:color="auto"/>
              <w:bottom w:val="nil"/>
              <w:right w:val="single" w:sz="8" w:space="0" w:color="auto"/>
            </w:tcBorders>
            <w:shd w:val="clear" w:color="auto" w:fill="auto"/>
            <w:noWrap/>
            <w:vAlign w:val="center"/>
          </w:tcPr>
          <w:p w:rsidR="00AC5C30" w:rsidRPr="000875F4" w:rsidRDefault="00AC5C30" w:rsidP="00AC5C30">
            <w:pPr>
              <w:spacing w:after="0" w:line="240" w:lineRule="auto"/>
              <w:jc w:val="right"/>
              <w:rPr>
                <w:rFonts w:ascii="Arial" w:eastAsia="Times New Roman" w:hAnsi="Arial" w:cs="Arial"/>
                <w:sz w:val="16"/>
                <w:szCs w:val="16"/>
                <w:lang w:eastAsia="tr-TR"/>
              </w:rPr>
            </w:pPr>
            <w:r w:rsidRPr="000875F4">
              <w:rPr>
                <w:rFonts w:ascii="Arial" w:eastAsia="Times New Roman" w:hAnsi="Arial" w:cs="Arial"/>
                <w:bCs/>
                <w:sz w:val="16"/>
                <w:szCs w:val="16"/>
                <w:lang w:eastAsia="tr-TR"/>
              </w:rPr>
              <w:t>0,00</w:t>
            </w:r>
          </w:p>
        </w:tc>
      </w:tr>
      <w:tr w:rsidR="00CE2EC2" w:rsidRPr="000875F4" w:rsidTr="00AC5C30">
        <w:trPr>
          <w:gridAfter w:val="4"/>
          <w:wAfter w:w="1354" w:type="pct"/>
          <w:trHeight w:val="20"/>
        </w:trPr>
        <w:tc>
          <w:tcPr>
            <w:tcW w:w="37" w:type="pct"/>
            <w:tcBorders>
              <w:top w:val="nil"/>
              <w:left w:val="single" w:sz="8" w:space="0" w:color="auto"/>
              <w:bottom w:val="nil"/>
              <w:right w:val="nil"/>
            </w:tcBorders>
            <w:shd w:val="clear" w:color="auto" w:fill="auto"/>
            <w:noWrap/>
            <w:vAlign w:val="bottom"/>
            <w:hideMark/>
          </w:tcPr>
          <w:p w:rsidR="00CE2EC2" w:rsidRPr="000875F4" w:rsidRDefault="00CE2EC2" w:rsidP="00CE2EC2">
            <w:pPr>
              <w:spacing w:after="0" w:line="240" w:lineRule="auto"/>
              <w:jc w:val="left"/>
              <w:rPr>
                <w:rFonts w:ascii="Arial" w:eastAsia="Times New Roman" w:hAnsi="Arial" w:cs="Arial"/>
                <w:sz w:val="20"/>
                <w:szCs w:val="20"/>
                <w:lang w:eastAsia="tr-TR"/>
              </w:rPr>
            </w:pPr>
            <w:r w:rsidRPr="000875F4">
              <w:rPr>
                <w:rFonts w:ascii="Arial" w:eastAsia="Times New Roman" w:hAnsi="Arial" w:cs="Arial"/>
                <w:sz w:val="20"/>
                <w:szCs w:val="20"/>
                <w:lang w:eastAsia="tr-TR"/>
              </w:rPr>
              <w:t> </w:t>
            </w:r>
          </w:p>
        </w:tc>
        <w:tc>
          <w:tcPr>
            <w:tcW w:w="685" w:type="pct"/>
            <w:gridSpan w:val="2"/>
            <w:tcBorders>
              <w:top w:val="nil"/>
              <w:left w:val="nil"/>
              <w:bottom w:val="nil"/>
              <w:right w:val="single" w:sz="8" w:space="0" w:color="000000"/>
            </w:tcBorders>
            <w:shd w:val="clear" w:color="auto" w:fill="auto"/>
            <w:noWrap/>
            <w:vAlign w:val="bottom"/>
            <w:hideMark/>
          </w:tcPr>
          <w:p w:rsidR="00CE2EC2" w:rsidRPr="000875F4" w:rsidRDefault="00CE2EC2" w:rsidP="00CE2EC2">
            <w:pPr>
              <w:spacing w:after="0" w:line="240" w:lineRule="auto"/>
              <w:jc w:val="lef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12-FAALİYET ALACAKLARI</w:t>
            </w:r>
          </w:p>
        </w:tc>
        <w:tc>
          <w:tcPr>
            <w:tcW w:w="330" w:type="pct"/>
            <w:tcBorders>
              <w:top w:val="nil"/>
              <w:left w:val="nil"/>
              <w:bottom w:val="nil"/>
              <w:right w:val="single" w:sz="8" w:space="0" w:color="auto"/>
            </w:tcBorders>
            <w:shd w:val="clear" w:color="auto" w:fill="auto"/>
            <w:noWrap/>
            <w:vAlign w:val="center"/>
          </w:tcPr>
          <w:p w:rsidR="00CE2EC2" w:rsidRPr="000875F4" w:rsidRDefault="00CE2EC2" w:rsidP="00CE2EC2">
            <w:pPr>
              <w:spacing w:after="0" w:line="240" w:lineRule="auto"/>
              <w:jc w:val="right"/>
              <w:rPr>
                <w:rFonts w:ascii="Arial" w:eastAsia="Times New Roman" w:hAnsi="Arial" w:cs="Arial"/>
                <w:b/>
                <w:bCs/>
                <w:sz w:val="16"/>
                <w:szCs w:val="16"/>
                <w:lang w:eastAsia="tr-TR"/>
              </w:rPr>
            </w:pPr>
            <w:r>
              <w:rPr>
                <w:rFonts w:ascii="Arial" w:hAnsi="Arial" w:cs="Arial"/>
                <w:b/>
                <w:bCs/>
                <w:color w:val="000000"/>
                <w:sz w:val="16"/>
                <w:szCs w:val="16"/>
              </w:rPr>
              <w:t>16.640.383,32</w:t>
            </w:r>
          </w:p>
        </w:tc>
        <w:tc>
          <w:tcPr>
            <w:tcW w:w="330" w:type="pct"/>
            <w:tcBorders>
              <w:top w:val="nil"/>
              <w:left w:val="nil"/>
              <w:bottom w:val="nil"/>
              <w:right w:val="single" w:sz="8" w:space="0" w:color="auto"/>
            </w:tcBorders>
            <w:shd w:val="clear" w:color="auto" w:fill="auto"/>
            <w:noWrap/>
            <w:vAlign w:val="center"/>
          </w:tcPr>
          <w:p w:rsidR="00CE2EC2" w:rsidRPr="000875F4" w:rsidRDefault="00CE2EC2" w:rsidP="00CE2EC2">
            <w:pPr>
              <w:spacing w:after="0" w:line="240" w:lineRule="auto"/>
              <w:jc w:val="right"/>
              <w:rPr>
                <w:rFonts w:ascii="Arial" w:eastAsia="Times New Roman" w:hAnsi="Arial" w:cs="Arial"/>
                <w:b/>
                <w:bCs/>
                <w:sz w:val="16"/>
                <w:szCs w:val="16"/>
                <w:lang w:eastAsia="tr-TR"/>
              </w:rPr>
            </w:pPr>
            <w:r>
              <w:rPr>
                <w:rFonts w:ascii="Arial" w:hAnsi="Arial" w:cs="Arial"/>
                <w:b/>
                <w:bCs/>
                <w:color w:val="000000"/>
                <w:sz w:val="16"/>
                <w:szCs w:val="16"/>
              </w:rPr>
              <w:t>39.709.798,96</w:t>
            </w:r>
          </w:p>
        </w:tc>
        <w:tc>
          <w:tcPr>
            <w:tcW w:w="339" w:type="pct"/>
            <w:tcBorders>
              <w:top w:val="nil"/>
              <w:left w:val="nil"/>
              <w:bottom w:val="nil"/>
              <w:right w:val="single" w:sz="8" w:space="0" w:color="auto"/>
            </w:tcBorders>
            <w:shd w:val="clear" w:color="auto" w:fill="auto"/>
            <w:noWrap/>
            <w:vAlign w:val="center"/>
          </w:tcPr>
          <w:p w:rsidR="00CE2EC2" w:rsidRPr="000875F4" w:rsidRDefault="00CE2EC2" w:rsidP="00CE2EC2">
            <w:pPr>
              <w:spacing w:after="0" w:line="240" w:lineRule="auto"/>
              <w:jc w:val="right"/>
              <w:rPr>
                <w:rFonts w:ascii="Arial" w:eastAsia="Times New Roman" w:hAnsi="Arial" w:cs="Arial"/>
                <w:b/>
                <w:bCs/>
                <w:sz w:val="16"/>
                <w:szCs w:val="16"/>
                <w:lang w:eastAsia="tr-TR"/>
              </w:rPr>
            </w:pPr>
            <w:r>
              <w:rPr>
                <w:rFonts w:ascii="Arial" w:hAnsi="Arial" w:cs="Arial"/>
                <w:b/>
                <w:bCs/>
                <w:color w:val="000000"/>
                <w:sz w:val="16"/>
                <w:szCs w:val="16"/>
              </w:rPr>
              <w:t>55.650.520,84</w:t>
            </w:r>
          </w:p>
        </w:tc>
        <w:tc>
          <w:tcPr>
            <w:tcW w:w="38" w:type="pct"/>
            <w:tcBorders>
              <w:top w:val="nil"/>
              <w:left w:val="nil"/>
              <w:bottom w:val="nil"/>
              <w:right w:val="nil"/>
            </w:tcBorders>
            <w:shd w:val="clear" w:color="auto" w:fill="auto"/>
            <w:noWrap/>
            <w:vAlign w:val="center"/>
            <w:hideMark/>
          </w:tcPr>
          <w:p w:rsidR="00CE2EC2" w:rsidRPr="000875F4" w:rsidRDefault="00CE2EC2" w:rsidP="00CE2EC2">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848" w:type="pct"/>
            <w:gridSpan w:val="2"/>
            <w:tcBorders>
              <w:top w:val="nil"/>
              <w:left w:val="nil"/>
              <w:bottom w:val="nil"/>
              <w:right w:val="nil"/>
            </w:tcBorders>
            <w:shd w:val="clear" w:color="auto" w:fill="auto"/>
            <w:noWrap/>
            <w:vAlign w:val="center"/>
            <w:hideMark/>
          </w:tcPr>
          <w:p w:rsidR="00CE2EC2" w:rsidRPr="000875F4" w:rsidRDefault="00CE2EC2" w:rsidP="00CE2EC2">
            <w:pPr>
              <w:spacing w:after="0" w:line="240" w:lineRule="auto"/>
              <w:jc w:val="lef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33-EMANET YABANCI KAYNAKLAR</w:t>
            </w:r>
          </w:p>
        </w:tc>
        <w:tc>
          <w:tcPr>
            <w:tcW w:w="359" w:type="pct"/>
            <w:tcBorders>
              <w:top w:val="nil"/>
              <w:left w:val="single" w:sz="8" w:space="0" w:color="auto"/>
              <w:bottom w:val="nil"/>
              <w:right w:val="single" w:sz="8" w:space="0" w:color="auto"/>
            </w:tcBorders>
            <w:shd w:val="clear" w:color="auto" w:fill="auto"/>
            <w:noWrap/>
            <w:vAlign w:val="center"/>
          </w:tcPr>
          <w:p w:rsidR="00CE2EC2" w:rsidRPr="000875F4" w:rsidRDefault="00CE2EC2" w:rsidP="00CE2EC2">
            <w:pPr>
              <w:spacing w:after="0" w:line="240" w:lineRule="auto"/>
              <w:jc w:val="right"/>
              <w:rPr>
                <w:rFonts w:ascii="Arial" w:eastAsia="Times New Roman" w:hAnsi="Arial" w:cs="Arial"/>
                <w:b/>
                <w:bCs/>
                <w:sz w:val="16"/>
                <w:szCs w:val="16"/>
                <w:lang w:eastAsia="tr-TR"/>
              </w:rPr>
            </w:pPr>
            <w:r>
              <w:rPr>
                <w:rFonts w:ascii="Arial" w:hAnsi="Arial" w:cs="Arial"/>
                <w:b/>
                <w:bCs/>
                <w:color w:val="000000"/>
                <w:sz w:val="16"/>
                <w:szCs w:val="16"/>
              </w:rPr>
              <w:t>27.770.226,89</w:t>
            </w:r>
          </w:p>
        </w:tc>
        <w:tc>
          <w:tcPr>
            <w:tcW w:w="326" w:type="pct"/>
            <w:tcBorders>
              <w:top w:val="nil"/>
              <w:left w:val="nil"/>
              <w:bottom w:val="nil"/>
              <w:right w:val="nil"/>
            </w:tcBorders>
            <w:shd w:val="clear" w:color="auto" w:fill="auto"/>
            <w:noWrap/>
            <w:vAlign w:val="center"/>
          </w:tcPr>
          <w:p w:rsidR="00CE2EC2" w:rsidRPr="000875F4" w:rsidRDefault="00CE2EC2" w:rsidP="00CE2EC2">
            <w:pPr>
              <w:spacing w:after="0" w:line="240" w:lineRule="auto"/>
              <w:jc w:val="right"/>
              <w:rPr>
                <w:rFonts w:ascii="Arial" w:eastAsia="Times New Roman" w:hAnsi="Arial" w:cs="Arial"/>
                <w:b/>
                <w:bCs/>
                <w:sz w:val="16"/>
                <w:szCs w:val="16"/>
                <w:lang w:eastAsia="tr-TR"/>
              </w:rPr>
            </w:pPr>
            <w:r>
              <w:rPr>
                <w:rFonts w:ascii="Arial" w:hAnsi="Arial" w:cs="Arial"/>
                <w:b/>
                <w:bCs/>
                <w:color w:val="000000"/>
                <w:sz w:val="16"/>
                <w:szCs w:val="16"/>
              </w:rPr>
              <w:t>11.193.410,66</w:t>
            </w:r>
          </w:p>
        </w:tc>
        <w:tc>
          <w:tcPr>
            <w:tcW w:w="354" w:type="pct"/>
            <w:tcBorders>
              <w:top w:val="nil"/>
              <w:left w:val="single" w:sz="8" w:space="0" w:color="auto"/>
              <w:bottom w:val="nil"/>
              <w:right w:val="single" w:sz="8" w:space="0" w:color="auto"/>
            </w:tcBorders>
            <w:shd w:val="clear" w:color="auto" w:fill="auto"/>
            <w:noWrap/>
            <w:vAlign w:val="center"/>
          </w:tcPr>
          <w:p w:rsidR="00CE2EC2" w:rsidRPr="000875F4" w:rsidRDefault="00CE2EC2" w:rsidP="00CE2EC2">
            <w:pPr>
              <w:spacing w:after="0" w:line="240" w:lineRule="auto"/>
              <w:jc w:val="right"/>
              <w:rPr>
                <w:rFonts w:ascii="Arial" w:eastAsia="Times New Roman" w:hAnsi="Arial" w:cs="Arial"/>
                <w:b/>
                <w:bCs/>
                <w:sz w:val="16"/>
                <w:szCs w:val="16"/>
                <w:lang w:eastAsia="tr-TR"/>
              </w:rPr>
            </w:pPr>
            <w:r>
              <w:rPr>
                <w:rFonts w:ascii="Arial" w:hAnsi="Arial" w:cs="Arial"/>
                <w:b/>
                <w:bCs/>
                <w:color w:val="000000"/>
                <w:sz w:val="16"/>
                <w:szCs w:val="16"/>
              </w:rPr>
              <w:t>14.392.225,13</w:t>
            </w:r>
          </w:p>
        </w:tc>
      </w:tr>
      <w:tr w:rsidR="00CE2EC2" w:rsidRPr="000875F4" w:rsidTr="00AC5C30">
        <w:trPr>
          <w:gridAfter w:val="4"/>
          <w:wAfter w:w="1354" w:type="pct"/>
          <w:trHeight w:val="20"/>
        </w:trPr>
        <w:tc>
          <w:tcPr>
            <w:tcW w:w="37" w:type="pct"/>
            <w:tcBorders>
              <w:top w:val="nil"/>
              <w:left w:val="single" w:sz="8" w:space="0" w:color="auto"/>
              <w:bottom w:val="nil"/>
              <w:right w:val="nil"/>
            </w:tcBorders>
            <w:shd w:val="clear" w:color="auto" w:fill="auto"/>
            <w:noWrap/>
            <w:vAlign w:val="bottom"/>
            <w:hideMark/>
          </w:tcPr>
          <w:p w:rsidR="00CE2EC2" w:rsidRPr="000875F4" w:rsidRDefault="00CE2EC2" w:rsidP="00CE2EC2">
            <w:pPr>
              <w:spacing w:after="0" w:line="240" w:lineRule="auto"/>
              <w:jc w:val="left"/>
              <w:rPr>
                <w:rFonts w:ascii="Arial" w:eastAsia="Times New Roman" w:hAnsi="Arial" w:cs="Arial"/>
                <w:sz w:val="20"/>
                <w:szCs w:val="20"/>
                <w:lang w:eastAsia="tr-TR"/>
              </w:rPr>
            </w:pPr>
            <w:r w:rsidRPr="000875F4">
              <w:rPr>
                <w:rFonts w:ascii="Arial" w:eastAsia="Times New Roman" w:hAnsi="Arial" w:cs="Arial"/>
                <w:sz w:val="20"/>
                <w:szCs w:val="20"/>
                <w:lang w:eastAsia="tr-TR"/>
              </w:rPr>
              <w:t> </w:t>
            </w:r>
          </w:p>
        </w:tc>
        <w:tc>
          <w:tcPr>
            <w:tcW w:w="88" w:type="pct"/>
            <w:tcBorders>
              <w:top w:val="nil"/>
              <w:left w:val="nil"/>
              <w:bottom w:val="nil"/>
              <w:right w:val="nil"/>
            </w:tcBorders>
            <w:shd w:val="clear" w:color="auto" w:fill="auto"/>
            <w:noWrap/>
            <w:vAlign w:val="bottom"/>
            <w:hideMark/>
          </w:tcPr>
          <w:p w:rsidR="00CE2EC2" w:rsidRPr="000875F4" w:rsidRDefault="00CE2EC2" w:rsidP="00CE2EC2">
            <w:pPr>
              <w:spacing w:after="0" w:line="240" w:lineRule="auto"/>
              <w:jc w:val="left"/>
              <w:rPr>
                <w:rFonts w:ascii="Arial" w:eastAsia="Times New Roman" w:hAnsi="Arial" w:cs="Arial"/>
                <w:sz w:val="20"/>
                <w:szCs w:val="20"/>
                <w:lang w:eastAsia="tr-TR"/>
              </w:rPr>
            </w:pPr>
          </w:p>
        </w:tc>
        <w:tc>
          <w:tcPr>
            <w:tcW w:w="597" w:type="pct"/>
            <w:tcBorders>
              <w:top w:val="nil"/>
              <w:left w:val="nil"/>
              <w:bottom w:val="nil"/>
              <w:right w:val="single" w:sz="8" w:space="0" w:color="auto"/>
            </w:tcBorders>
            <w:shd w:val="clear" w:color="auto" w:fill="auto"/>
            <w:noWrap/>
            <w:vAlign w:val="bottom"/>
            <w:hideMark/>
          </w:tcPr>
          <w:p w:rsidR="00CE2EC2" w:rsidRPr="000875F4" w:rsidRDefault="00CE2EC2" w:rsidP="00CE2EC2">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120-Gelirlerden Alacaklar Hes.</w:t>
            </w:r>
          </w:p>
        </w:tc>
        <w:tc>
          <w:tcPr>
            <w:tcW w:w="330" w:type="pct"/>
            <w:tcBorders>
              <w:top w:val="nil"/>
              <w:left w:val="nil"/>
              <w:bottom w:val="nil"/>
              <w:right w:val="single" w:sz="8" w:space="0" w:color="auto"/>
            </w:tcBorders>
            <w:shd w:val="clear" w:color="auto" w:fill="auto"/>
            <w:noWrap/>
            <w:vAlign w:val="center"/>
          </w:tcPr>
          <w:p w:rsidR="00CE2EC2" w:rsidRPr="00AC5C30" w:rsidRDefault="00CE2EC2" w:rsidP="00CE2EC2">
            <w:pPr>
              <w:spacing w:after="0" w:line="240" w:lineRule="auto"/>
              <w:jc w:val="right"/>
              <w:rPr>
                <w:rFonts w:ascii="Arial" w:eastAsia="Times New Roman" w:hAnsi="Arial" w:cs="Arial"/>
                <w:sz w:val="16"/>
                <w:szCs w:val="16"/>
                <w:lang w:eastAsia="tr-TR"/>
              </w:rPr>
            </w:pPr>
            <w:r w:rsidRPr="00AC5C30">
              <w:rPr>
                <w:rFonts w:ascii="Arial" w:hAnsi="Arial" w:cs="Arial"/>
                <w:bCs/>
                <w:color w:val="000000"/>
                <w:sz w:val="16"/>
                <w:szCs w:val="16"/>
              </w:rPr>
              <w:t>0</w:t>
            </w:r>
          </w:p>
        </w:tc>
        <w:tc>
          <w:tcPr>
            <w:tcW w:w="330" w:type="pct"/>
            <w:tcBorders>
              <w:top w:val="nil"/>
              <w:left w:val="nil"/>
              <w:right w:val="single" w:sz="8" w:space="0" w:color="auto"/>
            </w:tcBorders>
            <w:shd w:val="clear" w:color="auto" w:fill="auto"/>
            <w:noWrap/>
            <w:vAlign w:val="center"/>
          </w:tcPr>
          <w:p w:rsidR="00CE2EC2" w:rsidRPr="000875F4" w:rsidRDefault="00CE2EC2" w:rsidP="00CE2EC2">
            <w:pPr>
              <w:spacing w:after="0" w:line="240" w:lineRule="auto"/>
              <w:jc w:val="right"/>
              <w:rPr>
                <w:rFonts w:ascii="Arial" w:eastAsia="Times New Roman" w:hAnsi="Arial" w:cs="Arial"/>
                <w:b/>
                <w:bCs/>
                <w:sz w:val="16"/>
                <w:szCs w:val="16"/>
                <w:lang w:eastAsia="tr-TR"/>
              </w:rPr>
            </w:pPr>
            <w:r>
              <w:rPr>
                <w:rFonts w:ascii="Arial" w:hAnsi="Arial" w:cs="Arial"/>
                <w:b/>
                <w:bCs/>
                <w:color w:val="000000"/>
                <w:sz w:val="16"/>
                <w:szCs w:val="16"/>
              </w:rPr>
              <w:t>0</w:t>
            </w:r>
          </w:p>
        </w:tc>
        <w:tc>
          <w:tcPr>
            <w:tcW w:w="339" w:type="pct"/>
            <w:tcBorders>
              <w:top w:val="nil"/>
              <w:left w:val="nil"/>
              <w:bottom w:val="nil"/>
              <w:right w:val="single" w:sz="8" w:space="0" w:color="auto"/>
            </w:tcBorders>
            <w:shd w:val="clear" w:color="auto" w:fill="auto"/>
            <w:noWrap/>
            <w:vAlign w:val="center"/>
          </w:tcPr>
          <w:p w:rsidR="00CE2EC2" w:rsidRPr="000875F4" w:rsidRDefault="00CE2EC2" w:rsidP="00CE2EC2">
            <w:pPr>
              <w:spacing w:after="0" w:line="240" w:lineRule="auto"/>
              <w:jc w:val="right"/>
              <w:rPr>
                <w:rFonts w:ascii="Arial" w:eastAsia="Times New Roman" w:hAnsi="Arial" w:cs="Arial"/>
                <w:b/>
                <w:bCs/>
                <w:sz w:val="16"/>
                <w:szCs w:val="16"/>
                <w:lang w:eastAsia="tr-TR"/>
              </w:rPr>
            </w:pPr>
            <w:r>
              <w:rPr>
                <w:rFonts w:ascii="Arial" w:hAnsi="Arial" w:cs="Arial"/>
                <w:b/>
                <w:bCs/>
                <w:color w:val="000000"/>
                <w:sz w:val="16"/>
                <w:szCs w:val="16"/>
              </w:rPr>
              <w:t>4.940.411,56</w:t>
            </w:r>
          </w:p>
        </w:tc>
        <w:tc>
          <w:tcPr>
            <w:tcW w:w="38" w:type="pct"/>
            <w:tcBorders>
              <w:top w:val="nil"/>
              <w:left w:val="nil"/>
              <w:bottom w:val="nil"/>
              <w:right w:val="nil"/>
            </w:tcBorders>
            <w:shd w:val="clear" w:color="auto" w:fill="auto"/>
            <w:noWrap/>
            <w:vAlign w:val="center"/>
            <w:hideMark/>
          </w:tcPr>
          <w:p w:rsidR="00CE2EC2" w:rsidRPr="000875F4" w:rsidRDefault="00CE2EC2" w:rsidP="00CE2EC2">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72" w:type="pct"/>
            <w:tcBorders>
              <w:top w:val="nil"/>
              <w:left w:val="nil"/>
              <w:bottom w:val="nil"/>
              <w:right w:val="nil"/>
            </w:tcBorders>
            <w:shd w:val="clear" w:color="auto" w:fill="auto"/>
            <w:noWrap/>
            <w:vAlign w:val="center"/>
            <w:hideMark/>
          </w:tcPr>
          <w:p w:rsidR="00CE2EC2" w:rsidRPr="000875F4" w:rsidRDefault="00CE2EC2" w:rsidP="00CE2EC2">
            <w:pPr>
              <w:spacing w:after="0" w:line="240" w:lineRule="auto"/>
              <w:jc w:val="left"/>
              <w:rPr>
                <w:rFonts w:ascii="Arial" w:eastAsia="Times New Roman" w:hAnsi="Arial" w:cs="Arial"/>
                <w:sz w:val="16"/>
                <w:szCs w:val="16"/>
                <w:lang w:eastAsia="tr-TR"/>
              </w:rPr>
            </w:pPr>
          </w:p>
        </w:tc>
        <w:tc>
          <w:tcPr>
            <w:tcW w:w="776" w:type="pct"/>
            <w:tcBorders>
              <w:top w:val="nil"/>
              <w:left w:val="nil"/>
              <w:bottom w:val="nil"/>
              <w:right w:val="nil"/>
            </w:tcBorders>
            <w:shd w:val="clear" w:color="auto" w:fill="auto"/>
            <w:noWrap/>
            <w:vAlign w:val="center"/>
            <w:hideMark/>
          </w:tcPr>
          <w:p w:rsidR="00CE2EC2" w:rsidRPr="000875F4" w:rsidRDefault="00CE2EC2" w:rsidP="00CE2EC2">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330-Alınan Depozito ve Teminatlar</w:t>
            </w:r>
          </w:p>
        </w:tc>
        <w:tc>
          <w:tcPr>
            <w:tcW w:w="359" w:type="pct"/>
            <w:tcBorders>
              <w:top w:val="nil"/>
              <w:left w:val="single" w:sz="8" w:space="0" w:color="auto"/>
              <w:bottom w:val="nil"/>
              <w:right w:val="single" w:sz="8" w:space="0" w:color="auto"/>
            </w:tcBorders>
            <w:shd w:val="clear" w:color="auto" w:fill="auto"/>
            <w:noWrap/>
            <w:vAlign w:val="center"/>
          </w:tcPr>
          <w:p w:rsidR="00CE2EC2" w:rsidRPr="000875F4" w:rsidRDefault="00CE2EC2" w:rsidP="00CE2EC2">
            <w:pPr>
              <w:spacing w:after="0" w:line="240" w:lineRule="auto"/>
              <w:jc w:val="right"/>
              <w:rPr>
                <w:rFonts w:ascii="Arial" w:eastAsia="Times New Roman" w:hAnsi="Arial" w:cs="Arial"/>
                <w:sz w:val="16"/>
                <w:szCs w:val="16"/>
                <w:lang w:eastAsia="tr-TR"/>
              </w:rPr>
            </w:pPr>
            <w:r>
              <w:rPr>
                <w:rFonts w:ascii="Arial" w:hAnsi="Arial" w:cs="Arial"/>
                <w:color w:val="000000"/>
                <w:sz w:val="16"/>
                <w:szCs w:val="16"/>
              </w:rPr>
              <w:t>11.663.650,13</w:t>
            </w:r>
          </w:p>
        </w:tc>
        <w:tc>
          <w:tcPr>
            <w:tcW w:w="326" w:type="pct"/>
            <w:tcBorders>
              <w:top w:val="nil"/>
              <w:left w:val="nil"/>
              <w:bottom w:val="nil"/>
              <w:right w:val="nil"/>
            </w:tcBorders>
            <w:shd w:val="clear" w:color="auto" w:fill="auto"/>
            <w:noWrap/>
            <w:vAlign w:val="center"/>
          </w:tcPr>
          <w:p w:rsidR="00CE2EC2" w:rsidRPr="000875F4" w:rsidRDefault="00CE2EC2" w:rsidP="00CE2EC2">
            <w:pPr>
              <w:spacing w:after="0" w:line="240" w:lineRule="auto"/>
              <w:jc w:val="right"/>
              <w:rPr>
                <w:rFonts w:ascii="Arial" w:eastAsia="Times New Roman" w:hAnsi="Arial" w:cs="Arial"/>
                <w:sz w:val="16"/>
                <w:szCs w:val="16"/>
                <w:lang w:eastAsia="tr-TR"/>
              </w:rPr>
            </w:pPr>
            <w:r>
              <w:rPr>
                <w:rFonts w:ascii="Arial" w:hAnsi="Arial" w:cs="Arial"/>
                <w:color w:val="000000"/>
                <w:sz w:val="16"/>
                <w:szCs w:val="16"/>
              </w:rPr>
              <w:t>10.878.829,00</w:t>
            </w:r>
          </w:p>
        </w:tc>
        <w:tc>
          <w:tcPr>
            <w:tcW w:w="354" w:type="pct"/>
            <w:tcBorders>
              <w:top w:val="nil"/>
              <w:left w:val="single" w:sz="8" w:space="0" w:color="auto"/>
              <w:bottom w:val="nil"/>
              <w:right w:val="single" w:sz="8" w:space="0" w:color="auto"/>
            </w:tcBorders>
            <w:shd w:val="clear" w:color="auto" w:fill="auto"/>
            <w:noWrap/>
            <w:vAlign w:val="center"/>
          </w:tcPr>
          <w:p w:rsidR="00CE2EC2" w:rsidRPr="000875F4" w:rsidRDefault="00CE2EC2" w:rsidP="00CE2EC2">
            <w:pPr>
              <w:spacing w:after="0" w:line="240" w:lineRule="auto"/>
              <w:jc w:val="right"/>
              <w:rPr>
                <w:rFonts w:ascii="Arial" w:eastAsia="Times New Roman" w:hAnsi="Arial" w:cs="Arial"/>
                <w:sz w:val="16"/>
                <w:szCs w:val="16"/>
                <w:lang w:eastAsia="tr-TR"/>
              </w:rPr>
            </w:pPr>
            <w:r>
              <w:rPr>
                <w:rFonts w:ascii="Arial" w:hAnsi="Arial" w:cs="Arial"/>
                <w:color w:val="000000"/>
                <w:sz w:val="16"/>
                <w:szCs w:val="16"/>
              </w:rPr>
              <w:t>14.045.114,80</w:t>
            </w:r>
          </w:p>
        </w:tc>
      </w:tr>
      <w:tr w:rsidR="00CE2EC2" w:rsidRPr="000875F4" w:rsidTr="000875F4">
        <w:trPr>
          <w:gridAfter w:val="4"/>
          <w:wAfter w:w="1354" w:type="pct"/>
          <w:trHeight w:val="20"/>
        </w:trPr>
        <w:tc>
          <w:tcPr>
            <w:tcW w:w="37" w:type="pct"/>
            <w:tcBorders>
              <w:top w:val="nil"/>
              <w:left w:val="single" w:sz="8" w:space="0" w:color="auto"/>
              <w:bottom w:val="nil"/>
              <w:right w:val="nil"/>
            </w:tcBorders>
            <w:shd w:val="clear" w:color="auto" w:fill="auto"/>
            <w:noWrap/>
            <w:vAlign w:val="bottom"/>
            <w:hideMark/>
          </w:tcPr>
          <w:p w:rsidR="00CE2EC2" w:rsidRPr="000875F4" w:rsidRDefault="00CE2EC2" w:rsidP="00CE2EC2">
            <w:pPr>
              <w:spacing w:after="0" w:line="240" w:lineRule="auto"/>
              <w:jc w:val="left"/>
              <w:rPr>
                <w:rFonts w:ascii="Arial" w:eastAsia="Times New Roman" w:hAnsi="Arial" w:cs="Arial"/>
                <w:sz w:val="20"/>
                <w:szCs w:val="20"/>
                <w:lang w:eastAsia="tr-TR"/>
              </w:rPr>
            </w:pPr>
            <w:r w:rsidRPr="000875F4">
              <w:rPr>
                <w:rFonts w:ascii="Arial" w:eastAsia="Times New Roman" w:hAnsi="Arial" w:cs="Arial"/>
                <w:sz w:val="20"/>
                <w:szCs w:val="20"/>
                <w:lang w:eastAsia="tr-TR"/>
              </w:rPr>
              <w:t> </w:t>
            </w:r>
          </w:p>
        </w:tc>
        <w:tc>
          <w:tcPr>
            <w:tcW w:w="88" w:type="pct"/>
            <w:tcBorders>
              <w:top w:val="nil"/>
              <w:left w:val="nil"/>
              <w:bottom w:val="nil"/>
              <w:right w:val="nil"/>
            </w:tcBorders>
            <w:shd w:val="clear" w:color="auto" w:fill="auto"/>
            <w:noWrap/>
            <w:vAlign w:val="bottom"/>
            <w:hideMark/>
          </w:tcPr>
          <w:p w:rsidR="00CE2EC2" w:rsidRPr="000875F4" w:rsidRDefault="00CE2EC2" w:rsidP="00CE2EC2">
            <w:pPr>
              <w:spacing w:after="0" w:line="240" w:lineRule="auto"/>
              <w:jc w:val="left"/>
              <w:rPr>
                <w:rFonts w:ascii="Arial" w:eastAsia="Times New Roman" w:hAnsi="Arial" w:cs="Arial"/>
                <w:sz w:val="20"/>
                <w:szCs w:val="20"/>
                <w:lang w:eastAsia="tr-TR"/>
              </w:rPr>
            </w:pPr>
          </w:p>
        </w:tc>
        <w:tc>
          <w:tcPr>
            <w:tcW w:w="597" w:type="pct"/>
            <w:tcBorders>
              <w:top w:val="nil"/>
              <w:left w:val="nil"/>
              <w:bottom w:val="nil"/>
              <w:right w:val="single" w:sz="8" w:space="0" w:color="auto"/>
            </w:tcBorders>
            <w:shd w:val="clear" w:color="auto" w:fill="auto"/>
            <w:noWrap/>
            <w:vAlign w:val="bottom"/>
            <w:hideMark/>
          </w:tcPr>
          <w:p w:rsidR="00CE2EC2" w:rsidRPr="000875F4" w:rsidRDefault="00CE2EC2" w:rsidP="00CE2EC2">
            <w:pPr>
              <w:spacing w:after="0" w:line="240" w:lineRule="auto"/>
              <w:jc w:val="left"/>
              <w:rPr>
                <w:rFonts w:ascii="Arial" w:eastAsia="Times New Roman" w:hAnsi="Arial" w:cs="Arial"/>
                <w:sz w:val="16"/>
                <w:szCs w:val="16"/>
                <w:lang w:eastAsia="tr-TR"/>
              </w:rPr>
            </w:pPr>
          </w:p>
        </w:tc>
        <w:tc>
          <w:tcPr>
            <w:tcW w:w="330" w:type="pct"/>
            <w:tcBorders>
              <w:top w:val="nil"/>
              <w:left w:val="nil"/>
              <w:bottom w:val="nil"/>
              <w:right w:val="single" w:sz="8" w:space="0" w:color="auto"/>
            </w:tcBorders>
            <w:shd w:val="clear" w:color="auto" w:fill="auto"/>
            <w:noWrap/>
            <w:vAlign w:val="bottom"/>
          </w:tcPr>
          <w:p w:rsidR="00CE2EC2" w:rsidRPr="000875F4" w:rsidRDefault="00CE2EC2" w:rsidP="00CE2EC2">
            <w:pPr>
              <w:spacing w:after="0" w:line="240" w:lineRule="auto"/>
              <w:jc w:val="right"/>
              <w:rPr>
                <w:rFonts w:ascii="Arial" w:eastAsia="Times New Roman" w:hAnsi="Arial" w:cs="Arial"/>
                <w:sz w:val="16"/>
                <w:szCs w:val="16"/>
                <w:lang w:eastAsia="tr-TR"/>
              </w:rPr>
            </w:pPr>
          </w:p>
        </w:tc>
        <w:tc>
          <w:tcPr>
            <w:tcW w:w="330" w:type="pct"/>
            <w:tcBorders>
              <w:top w:val="nil"/>
              <w:left w:val="nil"/>
              <w:bottom w:val="nil"/>
              <w:right w:val="single" w:sz="4" w:space="0" w:color="auto"/>
            </w:tcBorders>
            <w:shd w:val="clear" w:color="auto" w:fill="auto"/>
            <w:noWrap/>
            <w:vAlign w:val="bottom"/>
          </w:tcPr>
          <w:p w:rsidR="00CE2EC2" w:rsidRPr="000875F4" w:rsidRDefault="00CE2EC2" w:rsidP="00CE2EC2">
            <w:pPr>
              <w:spacing w:after="0" w:line="240" w:lineRule="auto"/>
              <w:jc w:val="right"/>
              <w:rPr>
                <w:rFonts w:ascii="Arial" w:eastAsia="Times New Roman" w:hAnsi="Arial" w:cs="Arial"/>
                <w:b/>
                <w:bCs/>
                <w:sz w:val="16"/>
                <w:szCs w:val="16"/>
                <w:lang w:eastAsia="tr-TR"/>
              </w:rPr>
            </w:pPr>
          </w:p>
        </w:tc>
        <w:tc>
          <w:tcPr>
            <w:tcW w:w="339" w:type="pct"/>
            <w:tcBorders>
              <w:top w:val="nil"/>
              <w:left w:val="single" w:sz="4" w:space="0" w:color="auto"/>
              <w:bottom w:val="nil"/>
              <w:right w:val="single" w:sz="8" w:space="0" w:color="auto"/>
            </w:tcBorders>
            <w:shd w:val="clear" w:color="auto" w:fill="auto"/>
            <w:noWrap/>
            <w:vAlign w:val="bottom"/>
          </w:tcPr>
          <w:p w:rsidR="00CE2EC2" w:rsidRPr="000875F4" w:rsidRDefault="00CE2EC2" w:rsidP="00CE2EC2">
            <w:pPr>
              <w:spacing w:after="0" w:line="240" w:lineRule="auto"/>
              <w:jc w:val="right"/>
              <w:rPr>
                <w:rFonts w:ascii="Arial" w:eastAsia="Times New Roman" w:hAnsi="Arial" w:cs="Arial"/>
                <w:b/>
                <w:bCs/>
                <w:sz w:val="16"/>
                <w:szCs w:val="16"/>
                <w:lang w:eastAsia="tr-TR"/>
              </w:rPr>
            </w:pPr>
          </w:p>
        </w:tc>
        <w:tc>
          <w:tcPr>
            <w:tcW w:w="38" w:type="pct"/>
            <w:tcBorders>
              <w:top w:val="nil"/>
              <w:left w:val="nil"/>
              <w:bottom w:val="nil"/>
              <w:right w:val="nil"/>
            </w:tcBorders>
            <w:shd w:val="clear" w:color="auto" w:fill="auto"/>
            <w:noWrap/>
            <w:vAlign w:val="center"/>
            <w:hideMark/>
          </w:tcPr>
          <w:p w:rsidR="00CE2EC2" w:rsidRPr="000875F4" w:rsidRDefault="00CE2EC2" w:rsidP="00CE2EC2">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72" w:type="pct"/>
            <w:tcBorders>
              <w:top w:val="nil"/>
              <w:left w:val="nil"/>
              <w:bottom w:val="nil"/>
              <w:right w:val="nil"/>
            </w:tcBorders>
            <w:shd w:val="clear" w:color="auto" w:fill="auto"/>
            <w:noWrap/>
            <w:vAlign w:val="center"/>
            <w:hideMark/>
          </w:tcPr>
          <w:p w:rsidR="00CE2EC2" w:rsidRPr="000875F4" w:rsidRDefault="00CE2EC2" w:rsidP="00CE2EC2">
            <w:pPr>
              <w:spacing w:after="0" w:line="240" w:lineRule="auto"/>
              <w:jc w:val="left"/>
              <w:rPr>
                <w:rFonts w:ascii="Arial" w:eastAsia="Times New Roman" w:hAnsi="Arial" w:cs="Arial"/>
                <w:sz w:val="16"/>
                <w:szCs w:val="16"/>
                <w:lang w:eastAsia="tr-TR"/>
              </w:rPr>
            </w:pPr>
          </w:p>
        </w:tc>
        <w:tc>
          <w:tcPr>
            <w:tcW w:w="776" w:type="pct"/>
            <w:tcBorders>
              <w:top w:val="nil"/>
              <w:left w:val="nil"/>
              <w:bottom w:val="nil"/>
              <w:right w:val="nil"/>
            </w:tcBorders>
            <w:shd w:val="clear" w:color="auto" w:fill="auto"/>
            <w:noWrap/>
            <w:vAlign w:val="center"/>
            <w:hideMark/>
          </w:tcPr>
          <w:p w:rsidR="00CE2EC2" w:rsidRPr="000875F4" w:rsidRDefault="00CE2EC2" w:rsidP="00CE2EC2">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333-Emanetler Hesabı</w:t>
            </w:r>
          </w:p>
        </w:tc>
        <w:tc>
          <w:tcPr>
            <w:tcW w:w="359" w:type="pct"/>
            <w:tcBorders>
              <w:top w:val="nil"/>
              <w:left w:val="single" w:sz="8" w:space="0" w:color="auto"/>
              <w:bottom w:val="nil"/>
              <w:right w:val="single" w:sz="8" w:space="0" w:color="auto"/>
            </w:tcBorders>
            <w:shd w:val="clear" w:color="auto" w:fill="auto"/>
            <w:noWrap/>
            <w:vAlign w:val="center"/>
          </w:tcPr>
          <w:p w:rsidR="00CE2EC2" w:rsidRPr="000875F4" w:rsidRDefault="00CE2EC2" w:rsidP="00CE2EC2">
            <w:pPr>
              <w:spacing w:after="0" w:line="240" w:lineRule="auto"/>
              <w:jc w:val="right"/>
              <w:rPr>
                <w:rFonts w:ascii="Arial" w:eastAsia="Times New Roman" w:hAnsi="Arial" w:cs="Arial"/>
                <w:sz w:val="16"/>
                <w:szCs w:val="16"/>
                <w:lang w:eastAsia="tr-TR"/>
              </w:rPr>
            </w:pPr>
            <w:r>
              <w:rPr>
                <w:rFonts w:ascii="Arial" w:hAnsi="Arial" w:cs="Arial"/>
                <w:color w:val="000000"/>
                <w:sz w:val="16"/>
                <w:szCs w:val="16"/>
              </w:rPr>
              <w:t>16.106.576,76</w:t>
            </w:r>
          </w:p>
        </w:tc>
        <w:tc>
          <w:tcPr>
            <w:tcW w:w="326" w:type="pct"/>
            <w:tcBorders>
              <w:top w:val="nil"/>
              <w:left w:val="nil"/>
              <w:bottom w:val="nil"/>
              <w:right w:val="nil"/>
            </w:tcBorders>
            <w:shd w:val="clear" w:color="auto" w:fill="auto"/>
            <w:noWrap/>
            <w:vAlign w:val="center"/>
          </w:tcPr>
          <w:p w:rsidR="00CE2EC2" w:rsidRPr="000875F4" w:rsidRDefault="00CE2EC2" w:rsidP="00CE2EC2">
            <w:pPr>
              <w:spacing w:after="0" w:line="240" w:lineRule="auto"/>
              <w:jc w:val="right"/>
              <w:rPr>
                <w:rFonts w:ascii="Arial" w:eastAsia="Times New Roman" w:hAnsi="Arial" w:cs="Arial"/>
                <w:sz w:val="16"/>
                <w:szCs w:val="16"/>
                <w:lang w:eastAsia="tr-TR"/>
              </w:rPr>
            </w:pPr>
            <w:r>
              <w:rPr>
                <w:rFonts w:ascii="Arial" w:hAnsi="Arial" w:cs="Arial"/>
                <w:color w:val="000000"/>
                <w:sz w:val="16"/>
                <w:szCs w:val="16"/>
              </w:rPr>
              <w:t>314.581,66</w:t>
            </w:r>
          </w:p>
        </w:tc>
        <w:tc>
          <w:tcPr>
            <w:tcW w:w="354" w:type="pct"/>
            <w:tcBorders>
              <w:top w:val="nil"/>
              <w:left w:val="single" w:sz="8" w:space="0" w:color="auto"/>
              <w:bottom w:val="nil"/>
              <w:right w:val="single" w:sz="8" w:space="0" w:color="auto"/>
            </w:tcBorders>
            <w:shd w:val="clear" w:color="auto" w:fill="auto"/>
            <w:noWrap/>
            <w:vAlign w:val="center"/>
          </w:tcPr>
          <w:p w:rsidR="00CE2EC2" w:rsidRPr="000875F4" w:rsidRDefault="00CE2EC2" w:rsidP="00CE2EC2">
            <w:pPr>
              <w:spacing w:after="0" w:line="240" w:lineRule="auto"/>
              <w:jc w:val="right"/>
              <w:rPr>
                <w:rFonts w:ascii="Arial" w:eastAsia="Times New Roman" w:hAnsi="Arial" w:cs="Arial"/>
                <w:sz w:val="16"/>
                <w:szCs w:val="16"/>
                <w:lang w:eastAsia="tr-TR"/>
              </w:rPr>
            </w:pPr>
            <w:r>
              <w:rPr>
                <w:rFonts w:ascii="Arial" w:hAnsi="Arial" w:cs="Arial"/>
                <w:color w:val="000000"/>
                <w:sz w:val="16"/>
                <w:szCs w:val="16"/>
              </w:rPr>
              <w:t>347.110,33</w:t>
            </w:r>
          </w:p>
        </w:tc>
      </w:tr>
      <w:tr w:rsidR="00CE2EC2" w:rsidRPr="000875F4" w:rsidTr="00AC5C30">
        <w:trPr>
          <w:gridAfter w:val="4"/>
          <w:wAfter w:w="1354" w:type="pct"/>
          <w:trHeight w:val="20"/>
        </w:trPr>
        <w:tc>
          <w:tcPr>
            <w:tcW w:w="37" w:type="pct"/>
            <w:tcBorders>
              <w:top w:val="nil"/>
              <w:left w:val="single" w:sz="8" w:space="0" w:color="auto"/>
              <w:bottom w:val="nil"/>
              <w:right w:val="nil"/>
            </w:tcBorders>
            <w:shd w:val="clear" w:color="auto" w:fill="auto"/>
            <w:noWrap/>
            <w:vAlign w:val="bottom"/>
            <w:hideMark/>
          </w:tcPr>
          <w:p w:rsidR="00CE2EC2" w:rsidRPr="000875F4" w:rsidRDefault="00CE2EC2" w:rsidP="00CE2EC2">
            <w:pPr>
              <w:spacing w:after="0" w:line="240" w:lineRule="auto"/>
              <w:jc w:val="left"/>
              <w:rPr>
                <w:rFonts w:ascii="Arial" w:eastAsia="Times New Roman" w:hAnsi="Arial" w:cs="Arial"/>
                <w:sz w:val="20"/>
                <w:szCs w:val="20"/>
                <w:lang w:eastAsia="tr-TR"/>
              </w:rPr>
            </w:pPr>
            <w:r w:rsidRPr="000875F4">
              <w:rPr>
                <w:rFonts w:ascii="Arial" w:eastAsia="Times New Roman" w:hAnsi="Arial" w:cs="Arial"/>
                <w:sz w:val="20"/>
                <w:szCs w:val="20"/>
                <w:lang w:eastAsia="tr-TR"/>
              </w:rPr>
              <w:t> </w:t>
            </w:r>
          </w:p>
        </w:tc>
        <w:tc>
          <w:tcPr>
            <w:tcW w:w="88" w:type="pct"/>
            <w:tcBorders>
              <w:top w:val="nil"/>
              <w:left w:val="nil"/>
              <w:bottom w:val="nil"/>
              <w:right w:val="nil"/>
            </w:tcBorders>
            <w:shd w:val="clear" w:color="auto" w:fill="auto"/>
            <w:noWrap/>
            <w:vAlign w:val="bottom"/>
            <w:hideMark/>
          </w:tcPr>
          <w:p w:rsidR="00CE2EC2" w:rsidRPr="000875F4" w:rsidRDefault="00CE2EC2" w:rsidP="00CE2EC2">
            <w:pPr>
              <w:spacing w:after="0" w:line="240" w:lineRule="auto"/>
              <w:jc w:val="left"/>
              <w:rPr>
                <w:rFonts w:ascii="Arial" w:eastAsia="Times New Roman" w:hAnsi="Arial" w:cs="Arial"/>
                <w:sz w:val="20"/>
                <w:szCs w:val="20"/>
                <w:lang w:eastAsia="tr-TR"/>
              </w:rPr>
            </w:pPr>
          </w:p>
        </w:tc>
        <w:tc>
          <w:tcPr>
            <w:tcW w:w="597" w:type="pct"/>
            <w:tcBorders>
              <w:top w:val="nil"/>
              <w:left w:val="nil"/>
              <w:bottom w:val="nil"/>
              <w:right w:val="single" w:sz="8" w:space="0" w:color="auto"/>
            </w:tcBorders>
            <w:shd w:val="clear" w:color="auto" w:fill="auto"/>
            <w:noWrap/>
            <w:vAlign w:val="bottom"/>
            <w:hideMark/>
          </w:tcPr>
          <w:p w:rsidR="00CE2EC2" w:rsidRPr="000875F4" w:rsidRDefault="00CE2EC2" w:rsidP="00CE2EC2">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121-Gelirlerden Takipli Alacaklar</w:t>
            </w:r>
          </w:p>
        </w:tc>
        <w:tc>
          <w:tcPr>
            <w:tcW w:w="330" w:type="pct"/>
            <w:tcBorders>
              <w:top w:val="nil"/>
              <w:left w:val="nil"/>
              <w:bottom w:val="nil"/>
              <w:right w:val="single" w:sz="8" w:space="0" w:color="auto"/>
            </w:tcBorders>
            <w:shd w:val="clear" w:color="auto" w:fill="auto"/>
            <w:noWrap/>
            <w:vAlign w:val="center"/>
          </w:tcPr>
          <w:p w:rsidR="00CE2EC2" w:rsidRPr="000875F4" w:rsidRDefault="00CE2EC2" w:rsidP="00CE2EC2">
            <w:pPr>
              <w:spacing w:after="0" w:line="240" w:lineRule="auto"/>
              <w:jc w:val="right"/>
              <w:rPr>
                <w:rFonts w:ascii="Arial" w:eastAsia="Times New Roman" w:hAnsi="Arial" w:cs="Arial"/>
                <w:sz w:val="16"/>
                <w:szCs w:val="16"/>
                <w:lang w:eastAsia="tr-TR"/>
              </w:rPr>
            </w:pPr>
            <w:r>
              <w:rPr>
                <w:rFonts w:ascii="Arial" w:hAnsi="Arial" w:cs="Arial"/>
                <w:color w:val="000000"/>
                <w:sz w:val="16"/>
                <w:szCs w:val="16"/>
              </w:rPr>
              <w:t>16.640.383,32</w:t>
            </w:r>
          </w:p>
        </w:tc>
        <w:tc>
          <w:tcPr>
            <w:tcW w:w="330" w:type="pct"/>
            <w:tcBorders>
              <w:top w:val="nil"/>
              <w:left w:val="nil"/>
              <w:bottom w:val="nil"/>
              <w:right w:val="single" w:sz="4" w:space="0" w:color="auto"/>
            </w:tcBorders>
            <w:shd w:val="clear" w:color="auto" w:fill="auto"/>
            <w:noWrap/>
            <w:vAlign w:val="center"/>
          </w:tcPr>
          <w:p w:rsidR="00CE2EC2" w:rsidRPr="000875F4" w:rsidRDefault="00CE2EC2" w:rsidP="00CE2EC2">
            <w:pPr>
              <w:spacing w:after="0" w:line="240" w:lineRule="auto"/>
              <w:jc w:val="right"/>
              <w:rPr>
                <w:rFonts w:ascii="Arial" w:eastAsia="Times New Roman" w:hAnsi="Arial" w:cs="Arial"/>
                <w:bCs/>
                <w:sz w:val="16"/>
                <w:szCs w:val="16"/>
                <w:lang w:eastAsia="tr-TR"/>
              </w:rPr>
            </w:pPr>
            <w:r>
              <w:rPr>
                <w:rFonts w:ascii="Arial" w:hAnsi="Arial" w:cs="Arial"/>
                <w:color w:val="000000"/>
                <w:sz w:val="16"/>
                <w:szCs w:val="16"/>
              </w:rPr>
              <w:t>39.709.798,96</w:t>
            </w:r>
          </w:p>
        </w:tc>
        <w:tc>
          <w:tcPr>
            <w:tcW w:w="339" w:type="pct"/>
            <w:tcBorders>
              <w:top w:val="nil"/>
              <w:left w:val="single" w:sz="4" w:space="0" w:color="auto"/>
              <w:bottom w:val="nil"/>
              <w:right w:val="nil"/>
            </w:tcBorders>
            <w:shd w:val="clear" w:color="auto" w:fill="auto"/>
            <w:noWrap/>
            <w:vAlign w:val="center"/>
          </w:tcPr>
          <w:p w:rsidR="00CE2EC2" w:rsidRPr="000875F4" w:rsidRDefault="00CE2EC2" w:rsidP="00CE2EC2">
            <w:pPr>
              <w:spacing w:after="0" w:line="240" w:lineRule="auto"/>
              <w:jc w:val="right"/>
              <w:rPr>
                <w:rFonts w:ascii="Arial" w:eastAsia="Times New Roman" w:hAnsi="Arial" w:cs="Arial"/>
                <w:bCs/>
                <w:sz w:val="16"/>
                <w:szCs w:val="16"/>
                <w:lang w:eastAsia="tr-TR"/>
              </w:rPr>
            </w:pPr>
            <w:r>
              <w:rPr>
                <w:rFonts w:ascii="Arial" w:hAnsi="Arial" w:cs="Arial"/>
                <w:color w:val="000000"/>
                <w:sz w:val="16"/>
                <w:szCs w:val="16"/>
              </w:rPr>
              <w:t>50.710.109,28</w:t>
            </w:r>
          </w:p>
        </w:tc>
        <w:tc>
          <w:tcPr>
            <w:tcW w:w="38" w:type="pct"/>
            <w:tcBorders>
              <w:top w:val="nil"/>
              <w:left w:val="single" w:sz="8" w:space="0" w:color="auto"/>
              <w:bottom w:val="nil"/>
              <w:right w:val="nil"/>
            </w:tcBorders>
            <w:shd w:val="clear" w:color="auto" w:fill="auto"/>
            <w:noWrap/>
            <w:vAlign w:val="center"/>
            <w:hideMark/>
          </w:tcPr>
          <w:p w:rsidR="00CE2EC2" w:rsidRPr="000875F4" w:rsidRDefault="00CE2EC2" w:rsidP="00CE2EC2">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848" w:type="pct"/>
            <w:gridSpan w:val="2"/>
            <w:tcBorders>
              <w:top w:val="nil"/>
              <w:left w:val="nil"/>
              <w:bottom w:val="nil"/>
              <w:right w:val="nil"/>
            </w:tcBorders>
            <w:shd w:val="clear" w:color="auto" w:fill="auto"/>
            <w:noWrap/>
            <w:vAlign w:val="center"/>
            <w:hideMark/>
          </w:tcPr>
          <w:p w:rsidR="00CE2EC2" w:rsidRPr="000875F4" w:rsidRDefault="00CE2EC2" w:rsidP="00CE2EC2">
            <w:pPr>
              <w:spacing w:after="0" w:line="240" w:lineRule="auto"/>
              <w:jc w:val="lef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36-ÖDENECEK DİĞER YÜKÜMLÜLÜKLER</w:t>
            </w:r>
          </w:p>
        </w:tc>
        <w:tc>
          <w:tcPr>
            <w:tcW w:w="359" w:type="pct"/>
            <w:tcBorders>
              <w:top w:val="nil"/>
              <w:left w:val="single" w:sz="8" w:space="0" w:color="auto"/>
              <w:bottom w:val="nil"/>
              <w:right w:val="single" w:sz="8" w:space="0" w:color="auto"/>
            </w:tcBorders>
            <w:shd w:val="clear" w:color="auto" w:fill="auto"/>
            <w:noWrap/>
            <w:vAlign w:val="center"/>
          </w:tcPr>
          <w:p w:rsidR="00CE2EC2" w:rsidRPr="000875F4" w:rsidRDefault="00CE2EC2" w:rsidP="00CE2EC2">
            <w:pPr>
              <w:spacing w:after="0" w:line="240" w:lineRule="auto"/>
              <w:jc w:val="right"/>
              <w:rPr>
                <w:rFonts w:ascii="Arial" w:eastAsia="Times New Roman" w:hAnsi="Arial" w:cs="Arial"/>
                <w:b/>
                <w:bCs/>
                <w:sz w:val="16"/>
                <w:szCs w:val="16"/>
                <w:lang w:eastAsia="tr-TR"/>
              </w:rPr>
            </w:pPr>
            <w:r>
              <w:rPr>
                <w:rFonts w:ascii="Arial" w:hAnsi="Arial" w:cs="Arial"/>
                <w:b/>
                <w:bCs/>
                <w:color w:val="000000"/>
                <w:sz w:val="16"/>
                <w:szCs w:val="16"/>
              </w:rPr>
              <w:t>2.362.551,72</w:t>
            </w:r>
          </w:p>
        </w:tc>
        <w:tc>
          <w:tcPr>
            <w:tcW w:w="326" w:type="pct"/>
            <w:tcBorders>
              <w:top w:val="nil"/>
              <w:left w:val="nil"/>
              <w:bottom w:val="nil"/>
              <w:right w:val="nil"/>
            </w:tcBorders>
            <w:shd w:val="clear" w:color="auto" w:fill="auto"/>
            <w:noWrap/>
            <w:vAlign w:val="center"/>
          </w:tcPr>
          <w:p w:rsidR="00CE2EC2" w:rsidRPr="000875F4" w:rsidRDefault="00CE2EC2" w:rsidP="00CE2EC2">
            <w:pPr>
              <w:spacing w:after="0" w:line="240" w:lineRule="auto"/>
              <w:jc w:val="right"/>
              <w:rPr>
                <w:rFonts w:ascii="Arial" w:eastAsia="Times New Roman" w:hAnsi="Arial" w:cs="Arial"/>
                <w:b/>
                <w:bCs/>
                <w:sz w:val="16"/>
                <w:szCs w:val="16"/>
                <w:lang w:eastAsia="tr-TR"/>
              </w:rPr>
            </w:pPr>
            <w:r>
              <w:rPr>
                <w:rFonts w:ascii="Arial" w:hAnsi="Arial" w:cs="Arial"/>
                <w:b/>
                <w:bCs/>
                <w:color w:val="000000"/>
                <w:sz w:val="16"/>
                <w:szCs w:val="16"/>
              </w:rPr>
              <w:t>132.813.872,02</w:t>
            </w:r>
          </w:p>
        </w:tc>
        <w:tc>
          <w:tcPr>
            <w:tcW w:w="354" w:type="pct"/>
            <w:tcBorders>
              <w:top w:val="nil"/>
              <w:left w:val="single" w:sz="8" w:space="0" w:color="auto"/>
              <w:bottom w:val="nil"/>
              <w:right w:val="single" w:sz="8" w:space="0" w:color="auto"/>
            </w:tcBorders>
            <w:shd w:val="clear" w:color="auto" w:fill="auto"/>
            <w:noWrap/>
            <w:vAlign w:val="center"/>
          </w:tcPr>
          <w:p w:rsidR="00CE2EC2" w:rsidRPr="000875F4" w:rsidRDefault="00CE2EC2" w:rsidP="00CE2EC2">
            <w:pPr>
              <w:spacing w:after="0" w:line="240" w:lineRule="auto"/>
              <w:jc w:val="right"/>
              <w:rPr>
                <w:rFonts w:ascii="Arial" w:eastAsia="Times New Roman" w:hAnsi="Arial" w:cs="Arial"/>
                <w:b/>
                <w:bCs/>
                <w:sz w:val="16"/>
                <w:szCs w:val="16"/>
                <w:lang w:eastAsia="tr-TR"/>
              </w:rPr>
            </w:pPr>
            <w:r>
              <w:rPr>
                <w:rFonts w:ascii="Arial" w:hAnsi="Arial" w:cs="Arial"/>
                <w:b/>
                <w:bCs/>
                <w:color w:val="000000"/>
                <w:sz w:val="16"/>
                <w:szCs w:val="16"/>
              </w:rPr>
              <w:t>303.070.885,28</w:t>
            </w:r>
          </w:p>
        </w:tc>
      </w:tr>
      <w:tr w:rsidR="00CE2EC2" w:rsidRPr="000875F4" w:rsidTr="00AC5C30">
        <w:trPr>
          <w:gridAfter w:val="4"/>
          <w:wAfter w:w="1354" w:type="pct"/>
          <w:trHeight w:val="20"/>
        </w:trPr>
        <w:tc>
          <w:tcPr>
            <w:tcW w:w="37" w:type="pct"/>
            <w:tcBorders>
              <w:top w:val="nil"/>
              <w:left w:val="single" w:sz="8" w:space="0" w:color="auto"/>
              <w:bottom w:val="nil"/>
              <w:right w:val="nil"/>
            </w:tcBorders>
            <w:shd w:val="clear" w:color="auto" w:fill="auto"/>
            <w:noWrap/>
            <w:vAlign w:val="bottom"/>
            <w:hideMark/>
          </w:tcPr>
          <w:p w:rsidR="00CE2EC2" w:rsidRPr="000875F4" w:rsidRDefault="00CE2EC2" w:rsidP="00CE2EC2">
            <w:pPr>
              <w:spacing w:after="0" w:line="240" w:lineRule="auto"/>
              <w:jc w:val="left"/>
              <w:rPr>
                <w:rFonts w:ascii="Arial" w:eastAsia="Times New Roman" w:hAnsi="Arial" w:cs="Arial"/>
                <w:sz w:val="20"/>
                <w:szCs w:val="20"/>
                <w:lang w:eastAsia="tr-TR"/>
              </w:rPr>
            </w:pPr>
            <w:r w:rsidRPr="000875F4">
              <w:rPr>
                <w:rFonts w:ascii="Arial" w:eastAsia="Times New Roman" w:hAnsi="Arial" w:cs="Arial"/>
                <w:sz w:val="20"/>
                <w:szCs w:val="20"/>
                <w:lang w:eastAsia="tr-TR"/>
              </w:rPr>
              <w:t> </w:t>
            </w:r>
          </w:p>
        </w:tc>
        <w:tc>
          <w:tcPr>
            <w:tcW w:w="685" w:type="pct"/>
            <w:gridSpan w:val="2"/>
            <w:tcBorders>
              <w:top w:val="nil"/>
              <w:left w:val="nil"/>
              <w:bottom w:val="nil"/>
              <w:right w:val="single" w:sz="8" w:space="0" w:color="000000"/>
            </w:tcBorders>
            <w:shd w:val="clear" w:color="auto" w:fill="auto"/>
            <w:noWrap/>
            <w:vAlign w:val="bottom"/>
            <w:hideMark/>
          </w:tcPr>
          <w:p w:rsidR="00CE2EC2" w:rsidRPr="000875F4" w:rsidRDefault="00CE2EC2" w:rsidP="00CE2EC2">
            <w:pPr>
              <w:spacing w:after="0" w:line="240" w:lineRule="auto"/>
              <w:jc w:val="lef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13-KURUM ALACAKLARI</w:t>
            </w:r>
          </w:p>
        </w:tc>
        <w:tc>
          <w:tcPr>
            <w:tcW w:w="330" w:type="pct"/>
            <w:tcBorders>
              <w:top w:val="nil"/>
              <w:left w:val="nil"/>
              <w:bottom w:val="nil"/>
              <w:right w:val="single" w:sz="8" w:space="0" w:color="auto"/>
            </w:tcBorders>
            <w:shd w:val="clear" w:color="auto" w:fill="auto"/>
            <w:noWrap/>
            <w:vAlign w:val="center"/>
          </w:tcPr>
          <w:p w:rsidR="00CE2EC2" w:rsidRPr="000875F4" w:rsidRDefault="00CE2EC2" w:rsidP="00CE2EC2">
            <w:pPr>
              <w:spacing w:after="0" w:line="240" w:lineRule="auto"/>
              <w:jc w:val="right"/>
              <w:rPr>
                <w:rFonts w:ascii="Arial" w:eastAsia="Times New Roman" w:hAnsi="Arial" w:cs="Arial"/>
                <w:b/>
                <w:bCs/>
                <w:sz w:val="16"/>
                <w:szCs w:val="16"/>
                <w:lang w:eastAsia="tr-TR"/>
              </w:rPr>
            </w:pPr>
            <w:r>
              <w:rPr>
                <w:rFonts w:ascii="Arial" w:hAnsi="Arial" w:cs="Arial"/>
                <w:b/>
                <w:bCs/>
                <w:color w:val="000000"/>
                <w:sz w:val="16"/>
                <w:szCs w:val="16"/>
              </w:rPr>
              <w:t>209.161.566,57</w:t>
            </w:r>
          </w:p>
        </w:tc>
        <w:tc>
          <w:tcPr>
            <w:tcW w:w="330" w:type="pct"/>
            <w:tcBorders>
              <w:top w:val="nil"/>
              <w:left w:val="nil"/>
              <w:bottom w:val="nil"/>
              <w:right w:val="single" w:sz="4" w:space="0" w:color="auto"/>
            </w:tcBorders>
            <w:shd w:val="clear" w:color="auto" w:fill="auto"/>
            <w:noWrap/>
            <w:vAlign w:val="center"/>
          </w:tcPr>
          <w:p w:rsidR="00CE2EC2" w:rsidRPr="000875F4" w:rsidRDefault="00CE2EC2" w:rsidP="00CE2EC2">
            <w:pPr>
              <w:spacing w:after="0" w:line="240" w:lineRule="auto"/>
              <w:jc w:val="right"/>
              <w:rPr>
                <w:rFonts w:ascii="Arial" w:eastAsia="Times New Roman" w:hAnsi="Arial" w:cs="Arial"/>
                <w:b/>
                <w:bCs/>
                <w:sz w:val="16"/>
                <w:szCs w:val="16"/>
                <w:lang w:eastAsia="tr-TR"/>
              </w:rPr>
            </w:pPr>
            <w:r>
              <w:rPr>
                <w:rFonts w:ascii="Arial" w:hAnsi="Arial" w:cs="Arial"/>
                <w:b/>
                <w:bCs/>
                <w:color w:val="000000"/>
                <w:sz w:val="16"/>
                <w:szCs w:val="16"/>
              </w:rPr>
              <w:t>197.410.874,11</w:t>
            </w:r>
          </w:p>
        </w:tc>
        <w:tc>
          <w:tcPr>
            <w:tcW w:w="339" w:type="pct"/>
            <w:tcBorders>
              <w:top w:val="nil"/>
              <w:left w:val="single" w:sz="4" w:space="0" w:color="auto"/>
              <w:bottom w:val="nil"/>
              <w:right w:val="single" w:sz="8" w:space="0" w:color="auto"/>
            </w:tcBorders>
            <w:shd w:val="clear" w:color="auto" w:fill="auto"/>
            <w:noWrap/>
            <w:vAlign w:val="center"/>
          </w:tcPr>
          <w:p w:rsidR="00CE2EC2" w:rsidRPr="000875F4" w:rsidRDefault="00CE2EC2" w:rsidP="00CE2EC2">
            <w:pPr>
              <w:spacing w:after="0" w:line="240" w:lineRule="auto"/>
              <w:jc w:val="right"/>
              <w:rPr>
                <w:rFonts w:ascii="Arial" w:eastAsia="Times New Roman" w:hAnsi="Arial" w:cs="Arial"/>
                <w:b/>
                <w:bCs/>
                <w:sz w:val="16"/>
                <w:szCs w:val="16"/>
                <w:lang w:eastAsia="tr-TR"/>
              </w:rPr>
            </w:pPr>
            <w:r>
              <w:rPr>
                <w:rFonts w:ascii="Arial" w:hAnsi="Arial" w:cs="Arial"/>
                <w:b/>
                <w:bCs/>
                <w:color w:val="000000"/>
                <w:sz w:val="16"/>
                <w:szCs w:val="16"/>
              </w:rPr>
              <w:t>376.906.315,29</w:t>
            </w:r>
          </w:p>
        </w:tc>
        <w:tc>
          <w:tcPr>
            <w:tcW w:w="38" w:type="pct"/>
            <w:tcBorders>
              <w:top w:val="nil"/>
              <w:left w:val="nil"/>
              <w:bottom w:val="nil"/>
              <w:right w:val="nil"/>
            </w:tcBorders>
            <w:shd w:val="clear" w:color="auto" w:fill="auto"/>
            <w:noWrap/>
            <w:vAlign w:val="center"/>
            <w:hideMark/>
          </w:tcPr>
          <w:p w:rsidR="00CE2EC2" w:rsidRPr="000875F4" w:rsidRDefault="00CE2EC2" w:rsidP="00CE2EC2">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72" w:type="pct"/>
            <w:tcBorders>
              <w:top w:val="nil"/>
              <w:left w:val="nil"/>
              <w:bottom w:val="nil"/>
              <w:right w:val="nil"/>
            </w:tcBorders>
            <w:shd w:val="clear" w:color="auto" w:fill="auto"/>
            <w:noWrap/>
            <w:vAlign w:val="center"/>
            <w:hideMark/>
          </w:tcPr>
          <w:p w:rsidR="00CE2EC2" w:rsidRPr="000875F4" w:rsidRDefault="00CE2EC2" w:rsidP="00CE2EC2">
            <w:pPr>
              <w:spacing w:after="0" w:line="240" w:lineRule="auto"/>
              <w:jc w:val="left"/>
              <w:rPr>
                <w:rFonts w:ascii="Arial" w:eastAsia="Times New Roman" w:hAnsi="Arial" w:cs="Arial"/>
                <w:sz w:val="16"/>
                <w:szCs w:val="16"/>
                <w:lang w:eastAsia="tr-TR"/>
              </w:rPr>
            </w:pPr>
          </w:p>
        </w:tc>
        <w:tc>
          <w:tcPr>
            <w:tcW w:w="776" w:type="pct"/>
            <w:tcBorders>
              <w:top w:val="nil"/>
              <w:left w:val="nil"/>
              <w:bottom w:val="nil"/>
              <w:right w:val="nil"/>
            </w:tcBorders>
            <w:shd w:val="clear" w:color="auto" w:fill="auto"/>
            <w:noWrap/>
            <w:vAlign w:val="center"/>
            <w:hideMark/>
          </w:tcPr>
          <w:p w:rsidR="00CE2EC2" w:rsidRPr="000875F4" w:rsidRDefault="00CE2EC2" w:rsidP="00CE2EC2">
            <w:pPr>
              <w:spacing w:after="0"/>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360-Ödenecek Vergi ve Fonlar Hesabı</w:t>
            </w:r>
          </w:p>
        </w:tc>
        <w:tc>
          <w:tcPr>
            <w:tcW w:w="359" w:type="pct"/>
            <w:tcBorders>
              <w:top w:val="nil"/>
              <w:left w:val="single" w:sz="8" w:space="0" w:color="auto"/>
              <w:bottom w:val="nil"/>
              <w:right w:val="single" w:sz="8" w:space="0" w:color="auto"/>
            </w:tcBorders>
            <w:shd w:val="clear" w:color="auto" w:fill="auto"/>
            <w:noWrap/>
            <w:vAlign w:val="center"/>
          </w:tcPr>
          <w:p w:rsidR="00CE2EC2" w:rsidRPr="000875F4" w:rsidRDefault="00CE2EC2" w:rsidP="00CE2EC2">
            <w:pPr>
              <w:spacing w:after="0"/>
              <w:jc w:val="right"/>
              <w:rPr>
                <w:rFonts w:ascii="Arial" w:eastAsia="Times New Roman" w:hAnsi="Arial" w:cs="Arial"/>
                <w:sz w:val="16"/>
                <w:szCs w:val="16"/>
                <w:lang w:eastAsia="tr-TR"/>
              </w:rPr>
            </w:pPr>
            <w:r>
              <w:rPr>
                <w:rFonts w:ascii="Arial" w:hAnsi="Arial" w:cs="Arial"/>
                <w:color w:val="000000"/>
                <w:sz w:val="16"/>
                <w:szCs w:val="16"/>
              </w:rPr>
              <w:t>2.362.551,72</w:t>
            </w:r>
          </w:p>
        </w:tc>
        <w:tc>
          <w:tcPr>
            <w:tcW w:w="326" w:type="pct"/>
            <w:tcBorders>
              <w:top w:val="nil"/>
              <w:left w:val="nil"/>
              <w:bottom w:val="nil"/>
              <w:right w:val="nil"/>
            </w:tcBorders>
            <w:shd w:val="clear" w:color="auto" w:fill="auto"/>
            <w:noWrap/>
            <w:vAlign w:val="center"/>
          </w:tcPr>
          <w:p w:rsidR="00CE2EC2" w:rsidRPr="000875F4" w:rsidRDefault="00CE2EC2" w:rsidP="00CE2EC2">
            <w:pPr>
              <w:spacing w:after="0"/>
              <w:jc w:val="right"/>
              <w:rPr>
                <w:rFonts w:ascii="Arial" w:eastAsia="Times New Roman" w:hAnsi="Arial" w:cs="Arial"/>
                <w:sz w:val="16"/>
                <w:szCs w:val="16"/>
                <w:lang w:eastAsia="tr-TR"/>
              </w:rPr>
            </w:pPr>
            <w:r>
              <w:rPr>
                <w:rFonts w:ascii="Arial" w:hAnsi="Arial" w:cs="Arial"/>
                <w:color w:val="000000"/>
                <w:sz w:val="16"/>
                <w:szCs w:val="16"/>
              </w:rPr>
              <w:t>2.237.295,77</w:t>
            </w:r>
          </w:p>
        </w:tc>
        <w:tc>
          <w:tcPr>
            <w:tcW w:w="354" w:type="pct"/>
            <w:tcBorders>
              <w:top w:val="nil"/>
              <w:left w:val="single" w:sz="8" w:space="0" w:color="auto"/>
              <w:bottom w:val="nil"/>
              <w:right w:val="single" w:sz="8" w:space="0" w:color="auto"/>
            </w:tcBorders>
            <w:shd w:val="clear" w:color="auto" w:fill="auto"/>
            <w:noWrap/>
            <w:vAlign w:val="center"/>
          </w:tcPr>
          <w:p w:rsidR="00CE2EC2" w:rsidRPr="000875F4" w:rsidRDefault="00CE2EC2" w:rsidP="00CE2EC2">
            <w:pPr>
              <w:spacing w:after="0"/>
              <w:jc w:val="right"/>
              <w:rPr>
                <w:rFonts w:ascii="Arial" w:eastAsia="Times New Roman" w:hAnsi="Arial" w:cs="Arial"/>
                <w:sz w:val="16"/>
                <w:szCs w:val="16"/>
                <w:lang w:eastAsia="tr-TR"/>
              </w:rPr>
            </w:pPr>
            <w:r>
              <w:rPr>
                <w:rFonts w:ascii="Arial" w:hAnsi="Arial" w:cs="Arial"/>
                <w:color w:val="000000"/>
                <w:sz w:val="16"/>
                <w:szCs w:val="16"/>
              </w:rPr>
              <w:t>4.976.320,86</w:t>
            </w:r>
          </w:p>
        </w:tc>
      </w:tr>
      <w:tr w:rsidR="00CE2EC2" w:rsidRPr="000875F4" w:rsidTr="00AC5C30">
        <w:trPr>
          <w:gridAfter w:val="4"/>
          <w:wAfter w:w="1354" w:type="pct"/>
          <w:trHeight w:val="20"/>
        </w:trPr>
        <w:tc>
          <w:tcPr>
            <w:tcW w:w="37" w:type="pct"/>
            <w:tcBorders>
              <w:top w:val="nil"/>
              <w:left w:val="single" w:sz="8" w:space="0" w:color="auto"/>
              <w:bottom w:val="nil"/>
              <w:right w:val="nil"/>
            </w:tcBorders>
            <w:shd w:val="clear" w:color="auto" w:fill="auto"/>
            <w:noWrap/>
            <w:vAlign w:val="bottom"/>
            <w:hideMark/>
          </w:tcPr>
          <w:p w:rsidR="00CE2EC2" w:rsidRPr="000875F4" w:rsidRDefault="00CE2EC2" w:rsidP="00CE2EC2">
            <w:pPr>
              <w:spacing w:after="0" w:line="240" w:lineRule="auto"/>
              <w:jc w:val="left"/>
              <w:rPr>
                <w:rFonts w:ascii="Arial" w:eastAsia="Times New Roman" w:hAnsi="Arial" w:cs="Arial"/>
                <w:sz w:val="20"/>
                <w:szCs w:val="20"/>
                <w:lang w:eastAsia="tr-TR"/>
              </w:rPr>
            </w:pPr>
            <w:r w:rsidRPr="000875F4">
              <w:rPr>
                <w:rFonts w:ascii="Arial" w:eastAsia="Times New Roman" w:hAnsi="Arial" w:cs="Arial"/>
                <w:sz w:val="20"/>
                <w:szCs w:val="20"/>
                <w:lang w:eastAsia="tr-TR"/>
              </w:rPr>
              <w:t> </w:t>
            </w:r>
          </w:p>
        </w:tc>
        <w:tc>
          <w:tcPr>
            <w:tcW w:w="88" w:type="pct"/>
            <w:tcBorders>
              <w:top w:val="nil"/>
              <w:left w:val="nil"/>
              <w:bottom w:val="nil"/>
              <w:right w:val="nil"/>
            </w:tcBorders>
            <w:shd w:val="clear" w:color="auto" w:fill="auto"/>
            <w:noWrap/>
            <w:vAlign w:val="bottom"/>
            <w:hideMark/>
          </w:tcPr>
          <w:p w:rsidR="00CE2EC2" w:rsidRPr="000875F4" w:rsidRDefault="00CE2EC2" w:rsidP="00CE2EC2">
            <w:pPr>
              <w:spacing w:after="0" w:line="240" w:lineRule="auto"/>
              <w:jc w:val="left"/>
              <w:rPr>
                <w:rFonts w:ascii="Arial" w:eastAsia="Times New Roman" w:hAnsi="Arial" w:cs="Arial"/>
                <w:sz w:val="20"/>
                <w:szCs w:val="20"/>
                <w:lang w:eastAsia="tr-TR"/>
              </w:rPr>
            </w:pPr>
          </w:p>
        </w:tc>
        <w:tc>
          <w:tcPr>
            <w:tcW w:w="597" w:type="pct"/>
            <w:tcBorders>
              <w:top w:val="nil"/>
              <w:left w:val="nil"/>
              <w:bottom w:val="nil"/>
              <w:right w:val="single" w:sz="8" w:space="0" w:color="auto"/>
            </w:tcBorders>
            <w:shd w:val="clear" w:color="auto" w:fill="auto"/>
            <w:noWrap/>
            <w:vAlign w:val="bottom"/>
            <w:hideMark/>
          </w:tcPr>
          <w:p w:rsidR="00CE2EC2" w:rsidRPr="000875F4" w:rsidRDefault="00CE2EC2" w:rsidP="00CE2EC2">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135-Tek Hazine Kurumlar Hes. Alacaklar</w:t>
            </w:r>
          </w:p>
        </w:tc>
        <w:tc>
          <w:tcPr>
            <w:tcW w:w="330" w:type="pct"/>
            <w:tcBorders>
              <w:top w:val="nil"/>
              <w:left w:val="nil"/>
              <w:bottom w:val="nil"/>
              <w:right w:val="single" w:sz="8" w:space="0" w:color="auto"/>
            </w:tcBorders>
            <w:shd w:val="clear" w:color="auto" w:fill="auto"/>
            <w:noWrap/>
            <w:vAlign w:val="center"/>
          </w:tcPr>
          <w:p w:rsidR="00CE2EC2" w:rsidRPr="000875F4" w:rsidRDefault="00CE2EC2" w:rsidP="00CE2EC2">
            <w:pPr>
              <w:spacing w:after="0" w:line="240" w:lineRule="auto"/>
              <w:jc w:val="right"/>
              <w:rPr>
                <w:rFonts w:ascii="Arial" w:eastAsia="Times New Roman" w:hAnsi="Arial" w:cs="Arial"/>
                <w:sz w:val="16"/>
                <w:szCs w:val="16"/>
                <w:lang w:eastAsia="tr-TR"/>
              </w:rPr>
            </w:pPr>
            <w:r>
              <w:rPr>
                <w:rFonts w:ascii="Arial" w:hAnsi="Arial" w:cs="Arial"/>
                <w:color w:val="000000"/>
                <w:sz w:val="16"/>
                <w:szCs w:val="16"/>
              </w:rPr>
              <w:t>209.161.566,57</w:t>
            </w:r>
          </w:p>
        </w:tc>
        <w:tc>
          <w:tcPr>
            <w:tcW w:w="330" w:type="pct"/>
            <w:tcBorders>
              <w:top w:val="nil"/>
              <w:left w:val="nil"/>
              <w:bottom w:val="nil"/>
              <w:right w:val="single" w:sz="4" w:space="0" w:color="auto"/>
            </w:tcBorders>
            <w:shd w:val="clear" w:color="auto" w:fill="auto"/>
            <w:noWrap/>
            <w:vAlign w:val="center"/>
          </w:tcPr>
          <w:p w:rsidR="00CE2EC2" w:rsidRPr="000875F4" w:rsidRDefault="00CE2EC2" w:rsidP="00CE2EC2">
            <w:pPr>
              <w:spacing w:after="0" w:line="240" w:lineRule="auto"/>
              <w:jc w:val="right"/>
              <w:rPr>
                <w:rFonts w:ascii="Arial" w:eastAsia="Times New Roman" w:hAnsi="Arial" w:cs="Arial"/>
                <w:bCs/>
                <w:sz w:val="16"/>
                <w:szCs w:val="16"/>
                <w:lang w:eastAsia="tr-TR"/>
              </w:rPr>
            </w:pPr>
            <w:r>
              <w:rPr>
                <w:rFonts w:ascii="Arial" w:hAnsi="Arial" w:cs="Arial"/>
                <w:color w:val="000000"/>
                <w:sz w:val="16"/>
                <w:szCs w:val="16"/>
              </w:rPr>
              <w:t>197.410.874,11</w:t>
            </w:r>
          </w:p>
        </w:tc>
        <w:tc>
          <w:tcPr>
            <w:tcW w:w="339" w:type="pct"/>
            <w:tcBorders>
              <w:top w:val="nil"/>
              <w:left w:val="single" w:sz="4" w:space="0" w:color="auto"/>
              <w:bottom w:val="nil"/>
              <w:right w:val="nil"/>
            </w:tcBorders>
            <w:shd w:val="clear" w:color="auto" w:fill="auto"/>
            <w:noWrap/>
            <w:vAlign w:val="center"/>
          </w:tcPr>
          <w:p w:rsidR="00CE2EC2" w:rsidRPr="000875F4" w:rsidRDefault="00CE2EC2" w:rsidP="00CE2EC2">
            <w:pPr>
              <w:spacing w:after="0" w:line="240" w:lineRule="auto"/>
              <w:jc w:val="right"/>
              <w:rPr>
                <w:rFonts w:ascii="Arial" w:eastAsia="Times New Roman" w:hAnsi="Arial" w:cs="Arial"/>
                <w:bCs/>
                <w:sz w:val="16"/>
                <w:szCs w:val="16"/>
                <w:lang w:eastAsia="tr-TR"/>
              </w:rPr>
            </w:pPr>
            <w:r>
              <w:rPr>
                <w:rFonts w:ascii="Arial" w:hAnsi="Arial" w:cs="Arial"/>
                <w:color w:val="000000"/>
                <w:sz w:val="16"/>
                <w:szCs w:val="16"/>
              </w:rPr>
              <w:t>376.906.315,29</w:t>
            </w:r>
          </w:p>
        </w:tc>
        <w:tc>
          <w:tcPr>
            <w:tcW w:w="38" w:type="pct"/>
            <w:tcBorders>
              <w:top w:val="nil"/>
              <w:left w:val="single" w:sz="8" w:space="0" w:color="auto"/>
              <w:bottom w:val="nil"/>
              <w:right w:val="nil"/>
            </w:tcBorders>
            <w:shd w:val="clear" w:color="auto" w:fill="auto"/>
            <w:noWrap/>
            <w:vAlign w:val="center"/>
            <w:hideMark/>
          </w:tcPr>
          <w:p w:rsidR="00CE2EC2" w:rsidRPr="000875F4" w:rsidRDefault="00CE2EC2" w:rsidP="00CE2EC2">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72" w:type="pct"/>
            <w:tcBorders>
              <w:top w:val="nil"/>
              <w:left w:val="nil"/>
              <w:bottom w:val="nil"/>
              <w:right w:val="nil"/>
            </w:tcBorders>
            <w:shd w:val="clear" w:color="auto" w:fill="auto"/>
            <w:noWrap/>
            <w:vAlign w:val="center"/>
            <w:hideMark/>
          </w:tcPr>
          <w:p w:rsidR="00CE2EC2" w:rsidRPr="000875F4" w:rsidRDefault="00CE2EC2" w:rsidP="00CE2EC2">
            <w:pPr>
              <w:spacing w:after="0" w:line="240" w:lineRule="auto"/>
              <w:jc w:val="left"/>
              <w:rPr>
                <w:rFonts w:ascii="Arial" w:eastAsia="Times New Roman" w:hAnsi="Arial" w:cs="Arial"/>
                <w:sz w:val="16"/>
                <w:szCs w:val="16"/>
                <w:lang w:eastAsia="tr-TR"/>
              </w:rPr>
            </w:pPr>
          </w:p>
        </w:tc>
        <w:tc>
          <w:tcPr>
            <w:tcW w:w="776" w:type="pct"/>
            <w:tcBorders>
              <w:top w:val="nil"/>
              <w:left w:val="nil"/>
              <w:bottom w:val="nil"/>
              <w:right w:val="nil"/>
            </w:tcBorders>
            <w:shd w:val="clear" w:color="auto" w:fill="auto"/>
            <w:noWrap/>
            <w:vAlign w:val="center"/>
            <w:hideMark/>
          </w:tcPr>
          <w:p w:rsidR="00CE2EC2" w:rsidRPr="000875F4" w:rsidRDefault="00CE2EC2" w:rsidP="00CE2EC2">
            <w:pPr>
              <w:spacing w:after="0"/>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361-Ödenecek Sosyal Güvenlik Kesintileri</w:t>
            </w:r>
          </w:p>
        </w:tc>
        <w:tc>
          <w:tcPr>
            <w:tcW w:w="359" w:type="pct"/>
            <w:tcBorders>
              <w:top w:val="nil"/>
              <w:left w:val="single" w:sz="8" w:space="0" w:color="auto"/>
              <w:bottom w:val="nil"/>
              <w:right w:val="single" w:sz="8" w:space="0" w:color="auto"/>
            </w:tcBorders>
            <w:shd w:val="clear" w:color="auto" w:fill="auto"/>
            <w:noWrap/>
            <w:vAlign w:val="center"/>
          </w:tcPr>
          <w:p w:rsidR="00CE2EC2" w:rsidRPr="000875F4" w:rsidRDefault="00CE2EC2" w:rsidP="00CE2EC2">
            <w:pPr>
              <w:spacing w:after="0"/>
              <w:jc w:val="right"/>
              <w:rPr>
                <w:rFonts w:ascii="Arial" w:eastAsia="Times New Roman" w:hAnsi="Arial" w:cs="Arial"/>
                <w:sz w:val="16"/>
                <w:szCs w:val="16"/>
                <w:lang w:eastAsia="tr-TR"/>
              </w:rPr>
            </w:pPr>
            <w:r>
              <w:rPr>
                <w:rFonts w:ascii="Arial" w:hAnsi="Arial" w:cs="Arial"/>
                <w:color w:val="000000"/>
                <w:sz w:val="16"/>
                <w:szCs w:val="16"/>
              </w:rPr>
              <w:t>0</w:t>
            </w:r>
          </w:p>
        </w:tc>
        <w:tc>
          <w:tcPr>
            <w:tcW w:w="326" w:type="pct"/>
            <w:tcBorders>
              <w:top w:val="nil"/>
              <w:left w:val="nil"/>
              <w:bottom w:val="nil"/>
              <w:right w:val="nil"/>
            </w:tcBorders>
            <w:shd w:val="clear" w:color="auto" w:fill="auto"/>
            <w:noWrap/>
            <w:vAlign w:val="center"/>
          </w:tcPr>
          <w:p w:rsidR="00CE2EC2" w:rsidRPr="000875F4" w:rsidRDefault="00CE2EC2" w:rsidP="00CE2EC2">
            <w:pPr>
              <w:spacing w:after="0"/>
              <w:jc w:val="right"/>
              <w:rPr>
                <w:rFonts w:ascii="Arial" w:eastAsia="Times New Roman" w:hAnsi="Arial" w:cs="Arial"/>
                <w:sz w:val="16"/>
                <w:szCs w:val="16"/>
                <w:lang w:eastAsia="tr-TR"/>
              </w:rPr>
            </w:pPr>
            <w:r>
              <w:rPr>
                <w:rFonts w:ascii="Arial" w:hAnsi="Arial" w:cs="Arial"/>
                <w:color w:val="000000"/>
                <w:sz w:val="16"/>
                <w:szCs w:val="16"/>
              </w:rPr>
              <w:t>157.382,39</w:t>
            </w:r>
          </w:p>
        </w:tc>
        <w:tc>
          <w:tcPr>
            <w:tcW w:w="354" w:type="pct"/>
            <w:tcBorders>
              <w:top w:val="nil"/>
              <w:left w:val="single" w:sz="8" w:space="0" w:color="auto"/>
              <w:bottom w:val="nil"/>
              <w:right w:val="single" w:sz="8" w:space="0" w:color="auto"/>
            </w:tcBorders>
            <w:shd w:val="clear" w:color="auto" w:fill="auto"/>
            <w:noWrap/>
            <w:vAlign w:val="center"/>
          </w:tcPr>
          <w:p w:rsidR="00CE2EC2" w:rsidRPr="000875F4" w:rsidRDefault="00CE2EC2" w:rsidP="00CE2EC2">
            <w:pPr>
              <w:spacing w:after="0"/>
              <w:jc w:val="right"/>
              <w:rPr>
                <w:rFonts w:ascii="Arial" w:eastAsiaTheme="minorHAnsi" w:hAnsi="Arial" w:cs="Arial"/>
                <w:sz w:val="16"/>
                <w:szCs w:val="12"/>
              </w:rPr>
            </w:pPr>
            <w:r>
              <w:rPr>
                <w:rFonts w:ascii="Arial" w:hAnsi="Arial" w:cs="Arial"/>
                <w:color w:val="000000"/>
                <w:sz w:val="16"/>
                <w:szCs w:val="16"/>
              </w:rPr>
              <w:t>285.401,96</w:t>
            </w:r>
          </w:p>
        </w:tc>
      </w:tr>
      <w:tr w:rsidR="00AC5C30" w:rsidRPr="000875F4" w:rsidTr="000875F4">
        <w:trPr>
          <w:gridAfter w:val="4"/>
          <w:wAfter w:w="1354" w:type="pct"/>
          <w:trHeight w:val="20"/>
        </w:trPr>
        <w:tc>
          <w:tcPr>
            <w:tcW w:w="37" w:type="pct"/>
            <w:tcBorders>
              <w:top w:val="nil"/>
              <w:left w:val="single" w:sz="8" w:space="0" w:color="auto"/>
              <w:bottom w:val="nil"/>
              <w:right w:val="nil"/>
            </w:tcBorders>
            <w:shd w:val="clear" w:color="auto" w:fill="auto"/>
            <w:noWrap/>
            <w:vAlign w:val="center"/>
            <w:hideMark/>
          </w:tcPr>
          <w:p w:rsidR="00AC5C30" w:rsidRPr="000875F4" w:rsidRDefault="00AC5C30" w:rsidP="00AC5C30">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685" w:type="pct"/>
            <w:gridSpan w:val="2"/>
            <w:tcBorders>
              <w:top w:val="nil"/>
              <w:left w:val="nil"/>
              <w:bottom w:val="nil"/>
              <w:right w:val="single" w:sz="8" w:space="0" w:color="000000"/>
            </w:tcBorders>
            <w:shd w:val="clear" w:color="auto" w:fill="auto"/>
            <w:noWrap/>
            <w:vAlign w:val="center"/>
            <w:hideMark/>
          </w:tcPr>
          <w:p w:rsidR="00AC5C30" w:rsidRPr="000875F4" w:rsidRDefault="00AC5C30" w:rsidP="00AC5C30">
            <w:pPr>
              <w:spacing w:after="0" w:line="240" w:lineRule="auto"/>
              <w:jc w:val="lef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14-DİĞER ALACAKLAR</w:t>
            </w:r>
          </w:p>
        </w:tc>
        <w:tc>
          <w:tcPr>
            <w:tcW w:w="330" w:type="pct"/>
            <w:tcBorders>
              <w:top w:val="nil"/>
              <w:left w:val="nil"/>
              <w:bottom w:val="nil"/>
              <w:right w:val="single" w:sz="8" w:space="0" w:color="auto"/>
            </w:tcBorders>
            <w:shd w:val="clear" w:color="auto" w:fill="auto"/>
            <w:noWrap/>
            <w:vAlign w:val="center"/>
          </w:tcPr>
          <w:p w:rsidR="00AC5C30" w:rsidRPr="000875F4" w:rsidRDefault="00AC5C30" w:rsidP="00AC5C30">
            <w:pPr>
              <w:spacing w:after="0" w:line="240" w:lineRule="auto"/>
              <w:jc w:val="right"/>
              <w:rPr>
                <w:rFonts w:ascii="Arial" w:eastAsia="Times New Roman" w:hAnsi="Arial" w:cs="Arial"/>
                <w:b/>
                <w:bCs/>
                <w:sz w:val="16"/>
                <w:szCs w:val="16"/>
                <w:lang w:eastAsia="tr-TR"/>
              </w:rPr>
            </w:pPr>
            <w:r>
              <w:rPr>
                <w:rFonts w:ascii="Arial" w:hAnsi="Arial" w:cs="Arial"/>
                <w:b/>
                <w:bCs/>
                <w:color w:val="000000"/>
                <w:sz w:val="16"/>
                <w:szCs w:val="16"/>
              </w:rPr>
              <w:t>571.448,56</w:t>
            </w:r>
          </w:p>
        </w:tc>
        <w:tc>
          <w:tcPr>
            <w:tcW w:w="330" w:type="pct"/>
            <w:tcBorders>
              <w:top w:val="nil"/>
              <w:left w:val="nil"/>
              <w:bottom w:val="nil"/>
              <w:right w:val="single" w:sz="4" w:space="0" w:color="auto"/>
            </w:tcBorders>
            <w:shd w:val="clear" w:color="auto" w:fill="auto"/>
            <w:noWrap/>
            <w:vAlign w:val="center"/>
          </w:tcPr>
          <w:p w:rsidR="00AC5C30" w:rsidRPr="000875F4" w:rsidRDefault="00AC5C30" w:rsidP="00AC5C30">
            <w:pPr>
              <w:spacing w:after="0" w:line="240" w:lineRule="auto"/>
              <w:jc w:val="right"/>
              <w:rPr>
                <w:rFonts w:ascii="Arial" w:eastAsia="Times New Roman" w:hAnsi="Arial" w:cs="Arial"/>
                <w:b/>
                <w:bCs/>
                <w:sz w:val="16"/>
                <w:szCs w:val="16"/>
                <w:lang w:eastAsia="tr-TR"/>
              </w:rPr>
            </w:pPr>
            <w:r>
              <w:rPr>
                <w:rFonts w:ascii="Arial" w:hAnsi="Arial" w:cs="Arial"/>
                <w:b/>
                <w:bCs/>
                <w:color w:val="000000"/>
                <w:sz w:val="16"/>
                <w:szCs w:val="16"/>
              </w:rPr>
              <w:t>564.942,31</w:t>
            </w:r>
          </w:p>
        </w:tc>
        <w:tc>
          <w:tcPr>
            <w:tcW w:w="339" w:type="pct"/>
            <w:tcBorders>
              <w:top w:val="nil"/>
              <w:left w:val="single" w:sz="4" w:space="0" w:color="auto"/>
              <w:bottom w:val="nil"/>
              <w:right w:val="single" w:sz="8" w:space="0" w:color="auto"/>
            </w:tcBorders>
            <w:shd w:val="clear" w:color="auto" w:fill="auto"/>
            <w:noWrap/>
            <w:vAlign w:val="center"/>
          </w:tcPr>
          <w:p w:rsidR="00AC5C30" w:rsidRPr="000875F4" w:rsidRDefault="00AC5C30" w:rsidP="00AC5C30">
            <w:pPr>
              <w:spacing w:after="0" w:line="240" w:lineRule="auto"/>
              <w:jc w:val="right"/>
              <w:rPr>
                <w:rFonts w:ascii="Arial" w:eastAsia="Times New Roman" w:hAnsi="Arial" w:cs="Arial"/>
                <w:b/>
                <w:bCs/>
                <w:sz w:val="16"/>
                <w:szCs w:val="16"/>
                <w:lang w:eastAsia="tr-TR"/>
              </w:rPr>
            </w:pPr>
            <w:r>
              <w:rPr>
                <w:rFonts w:ascii="Arial" w:hAnsi="Arial" w:cs="Arial"/>
                <w:b/>
                <w:bCs/>
                <w:color w:val="000000"/>
                <w:sz w:val="16"/>
                <w:szCs w:val="16"/>
              </w:rPr>
              <w:t>581.867,03</w:t>
            </w:r>
          </w:p>
        </w:tc>
        <w:tc>
          <w:tcPr>
            <w:tcW w:w="38" w:type="pct"/>
            <w:tcBorders>
              <w:top w:val="nil"/>
              <w:left w:val="nil"/>
              <w:bottom w:val="nil"/>
              <w:right w:val="nil"/>
            </w:tcBorders>
            <w:shd w:val="clear" w:color="auto" w:fill="auto"/>
            <w:noWrap/>
            <w:vAlign w:val="center"/>
            <w:hideMark/>
          </w:tcPr>
          <w:p w:rsidR="00AC5C30" w:rsidRPr="000875F4" w:rsidRDefault="00AC5C30" w:rsidP="00AC5C30">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72" w:type="pct"/>
            <w:tcBorders>
              <w:top w:val="nil"/>
              <w:left w:val="nil"/>
              <w:bottom w:val="nil"/>
              <w:right w:val="nil"/>
            </w:tcBorders>
            <w:shd w:val="clear" w:color="auto" w:fill="auto"/>
            <w:noWrap/>
            <w:vAlign w:val="center"/>
            <w:hideMark/>
          </w:tcPr>
          <w:p w:rsidR="00AC5C30" w:rsidRPr="000875F4" w:rsidRDefault="00AC5C30" w:rsidP="00AC5C30">
            <w:pPr>
              <w:spacing w:after="0" w:line="240" w:lineRule="auto"/>
              <w:jc w:val="left"/>
              <w:rPr>
                <w:rFonts w:ascii="Arial" w:eastAsia="Times New Roman" w:hAnsi="Arial" w:cs="Arial"/>
                <w:sz w:val="16"/>
                <w:szCs w:val="16"/>
                <w:lang w:eastAsia="tr-TR"/>
              </w:rPr>
            </w:pPr>
          </w:p>
        </w:tc>
        <w:tc>
          <w:tcPr>
            <w:tcW w:w="776" w:type="pct"/>
            <w:tcBorders>
              <w:top w:val="nil"/>
              <w:left w:val="nil"/>
              <w:bottom w:val="nil"/>
              <w:right w:val="nil"/>
            </w:tcBorders>
            <w:shd w:val="clear" w:color="auto" w:fill="auto"/>
            <w:noWrap/>
            <w:vAlign w:val="bottom"/>
            <w:hideMark/>
          </w:tcPr>
          <w:p w:rsidR="00AC5C30" w:rsidRPr="000875F4" w:rsidRDefault="00AC5C30" w:rsidP="00AC5C30">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362-Fonlar veya Diğer Kamu İdareleri Adına Yapılan Tahsilat Hesabı</w:t>
            </w:r>
          </w:p>
          <w:p w:rsidR="00AC5C30" w:rsidRPr="000875F4" w:rsidRDefault="00AC5C30" w:rsidP="00AC5C30">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363-Kamu İdareleri Payları</w:t>
            </w:r>
          </w:p>
        </w:tc>
        <w:tc>
          <w:tcPr>
            <w:tcW w:w="359" w:type="pct"/>
            <w:tcBorders>
              <w:top w:val="nil"/>
              <w:left w:val="single" w:sz="8" w:space="0" w:color="auto"/>
              <w:bottom w:val="nil"/>
              <w:right w:val="single" w:sz="8" w:space="0" w:color="auto"/>
            </w:tcBorders>
            <w:shd w:val="clear" w:color="auto" w:fill="auto"/>
            <w:noWrap/>
            <w:vAlign w:val="bottom"/>
          </w:tcPr>
          <w:p w:rsidR="00AC5C30" w:rsidRPr="000875F4" w:rsidRDefault="00AC5C30" w:rsidP="00AC5C30">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0,00</w:t>
            </w:r>
          </w:p>
          <w:p w:rsidR="00AC5C30" w:rsidRPr="000875F4" w:rsidRDefault="00CE2EC2" w:rsidP="00AC5C30">
            <w:pPr>
              <w:spacing w:after="0" w:line="240" w:lineRule="auto"/>
              <w:jc w:val="right"/>
              <w:rPr>
                <w:rFonts w:ascii="Arial" w:eastAsia="Times New Roman" w:hAnsi="Arial" w:cs="Arial"/>
                <w:sz w:val="16"/>
                <w:szCs w:val="16"/>
                <w:lang w:eastAsia="tr-TR"/>
              </w:rPr>
            </w:pPr>
            <w:r w:rsidRPr="000875F4">
              <w:rPr>
                <w:rFonts w:ascii="Arial" w:eastAsia="Times New Roman" w:hAnsi="Arial" w:cs="Arial"/>
                <w:bCs/>
                <w:sz w:val="16"/>
                <w:szCs w:val="16"/>
                <w:lang w:eastAsia="tr-TR"/>
              </w:rPr>
              <w:t>0,00</w:t>
            </w:r>
          </w:p>
        </w:tc>
        <w:tc>
          <w:tcPr>
            <w:tcW w:w="326" w:type="pct"/>
            <w:tcBorders>
              <w:top w:val="nil"/>
              <w:left w:val="nil"/>
              <w:bottom w:val="nil"/>
              <w:right w:val="nil"/>
            </w:tcBorders>
            <w:shd w:val="clear" w:color="auto" w:fill="auto"/>
            <w:noWrap/>
            <w:vAlign w:val="center"/>
          </w:tcPr>
          <w:p w:rsidR="00AC5C30" w:rsidRPr="000875F4" w:rsidRDefault="00AC5C30" w:rsidP="00AC5C30">
            <w:pPr>
              <w:spacing w:after="0" w:line="240" w:lineRule="auto"/>
              <w:jc w:val="right"/>
              <w:rPr>
                <w:rFonts w:ascii="Arial" w:eastAsia="Times New Roman" w:hAnsi="Arial" w:cs="Arial"/>
                <w:b/>
                <w:bCs/>
                <w:sz w:val="16"/>
                <w:szCs w:val="16"/>
                <w:lang w:eastAsia="tr-TR"/>
              </w:rPr>
            </w:pPr>
          </w:p>
          <w:p w:rsidR="00CE2EC2" w:rsidRPr="000875F4" w:rsidRDefault="00CE2EC2" w:rsidP="00CE2EC2">
            <w:pPr>
              <w:spacing w:after="0" w:line="240" w:lineRule="auto"/>
              <w:jc w:val="right"/>
              <w:rPr>
                <w:rFonts w:ascii="Arial" w:eastAsiaTheme="minorHAnsi" w:hAnsi="Arial" w:cs="Arial"/>
                <w:sz w:val="16"/>
                <w:szCs w:val="12"/>
              </w:rPr>
            </w:pPr>
            <w:r w:rsidRPr="000875F4">
              <w:rPr>
                <w:rFonts w:ascii="Arial" w:eastAsiaTheme="minorHAnsi" w:hAnsi="Arial" w:cs="Arial"/>
                <w:sz w:val="16"/>
                <w:szCs w:val="12"/>
              </w:rPr>
              <w:t>13.685,43</w:t>
            </w:r>
          </w:p>
          <w:p w:rsidR="00AC5C30" w:rsidRPr="000875F4" w:rsidRDefault="00CE2EC2" w:rsidP="00AC5C30">
            <w:pPr>
              <w:spacing w:after="0" w:line="240" w:lineRule="auto"/>
              <w:jc w:val="right"/>
              <w:rPr>
                <w:rFonts w:ascii="Arial" w:eastAsia="Times New Roman" w:hAnsi="Arial" w:cs="Arial"/>
                <w:sz w:val="16"/>
                <w:szCs w:val="16"/>
                <w:lang w:eastAsia="tr-TR"/>
              </w:rPr>
            </w:pPr>
            <w:r w:rsidRPr="000875F4">
              <w:rPr>
                <w:rFonts w:ascii="Arial" w:eastAsiaTheme="minorHAnsi" w:hAnsi="Arial" w:cs="Arial"/>
                <w:sz w:val="16"/>
                <w:szCs w:val="12"/>
              </w:rPr>
              <w:t>130.405.508,43</w:t>
            </w:r>
          </w:p>
        </w:tc>
        <w:tc>
          <w:tcPr>
            <w:tcW w:w="354" w:type="pct"/>
            <w:tcBorders>
              <w:top w:val="nil"/>
              <w:left w:val="single" w:sz="8" w:space="0" w:color="auto"/>
              <w:bottom w:val="nil"/>
              <w:right w:val="single" w:sz="8" w:space="0" w:color="auto"/>
            </w:tcBorders>
            <w:shd w:val="clear" w:color="auto" w:fill="auto"/>
            <w:noWrap/>
            <w:vAlign w:val="bottom"/>
          </w:tcPr>
          <w:p w:rsidR="00CE2EC2" w:rsidRDefault="00CE2EC2" w:rsidP="00AC5C30">
            <w:pPr>
              <w:spacing w:after="0" w:line="240" w:lineRule="auto"/>
              <w:jc w:val="right"/>
              <w:rPr>
                <w:rFonts w:ascii="Arial" w:eastAsiaTheme="minorHAnsi" w:hAnsi="Arial" w:cs="Arial"/>
                <w:sz w:val="16"/>
                <w:szCs w:val="12"/>
              </w:rPr>
            </w:pPr>
            <w:r w:rsidRPr="00CE2EC2">
              <w:rPr>
                <w:rFonts w:ascii="Arial" w:eastAsiaTheme="minorHAnsi" w:hAnsi="Arial" w:cs="Arial"/>
                <w:sz w:val="16"/>
                <w:szCs w:val="12"/>
              </w:rPr>
              <w:t>24.786,90</w:t>
            </w:r>
          </w:p>
          <w:p w:rsidR="00AC5C30" w:rsidRPr="000875F4" w:rsidRDefault="00CE2EC2" w:rsidP="00AC5C30">
            <w:pPr>
              <w:spacing w:after="0" w:line="240" w:lineRule="auto"/>
              <w:jc w:val="right"/>
              <w:rPr>
                <w:rFonts w:ascii="Arial" w:eastAsia="Times New Roman" w:hAnsi="Arial" w:cs="Arial"/>
                <w:sz w:val="16"/>
                <w:szCs w:val="16"/>
                <w:lang w:eastAsia="tr-TR"/>
              </w:rPr>
            </w:pPr>
            <w:r w:rsidRPr="00CE2EC2">
              <w:rPr>
                <w:rFonts w:ascii="Arial" w:eastAsiaTheme="minorHAnsi" w:hAnsi="Arial" w:cs="Arial"/>
                <w:sz w:val="16"/>
                <w:szCs w:val="12"/>
              </w:rPr>
              <w:t>297.784.375,56</w:t>
            </w:r>
          </w:p>
        </w:tc>
      </w:tr>
      <w:tr w:rsidR="00AC5C30" w:rsidRPr="000875F4" w:rsidTr="000875F4">
        <w:trPr>
          <w:gridAfter w:val="4"/>
          <w:wAfter w:w="1354" w:type="pct"/>
          <w:trHeight w:val="20"/>
        </w:trPr>
        <w:tc>
          <w:tcPr>
            <w:tcW w:w="37" w:type="pct"/>
            <w:tcBorders>
              <w:top w:val="nil"/>
              <w:left w:val="single" w:sz="8" w:space="0" w:color="auto"/>
              <w:bottom w:val="nil"/>
              <w:right w:val="nil"/>
            </w:tcBorders>
            <w:shd w:val="clear" w:color="auto" w:fill="auto"/>
            <w:noWrap/>
            <w:vAlign w:val="center"/>
            <w:hideMark/>
          </w:tcPr>
          <w:p w:rsidR="00AC5C30" w:rsidRPr="000875F4" w:rsidRDefault="00AC5C30" w:rsidP="00AC5C30">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88" w:type="pct"/>
            <w:tcBorders>
              <w:top w:val="nil"/>
              <w:left w:val="nil"/>
              <w:bottom w:val="nil"/>
              <w:right w:val="nil"/>
            </w:tcBorders>
            <w:shd w:val="clear" w:color="auto" w:fill="auto"/>
            <w:noWrap/>
            <w:vAlign w:val="center"/>
            <w:hideMark/>
          </w:tcPr>
          <w:p w:rsidR="00AC5C30" w:rsidRPr="000875F4" w:rsidRDefault="00AC5C30" w:rsidP="00AC5C30">
            <w:pPr>
              <w:spacing w:after="0" w:line="240" w:lineRule="auto"/>
              <w:jc w:val="left"/>
              <w:rPr>
                <w:rFonts w:ascii="Arial" w:eastAsia="Times New Roman" w:hAnsi="Arial" w:cs="Arial"/>
                <w:sz w:val="16"/>
                <w:szCs w:val="16"/>
                <w:lang w:eastAsia="tr-TR"/>
              </w:rPr>
            </w:pPr>
          </w:p>
        </w:tc>
        <w:tc>
          <w:tcPr>
            <w:tcW w:w="597" w:type="pct"/>
            <w:tcBorders>
              <w:top w:val="nil"/>
              <w:left w:val="nil"/>
              <w:bottom w:val="nil"/>
              <w:right w:val="single" w:sz="8" w:space="0" w:color="auto"/>
            </w:tcBorders>
            <w:shd w:val="clear" w:color="auto" w:fill="auto"/>
            <w:noWrap/>
            <w:vAlign w:val="center"/>
            <w:hideMark/>
          </w:tcPr>
          <w:p w:rsidR="00AC5C30" w:rsidRPr="000875F4" w:rsidRDefault="00AC5C30" w:rsidP="00AC5C30">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140-Kişilerden Alacaklar Hesabı</w:t>
            </w:r>
          </w:p>
        </w:tc>
        <w:tc>
          <w:tcPr>
            <w:tcW w:w="330" w:type="pct"/>
            <w:tcBorders>
              <w:top w:val="nil"/>
              <w:left w:val="nil"/>
              <w:bottom w:val="nil"/>
              <w:right w:val="single" w:sz="8" w:space="0" w:color="auto"/>
            </w:tcBorders>
            <w:shd w:val="clear" w:color="auto" w:fill="auto"/>
            <w:noWrap/>
            <w:vAlign w:val="center"/>
          </w:tcPr>
          <w:p w:rsidR="00AC5C30" w:rsidRPr="000875F4" w:rsidRDefault="00AC5C30" w:rsidP="00AC5C30">
            <w:pPr>
              <w:spacing w:after="0" w:line="240" w:lineRule="auto"/>
              <w:jc w:val="right"/>
              <w:rPr>
                <w:rFonts w:ascii="Arial" w:eastAsia="Times New Roman" w:hAnsi="Arial" w:cs="Arial"/>
                <w:sz w:val="16"/>
                <w:szCs w:val="16"/>
                <w:lang w:eastAsia="tr-TR"/>
              </w:rPr>
            </w:pPr>
            <w:r>
              <w:rPr>
                <w:rFonts w:ascii="Arial" w:hAnsi="Arial" w:cs="Arial"/>
                <w:color w:val="000000"/>
                <w:sz w:val="16"/>
                <w:szCs w:val="16"/>
              </w:rPr>
              <w:t>571.448,56</w:t>
            </w:r>
          </w:p>
        </w:tc>
        <w:tc>
          <w:tcPr>
            <w:tcW w:w="330" w:type="pct"/>
            <w:tcBorders>
              <w:top w:val="nil"/>
              <w:left w:val="nil"/>
              <w:bottom w:val="nil"/>
              <w:right w:val="single" w:sz="4" w:space="0" w:color="auto"/>
            </w:tcBorders>
            <w:shd w:val="clear" w:color="auto" w:fill="auto"/>
            <w:noWrap/>
            <w:vAlign w:val="center"/>
          </w:tcPr>
          <w:p w:rsidR="00AC5C30" w:rsidRPr="000875F4" w:rsidRDefault="00AC5C30" w:rsidP="00AC5C30">
            <w:pPr>
              <w:spacing w:after="0" w:line="240" w:lineRule="auto"/>
              <w:jc w:val="right"/>
              <w:rPr>
                <w:rFonts w:ascii="Arial" w:eastAsia="Times New Roman" w:hAnsi="Arial" w:cs="Arial"/>
                <w:sz w:val="16"/>
                <w:szCs w:val="16"/>
                <w:lang w:eastAsia="tr-TR"/>
              </w:rPr>
            </w:pPr>
            <w:r>
              <w:rPr>
                <w:rFonts w:ascii="Arial" w:hAnsi="Arial" w:cs="Arial"/>
                <w:color w:val="000000"/>
                <w:sz w:val="16"/>
                <w:szCs w:val="16"/>
              </w:rPr>
              <w:t>564.942,31</w:t>
            </w:r>
          </w:p>
        </w:tc>
        <w:tc>
          <w:tcPr>
            <w:tcW w:w="339" w:type="pct"/>
            <w:tcBorders>
              <w:top w:val="nil"/>
              <w:left w:val="single" w:sz="4" w:space="0" w:color="auto"/>
              <w:bottom w:val="nil"/>
              <w:right w:val="single" w:sz="8" w:space="0" w:color="auto"/>
            </w:tcBorders>
            <w:shd w:val="clear" w:color="auto" w:fill="auto"/>
            <w:noWrap/>
            <w:vAlign w:val="center"/>
          </w:tcPr>
          <w:p w:rsidR="00AC5C30" w:rsidRPr="000875F4" w:rsidRDefault="00AC5C30" w:rsidP="00AC5C30">
            <w:pPr>
              <w:spacing w:after="0" w:line="240" w:lineRule="auto"/>
              <w:jc w:val="right"/>
              <w:rPr>
                <w:rFonts w:ascii="Arial" w:eastAsia="Times New Roman" w:hAnsi="Arial" w:cs="Arial"/>
                <w:sz w:val="16"/>
                <w:szCs w:val="16"/>
                <w:lang w:eastAsia="tr-TR"/>
              </w:rPr>
            </w:pPr>
            <w:r>
              <w:rPr>
                <w:rFonts w:ascii="Arial" w:hAnsi="Arial" w:cs="Arial"/>
                <w:color w:val="000000"/>
                <w:sz w:val="16"/>
                <w:szCs w:val="16"/>
              </w:rPr>
              <w:t>581.867,03</w:t>
            </w:r>
          </w:p>
        </w:tc>
        <w:tc>
          <w:tcPr>
            <w:tcW w:w="886" w:type="pct"/>
            <w:gridSpan w:val="3"/>
            <w:tcBorders>
              <w:top w:val="nil"/>
              <w:left w:val="single" w:sz="8" w:space="0" w:color="auto"/>
              <w:bottom w:val="nil"/>
              <w:right w:val="nil"/>
            </w:tcBorders>
            <w:shd w:val="clear" w:color="auto" w:fill="auto"/>
            <w:noWrap/>
            <w:vAlign w:val="center"/>
            <w:hideMark/>
          </w:tcPr>
          <w:p w:rsidR="00AC5C30" w:rsidRPr="000875F4" w:rsidRDefault="00AC5C30" w:rsidP="00AC5C30">
            <w:pPr>
              <w:spacing w:after="0" w:line="240" w:lineRule="auto"/>
              <w:jc w:val="lef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 xml:space="preserve">    37-BORÇ VE GİDER KARŞILIKLARI</w:t>
            </w:r>
          </w:p>
          <w:p w:rsidR="00AC5C30" w:rsidRPr="000875F4" w:rsidRDefault="00AC5C30" w:rsidP="00AC5C30">
            <w:pPr>
              <w:spacing w:after="0" w:line="240" w:lineRule="auto"/>
              <w:jc w:val="left"/>
              <w:rPr>
                <w:rFonts w:ascii="Arial" w:eastAsia="Times New Roman" w:hAnsi="Arial" w:cs="Arial"/>
                <w:bCs/>
                <w:sz w:val="16"/>
                <w:szCs w:val="16"/>
                <w:lang w:eastAsia="tr-TR"/>
              </w:rPr>
            </w:pPr>
            <w:r w:rsidRPr="000875F4">
              <w:rPr>
                <w:rFonts w:ascii="Arial" w:eastAsia="Times New Roman" w:hAnsi="Arial" w:cs="Arial"/>
                <w:bCs/>
                <w:sz w:val="16"/>
                <w:szCs w:val="16"/>
                <w:lang w:eastAsia="tr-TR"/>
              </w:rPr>
              <w:t xml:space="preserve">           372-Kıdem Tazminatı Karşılığı Hesabı</w:t>
            </w:r>
          </w:p>
          <w:p w:rsidR="00AC5C30" w:rsidRPr="000875F4" w:rsidRDefault="00AC5C30" w:rsidP="00AC5C30">
            <w:pPr>
              <w:spacing w:after="0" w:line="240" w:lineRule="auto"/>
              <w:jc w:val="lef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4-UZUN VADELİ YABANCI KAYNAKLAR</w:t>
            </w:r>
          </w:p>
        </w:tc>
        <w:tc>
          <w:tcPr>
            <w:tcW w:w="359" w:type="pct"/>
            <w:tcBorders>
              <w:top w:val="nil"/>
              <w:left w:val="single" w:sz="8" w:space="0" w:color="auto"/>
              <w:bottom w:val="nil"/>
              <w:right w:val="single" w:sz="8" w:space="0" w:color="auto"/>
            </w:tcBorders>
            <w:shd w:val="clear" w:color="auto" w:fill="auto"/>
            <w:noWrap/>
            <w:vAlign w:val="center"/>
          </w:tcPr>
          <w:p w:rsidR="00AC5C30" w:rsidRPr="000875F4" w:rsidRDefault="00AC5C30" w:rsidP="00AC5C30">
            <w:pPr>
              <w:spacing w:after="0" w:line="240" w:lineRule="auto"/>
              <w:jc w:val="right"/>
              <w:rPr>
                <w:rFonts w:ascii="Arial" w:eastAsia="Times New Roman" w:hAnsi="Arial" w:cs="Arial"/>
                <w:b/>
                <w:bCs/>
                <w:sz w:val="16"/>
                <w:szCs w:val="16"/>
                <w:lang w:eastAsia="tr-TR"/>
              </w:rPr>
            </w:pPr>
          </w:p>
          <w:p w:rsidR="00AC5C30" w:rsidRPr="000875F4" w:rsidRDefault="00AC5C30" w:rsidP="00AC5C30">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0,00</w:t>
            </w:r>
          </w:p>
          <w:p w:rsidR="00AC5C30" w:rsidRPr="000875F4" w:rsidRDefault="00AC5C30" w:rsidP="00AC5C30">
            <w:pPr>
              <w:spacing w:after="0" w:line="240" w:lineRule="auto"/>
              <w:jc w:val="right"/>
              <w:rPr>
                <w:rFonts w:ascii="Arial" w:eastAsia="Times New Roman" w:hAnsi="Arial" w:cs="Arial"/>
                <w:bCs/>
                <w:sz w:val="16"/>
                <w:szCs w:val="16"/>
                <w:lang w:eastAsia="tr-TR"/>
              </w:rPr>
            </w:pPr>
            <w:r w:rsidRPr="000875F4">
              <w:rPr>
                <w:rFonts w:ascii="Arial" w:eastAsia="Times New Roman" w:hAnsi="Arial" w:cs="Arial"/>
                <w:bCs/>
                <w:sz w:val="16"/>
                <w:szCs w:val="16"/>
                <w:lang w:eastAsia="tr-TR"/>
              </w:rPr>
              <w:t>0,00</w:t>
            </w:r>
          </w:p>
          <w:p w:rsidR="00AC5C30" w:rsidRPr="000875F4" w:rsidRDefault="004657E0" w:rsidP="00AC5C30">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1.464.630,00</w:t>
            </w:r>
          </w:p>
        </w:tc>
        <w:tc>
          <w:tcPr>
            <w:tcW w:w="326" w:type="pct"/>
            <w:tcBorders>
              <w:top w:val="nil"/>
              <w:left w:val="nil"/>
              <w:bottom w:val="nil"/>
              <w:right w:val="nil"/>
            </w:tcBorders>
            <w:shd w:val="clear" w:color="auto" w:fill="auto"/>
            <w:noWrap/>
            <w:vAlign w:val="center"/>
          </w:tcPr>
          <w:p w:rsidR="00AC5C30" w:rsidRPr="000875F4" w:rsidRDefault="00AC5C30" w:rsidP="00AC5C30">
            <w:pPr>
              <w:spacing w:after="0" w:line="240" w:lineRule="auto"/>
              <w:jc w:val="right"/>
              <w:rPr>
                <w:rFonts w:ascii="Arial" w:eastAsia="Times New Roman" w:hAnsi="Arial" w:cs="Arial"/>
                <w:b/>
                <w:bCs/>
                <w:sz w:val="16"/>
                <w:szCs w:val="16"/>
                <w:lang w:eastAsia="tr-TR"/>
              </w:rPr>
            </w:pPr>
          </w:p>
          <w:p w:rsidR="00CE2EC2" w:rsidRPr="000875F4" w:rsidRDefault="00CE2EC2" w:rsidP="00CE2EC2">
            <w:pPr>
              <w:spacing w:after="0" w:line="240" w:lineRule="auto"/>
              <w:jc w:val="right"/>
              <w:rPr>
                <w:rFonts w:ascii="Arial" w:eastAsiaTheme="minorHAnsi" w:hAnsi="Arial" w:cs="Arial"/>
                <w:b/>
                <w:sz w:val="16"/>
                <w:szCs w:val="12"/>
              </w:rPr>
            </w:pPr>
            <w:r w:rsidRPr="000875F4">
              <w:rPr>
                <w:rFonts w:ascii="Arial" w:eastAsiaTheme="minorHAnsi" w:hAnsi="Arial" w:cs="Arial"/>
                <w:b/>
                <w:sz w:val="16"/>
                <w:szCs w:val="12"/>
              </w:rPr>
              <w:t>415.417,37</w:t>
            </w:r>
          </w:p>
          <w:p w:rsidR="00CE2EC2" w:rsidRPr="000875F4" w:rsidRDefault="00CE2EC2" w:rsidP="00CE2EC2">
            <w:pPr>
              <w:spacing w:after="0" w:line="240" w:lineRule="auto"/>
              <w:jc w:val="right"/>
              <w:rPr>
                <w:rFonts w:ascii="Arial" w:eastAsiaTheme="minorHAnsi" w:hAnsi="Arial" w:cs="Arial"/>
                <w:sz w:val="16"/>
                <w:szCs w:val="12"/>
              </w:rPr>
            </w:pPr>
            <w:r w:rsidRPr="000875F4">
              <w:rPr>
                <w:rFonts w:ascii="Arial" w:eastAsiaTheme="minorHAnsi" w:hAnsi="Arial" w:cs="Arial"/>
                <w:sz w:val="16"/>
                <w:szCs w:val="12"/>
              </w:rPr>
              <w:t>415.417,37</w:t>
            </w:r>
          </w:p>
          <w:p w:rsidR="00AC5C30" w:rsidRPr="000875F4" w:rsidRDefault="004657E0" w:rsidP="00AC5C30">
            <w:pPr>
              <w:spacing w:after="0" w:line="240" w:lineRule="auto"/>
              <w:jc w:val="right"/>
              <w:rPr>
                <w:rFonts w:ascii="Arial" w:eastAsia="Times New Roman" w:hAnsi="Arial" w:cs="Arial"/>
                <w:b/>
                <w:bCs/>
                <w:sz w:val="16"/>
                <w:szCs w:val="16"/>
                <w:lang w:eastAsia="tr-TR"/>
              </w:rPr>
            </w:pPr>
            <w:r w:rsidRPr="000875F4">
              <w:rPr>
                <w:rFonts w:ascii="Arial" w:eastAsiaTheme="minorHAnsi" w:hAnsi="Arial" w:cs="Arial"/>
                <w:b/>
                <w:sz w:val="16"/>
                <w:szCs w:val="12"/>
              </w:rPr>
              <w:t>22.011.665,45</w:t>
            </w:r>
          </w:p>
        </w:tc>
        <w:tc>
          <w:tcPr>
            <w:tcW w:w="354" w:type="pct"/>
            <w:tcBorders>
              <w:top w:val="nil"/>
              <w:left w:val="single" w:sz="8" w:space="0" w:color="auto"/>
              <w:bottom w:val="nil"/>
              <w:right w:val="single" w:sz="8" w:space="0" w:color="auto"/>
            </w:tcBorders>
            <w:shd w:val="clear" w:color="auto" w:fill="auto"/>
            <w:noWrap/>
            <w:vAlign w:val="center"/>
          </w:tcPr>
          <w:p w:rsidR="00AC5C30" w:rsidRPr="000875F4" w:rsidRDefault="00AC5C30" w:rsidP="00AC5C30">
            <w:pPr>
              <w:spacing w:after="0" w:line="240" w:lineRule="auto"/>
              <w:jc w:val="right"/>
              <w:rPr>
                <w:rFonts w:ascii="Arial" w:eastAsiaTheme="minorHAnsi" w:hAnsi="Arial" w:cs="Arial"/>
                <w:b/>
                <w:sz w:val="16"/>
                <w:szCs w:val="12"/>
              </w:rPr>
            </w:pPr>
          </w:p>
          <w:p w:rsidR="004657E0" w:rsidRDefault="004657E0" w:rsidP="00AC5C30">
            <w:pPr>
              <w:spacing w:after="0" w:line="240" w:lineRule="auto"/>
              <w:jc w:val="right"/>
              <w:rPr>
                <w:rFonts w:ascii="Arial" w:eastAsiaTheme="minorHAnsi" w:hAnsi="Arial" w:cs="Arial"/>
                <w:b/>
                <w:sz w:val="16"/>
                <w:szCs w:val="12"/>
              </w:rPr>
            </w:pPr>
            <w:r w:rsidRPr="004657E0">
              <w:rPr>
                <w:rFonts w:ascii="Arial" w:eastAsiaTheme="minorHAnsi" w:hAnsi="Arial" w:cs="Arial"/>
                <w:b/>
                <w:sz w:val="16"/>
                <w:szCs w:val="12"/>
              </w:rPr>
              <w:t>742.789,37</w:t>
            </w:r>
          </w:p>
          <w:p w:rsidR="004657E0" w:rsidRDefault="004657E0" w:rsidP="00AC5C30">
            <w:pPr>
              <w:spacing w:after="0" w:line="240" w:lineRule="auto"/>
              <w:jc w:val="right"/>
              <w:rPr>
                <w:rFonts w:ascii="Arial" w:eastAsiaTheme="minorHAnsi" w:hAnsi="Arial" w:cs="Arial"/>
                <w:sz w:val="16"/>
                <w:szCs w:val="12"/>
              </w:rPr>
            </w:pPr>
            <w:r w:rsidRPr="004657E0">
              <w:rPr>
                <w:rFonts w:ascii="Arial" w:eastAsiaTheme="minorHAnsi" w:hAnsi="Arial" w:cs="Arial"/>
                <w:sz w:val="16"/>
                <w:szCs w:val="12"/>
              </w:rPr>
              <w:t>742.789,37</w:t>
            </w:r>
          </w:p>
          <w:p w:rsidR="00AC5C30" w:rsidRPr="000875F4" w:rsidRDefault="004657E0" w:rsidP="00AC5C30">
            <w:pPr>
              <w:spacing w:after="0" w:line="240" w:lineRule="auto"/>
              <w:jc w:val="right"/>
              <w:rPr>
                <w:rFonts w:ascii="Arial" w:eastAsia="Times New Roman" w:hAnsi="Arial" w:cs="Arial"/>
                <w:b/>
                <w:bCs/>
                <w:sz w:val="16"/>
                <w:szCs w:val="16"/>
                <w:lang w:eastAsia="tr-TR"/>
              </w:rPr>
            </w:pPr>
            <w:r w:rsidRPr="004657E0">
              <w:rPr>
                <w:rFonts w:ascii="Arial" w:eastAsiaTheme="minorHAnsi" w:hAnsi="Arial" w:cs="Arial"/>
                <w:b/>
                <w:sz w:val="16"/>
                <w:szCs w:val="12"/>
              </w:rPr>
              <w:t>40.102.364,23</w:t>
            </w:r>
          </w:p>
        </w:tc>
      </w:tr>
      <w:tr w:rsidR="000875F4" w:rsidRPr="000875F4" w:rsidTr="000875F4">
        <w:trPr>
          <w:gridAfter w:val="4"/>
          <w:wAfter w:w="1354" w:type="pct"/>
          <w:trHeight w:val="20"/>
        </w:trPr>
        <w:tc>
          <w:tcPr>
            <w:tcW w:w="37" w:type="pct"/>
            <w:tcBorders>
              <w:top w:val="nil"/>
              <w:left w:val="single" w:sz="8" w:space="0" w:color="auto"/>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685" w:type="pct"/>
            <w:gridSpan w:val="2"/>
            <w:tcBorders>
              <w:top w:val="nil"/>
              <w:left w:val="nil"/>
              <w:bottom w:val="nil"/>
              <w:right w:val="single" w:sz="8" w:space="0" w:color="000000"/>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15-STOKLAR HESABI</w:t>
            </w:r>
          </w:p>
        </w:tc>
        <w:tc>
          <w:tcPr>
            <w:tcW w:w="330" w:type="pct"/>
            <w:tcBorders>
              <w:top w:val="nil"/>
              <w:left w:val="nil"/>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bCs/>
                <w:sz w:val="16"/>
                <w:szCs w:val="16"/>
                <w:lang w:eastAsia="tr-TR"/>
              </w:rPr>
            </w:pPr>
            <w:r w:rsidRPr="000875F4">
              <w:rPr>
                <w:rFonts w:ascii="Arial" w:eastAsia="Times New Roman" w:hAnsi="Arial" w:cs="Arial"/>
                <w:bCs/>
                <w:sz w:val="16"/>
                <w:szCs w:val="16"/>
                <w:lang w:eastAsia="tr-TR"/>
              </w:rPr>
              <w:t>0,00</w:t>
            </w:r>
          </w:p>
        </w:tc>
        <w:tc>
          <w:tcPr>
            <w:tcW w:w="330" w:type="pct"/>
            <w:tcBorders>
              <w:top w:val="nil"/>
              <w:left w:val="nil"/>
              <w:bottom w:val="nil"/>
              <w:right w:val="single" w:sz="8"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bCs/>
                <w:sz w:val="16"/>
                <w:szCs w:val="16"/>
                <w:lang w:eastAsia="tr-TR"/>
              </w:rPr>
            </w:pPr>
            <w:r w:rsidRPr="000875F4">
              <w:rPr>
                <w:rFonts w:ascii="Arial" w:eastAsia="Times New Roman" w:hAnsi="Arial" w:cs="Arial"/>
                <w:sz w:val="16"/>
                <w:szCs w:val="16"/>
                <w:lang w:eastAsia="tr-TR"/>
              </w:rPr>
              <w:t>0,00</w:t>
            </w:r>
          </w:p>
        </w:tc>
        <w:tc>
          <w:tcPr>
            <w:tcW w:w="339" w:type="pct"/>
            <w:tcBorders>
              <w:top w:val="nil"/>
              <w:left w:val="nil"/>
              <w:bottom w:val="nil"/>
              <w:right w:val="single" w:sz="8"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bCs/>
                <w:sz w:val="16"/>
                <w:szCs w:val="16"/>
                <w:lang w:eastAsia="tr-TR"/>
              </w:rPr>
            </w:pPr>
            <w:r w:rsidRPr="000875F4">
              <w:rPr>
                <w:rFonts w:ascii="Arial" w:eastAsia="Times New Roman" w:hAnsi="Arial" w:cs="Arial"/>
                <w:sz w:val="16"/>
                <w:szCs w:val="16"/>
                <w:lang w:eastAsia="tr-TR"/>
              </w:rPr>
              <w:t>0,00</w:t>
            </w:r>
          </w:p>
        </w:tc>
        <w:tc>
          <w:tcPr>
            <w:tcW w:w="38"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Arial" w:eastAsia="Times New Roman" w:hAnsi="Arial" w:cs="Arial"/>
                <w:b/>
                <w:bCs/>
                <w:sz w:val="16"/>
                <w:szCs w:val="16"/>
                <w:lang w:eastAsia="tr-TR"/>
              </w:rPr>
            </w:pPr>
          </w:p>
        </w:tc>
        <w:tc>
          <w:tcPr>
            <w:tcW w:w="848"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43-DİĞER BORÇLAR</w:t>
            </w:r>
          </w:p>
        </w:tc>
        <w:tc>
          <w:tcPr>
            <w:tcW w:w="359" w:type="pct"/>
            <w:tcBorders>
              <w:top w:val="nil"/>
              <w:left w:val="single" w:sz="8" w:space="0" w:color="auto"/>
              <w:bottom w:val="nil"/>
              <w:right w:val="single" w:sz="8" w:space="0" w:color="auto"/>
            </w:tcBorders>
            <w:shd w:val="clear" w:color="auto" w:fill="auto"/>
            <w:noWrap/>
            <w:vAlign w:val="center"/>
          </w:tcPr>
          <w:p w:rsidR="000875F4" w:rsidRPr="000875F4" w:rsidRDefault="004657E0" w:rsidP="000875F4">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1.464.630,00</w:t>
            </w:r>
          </w:p>
        </w:tc>
        <w:tc>
          <w:tcPr>
            <w:tcW w:w="326" w:type="pct"/>
            <w:tcBorders>
              <w:top w:val="nil"/>
              <w:left w:val="nil"/>
              <w:bottom w:val="nil"/>
              <w:right w:val="nil"/>
            </w:tcBorders>
            <w:shd w:val="clear" w:color="auto" w:fill="auto"/>
            <w:noWrap/>
            <w:vAlign w:val="center"/>
          </w:tcPr>
          <w:p w:rsidR="000875F4" w:rsidRPr="000875F4" w:rsidRDefault="004657E0" w:rsidP="000875F4">
            <w:pPr>
              <w:spacing w:after="0" w:line="240" w:lineRule="auto"/>
              <w:jc w:val="right"/>
              <w:rPr>
                <w:rFonts w:ascii="Arial" w:eastAsia="Times New Roman" w:hAnsi="Arial" w:cs="Arial"/>
                <w:b/>
                <w:bCs/>
                <w:sz w:val="16"/>
                <w:szCs w:val="16"/>
                <w:lang w:eastAsia="tr-TR"/>
              </w:rPr>
            </w:pPr>
            <w:r w:rsidRPr="000875F4">
              <w:rPr>
                <w:rFonts w:ascii="Arial" w:eastAsiaTheme="minorHAnsi" w:hAnsi="Arial" w:cs="Arial"/>
                <w:b/>
                <w:sz w:val="16"/>
                <w:szCs w:val="12"/>
              </w:rPr>
              <w:t>5.485.577,40</w:t>
            </w:r>
          </w:p>
        </w:tc>
        <w:tc>
          <w:tcPr>
            <w:tcW w:w="354" w:type="pct"/>
            <w:tcBorders>
              <w:top w:val="nil"/>
              <w:left w:val="single" w:sz="8" w:space="0" w:color="auto"/>
              <w:bottom w:val="nil"/>
              <w:right w:val="single" w:sz="8" w:space="0" w:color="auto"/>
            </w:tcBorders>
            <w:shd w:val="clear" w:color="auto" w:fill="auto"/>
            <w:noWrap/>
            <w:vAlign w:val="bottom"/>
          </w:tcPr>
          <w:p w:rsidR="000875F4" w:rsidRPr="000875F4" w:rsidRDefault="004657E0" w:rsidP="000875F4">
            <w:pPr>
              <w:spacing w:after="0" w:line="240" w:lineRule="auto"/>
              <w:jc w:val="right"/>
              <w:rPr>
                <w:rFonts w:ascii="Arial" w:eastAsia="Times New Roman" w:hAnsi="Arial" w:cs="Arial"/>
                <w:b/>
                <w:bCs/>
                <w:sz w:val="16"/>
                <w:szCs w:val="16"/>
                <w:lang w:eastAsia="tr-TR"/>
              </w:rPr>
            </w:pPr>
            <w:r w:rsidRPr="004657E0">
              <w:rPr>
                <w:rFonts w:ascii="Arial" w:eastAsiaTheme="minorHAnsi" w:hAnsi="Arial" w:cs="Arial"/>
                <w:b/>
                <w:sz w:val="16"/>
                <w:szCs w:val="12"/>
              </w:rPr>
              <w:t>5.586.447,40</w:t>
            </w:r>
          </w:p>
        </w:tc>
      </w:tr>
      <w:tr w:rsidR="000875F4" w:rsidRPr="000875F4" w:rsidTr="000875F4">
        <w:trPr>
          <w:gridAfter w:val="4"/>
          <w:wAfter w:w="1354" w:type="pct"/>
          <w:trHeight w:val="20"/>
        </w:trPr>
        <w:tc>
          <w:tcPr>
            <w:tcW w:w="37" w:type="pct"/>
            <w:tcBorders>
              <w:top w:val="nil"/>
              <w:left w:val="single" w:sz="8" w:space="0" w:color="auto"/>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88" w:type="pct"/>
            <w:tcBorders>
              <w:top w:val="nil"/>
              <w:left w:val="nil"/>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p>
        </w:tc>
        <w:tc>
          <w:tcPr>
            <w:tcW w:w="597" w:type="pct"/>
            <w:tcBorders>
              <w:top w:val="nil"/>
              <w:left w:val="nil"/>
              <w:bottom w:val="nil"/>
              <w:right w:val="single" w:sz="8" w:space="0" w:color="auto"/>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150-İlk Madde ve Malzemeler</w:t>
            </w:r>
          </w:p>
        </w:tc>
        <w:tc>
          <w:tcPr>
            <w:tcW w:w="330" w:type="pct"/>
            <w:tcBorders>
              <w:top w:val="nil"/>
              <w:left w:val="nil"/>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bCs/>
                <w:sz w:val="16"/>
                <w:szCs w:val="16"/>
                <w:lang w:eastAsia="tr-TR"/>
              </w:rPr>
              <w:t>0,00</w:t>
            </w:r>
          </w:p>
        </w:tc>
        <w:tc>
          <w:tcPr>
            <w:tcW w:w="330" w:type="pct"/>
            <w:tcBorders>
              <w:top w:val="nil"/>
              <w:left w:val="nil"/>
              <w:bottom w:val="nil"/>
              <w:right w:val="single" w:sz="8"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0,00</w:t>
            </w:r>
          </w:p>
        </w:tc>
        <w:tc>
          <w:tcPr>
            <w:tcW w:w="339" w:type="pct"/>
            <w:tcBorders>
              <w:top w:val="nil"/>
              <w:left w:val="nil"/>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0,00</w:t>
            </w:r>
          </w:p>
        </w:tc>
        <w:tc>
          <w:tcPr>
            <w:tcW w:w="38"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Arial" w:eastAsia="Times New Roman" w:hAnsi="Arial" w:cs="Arial"/>
                <w:sz w:val="16"/>
                <w:szCs w:val="16"/>
                <w:lang w:eastAsia="tr-TR"/>
              </w:rPr>
            </w:pPr>
          </w:p>
        </w:tc>
        <w:tc>
          <w:tcPr>
            <w:tcW w:w="72"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776"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430-Alınan Depozito ve Teminatlar</w:t>
            </w:r>
          </w:p>
        </w:tc>
        <w:tc>
          <w:tcPr>
            <w:tcW w:w="359" w:type="pct"/>
            <w:tcBorders>
              <w:top w:val="nil"/>
              <w:left w:val="single" w:sz="8" w:space="0" w:color="auto"/>
              <w:bottom w:val="nil"/>
              <w:right w:val="single" w:sz="8" w:space="0" w:color="auto"/>
            </w:tcBorders>
            <w:shd w:val="clear" w:color="auto" w:fill="auto"/>
            <w:noWrap/>
            <w:vAlign w:val="center"/>
          </w:tcPr>
          <w:p w:rsidR="000875F4" w:rsidRPr="000875F4" w:rsidRDefault="004657E0"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bCs/>
                <w:sz w:val="16"/>
                <w:szCs w:val="16"/>
                <w:lang w:eastAsia="tr-TR"/>
              </w:rPr>
              <w:t>1.464.630,00</w:t>
            </w:r>
          </w:p>
        </w:tc>
        <w:tc>
          <w:tcPr>
            <w:tcW w:w="326" w:type="pct"/>
            <w:tcBorders>
              <w:top w:val="nil"/>
              <w:left w:val="nil"/>
              <w:bottom w:val="nil"/>
              <w:right w:val="nil"/>
            </w:tcBorders>
            <w:shd w:val="clear" w:color="auto" w:fill="auto"/>
            <w:noWrap/>
            <w:vAlign w:val="center"/>
          </w:tcPr>
          <w:p w:rsidR="000875F4" w:rsidRPr="000875F4" w:rsidRDefault="004657E0" w:rsidP="000875F4">
            <w:pPr>
              <w:spacing w:after="0" w:line="240" w:lineRule="auto"/>
              <w:jc w:val="right"/>
              <w:rPr>
                <w:rFonts w:ascii="Arial" w:eastAsia="Times New Roman" w:hAnsi="Arial" w:cs="Arial"/>
                <w:sz w:val="16"/>
                <w:szCs w:val="16"/>
                <w:lang w:eastAsia="tr-TR"/>
              </w:rPr>
            </w:pPr>
            <w:r w:rsidRPr="004657E0">
              <w:rPr>
                <w:rFonts w:ascii="Arial" w:eastAsia="Times New Roman" w:hAnsi="Arial" w:cs="Arial"/>
                <w:bCs/>
                <w:sz w:val="16"/>
                <w:szCs w:val="16"/>
                <w:lang w:eastAsia="tr-TR"/>
              </w:rPr>
              <w:t>5.485.577,40</w:t>
            </w:r>
          </w:p>
        </w:tc>
        <w:tc>
          <w:tcPr>
            <w:tcW w:w="354" w:type="pct"/>
            <w:tcBorders>
              <w:top w:val="nil"/>
              <w:left w:val="single" w:sz="8" w:space="0" w:color="auto"/>
              <w:bottom w:val="nil"/>
              <w:right w:val="single" w:sz="8" w:space="0" w:color="auto"/>
            </w:tcBorders>
            <w:shd w:val="clear" w:color="auto" w:fill="auto"/>
            <w:noWrap/>
            <w:vAlign w:val="bottom"/>
          </w:tcPr>
          <w:p w:rsidR="000875F4" w:rsidRPr="000875F4" w:rsidRDefault="004657E0" w:rsidP="000875F4">
            <w:pPr>
              <w:spacing w:after="0" w:line="240" w:lineRule="auto"/>
              <w:jc w:val="right"/>
              <w:rPr>
                <w:rFonts w:ascii="Arial" w:eastAsia="Times New Roman" w:hAnsi="Arial" w:cs="Arial"/>
                <w:sz w:val="16"/>
                <w:szCs w:val="16"/>
                <w:lang w:eastAsia="tr-TR"/>
              </w:rPr>
            </w:pPr>
            <w:r w:rsidRPr="004657E0">
              <w:rPr>
                <w:rFonts w:ascii="Arial" w:eastAsiaTheme="minorHAnsi" w:hAnsi="Arial" w:cs="Arial"/>
                <w:sz w:val="16"/>
                <w:szCs w:val="12"/>
              </w:rPr>
              <w:t>5.586.447,40</w:t>
            </w:r>
          </w:p>
        </w:tc>
      </w:tr>
      <w:tr w:rsidR="00AC5C30" w:rsidRPr="000875F4" w:rsidTr="000875F4">
        <w:trPr>
          <w:gridAfter w:val="4"/>
          <w:wAfter w:w="1354" w:type="pct"/>
          <w:trHeight w:val="20"/>
        </w:trPr>
        <w:tc>
          <w:tcPr>
            <w:tcW w:w="37" w:type="pct"/>
            <w:tcBorders>
              <w:top w:val="nil"/>
              <w:left w:val="single" w:sz="8" w:space="0" w:color="auto"/>
              <w:bottom w:val="nil"/>
              <w:right w:val="nil"/>
            </w:tcBorders>
            <w:shd w:val="clear" w:color="auto" w:fill="auto"/>
            <w:noWrap/>
            <w:vAlign w:val="center"/>
            <w:hideMark/>
          </w:tcPr>
          <w:p w:rsidR="00AC5C30" w:rsidRPr="000875F4" w:rsidRDefault="00AC5C30" w:rsidP="00AC5C30">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685" w:type="pct"/>
            <w:gridSpan w:val="2"/>
            <w:tcBorders>
              <w:top w:val="nil"/>
              <w:left w:val="nil"/>
              <w:bottom w:val="nil"/>
              <w:right w:val="single" w:sz="8" w:space="0" w:color="000000"/>
            </w:tcBorders>
            <w:shd w:val="clear" w:color="auto" w:fill="auto"/>
            <w:noWrap/>
            <w:vAlign w:val="center"/>
            <w:hideMark/>
          </w:tcPr>
          <w:p w:rsidR="00AC5C30" w:rsidRPr="000875F4" w:rsidRDefault="00AC5C30" w:rsidP="00AC5C30">
            <w:pPr>
              <w:spacing w:after="0" w:line="240" w:lineRule="auto"/>
              <w:jc w:val="lef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16-ÖN ÖDEMELER</w:t>
            </w:r>
          </w:p>
        </w:tc>
        <w:tc>
          <w:tcPr>
            <w:tcW w:w="330" w:type="pct"/>
            <w:tcBorders>
              <w:top w:val="nil"/>
              <w:left w:val="nil"/>
              <w:bottom w:val="nil"/>
              <w:right w:val="single" w:sz="8" w:space="0" w:color="auto"/>
            </w:tcBorders>
            <w:shd w:val="clear" w:color="auto" w:fill="auto"/>
            <w:noWrap/>
            <w:vAlign w:val="center"/>
          </w:tcPr>
          <w:p w:rsidR="00AC5C30" w:rsidRPr="000875F4" w:rsidRDefault="00AC5C30" w:rsidP="00AC5C30">
            <w:pPr>
              <w:spacing w:after="0" w:line="240" w:lineRule="auto"/>
              <w:jc w:val="right"/>
              <w:rPr>
                <w:rFonts w:ascii="Arial" w:eastAsia="Times New Roman" w:hAnsi="Arial" w:cs="Arial"/>
                <w:b/>
                <w:bCs/>
                <w:sz w:val="16"/>
                <w:szCs w:val="16"/>
                <w:lang w:eastAsia="tr-TR"/>
              </w:rPr>
            </w:pPr>
            <w:r>
              <w:rPr>
                <w:rFonts w:ascii="Arial" w:hAnsi="Arial" w:cs="Arial"/>
                <w:b/>
                <w:bCs/>
                <w:color w:val="000000"/>
                <w:sz w:val="16"/>
                <w:szCs w:val="16"/>
              </w:rPr>
              <w:t>2.180,00</w:t>
            </w:r>
          </w:p>
        </w:tc>
        <w:tc>
          <w:tcPr>
            <w:tcW w:w="330" w:type="pct"/>
            <w:tcBorders>
              <w:top w:val="nil"/>
              <w:left w:val="nil"/>
              <w:bottom w:val="nil"/>
              <w:right w:val="single" w:sz="8" w:space="0" w:color="auto"/>
            </w:tcBorders>
            <w:shd w:val="clear" w:color="auto" w:fill="auto"/>
            <w:noWrap/>
            <w:vAlign w:val="center"/>
          </w:tcPr>
          <w:p w:rsidR="00AC5C30" w:rsidRPr="000875F4" w:rsidRDefault="00AC5C30" w:rsidP="00AC5C30">
            <w:pPr>
              <w:spacing w:after="0" w:line="240" w:lineRule="auto"/>
              <w:jc w:val="right"/>
              <w:rPr>
                <w:rFonts w:ascii="Arial" w:eastAsia="Times New Roman" w:hAnsi="Arial" w:cs="Arial"/>
                <w:b/>
                <w:bCs/>
                <w:sz w:val="16"/>
                <w:szCs w:val="16"/>
                <w:lang w:eastAsia="tr-TR"/>
              </w:rPr>
            </w:pPr>
            <w:r>
              <w:rPr>
                <w:rFonts w:ascii="Arial" w:hAnsi="Arial" w:cs="Arial"/>
                <w:b/>
                <w:bCs/>
                <w:color w:val="000000"/>
                <w:sz w:val="16"/>
                <w:szCs w:val="16"/>
              </w:rPr>
              <w:t>4.093.925,93</w:t>
            </w:r>
          </w:p>
        </w:tc>
        <w:tc>
          <w:tcPr>
            <w:tcW w:w="339" w:type="pct"/>
            <w:tcBorders>
              <w:top w:val="nil"/>
              <w:left w:val="nil"/>
              <w:bottom w:val="nil"/>
              <w:right w:val="single" w:sz="8" w:space="0" w:color="auto"/>
            </w:tcBorders>
            <w:shd w:val="clear" w:color="auto" w:fill="auto"/>
            <w:noWrap/>
            <w:vAlign w:val="center"/>
          </w:tcPr>
          <w:p w:rsidR="00AC5C30" w:rsidRPr="000875F4" w:rsidRDefault="00AC5C30" w:rsidP="00AC5C30">
            <w:pPr>
              <w:spacing w:after="0" w:line="240" w:lineRule="auto"/>
              <w:jc w:val="right"/>
              <w:rPr>
                <w:rFonts w:ascii="Arial" w:eastAsia="Times New Roman" w:hAnsi="Arial" w:cs="Arial"/>
                <w:b/>
                <w:bCs/>
                <w:sz w:val="16"/>
                <w:szCs w:val="16"/>
                <w:lang w:eastAsia="tr-TR"/>
              </w:rPr>
            </w:pPr>
            <w:r>
              <w:rPr>
                <w:rFonts w:ascii="Arial" w:hAnsi="Arial" w:cs="Arial"/>
                <w:b/>
                <w:bCs/>
                <w:color w:val="000000"/>
                <w:sz w:val="16"/>
                <w:szCs w:val="16"/>
              </w:rPr>
              <w:t>7.957.650,75</w:t>
            </w:r>
          </w:p>
        </w:tc>
        <w:tc>
          <w:tcPr>
            <w:tcW w:w="38" w:type="pct"/>
            <w:tcBorders>
              <w:top w:val="nil"/>
              <w:left w:val="nil"/>
              <w:bottom w:val="nil"/>
              <w:right w:val="nil"/>
            </w:tcBorders>
            <w:shd w:val="clear" w:color="auto" w:fill="auto"/>
            <w:noWrap/>
            <w:vAlign w:val="center"/>
            <w:hideMark/>
          </w:tcPr>
          <w:p w:rsidR="00AC5C30" w:rsidRPr="000875F4" w:rsidRDefault="00AC5C30" w:rsidP="00AC5C30">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848" w:type="pct"/>
            <w:gridSpan w:val="2"/>
            <w:tcBorders>
              <w:top w:val="nil"/>
              <w:left w:val="nil"/>
              <w:bottom w:val="nil"/>
              <w:right w:val="nil"/>
            </w:tcBorders>
            <w:shd w:val="clear" w:color="auto" w:fill="auto"/>
            <w:noWrap/>
            <w:vAlign w:val="center"/>
            <w:hideMark/>
          </w:tcPr>
          <w:p w:rsidR="00AC5C30" w:rsidRPr="000875F4" w:rsidRDefault="00AC5C30" w:rsidP="00AC5C30">
            <w:pPr>
              <w:spacing w:after="0" w:line="240" w:lineRule="auto"/>
              <w:jc w:val="left"/>
              <w:rPr>
                <w:rFonts w:ascii="Arial" w:eastAsia="Times New Roman" w:hAnsi="Arial" w:cs="Arial"/>
                <w:b/>
                <w:bCs/>
                <w:sz w:val="16"/>
                <w:szCs w:val="16"/>
                <w:lang w:eastAsia="tr-TR"/>
              </w:rPr>
            </w:pPr>
          </w:p>
          <w:p w:rsidR="00AC5C30" w:rsidRPr="000875F4" w:rsidRDefault="00AC5C30" w:rsidP="00AC5C30">
            <w:pPr>
              <w:spacing w:after="0" w:line="240" w:lineRule="auto"/>
              <w:jc w:val="lef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47-BORÇ VE GİDER KARŞILIKLARI</w:t>
            </w:r>
          </w:p>
        </w:tc>
        <w:tc>
          <w:tcPr>
            <w:tcW w:w="359" w:type="pct"/>
            <w:tcBorders>
              <w:top w:val="nil"/>
              <w:left w:val="single" w:sz="8" w:space="0" w:color="auto"/>
              <w:bottom w:val="nil"/>
              <w:right w:val="single" w:sz="8" w:space="0" w:color="auto"/>
            </w:tcBorders>
            <w:shd w:val="clear" w:color="auto" w:fill="auto"/>
            <w:noWrap/>
            <w:vAlign w:val="center"/>
          </w:tcPr>
          <w:p w:rsidR="00AC5C30" w:rsidRPr="000875F4" w:rsidRDefault="00AC5C30" w:rsidP="00AC5C30">
            <w:pPr>
              <w:spacing w:after="0" w:line="240" w:lineRule="auto"/>
              <w:jc w:val="right"/>
              <w:rPr>
                <w:rFonts w:ascii="Arial" w:eastAsia="Times New Roman" w:hAnsi="Arial" w:cs="Arial"/>
                <w:b/>
                <w:sz w:val="16"/>
                <w:szCs w:val="16"/>
                <w:lang w:eastAsia="tr-TR"/>
              </w:rPr>
            </w:pPr>
          </w:p>
          <w:p w:rsidR="00AC5C30" w:rsidRPr="000875F4" w:rsidRDefault="00AC5C30" w:rsidP="00AC5C30">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sz w:val="16"/>
                <w:szCs w:val="16"/>
                <w:lang w:eastAsia="tr-TR"/>
              </w:rPr>
              <w:t>0,00</w:t>
            </w:r>
          </w:p>
        </w:tc>
        <w:tc>
          <w:tcPr>
            <w:tcW w:w="326" w:type="pct"/>
            <w:tcBorders>
              <w:top w:val="nil"/>
              <w:left w:val="nil"/>
              <w:bottom w:val="nil"/>
              <w:right w:val="nil"/>
            </w:tcBorders>
            <w:shd w:val="clear" w:color="auto" w:fill="auto"/>
            <w:noWrap/>
            <w:vAlign w:val="center"/>
          </w:tcPr>
          <w:p w:rsidR="00AC5C30" w:rsidRPr="000875F4" w:rsidRDefault="00AC5C30" w:rsidP="00AC5C30">
            <w:pPr>
              <w:spacing w:after="0" w:line="240" w:lineRule="auto"/>
              <w:jc w:val="right"/>
              <w:rPr>
                <w:rFonts w:ascii="Arial" w:eastAsia="Times New Roman" w:hAnsi="Arial" w:cs="Arial"/>
                <w:b/>
                <w:bCs/>
                <w:sz w:val="16"/>
                <w:szCs w:val="16"/>
                <w:lang w:eastAsia="tr-TR"/>
              </w:rPr>
            </w:pPr>
          </w:p>
          <w:p w:rsidR="00AC5C30" w:rsidRPr="000875F4" w:rsidRDefault="004657E0" w:rsidP="00AC5C30">
            <w:pPr>
              <w:spacing w:after="0" w:line="240" w:lineRule="auto"/>
              <w:jc w:val="right"/>
              <w:rPr>
                <w:rFonts w:ascii="Arial" w:eastAsia="Times New Roman" w:hAnsi="Arial" w:cs="Arial"/>
                <w:b/>
                <w:bCs/>
                <w:sz w:val="16"/>
                <w:szCs w:val="16"/>
                <w:lang w:eastAsia="tr-TR"/>
              </w:rPr>
            </w:pPr>
            <w:r w:rsidRPr="000875F4">
              <w:rPr>
                <w:rFonts w:ascii="Arial" w:eastAsiaTheme="minorHAnsi" w:hAnsi="Arial" w:cs="Arial"/>
                <w:b/>
                <w:sz w:val="16"/>
                <w:szCs w:val="12"/>
              </w:rPr>
              <w:t>16.526.088,05</w:t>
            </w:r>
          </w:p>
        </w:tc>
        <w:tc>
          <w:tcPr>
            <w:tcW w:w="354" w:type="pct"/>
            <w:tcBorders>
              <w:top w:val="nil"/>
              <w:left w:val="single" w:sz="8" w:space="0" w:color="auto"/>
              <w:bottom w:val="nil"/>
              <w:right w:val="single" w:sz="8" w:space="0" w:color="auto"/>
            </w:tcBorders>
            <w:shd w:val="clear" w:color="auto" w:fill="auto"/>
            <w:noWrap/>
            <w:vAlign w:val="bottom"/>
          </w:tcPr>
          <w:p w:rsidR="00AC5C30" w:rsidRPr="000875F4" w:rsidRDefault="004657E0" w:rsidP="00AC5C30">
            <w:pPr>
              <w:spacing w:after="0" w:line="240" w:lineRule="auto"/>
              <w:jc w:val="right"/>
              <w:rPr>
                <w:rFonts w:ascii="Arial" w:eastAsia="Times New Roman" w:hAnsi="Arial" w:cs="Arial"/>
                <w:b/>
                <w:bCs/>
                <w:sz w:val="16"/>
                <w:szCs w:val="16"/>
                <w:lang w:eastAsia="tr-TR"/>
              </w:rPr>
            </w:pPr>
            <w:r w:rsidRPr="004657E0">
              <w:rPr>
                <w:rFonts w:ascii="Arial" w:eastAsiaTheme="minorHAnsi" w:hAnsi="Arial" w:cs="Arial"/>
                <w:b/>
                <w:sz w:val="16"/>
                <w:szCs w:val="12"/>
              </w:rPr>
              <w:t>34.515.916,83</w:t>
            </w:r>
          </w:p>
        </w:tc>
      </w:tr>
      <w:tr w:rsidR="00AC5C30" w:rsidRPr="000875F4" w:rsidTr="00AC5C30">
        <w:trPr>
          <w:gridAfter w:val="4"/>
          <w:wAfter w:w="1354" w:type="pct"/>
          <w:trHeight w:val="20"/>
        </w:trPr>
        <w:tc>
          <w:tcPr>
            <w:tcW w:w="37" w:type="pct"/>
            <w:tcBorders>
              <w:top w:val="nil"/>
              <w:left w:val="single" w:sz="8" w:space="0" w:color="auto"/>
              <w:bottom w:val="nil"/>
              <w:right w:val="nil"/>
            </w:tcBorders>
            <w:shd w:val="clear" w:color="auto" w:fill="auto"/>
            <w:noWrap/>
            <w:vAlign w:val="center"/>
            <w:hideMark/>
          </w:tcPr>
          <w:p w:rsidR="00AC5C30" w:rsidRPr="000875F4" w:rsidRDefault="00AC5C30" w:rsidP="00AC5C30">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88" w:type="pct"/>
            <w:tcBorders>
              <w:top w:val="nil"/>
              <w:left w:val="nil"/>
              <w:bottom w:val="nil"/>
              <w:right w:val="nil"/>
            </w:tcBorders>
            <w:shd w:val="clear" w:color="auto" w:fill="auto"/>
            <w:noWrap/>
            <w:vAlign w:val="center"/>
            <w:hideMark/>
          </w:tcPr>
          <w:p w:rsidR="00AC5C30" w:rsidRPr="000875F4" w:rsidRDefault="00AC5C30" w:rsidP="00AC5C30">
            <w:pPr>
              <w:spacing w:after="0" w:line="240" w:lineRule="auto"/>
              <w:jc w:val="left"/>
              <w:rPr>
                <w:rFonts w:ascii="Arial" w:eastAsia="Times New Roman" w:hAnsi="Arial" w:cs="Arial"/>
                <w:sz w:val="16"/>
                <w:szCs w:val="16"/>
                <w:lang w:eastAsia="tr-TR"/>
              </w:rPr>
            </w:pPr>
          </w:p>
        </w:tc>
        <w:tc>
          <w:tcPr>
            <w:tcW w:w="597" w:type="pct"/>
            <w:tcBorders>
              <w:top w:val="nil"/>
              <w:left w:val="nil"/>
              <w:bottom w:val="nil"/>
              <w:right w:val="single" w:sz="8" w:space="0" w:color="auto"/>
            </w:tcBorders>
            <w:shd w:val="clear" w:color="auto" w:fill="auto"/>
            <w:noWrap/>
            <w:vAlign w:val="center"/>
            <w:hideMark/>
          </w:tcPr>
          <w:p w:rsidR="00AC5C30" w:rsidRPr="000875F4" w:rsidRDefault="00AC5C30" w:rsidP="00AC5C30">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160-İş Avansı ve Krediler Hesabı</w:t>
            </w:r>
          </w:p>
        </w:tc>
        <w:tc>
          <w:tcPr>
            <w:tcW w:w="330" w:type="pct"/>
            <w:tcBorders>
              <w:top w:val="nil"/>
              <w:left w:val="nil"/>
              <w:bottom w:val="nil"/>
              <w:right w:val="single" w:sz="8" w:space="0" w:color="auto"/>
            </w:tcBorders>
            <w:shd w:val="clear" w:color="auto" w:fill="auto"/>
            <w:noWrap/>
            <w:vAlign w:val="center"/>
          </w:tcPr>
          <w:p w:rsidR="00AC5C30" w:rsidRPr="000875F4" w:rsidRDefault="00AC5C30" w:rsidP="00AC5C30">
            <w:pPr>
              <w:spacing w:after="0" w:line="240" w:lineRule="auto"/>
              <w:jc w:val="right"/>
              <w:rPr>
                <w:rFonts w:ascii="Arial" w:eastAsia="Times New Roman" w:hAnsi="Arial" w:cs="Arial"/>
                <w:sz w:val="16"/>
                <w:szCs w:val="16"/>
                <w:lang w:eastAsia="tr-TR"/>
              </w:rPr>
            </w:pPr>
            <w:r>
              <w:rPr>
                <w:rFonts w:ascii="Arial" w:hAnsi="Arial" w:cs="Arial"/>
                <w:color w:val="000000"/>
                <w:sz w:val="16"/>
                <w:szCs w:val="16"/>
              </w:rPr>
              <w:t>0</w:t>
            </w:r>
          </w:p>
        </w:tc>
        <w:tc>
          <w:tcPr>
            <w:tcW w:w="330" w:type="pct"/>
            <w:tcBorders>
              <w:top w:val="nil"/>
              <w:left w:val="nil"/>
              <w:bottom w:val="nil"/>
              <w:right w:val="single" w:sz="8" w:space="0" w:color="auto"/>
            </w:tcBorders>
            <w:shd w:val="clear" w:color="auto" w:fill="auto"/>
            <w:noWrap/>
            <w:vAlign w:val="center"/>
          </w:tcPr>
          <w:p w:rsidR="00AC5C30" w:rsidRPr="000875F4" w:rsidRDefault="00AC5C30" w:rsidP="00AC5C30">
            <w:pPr>
              <w:spacing w:after="0" w:line="240" w:lineRule="auto"/>
              <w:jc w:val="right"/>
              <w:rPr>
                <w:rFonts w:ascii="Arial" w:eastAsia="Times New Roman" w:hAnsi="Arial" w:cs="Arial"/>
                <w:sz w:val="16"/>
                <w:szCs w:val="16"/>
                <w:lang w:eastAsia="tr-TR"/>
              </w:rPr>
            </w:pPr>
            <w:r>
              <w:rPr>
                <w:rFonts w:ascii="Arial" w:hAnsi="Arial" w:cs="Arial"/>
                <w:color w:val="000000"/>
                <w:sz w:val="16"/>
                <w:szCs w:val="16"/>
              </w:rPr>
              <w:t>0</w:t>
            </w:r>
          </w:p>
        </w:tc>
        <w:tc>
          <w:tcPr>
            <w:tcW w:w="339" w:type="pct"/>
            <w:tcBorders>
              <w:top w:val="nil"/>
              <w:left w:val="nil"/>
              <w:bottom w:val="nil"/>
              <w:right w:val="single" w:sz="8" w:space="0" w:color="auto"/>
            </w:tcBorders>
            <w:shd w:val="clear" w:color="auto" w:fill="auto"/>
            <w:noWrap/>
            <w:vAlign w:val="center"/>
          </w:tcPr>
          <w:p w:rsidR="00AC5C30" w:rsidRPr="000875F4" w:rsidRDefault="00AC5C30" w:rsidP="00AC5C30">
            <w:pPr>
              <w:spacing w:after="0" w:line="240" w:lineRule="auto"/>
              <w:jc w:val="right"/>
              <w:rPr>
                <w:rFonts w:ascii="Arial" w:eastAsia="Times New Roman" w:hAnsi="Arial" w:cs="Arial"/>
                <w:sz w:val="16"/>
                <w:szCs w:val="16"/>
                <w:lang w:eastAsia="tr-TR"/>
              </w:rPr>
            </w:pPr>
            <w:r>
              <w:rPr>
                <w:rFonts w:ascii="Arial" w:hAnsi="Arial" w:cs="Arial"/>
                <w:color w:val="000000"/>
                <w:sz w:val="16"/>
                <w:szCs w:val="16"/>
              </w:rPr>
              <w:t>0</w:t>
            </w:r>
          </w:p>
        </w:tc>
        <w:tc>
          <w:tcPr>
            <w:tcW w:w="38" w:type="pct"/>
            <w:tcBorders>
              <w:top w:val="nil"/>
              <w:left w:val="nil"/>
              <w:bottom w:val="nil"/>
              <w:right w:val="nil"/>
            </w:tcBorders>
            <w:shd w:val="clear" w:color="auto" w:fill="auto"/>
            <w:noWrap/>
            <w:vAlign w:val="bottom"/>
            <w:hideMark/>
          </w:tcPr>
          <w:p w:rsidR="00AC5C30" w:rsidRPr="000875F4" w:rsidRDefault="00AC5C30" w:rsidP="00AC5C30">
            <w:pPr>
              <w:spacing w:after="0" w:line="240" w:lineRule="auto"/>
              <w:jc w:val="left"/>
              <w:rPr>
                <w:rFonts w:ascii="Arial" w:eastAsia="Times New Roman" w:hAnsi="Arial" w:cs="Arial"/>
                <w:sz w:val="16"/>
                <w:szCs w:val="16"/>
                <w:lang w:eastAsia="tr-TR"/>
              </w:rPr>
            </w:pPr>
          </w:p>
        </w:tc>
        <w:tc>
          <w:tcPr>
            <w:tcW w:w="72" w:type="pct"/>
            <w:tcBorders>
              <w:top w:val="nil"/>
              <w:left w:val="nil"/>
              <w:bottom w:val="nil"/>
              <w:right w:val="nil"/>
            </w:tcBorders>
            <w:shd w:val="clear" w:color="auto" w:fill="auto"/>
            <w:noWrap/>
            <w:vAlign w:val="bottom"/>
            <w:hideMark/>
          </w:tcPr>
          <w:p w:rsidR="00AC5C30" w:rsidRPr="000875F4" w:rsidRDefault="00AC5C30" w:rsidP="00AC5C30">
            <w:pPr>
              <w:spacing w:after="0" w:line="240" w:lineRule="auto"/>
              <w:jc w:val="left"/>
              <w:rPr>
                <w:rFonts w:ascii="Times New Roman" w:eastAsia="Times New Roman" w:hAnsi="Times New Roman"/>
                <w:sz w:val="20"/>
                <w:szCs w:val="20"/>
                <w:lang w:eastAsia="tr-TR"/>
              </w:rPr>
            </w:pPr>
          </w:p>
        </w:tc>
        <w:tc>
          <w:tcPr>
            <w:tcW w:w="776" w:type="pct"/>
            <w:tcBorders>
              <w:top w:val="nil"/>
              <w:left w:val="nil"/>
              <w:bottom w:val="nil"/>
              <w:right w:val="nil"/>
            </w:tcBorders>
            <w:shd w:val="clear" w:color="auto" w:fill="auto"/>
            <w:noWrap/>
            <w:vAlign w:val="bottom"/>
            <w:hideMark/>
          </w:tcPr>
          <w:p w:rsidR="00AC5C30" w:rsidRPr="000875F4" w:rsidRDefault="00AC5C30" w:rsidP="00AC5C30">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472-Kıdem Tazminatı karşılığı</w:t>
            </w:r>
          </w:p>
        </w:tc>
        <w:tc>
          <w:tcPr>
            <w:tcW w:w="359" w:type="pct"/>
            <w:tcBorders>
              <w:top w:val="nil"/>
              <w:left w:val="single" w:sz="8" w:space="0" w:color="auto"/>
              <w:bottom w:val="nil"/>
              <w:right w:val="single" w:sz="8" w:space="0" w:color="auto"/>
            </w:tcBorders>
            <w:shd w:val="clear" w:color="auto" w:fill="auto"/>
            <w:noWrap/>
            <w:vAlign w:val="center"/>
          </w:tcPr>
          <w:p w:rsidR="00AC5C30" w:rsidRPr="000875F4" w:rsidRDefault="00AC5C30" w:rsidP="00AC5C30">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0,00</w:t>
            </w:r>
          </w:p>
        </w:tc>
        <w:tc>
          <w:tcPr>
            <w:tcW w:w="326" w:type="pct"/>
            <w:tcBorders>
              <w:top w:val="nil"/>
              <w:left w:val="nil"/>
              <w:bottom w:val="nil"/>
              <w:right w:val="nil"/>
            </w:tcBorders>
            <w:shd w:val="clear" w:color="auto" w:fill="auto"/>
            <w:noWrap/>
            <w:vAlign w:val="center"/>
          </w:tcPr>
          <w:p w:rsidR="00AC5C30" w:rsidRPr="000875F4" w:rsidRDefault="004657E0" w:rsidP="00AC5C30">
            <w:pPr>
              <w:spacing w:after="0" w:line="240" w:lineRule="auto"/>
              <w:jc w:val="right"/>
              <w:rPr>
                <w:rFonts w:ascii="Arial" w:eastAsia="Times New Roman" w:hAnsi="Arial" w:cs="Arial"/>
                <w:sz w:val="16"/>
                <w:szCs w:val="16"/>
                <w:lang w:eastAsia="tr-TR"/>
              </w:rPr>
            </w:pPr>
            <w:r w:rsidRPr="000875F4">
              <w:rPr>
                <w:rFonts w:ascii="Arial" w:eastAsiaTheme="minorHAnsi" w:hAnsi="Arial" w:cs="Arial"/>
                <w:sz w:val="16"/>
                <w:szCs w:val="12"/>
              </w:rPr>
              <w:t>16.526.088,05</w:t>
            </w:r>
          </w:p>
        </w:tc>
        <w:tc>
          <w:tcPr>
            <w:tcW w:w="354" w:type="pct"/>
            <w:tcBorders>
              <w:top w:val="nil"/>
              <w:left w:val="single" w:sz="8" w:space="0" w:color="auto"/>
              <w:bottom w:val="nil"/>
              <w:right w:val="single" w:sz="8" w:space="0" w:color="auto"/>
            </w:tcBorders>
            <w:shd w:val="clear" w:color="auto" w:fill="auto"/>
            <w:noWrap/>
            <w:vAlign w:val="bottom"/>
          </w:tcPr>
          <w:p w:rsidR="00AC5C30" w:rsidRPr="000875F4" w:rsidRDefault="004657E0" w:rsidP="00AC5C30">
            <w:pPr>
              <w:spacing w:after="0" w:line="240" w:lineRule="auto"/>
              <w:jc w:val="right"/>
              <w:rPr>
                <w:rFonts w:ascii="Arial" w:eastAsia="Times New Roman" w:hAnsi="Arial" w:cs="Arial"/>
                <w:sz w:val="16"/>
                <w:szCs w:val="16"/>
                <w:lang w:eastAsia="tr-TR"/>
              </w:rPr>
            </w:pPr>
            <w:r w:rsidRPr="004657E0">
              <w:rPr>
                <w:rFonts w:ascii="Arial" w:eastAsiaTheme="minorHAnsi" w:hAnsi="Arial" w:cs="Arial"/>
                <w:sz w:val="16"/>
                <w:szCs w:val="12"/>
              </w:rPr>
              <w:t>34.515.916,83</w:t>
            </w:r>
          </w:p>
        </w:tc>
      </w:tr>
      <w:tr w:rsidR="004657E0" w:rsidRPr="000875F4" w:rsidTr="000875F4">
        <w:trPr>
          <w:gridAfter w:val="4"/>
          <w:wAfter w:w="1354" w:type="pct"/>
          <w:trHeight w:val="20"/>
        </w:trPr>
        <w:tc>
          <w:tcPr>
            <w:tcW w:w="37" w:type="pct"/>
            <w:tcBorders>
              <w:top w:val="nil"/>
              <w:left w:val="single" w:sz="8" w:space="0" w:color="auto"/>
              <w:bottom w:val="nil"/>
              <w:right w:val="nil"/>
            </w:tcBorders>
            <w:shd w:val="clear" w:color="auto" w:fill="auto"/>
            <w:noWrap/>
            <w:vAlign w:val="center"/>
            <w:hideMark/>
          </w:tcPr>
          <w:p w:rsidR="004657E0" w:rsidRPr="000875F4" w:rsidRDefault="004657E0" w:rsidP="004657E0">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88" w:type="pct"/>
            <w:tcBorders>
              <w:top w:val="nil"/>
              <w:left w:val="nil"/>
              <w:bottom w:val="nil"/>
              <w:right w:val="nil"/>
            </w:tcBorders>
            <w:shd w:val="clear" w:color="auto" w:fill="auto"/>
            <w:noWrap/>
            <w:vAlign w:val="center"/>
            <w:hideMark/>
          </w:tcPr>
          <w:p w:rsidR="004657E0" w:rsidRPr="000875F4" w:rsidRDefault="004657E0" w:rsidP="004657E0">
            <w:pPr>
              <w:spacing w:after="0" w:line="240" w:lineRule="auto"/>
              <w:jc w:val="left"/>
              <w:rPr>
                <w:rFonts w:ascii="Arial" w:eastAsia="Times New Roman" w:hAnsi="Arial" w:cs="Arial"/>
                <w:sz w:val="16"/>
                <w:szCs w:val="16"/>
                <w:lang w:eastAsia="tr-TR"/>
              </w:rPr>
            </w:pPr>
          </w:p>
        </w:tc>
        <w:tc>
          <w:tcPr>
            <w:tcW w:w="597" w:type="pct"/>
            <w:tcBorders>
              <w:top w:val="nil"/>
              <w:left w:val="nil"/>
              <w:bottom w:val="nil"/>
              <w:right w:val="single" w:sz="8" w:space="0" w:color="auto"/>
            </w:tcBorders>
            <w:shd w:val="clear" w:color="auto" w:fill="auto"/>
            <w:noWrap/>
            <w:vAlign w:val="center"/>
            <w:hideMark/>
          </w:tcPr>
          <w:p w:rsidR="004657E0" w:rsidRPr="000875F4" w:rsidRDefault="004657E0" w:rsidP="004657E0">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162-Bütçe Dışı Avans ve Krediler Hesabı</w:t>
            </w:r>
          </w:p>
        </w:tc>
        <w:tc>
          <w:tcPr>
            <w:tcW w:w="330" w:type="pct"/>
            <w:tcBorders>
              <w:top w:val="nil"/>
              <w:left w:val="nil"/>
              <w:bottom w:val="nil"/>
              <w:right w:val="single" w:sz="8" w:space="0" w:color="auto"/>
            </w:tcBorders>
            <w:shd w:val="clear" w:color="auto" w:fill="auto"/>
            <w:noWrap/>
            <w:vAlign w:val="center"/>
          </w:tcPr>
          <w:p w:rsidR="004657E0" w:rsidRPr="000875F4" w:rsidRDefault="004657E0" w:rsidP="004657E0">
            <w:pPr>
              <w:spacing w:after="0" w:line="240" w:lineRule="auto"/>
              <w:jc w:val="right"/>
              <w:rPr>
                <w:rFonts w:ascii="Arial" w:eastAsia="Times New Roman" w:hAnsi="Arial" w:cs="Arial"/>
                <w:sz w:val="16"/>
                <w:szCs w:val="16"/>
                <w:lang w:eastAsia="tr-TR"/>
              </w:rPr>
            </w:pPr>
            <w:r>
              <w:rPr>
                <w:rFonts w:ascii="Arial" w:hAnsi="Arial" w:cs="Arial"/>
                <w:color w:val="000000"/>
                <w:sz w:val="16"/>
                <w:szCs w:val="16"/>
              </w:rPr>
              <w:t>2.180,00</w:t>
            </w:r>
          </w:p>
        </w:tc>
        <w:tc>
          <w:tcPr>
            <w:tcW w:w="330" w:type="pct"/>
            <w:tcBorders>
              <w:top w:val="nil"/>
              <w:left w:val="nil"/>
              <w:bottom w:val="nil"/>
              <w:right w:val="single" w:sz="8" w:space="0" w:color="auto"/>
            </w:tcBorders>
            <w:shd w:val="clear" w:color="auto" w:fill="auto"/>
            <w:noWrap/>
            <w:vAlign w:val="center"/>
          </w:tcPr>
          <w:p w:rsidR="004657E0" w:rsidRPr="000875F4" w:rsidRDefault="004657E0" w:rsidP="004657E0">
            <w:pPr>
              <w:spacing w:after="0" w:line="240" w:lineRule="auto"/>
              <w:jc w:val="right"/>
              <w:rPr>
                <w:rFonts w:ascii="Arial" w:eastAsia="Times New Roman" w:hAnsi="Arial" w:cs="Arial"/>
                <w:sz w:val="16"/>
                <w:szCs w:val="16"/>
                <w:lang w:eastAsia="tr-TR"/>
              </w:rPr>
            </w:pPr>
            <w:r>
              <w:rPr>
                <w:rFonts w:ascii="Arial" w:hAnsi="Arial" w:cs="Arial"/>
                <w:color w:val="000000"/>
                <w:sz w:val="16"/>
                <w:szCs w:val="16"/>
              </w:rPr>
              <w:t>4.093.925,93</w:t>
            </w:r>
          </w:p>
        </w:tc>
        <w:tc>
          <w:tcPr>
            <w:tcW w:w="339" w:type="pct"/>
            <w:tcBorders>
              <w:top w:val="nil"/>
              <w:left w:val="nil"/>
              <w:bottom w:val="nil"/>
              <w:right w:val="single" w:sz="8" w:space="0" w:color="auto"/>
            </w:tcBorders>
            <w:shd w:val="clear" w:color="auto" w:fill="auto"/>
            <w:noWrap/>
            <w:vAlign w:val="center"/>
          </w:tcPr>
          <w:p w:rsidR="004657E0" w:rsidRPr="000875F4" w:rsidRDefault="004657E0" w:rsidP="004657E0">
            <w:pPr>
              <w:spacing w:after="0" w:line="240" w:lineRule="auto"/>
              <w:jc w:val="right"/>
              <w:rPr>
                <w:rFonts w:ascii="Arial" w:eastAsia="Times New Roman" w:hAnsi="Arial" w:cs="Arial"/>
                <w:sz w:val="16"/>
                <w:szCs w:val="16"/>
                <w:lang w:eastAsia="tr-TR"/>
              </w:rPr>
            </w:pPr>
            <w:r>
              <w:rPr>
                <w:rFonts w:ascii="Arial" w:hAnsi="Arial" w:cs="Arial"/>
                <w:color w:val="000000"/>
                <w:sz w:val="16"/>
                <w:szCs w:val="16"/>
              </w:rPr>
              <w:t>7.957.650,75</w:t>
            </w:r>
          </w:p>
        </w:tc>
        <w:tc>
          <w:tcPr>
            <w:tcW w:w="886" w:type="pct"/>
            <w:gridSpan w:val="3"/>
            <w:tcBorders>
              <w:top w:val="nil"/>
              <w:left w:val="single" w:sz="8" w:space="0" w:color="auto"/>
              <w:bottom w:val="nil"/>
              <w:right w:val="nil"/>
            </w:tcBorders>
            <w:shd w:val="clear" w:color="auto" w:fill="auto"/>
            <w:noWrap/>
            <w:vAlign w:val="center"/>
            <w:hideMark/>
          </w:tcPr>
          <w:p w:rsidR="004657E0" w:rsidRPr="000875F4" w:rsidRDefault="004657E0" w:rsidP="004657E0">
            <w:pPr>
              <w:spacing w:after="0" w:line="240" w:lineRule="auto"/>
              <w:jc w:val="lef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 xml:space="preserve">  </w:t>
            </w:r>
          </w:p>
          <w:p w:rsidR="004657E0" w:rsidRPr="000875F4" w:rsidRDefault="004657E0" w:rsidP="004657E0">
            <w:pPr>
              <w:spacing w:after="0" w:line="240" w:lineRule="auto"/>
              <w:jc w:val="left"/>
              <w:rPr>
                <w:rFonts w:ascii="Arial" w:eastAsia="Times New Roman" w:hAnsi="Arial" w:cs="Arial"/>
                <w:b/>
                <w:bCs/>
                <w:sz w:val="16"/>
                <w:szCs w:val="16"/>
                <w:lang w:eastAsia="tr-TR"/>
              </w:rPr>
            </w:pPr>
          </w:p>
          <w:p w:rsidR="004657E0" w:rsidRPr="000875F4" w:rsidRDefault="004657E0" w:rsidP="004657E0">
            <w:pPr>
              <w:spacing w:after="0" w:line="240" w:lineRule="auto"/>
              <w:jc w:val="left"/>
              <w:rPr>
                <w:rFonts w:ascii="Arial" w:eastAsia="Times New Roman" w:hAnsi="Arial" w:cs="Arial"/>
                <w:b/>
                <w:bCs/>
                <w:sz w:val="16"/>
                <w:szCs w:val="16"/>
                <w:lang w:eastAsia="tr-TR"/>
              </w:rPr>
            </w:pPr>
          </w:p>
          <w:p w:rsidR="004657E0" w:rsidRPr="000875F4" w:rsidRDefault="004657E0" w:rsidP="004657E0">
            <w:pPr>
              <w:spacing w:after="0" w:line="240" w:lineRule="auto"/>
              <w:jc w:val="lef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5-ÖZ KAYNAKLAR</w:t>
            </w:r>
          </w:p>
        </w:tc>
        <w:tc>
          <w:tcPr>
            <w:tcW w:w="359" w:type="pct"/>
            <w:tcBorders>
              <w:top w:val="nil"/>
              <w:left w:val="single" w:sz="8" w:space="0" w:color="auto"/>
              <w:bottom w:val="nil"/>
              <w:right w:val="single" w:sz="8" w:space="0" w:color="auto"/>
            </w:tcBorders>
            <w:shd w:val="clear" w:color="auto" w:fill="auto"/>
            <w:noWrap/>
            <w:vAlign w:val="bottom"/>
          </w:tcPr>
          <w:p w:rsidR="004657E0" w:rsidRPr="000875F4" w:rsidRDefault="004657E0" w:rsidP="004657E0">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542.795.780,98</w:t>
            </w:r>
          </w:p>
        </w:tc>
        <w:tc>
          <w:tcPr>
            <w:tcW w:w="326" w:type="pct"/>
            <w:tcBorders>
              <w:top w:val="nil"/>
              <w:left w:val="nil"/>
              <w:bottom w:val="nil"/>
              <w:right w:val="nil"/>
            </w:tcBorders>
            <w:shd w:val="clear" w:color="auto" w:fill="auto"/>
            <w:noWrap/>
            <w:vAlign w:val="bottom"/>
          </w:tcPr>
          <w:p w:rsidR="004657E0" w:rsidRPr="000875F4" w:rsidRDefault="004657E0" w:rsidP="004657E0">
            <w:pPr>
              <w:spacing w:after="0" w:line="240" w:lineRule="auto"/>
              <w:jc w:val="right"/>
              <w:rPr>
                <w:rFonts w:ascii="Arial" w:eastAsia="Times New Roman" w:hAnsi="Arial" w:cs="Arial"/>
                <w:b/>
                <w:bCs/>
                <w:sz w:val="16"/>
                <w:szCs w:val="16"/>
                <w:lang w:eastAsia="tr-TR"/>
              </w:rPr>
            </w:pPr>
            <w:r w:rsidRPr="000875F4">
              <w:rPr>
                <w:rFonts w:ascii="Arial" w:eastAsiaTheme="minorHAnsi" w:hAnsi="Arial" w:cs="Arial"/>
                <w:b/>
                <w:sz w:val="16"/>
                <w:szCs w:val="12"/>
              </w:rPr>
              <w:t>419.253.055,35</w:t>
            </w:r>
          </w:p>
        </w:tc>
        <w:tc>
          <w:tcPr>
            <w:tcW w:w="354" w:type="pct"/>
            <w:tcBorders>
              <w:top w:val="nil"/>
              <w:left w:val="single" w:sz="8" w:space="0" w:color="auto"/>
              <w:bottom w:val="nil"/>
              <w:right w:val="single" w:sz="8" w:space="0" w:color="auto"/>
            </w:tcBorders>
            <w:shd w:val="clear" w:color="auto" w:fill="auto"/>
            <w:noWrap/>
            <w:vAlign w:val="bottom"/>
          </w:tcPr>
          <w:p w:rsidR="004657E0" w:rsidRPr="000875F4" w:rsidRDefault="004657E0" w:rsidP="004657E0">
            <w:pPr>
              <w:spacing w:after="0" w:line="240" w:lineRule="auto"/>
              <w:jc w:val="right"/>
              <w:rPr>
                <w:rFonts w:ascii="Arial" w:eastAsia="Times New Roman" w:hAnsi="Arial" w:cs="Arial"/>
                <w:b/>
                <w:bCs/>
                <w:sz w:val="16"/>
                <w:szCs w:val="16"/>
                <w:lang w:eastAsia="tr-TR"/>
              </w:rPr>
            </w:pPr>
            <w:r w:rsidRPr="004657E0">
              <w:rPr>
                <w:rFonts w:ascii="Arial" w:eastAsiaTheme="minorHAnsi" w:hAnsi="Arial" w:cs="Arial"/>
                <w:b/>
                <w:sz w:val="16"/>
                <w:szCs w:val="12"/>
              </w:rPr>
              <w:t>428.597.222,80</w:t>
            </w:r>
          </w:p>
        </w:tc>
      </w:tr>
      <w:tr w:rsidR="000875F4" w:rsidRPr="000875F4" w:rsidTr="000875F4">
        <w:trPr>
          <w:gridAfter w:val="4"/>
          <w:wAfter w:w="1354" w:type="pct"/>
          <w:trHeight w:val="20"/>
        </w:trPr>
        <w:tc>
          <w:tcPr>
            <w:tcW w:w="37" w:type="pct"/>
            <w:tcBorders>
              <w:top w:val="nil"/>
              <w:left w:val="single" w:sz="8" w:space="0" w:color="auto"/>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685" w:type="pct"/>
            <w:gridSpan w:val="2"/>
            <w:tcBorders>
              <w:top w:val="nil"/>
              <w:left w:val="nil"/>
              <w:bottom w:val="nil"/>
              <w:right w:val="single" w:sz="8" w:space="0" w:color="000000"/>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18-GELECEK AYLARA AİT GİD. VE GEL. TAH.</w:t>
            </w:r>
          </w:p>
        </w:tc>
        <w:tc>
          <w:tcPr>
            <w:tcW w:w="330" w:type="pct"/>
            <w:tcBorders>
              <w:top w:val="nil"/>
              <w:left w:val="nil"/>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bCs/>
                <w:sz w:val="16"/>
                <w:szCs w:val="16"/>
                <w:lang w:eastAsia="tr-TR"/>
              </w:rPr>
            </w:pPr>
            <w:r w:rsidRPr="000875F4">
              <w:rPr>
                <w:rFonts w:ascii="Arial" w:eastAsia="Times New Roman" w:hAnsi="Arial" w:cs="Arial"/>
                <w:bCs/>
                <w:sz w:val="16"/>
                <w:szCs w:val="16"/>
                <w:lang w:eastAsia="tr-TR"/>
              </w:rPr>
              <w:t>0,00</w:t>
            </w:r>
          </w:p>
        </w:tc>
        <w:tc>
          <w:tcPr>
            <w:tcW w:w="330" w:type="pct"/>
            <w:tcBorders>
              <w:top w:val="nil"/>
              <w:left w:val="nil"/>
              <w:bottom w:val="nil"/>
              <w:right w:val="single" w:sz="8"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bCs/>
                <w:sz w:val="16"/>
                <w:szCs w:val="16"/>
                <w:lang w:eastAsia="tr-TR"/>
              </w:rPr>
            </w:pPr>
            <w:r w:rsidRPr="000875F4">
              <w:rPr>
                <w:rFonts w:ascii="Arial" w:eastAsia="Times New Roman" w:hAnsi="Arial" w:cs="Arial"/>
                <w:sz w:val="16"/>
                <w:szCs w:val="16"/>
                <w:lang w:eastAsia="tr-TR"/>
              </w:rPr>
              <w:t>0,00</w:t>
            </w:r>
          </w:p>
        </w:tc>
        <w:tc>
          <w:tcPr>
            <w:tcW w:w="339" w:type="pct"/>
            <w:tcBorders>
              <w:top w:val="nil"/>
              <w:left w:val="nil"/>
              <w:bottom w:val="nil"/>
              <w:right w:val="single" w:sz="8"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bCs/>
                <w:sz w:val="16"/>
                <w:szCs w:val="16"/>
                <w:lang w:eastAsia="tr-TR"/>
              </w:rPr>
            </w:pPr>
            <w:r w:rsidRPr="000875F4">
              <w:rPr>
                <w:rFonts w:ascii="Arial" w:eastAsia="Times New Roman" w:hAnsi="Arial" w:cs="Arial"/>
                <w:sz w:val="16"/>
                <w:szCs w:val="16"/>
                <w:lang w:eastAsia="tr-TR"/>
              </w:rPr>
              <w:t>0,00</w:t>
            </w:r>
          </w:p>
        </w:tc>
        <w:tc>
          <w:tcPr>
            <w:tcW w:w="38" w:type="pct"/>
            <w:tcBorders>
              <w:top w:val="nil"/>
              <w:left w:val="nil"/>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 </w:t>
            </w:r>
          </w:p>
        </w:tc>
        <w:tc>
          <w:tcPr>
            <w:tcW w:w="848" w:type="pct"/>
            <w:gridSpan w:val="2"/>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50-NET DEĞER</w:t>
            </w:r>
          </w:p>
        </w:tc>
        <w:tc>
          <w:tcPr>
            <w:tcW w:w="359" w:type="pct"/>
            <w:tcBorders>
              <w:top w:val="nil"/>
              <w:left w:val="single" w:sz="8" w:space="0" w:color="auto"/>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b/>
                <w:sz w:val="16"/>
                <w:szCs w:val="16"/>
                <w:lang w:eastAsia="tr-TR"/>
              </w:rPr>
            </w:pPr>
          </w:p>
          <w:p w:rsidR="000875F4" w:rsidRPr="000875F4" w:rsidRDefault="004657E0" w:rsidP="000875F4">
            <w:pPr>
              <w:spacing w:after="0" w:line="240" w:lineRule="auto"/>
              <w:jc w:val="right"/>
              <w:rPr>
                <w:rFonts w:ascii="Arial" w:eastAsia="Times New Roman" w:hAnsi="Arial" w:cs="Arial"/>
                <w:b/>
                <w:bCs/>
                <w:sz w:val="16"/>
                <w:szCs w:val="16"/>
                <w:lang w:eastAsia="tr-TR"/>
              </w:rPr>
            </w:pPr>
            <w:r w:rsidRPr="004657E0">
              <w:rPr>
                <w:rFonts w:ascii="Arial" w:eastAsia="Times New Roman" w:hAnsi="Arial" w:cs="Arial"/>
                <w:b/>
                <w:sz w:val="16"/>
                <w:szCs w:val="16"/>
                <w:lang w:eastAsia="tr-TR"/>
              </w:rPr>
              <w:t>160.847.447,45</w:t>
            </w:r>
          </w:p>
        </w:tc>
        <w:tc>
          <w:tcPr>
            <w:tcW w:w="326" w:type="pct"/>
            <w:tcBorders>
              <w:top w:val="nil"/>
              <w:left w:val="nil"/>
              <w:bottom w:val="nil"/>
              <w:right w:val="nil"/>
            </w:tcBorders>
            <w:shd w:val="clear" w:color="auto" w:fill="auto"/>
            <w:noWrap/>
            <w:vAlign w:val="bottom"/>
          </w:tcPr>
          <w:p w:rsidR="000875F4" w:rsidRPr="000875F4" w:rsidRDefault="004657E0" w:rsidP="000875F4">
            <w:pPr>
              <w:spacing w:after="0" w:line="240" w:lineRule="auto"/>
              <w:jc w:val="right"/>
              <w:rPr>
                <w:rFonts w:ascii="Arial" w:eastAsia="Times New Roman" w:hAnsi="Arial" w:cs="Arial"/>
                <w:b/>
                <w:bCs/>
                <w:sz w:val="16"/>
                <w:szCs w:val="16"/>
                <w:lang w:eastAsia="tr-TR"/>
              </w:rPr>
            </w:pPr>
            <w:r w:rsidRPr="000875F4">
              <w:rPr>
                <w:rFonts w:ascii="Arial" w:eastAsiaTheme="minorHAnsi" w:hAnsi="Arial" w:cs="Arial"/>
                <w:b/>
                <w:sz w:val="16"/>
                <w:szCs w:val="12"/>
              </w:rPr>
              <w:t>176.240.768,79</w:t>
            </w:r>
          </w:p>
        </w:tc>
        <w:tc>
          <w:tcPr>
            <w:tcW w:w="354" w:type="pct"/>
            <w:tcBorders>
              <w:top w:val="nil"/>
              <w:left w:val="single" w:sz="8" w:space="0" w:color="auto"/>
              <w:bottom w:val="nil"/>
              <w:right w:val="single" w:sz="8" w:space="0" w:color="auto"/>
            </w:tcBorders>
            <w:shd w:val="clear" w:color="auto" w:fill="auto"/>
            <w:noWrap/>
            <w:vAlign w:val="bottom"/>
          </w:tcPr>
          <w:p w:rsidR="000875F4" w:rsidRPr="000875F4" w:rsidRDefault="004657E0" w:rsidP="000875F4">
            <w:pPr>
              <w:spacing w:after="0" w:line="240" w:lineRule="auto"/>
              <w:jc w:val="right"/>
              <w:rPr>
                <w:rFonts w:ascii="Arial" w:eastAsia="Times New Roman" w:hAnsi="Arial" w:cs="Arial"/>
                <w:b/>
                <w:bCs/>
                <w:sz w:val="16"/>
                <w:szCs w:val="16"/>
                <w:lang w:eastAsia="tr-TR"/>
              </w:rPr>
            </w:pPr>
            <w:r w:rsidRPr="004657E0">
              <w:rPr>
                <w:rFonts w:ascii="Arial" w:eastAsiaTheme="minorHAnsi" w:hAnsi="Arial" w:cs="Arial"/>
                <w:b/>
                <w:sz w:val="16"/>
                <w:szCs w:val="12"/>
              </w:rPr>
              <w:t>236.851.949,08</w:t>
            </w:r>
          </w:p>
        </w:tc>
      </w:tr>
      <w:tr w:rsidR="004657E0" w:rsidRPr="000875F4" w:rsidTr="00CD0F84">
        <w:trPr>
          <w:gridAfter w:val="4"/>
          <w:wAfter w:w="1354" w:type="pct"/>
          <w:trHeight w:val="217"/>
        </w:trPr>
        <w:tc>
          <w:tcPr>
            <w:tcW w:w="37" w:type="pct"/>
            <w:tcBorders>
              <w:top w:val="nil"/>
              <w:left w:val="single" w:sz="8" w:space="0" w:color="auto"/>
              <w:bottom w:val="nil"/>
              <w:right w:val="nil"/>
            </w:tcBorders>
            <w:shd w:val="clear" w:color="auto" w:fill="auto"/>
            <w:noWrap/>
            <w:vAlign w:val="center"/>
            <w:hideMark/>
          </w:tcPr>
          <w:p w:rsidR="004657E0" w:rsidRPr="000875F4" w:rsidRDefault="004657E0" w:rsidP="004657E0">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88" w:type="pct"/>
            <w:tcBorders>
              <w:top w:val="nil"/>
              <w:left w:val="nil"/>
              <w:bottom w:val="nil"/>
              <w:right w:val="nil"/>
            </w:tcBorders>
            <w:shd w:val="clear" w:color="auto" w:fill="auto"/>
            <w:noWrap/>
            <w:vAlign w:val="center"/>
            <w:hideMark/>
          </w:tcPr>
          <w:p w:rsidR="004657E0" w:rsidRPr="000875F4" w:rsidRDefault="004657E0" w:rsidP="004657E0">
            <w:pPr>
              <w:spacing w:after="0" w:line="240" w:lineRule="auto"/>
              <w:jc w:val="left"/>
              <w:rPr>
                <w:rFonts w:ascii="Arial" w:eastAsia="Times New Roman" w:hAnsi="Arial" w:cs="Arial"/>
                <w:sz w:val="16"/>
                <w:szCs w:val="16"/>
                <w:lang w:eastAsia="tr-TR"/>
              </w:rPr>
            </w:pPr>
          </w:p>
        </w:tc>
        <w:tc>
          <w:tcPr>
            <w:tcW w:w="597" w:type="pct"/>
            <w:tcBorders>
              <w:top w:val="nil"/>
              <w:left w:val="nil"/>
              <w:bottom w:val="nil"/>
              <w:right w:val="single" w:sz="8" w:space="0" w:color="auto"/>
            </w:tcBorders>
            <w:shd w:val="clear" w:color="auto" w:fill="auto"/>
            <w:noWrap/>
            <w:vAlign w:val="center"/>
            <w:hideMark/>
          </w:tcPr>
          <w:p w:rsidR="004657E0" w:rsidRPr="000875F4" w:rsidRDefault="004657E0" w:rsidP="004657E0">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181-Gelir Tahak. Hesabı</w:t>
            </w:r>
          </w:p>
        </w:tc>
        <w:tc>
          <w:tcPr>
            <w:tcW w:w="330" w:type="pct"/>
            <w:tcBorders>
              <w:top w:val="nil"/>
              <w:left w:val="nil"/>
              <w:bottom w:val="nil"/>
              <w:right w:val="single" w:sz="8" w:space="0" w:color="auto"/>
            </w:tcBorders>
            <w:shd w:val="clear" w:color="auto" w:fill="auto"/>
            <w:noWrap/>
            <w:vAlign w:val="center"/>
          </w:tcPr>
          <w:p w:rsidR="004657E0" w:rsidRPr="000875F4" w:rsidRDefault="004657E0" w:rsidP="004657E0">
            <w:pPr>
              <w:spacing w:after="0" w:line="240" w:lineRule="auto"/>
              <w:jc w:val="right"/>
              <w:rPr>
                <w:rFonts w:ascii="Arial" w:eastAsia="Times New Roman" w:hAnsi="Arial" w:cs="Arial"/>
                <w:sz w:val="16"/>
                <w:szCs w:val="16"/>
                <w:lang w:eastAsia="tr-TR"/>
              </w:rPr>
            </w:pPr>
            <w:r w:rsidRPr="000875F4">
              <w:rPr>
                <w:rFonts w:ascii="Arial" w:eastAsia="Times New Roman" w:hAnsi="Arial" w:cs="Arial"/>
                <w:b/>
                <w:bCs/>
                <w:sz w:val="16"/>
                <w:szCs w:val="16"/>
                <w:lang w:eastAsia="tr-TR"/>
              </w:rPr>
              <w:t>0,00</w:t>
            </w:r>
          </w:p>
        </w:tc>
        <w:tc>
          <w:tcPr>
            <w:tcW w:w="330" w:type="pct"/>
            <w:tcBorders>
              <w:top w:val="nil"/>
              <w:left w:val="nil"/>
              <w:bottom w:val="nil"/>
              <w:right w:val="single" w:sz="8" w:space="0" w:color="auto"/>
            </w:tcBorders>
            <w:shd w:val="clear" w:color="auto" w:fill="auto"/>
            <w:noWrap/>
            <w:vAlign w:val="bottom"/>
          </w:tcPr>
          <w:p w:rsidR="004657E0" w:rsidRPr="000875F4" w:rsidRDefault="004657E0" w:rsidP="004657E0">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0,00</w:t>
            </w:r>
          </w:p>
        </w:tc>
        <w:tc>
          <w:tcPr>
            <w:tcW w:w="339" w:type="pct"/>
            <w:tcBorders>
              <w:top w:val="nil"/>
              <w:left w:val="nil"/>
              <w:bottom w:val="nil"/>
              <w:right w:val="single" w:sz="8" w:space="0" w:color="auto"/>
            </w:tcBorders>
            <w:shd w:val="clear" w:color="auto" w:fill="auto"/>
            <w:noWrap/>
            <w:vAlign w:val="bottom"/>
          </w:tcPr>
          <w:p w:rsidR="004657E0" w:rsidRPr="000875F4" w:rsidRDefault="004657E0" w:rsidP="004657E0">
            <w:pPr>
              <w:spacing w:after="0" w:line="240" w:lineRule="auto"/>
              <w:jc w:val="right"/>
              <w:rPr>
                <w:rFonts w:ascii="Arial" w:eastAsia="Times New Roman" w:hAnsi="Arial" w:cs="Arial"/>
                <w:b/>
                <w:sz w:val="16"/>
                <w:szCs w:val="16"/>
                <w:lang w:eastAsia="tr-TR"/>
              </w:rPr>
            </w:pPr>
            <w:r w:rsidRPr="000875F4">
              <w:rPr>
                <w:rFonts w:ascii="Arial" w:eastAsia="Times New Roman" w:hAnsi="Arial" w:cs="Arial"/>
                <w:sz w:val="16"/>
                <w:szCs w:val="16"/>
                <w:lang w:eastAsia="tr-TR"/>
              </w:rPr>
              <w:t>0,00</w:t>
            </w:r>
          </w:p>
        </w:tc>
        <w:tc>
          <w:tcPr>
            <w:tcW w:w="38" w:type="pct"/>
            <w:tcBorders>
              <w:top w:val="nil"/>
              <w:left w:val="nil"/>
              <w:bottom w:val="nil"/>
              <w:right w:val="nil"/>
            </w:tcBorders>
            <w:shd w:val="clear" w:color="auto" w:fill="auto"/>
            <w:noWrap/>
            <w:vAlign w:val="center"/>
            <w:hideMark/>
          </w:tcPr>
          <w:p w:rsidR="004657E0" w:rsidRPr="000875F4" w:rsidRDefault="004657E0" w:rsidP="004657E0">
            <w:pPr>
              <w:spacing w:after="0" w:line="240" w:lineRule="auto"/>
              <w:jc w:val="left"/>
              <w:rPr>
                <w:rFonts w:ascii="Arial" w:eastAsia="Times New Roman" w:hAnsi="Arial" w:cs="Arial"/>
                <w:sz w:val="16"/>
                <w:szCs w:val="16"/>
                <w:lang w:eastAsia="tr-TR"/>
              </w:rPr>
            </w:pPr>
          </w:p>
        </w:tc>
        <w:tc>
          <w:tcPr>
            <w:tcW w:w="72" w:type="pct"/>
            <w:tcBorders>
              <w:top w:val="nil"/>
              <w:left w:val="nil"/>
              <w:bottom w:val="nil"/>
              <w:right w:val="nil"/>
            </w:tcBorders>
            <w:shd w:val="clear" w:color="auto" w:fill="auto"/>
            <w:noWrap/>
            <w:vAlign w:val="bottom"/>
            <w:hideMark/>
          </w:tcPr>
          <w:p w:rsidR="004657E0" w:rsidRPr="000875F4" w:rsidRDefault="004657E0" w:rsidP="004657E0">
            <w:pPr>
              <w:spacing w:after="0" w:line="240" w:lineRule="auto"/>
              <w:jc w:val="left"/>
              <w:rPr>
                <w:rFonts w:ascii="Arial" w:eastAsia="Times New Roman" w:hAnsi="Arial" w:cs="Arial"/>
                <w:sz w:val="16"/>
                <w:szCs w:val="16"/>
                <w:lang w:eastAsia="tr-TR"/>
              </w:rPr>
            </w:pPr>
          </w:p>
        </w:tc>
        <w:tc>
          <w:tcPr>
            <w:tcW w:w="776" w:type="pct"/>
            <w:tcBorders>
              <w:top w:val="nil"/>
              <w:left w:val="nil"/>
              <w:bottom w:val="nil"/>
              <w:right w:val="nil"/>
            </w:tcBorders>
            <w:shd w:val="clear" w:color="auto" w:fill="auto"/>
            <w:noWrap/>
            <w:vAlign w:val="bottom"/>
            <w:hideMark/>
          </w:tcPr>
          <w:p w:rsidR="004657E0" w:rsidRPr="000875F4" w:rsidRDefault="004657E0" w:rsidP="004657E0">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500-Net Değer Hesabı</w:t>
            </w:r>
          </w:p>
        </w:tc>
        <w:tc>
          <w:tcPr>
            <w:tcW w:w="359" w:type="pct"/>
            <w:tcBorders>
              <w:top w:val="nil"/>
              <w:left w:val="single" w:sz="8" w:space="0" w:color="auto"/>
              <w:bottom w:val="nil"/>
              <w:right w:val="single" w:sz="8" w:space="0" w:color="auto"/>
            </w:tcBorders>
            <w:shd w:val="clear" w:color="auto" w:fill="auto"/>
            <w:noWrap/>
            <w:vAlign w:val="bottom"/>
          </w:tcPr>
          <w:p w:rsidR="004657E0" w:rsidRPr="000875F4" w:rsidRDefault="004657E0" w:rsidP="004657E0">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160.847.447,45</w:t>
            </w:r>
          </w:p>
        </w:tc>
        <w:tc>
          <w:tcPr>
            <w:tcW w:w="326" w:type="pct"/>
            <w:tcBorders>
              <w:top w:val="nil"/>
              <w:left w:val="nil"/>
              <w:bottom w:val="nil"/>
              <w:right w:val="nil"/>
            </w:tcBorders>
            <w:shd w:val="clear" w:color="auto" w:fill="auto"/>
            <w:noWrap/>
            <w:vAlign w:val="bottom"/>
          </w:tcPr>
          <w:p w:rsidR="004657E0" w:rsidRPr="000875F4" w:rsidRDefault="004657E0" w:rsidP="004657E0">
            <w:pPr>
              <w:spacing w:after="0" w:line="240" w:lineRule="auto"/>
              <w:jc w:val="right"/>
              <w:rPr>
                <w:rFonts w:ascii="Arial" w:eastAsia="Times New Roman" w:hAnsi="Arial" w:cs="Arial"/>
                <w:sz w:val="16"/>
                <w:szCs w:val="16"/>
                <w:lang w:eastAsia="tr-TR"/>
              </w:rPr>
            </w:pPr>
            <w:r w:rsidRPr="000875F4">
              <w:rPr>
                <w:rFonts w:ascii="Arial" w:eastAsiaTheme="minorHAnsi" w:hAnsi="Arial" w:cs="Arial"/>
                <w:sz w:val="16"/>
                <w:szCs w:val="12"/>
              </w:rPr>
              <w:t>176.240.768,79</w:t>
            </w:r>
          </w:p>
        </w:tc>
        <w:tc>
          <w:tcPr>
            <w:tcW w:w="354" w:type="pct"/>
            <w:tcBorders>
              <w:top w:val="nil"/>
              <w:left w:val="single" w:sz="8" w:space="0" w:color="auto"/>
              <w:bottom w:val="nil"/>
              <w:right w:val="single" w:sz="8" w:space="0" w:color="auto"/>
            </w:tcBorders>
            <w:shd w:val="clear" w:color="auto" w:fill="auto"/>
            <w:noWrap/>
            <w:vAlign w:val="bottom"/>
          </w:tcPr>
          <w:p w:rsidR="004657E0" w:rsidRPr="000875F4" w:rsidRDefault="004657E0" w:rsidP="004657E0">
            <w:pPr>
              <w:spacing w:after="0" w:line="240" w:lineRule="auto"/>
              <w:jc w:val="right"/>
              <w:rPr>
                <w:rFonts w:ascii="Arial" w:eastAsia="Times New Roman" w:hAnsi="Arial" w:cs="Arial"/>
                <w:sz w:val="16"/>
                <w:szCs w:val="16"/>
                <w:lang w:eastAsia="tr-TR"/>
              </w:rPr>
            </w:pPr>
            <w:r w:rsidRPr="004657E0">
              <w:rPr>
                <w:rFonts w:ascii="Arial" w:eastAsiaTheme="minorHAnsi" w:hAnsi="Arial" w:cs="Arial"/>
                <w:sz w:val="16"/>
                <w:szCs w:val="12"/>
              </w:rPr>
              <w:t>236.851.949,08</w:t>
            </w:r>
          </w:p>
        </w:tc>
      </w:tr>
      <w:tr w:rsidR="004657E0" w:rsidRPr="000875F4" w:rsidTr="000875F4">
        <w:trPr>
          <w:gridAfter w:val="4"/>
          <w:wAfter w:w="1354" w:type="pct"/>
          <w:trHeight w:val="602"/>
        </w:trPr>
        <w:tc>
          <w:tcPr>
            <w:tcW w:w="722" w:type="pct"/>
            <w:gridSpan w:val="3"/>
            <w:tcBorders>
              <w:top w:val="nil"/>
              <w:left w:val="single" w:sz="8" w:space="0" w:color="auto"/>
              <w:bottom w:val="nil"/>
              <w:right w:val="single" w:sz="8" w:space="0" w:color="000000"/>
            </w:tcBorders>
            <w:shd w:val="clear" w:color="auto" w:fill="auto"/>
            <w:noWrap/>
            <w:vAlign w:val="center"/>
            <w:hideMark/>
          </w:tcPr>
          <w:p w:rsidR="004657E0" w:rsidRPr="000875F4" w:rsidRDefault="004657E0" w:rsidP="004657E0">
            <w:pPr>
              <w:spacing w:after="0" w:line="240" w:lineRule="auto"/>
              <w:jc w:val="lef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2-DURAN VARLIKLAR</w:t>
            </w:r>
          </w:p>
        </w:tc>
        <w:tc>
          <w:tcPr>
            <w:tcW w:w="330" w:type="pct"/>
            <w:tcBorders>
              <w:top w:val="nil"/>
              <w:left w:val="nil"/>
              <w:bottom w:val="nil"/>
              <w:right w:val="single" w:sz="8" w:space="0" w:color="auto"/>
            </w:tcBorders>
            <w:shd w:val="clear" w:color="auto" w:fill="auto"/>
            <w:noWrap/>
            <w:vAlign w:val="center"/>
          </w:tcPr>
          <w:p w:rsidR="004657E0" w:rsidRPr="000875F4" w:rsidRDefault="004657E0" w:rsidP="004657E0">
            <w:pPr>
              <w:spacing w:after="0" w:line="240" w:lineRule="auto"/>
              <w:jc w:val="right"/>
              <w:rPr>
                <w:rFonts w:ascii="Arial" w:eastAsia="Times New Roman" w:hAnsi="Arial" w:cs="Arial"/>
                <w:b/>
                <w:bCs/>
                <w:sz w:val="16"/>
                <w:szCs w:val="16"/>
                <w:lang w:eastAsia="tr-TR"/>
              </w:rPr>
            </w:pPr>
            <w:r>
              <w:rPr>
                <w:rFonts w:ascii="Arial" w:hAnsi="Arial" w:cs="Arial"/>
                <w:b/>
                <w:bCs/>
                <w:color w:val="000000"/>
                <w:sz w:val="16"/>
                <w:szCs w:val="16"/>
              </w:rPr>
              <w:t>348.008.011,14</w:t>
            </w:r>
          </w:p>
        </w:tc>
        <w:tc>
          <w:tcPr>
            <w:tcW w:w="330" w:type="pct"/>
            <w:tcBorders>
              <w:top w:val="nil"/>
              <w:left w:val="nil"/>
              <w:bottom w:val="nil"/>
              <w:right w:val="single" w:sz="8" w:space="0" w:color="auto"/>
            </w:tcBorders>
            <w:shd w:val="clear" w:color="auto" w:fill="auto"/>
            <w:noWrap/>
            <w:vAlign w:val="center"/>
          </w:tcPr>
          <w:p w:rsidR="004657E0" w:rsidRPr="000875F4" w:rsidRDefault="004657E0" w:rsidP="004657E0">
            <w:pPr>
              <w:spacing w:after="0" w:line="240" w:lineRule="auto"/>
              <w:jc w:val="right"/>
              <w:rPr>
                <w:rFonts w:ascii="Arial" w:eastAsia="Times New Roman" w:hAnsi="Arial" w:cs="Arial"/>
                <w:b/>
                <w:bCs/>
                <w:sz w:val="16"/>
                <w:szCs w:val="16"/>
                <w:lang w:eastAsia="tr-TR"/>
              </w:rPr>
            </w:pPr>
            <w:r>
              <w:rPr>
                <w:rFonts w:ascii="Arial" w:hAnsi="Arial" w:cs="Arial"/>
                <w:b/>
                <w:bCs/>
                <w:color w:val="000000"/>
                <w:sz w:val="16"/>
                <w:szCs w:val="16"/>
              </w:rPr>
              <w:t>343.907.879,54</w:t>
            </w:r>
          </w:p>
        </w:tc>
        <w:tc>
          <w:tcPr>
            <w:tcW w:w="339" w:type="pct"/>
            <w:tcBorders>
              <w:top w:val="nil"/>
              <w:left w:val="nil"/>
              <w:bottom w:val="nil"/>
              <w:right w:val="single" w:sz="8" w:space="0" w:color="auto"/>
            </w:tcBorders>
            <w:shd w:val="clear" w:color="auto" w:fill="auto"/>
            <w:noWrap/>
            <w:vAlign w:val="center"/>
          </w:tcPr>
          <w:p w:rsidR="004657E0" w:rsidRPr="000875F4" w:rsidRDefault="004657E0" w:rsidP="004657E0">
            <w:pPr>
              <w:spacing w:after="0" w:line="240" w:lineRule="auto"/>
              <w:jc w:val="right"/>
              <w:rPr>
                <w:rFonts w:ascii="Arial" w:eastAsia="Times New Roman" w:hAnsi="Arial" w:cs="Arial"/>
                <w:b/>
                <w:bCs/>
                <w:sz w:val="16"/>
                <w:szCs w:val="16"/>
                <w:lang w:eastAsia="tr-TR"/>
              </w:rPr>
            </w:pPr>
            <w:r>
              <w:rPr>
                <w:rFonts w:ascii="Arial" w:hAnsi="Arial" w:cs="Arial"/>
                <w:b/>
                <w:bCs/>
                <w:color w:val="000000"/>
                <w:sz w:val="16"/>
                <w:szCs w:val="16"/>
              </w:rPr>
              <w:t>343.082.154,46</w:t>
            </w:r>
          </w:p>
        </w:tc>
        <w:tc>
          <w:tcPr>
            <w:tcW w:w="38" w:type="pct"/>
            <w:tcBorders>
              <w:top w:val="nil"/>
              <w:left w:val="nil"/>
              <w:bottom w:val="nil"/>
              <w:right w:val="nil"/>
            </w:tcBorders>
            <w:shd w:val="clear" w:color="auto" w:fill="auto"/>
            <w:noWrap/>
            <w:vAlign w:val="bottom"/>
            <w:hideMark/>
          </w:tcPr>
          <w:p w:rsidR="004657E0" w:rsidRPr="000875F4" w:rsidRDefault="004657E0" w:rsidP="004657E0">
            <w:pPr>
              <w:spacing w:after="0" w:line="240" w:lineRule="auto"/>
              <w:jc w:val="left"/>
              <w:rPr>
                <w:rFonts w:ascii="Arial" w:eastAsia="Times New Roman" w:hAnsi="Arial" w:cs="Arial"/>
                <w:sz w:val="16"/>
                <w:szCs w:val="20"/>
                <w:lang w:eastAsia="tr-TR"/>
              </w:rPr>
            </w:pPr>
          </w:p>
        </w:tc>
        <w:tc>
          <w:tcPr>
            <w:tcW w:w="848" w:type="pct"/>
            <w:gridSpan w:val="2"/>
            <w:tcBorders>
              <w:top w:val="nil"/>
              <w:left w:val="nil"/>
              <w:bottom w:val="nil"/>
              <w:right w:val="nil"/>
            </w:tcBorders>
            <w:shd w:val="clear" w:color="auto" w:fill="auto"/>
            <w:noWrap/>
          </w:tcPr>
          <w:p w:rsidR="004657E0" w:rsidRPr="000875F4" w:rsidRDefault="004657E0" w:rsidP="004657E0">
            <w:pPr>
              <w:spacing w:after="0" w:line="240" w:lineRule="auto"/>
              <w:jc w:val="left"/>
              <w:rPr>
                <w:rFonts w:ascii="Arial" w:eastAsia="Times New Roman" w:hAnsi="Arial" w:cs="Arial"/>
                <w:b/>
                <w:bCs/>
                <w:sz w:val="16"/>
                <w:szCs w:val="16"/>
                <w:lang w:eastAsia="tr-TR"/>
              </w:rPr>
            </w:pPr>
          </w:p>
          <w:p w:rsidR="004657E0" w:rsidRPr="000875F4" w:rsidRDefault="004657E0" w:rsidP="004657E0">
            <w:pPr>
              <w:spacing w:after="0" w:line="240" w:lineRule="auto"/>
              <w:jc w:val="lef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57-GEÇMİŞ YILLAR OLUMLU FAALİYET          SONUCU</w:t>
            </w:r>
          </w:p>
        </w:tc>
        <w:tc>
          <w:tcPr>
            <w:tcW w:w="359" w:type="pct"/>
            <w:tcBorders>
              <w:top w:val="nil"/>
              <w:left w:val="single" w:sz="8" w:space="0" w:color="auto"/>
              <w:bottom w:val="nil"/>
              <w:right w:val="single" w:sz="8" w:space="0" w:color="auto"/>
            </w:tcBorders>
            <w:shd w:val="clear" w:color="auto" w:fill="auto"/>
            <w:noWrap/>
            <w:vAlign w:val="center"/>
          </w:tcPr>
          <w:p w:rsidR="004657E0" w:rsidRPr="000875F4" w:rsidRDefault="004657E0" w:rsidP="004657E0">
            <w:pPr>
              <w:spacing w:after="0" w:line="240" w:lineRule="auto"/>
              <w:jc w:val="right"/>
              <w:rPr>
                <w:rFonts w:ascii="Arial" w:eastAsia="Times New Roman" w:hAnsi="Arial" w:cs="Arial"/>
                <w:b/>
                <w:bCs/>
                <w:sz w:val="16"/>
                <w:szCs w:val="16"/>
                <w:lang w:eastAsia="tr-TR"/>
              </w:rPr>
            </w:pPr>
            <w:r>
              <w:rPr>
                <w:rFonts w:ascii="Arial" w:hAnsi="Arial" w:cs="Arial"/>
                <w:b/>
                <w:bCs/>
                <w:color w:val="000000"/>
                <w:sz w:val="16"/>
                <w:szCs w:val="16"/>
              </w:rPr>
              <w:t>248.289.208,86</w:t>
            </w:r>
          </w:p>
        </w:tc>
        <w:tc>
          <w:tcPr>
            <w:tcW w:w="326" w:type="pct"/>
            <w:tcBorders>
              <w:top w:val="nil"/>
              <w:left w:val="nil"/>
              <w:bottom w:val="nil"/>
              <w:right w:val="nil"/>
            </w:tcBorders>
            <w:shd w:val="clear" w:color="auto" w:fill="auto"/>
            <w:noWrap/>
            <w:vAlign w:val="center"/>
          </w:tcPr>
          <w:p w:rsidR="004657E0" w:rsidRPr="000875F4" w:rsidRDefault="004657E0" w:rsidP="004657E0">
            <w:pPr>
              <w:spacing w:after="0" w:line="240" w:lineRule="auto"/>
              <w:jc w:val="right"/>
              <w:rPr>
                <w:rFonts w:ascii="Arial" w:eastAsia="Times New Roman" w:hAnsi="Arial" w:cs="Arial"/>
                <w:b/>
                <w:bCs/>
                <w:sz w:val="16"/>
                <w:szCs w:val="16"/>
                <w:lang w:eastAsia="tr-TR"/>
              </w:rPr>
            </w:pPr>
            <w:r>
              <w:rPr>
                <w:rFonts w:ascii="Arial" w:hAnsi="Arial" w:cs="Arial"/>
                <w:b/>
                <w:bCs/>
                <w:color w:val="000000"/>
                <w:sz w:val="16"/>
                <w:szCs w:val="16"/>
              </w:rPr>
              <w:t>638.773.907,07</w:t>
            </w:r>
          </w:p>
        </w:tc>
        <w:tc>
          <w:tcPr>
            <w:tcW w:w="354" w:type="pct"/>
            <w:tcBorders>
              <w:top w:val="nil"/>
              <w:left w:val="single" w:sz="8" w:space="0" w:color="auto"/>
              <w:bottom w:val="nil"/>
              <w:right w:val="single" w:sz="8" w:space="0" w:color="auto"/>
            </w:tcBorders>
            <w:shd w:val="clear" w:color="auto" w:fill="auto"/>
            <w:noWrap/>
            <w:vAlign w:val="center"/>
          </w:tcPr>
          <w:p w:rsidR="004657E0" w:rsidRPr="000875F4" w:rsidRDefault="004657E0" w:rsidP="004657E0">
            <w:pPr>
              <w:spacing w:after="0" w:line="240" w:lineRule="auto"/>
              <w:jc w:val="right"/>
              <w:rPr>
                <w:rFonts w:ascii="Arial" w:eastAsia="Times New Roman" w:hAnsi="Arial" w:cs="Arial"/>
                <w:b/>
                <w:bCs/>
                <w:sz w:val="16"/>
                <w:szCs w:val="16"/>
                <w:lang w:eastAsia="tr-TR"/>
              </w:rPr>
            </w:pPr>
            <w:r>
              <w:rPr>
                <w:rFonts w:ascii="Arial" w:hAnsi="Arial" w:cs="Arial"/>
                <w:b/>
                <w:bCs/>
                <w:color w:val="000000"/>
                <w:sz w:val="16"/>
                <w:szCs w:val="16"/>
              </w:rPr>
              <w:t>1.050.229.552,10</w:t>
            </w:r>
          </w:p>
        </w:tc>
      </w:tr>
      <w:tr w:rsidR="004657E0" w:rsidRPr="000875F4" w:rsidTr="00CD0F84">
        <w:trPr>
          <w:gridAfter w:val="4"/>
          <w:wAfter w:w="1354" w:type="pct"/>
          <w:trHeight w:val="20"/>
        </w:trPr>
        <w:tc>
          <w:tcPr>
            <w:tcW w:w="37" w:type="pct"/>
            <w:tcBorders>
              <w:top w:val="nil"/>
              <w:left w:val="single" w:sz="8" w:space="0" w:color="auto"/>
              <w:bottom w:val="nil"/>
              <w:right w:val="nil"/>
            </w:tcBorders>
            <w:shd w:val="clear" w:color="auto" w:fill="auto"/>
            <w:noWrap/>
            <w:vAlign w:val="center"/>
            <w:hideMark/>
          </w:tcPr>
          <w:p w:rsidR="004657E0" w:rsidRPr="000875F4" w:rsidRDefault="004657E0" w:rsidP="004657E0">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685" w:type="pct"/>
            <w:gridSpan w:val="2"/>
            <w:tcBorders>
              <w:top w:val="nil"/>
              <w:left w:val="nil"/>
              <w:bottom w:val="nil"/>
              <w:right w:val="single" w:sz="8" w:space="0" w:color="000000"/>
            </w:tcBorders>
            <w:shd w:val="clear" w:color="auto" w:fill="auto"/>
            <w:noWrap/>
            <w:vAlign w:val="bottom"/>
            <w:hideMark/>
          </w:tcPr>
          <w:p w:rsidR="004657E0" w:rsidRPr="000875F4" w:rsidRDefault="004657E0" w:rsidP="004657E0">
            <w:pPr>
              <w:spacing w:after="0" w:line="240" w:lineRule="auto"/>
              <w:jc w:val="lef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22-FAALİYET ALACAKLARI</w:t>
            </w:r>
          </w:p>
        </w:tc>
        <w:tc>
          <w:tcPr>
            <w:tcW w:w="330" w:type="pct"/>
            <w:tcBorders>
              <w:top w:val="nil"/>
              <w:left w:val="nil"/>
              <w:bottom w:val="nil"/>
              <w:right w:val="single" w:sz="8" w:space="0" w:color="auto"/>
            </w:tcBorders>
            <w:shd w:val="clear" w:color="auto" w:fill="auto"/>
            <w:noWrap/>
            <w:vAlign w:val="bottom"/>
          </w:tcPr>
          <w:p w:rsidR="004657E0" w:rsidRPr="000875F4" w:rsidRDefault="004657E0" w:rsidP="004657E0">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300.000,00</w:t>
            </w:r>
          </w:p>
        </w:tc>
        <w:tc>
          <w:tcPr>
            <w:tcW w:w="330" w:type="pct"/>
            <w:tcBorders>
              <w:top w:val="nil"/>
              <w:left w:val="nil"/>
              <w:bottom w:val="nil"/>
              <w:right w:val="single" w:sz="8" w:space="0" w:color="auto"/>
            </w:tcBorders>
            <w:shd w:val="clear" w:color="auto" w:fill="auto"/>
            <w:noWrap/>
            <w:vAlign w:val="bottom"/>
          </w:tcPr>
          <w:p w:rsidR="004657E0" w:rsidRPr="000875F4" w:rsidRDefault="004657E0" w:rsidP="004657E0">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300.000,00</w:t>
            </w:r>
          </w:p>
        </w:tc>
        <w:tc>
          <w:tcPr>
            <w:tcW w:w="339" w:type="pct"/>
            <w:tcBorders>
              <w:top w:val="nil"/>
              <w:left w:val="nil"/>
              <w:bottom w:val="nil"/>
              <w:right w:val="single" w:sz="8" w:space="0" w:color="auto"/>
            </w:tcBorders>
            <w:shd w:val="clear" w:color="auto" w:fill="auto"/>
            <w:noWrap/>
            <w:vAlign w:val="bottom"/>
          </w:tcPr>
          <w:p w:rsidR="004657E0" w:rsidRPr="000875F4" w:rsidRDefault="004657E0" w:rsidP="004657E0">
            <w:pPr>
              <w:spacing w:after="0" w:line="240" w:lineRule="auto"/>
              <w:jc w:val="right"/>
              <w:rPr>
                <w:rFonts w:ascii="Arial" w:eastAsia="Times New Roman" w:hAnsi="Arial" w:cs="Arial"/>
                <w:b/>
                <w:bCs/>
                <w:sz w:val="16"/>
                <w:szCs w:val="16"/>
                <w:lang w:eastAsia="tr-TR"/>
              </w:rPr>
            </w:pPr>
            <w:r w:rsidRPr="000875F4">
              <w:rPr>
                <w:rFonts w:ascii="Arial" w:eastAsiaTheme="minorHAnsi" w:hAnsi="Arial" w:cs="Arial"/>
                <w:b/>
                <w:sz w:val="16"/>
                <w:szCs w:val="12"/>
              </w:rPr>
              <w:t>300.000,00</w:t>
            </w:r>
          </w:p>
        </w:tc>
        <w:tc>
          <w:tcPr>
            <w:tcW w:w="38" w:type="pct"/>
            <w:tcBorders>
              <w:top w:val="nil"/>
              <w:left w:val="nil"/>
              <w:bottom w:val="nil"/>
              <w:right w:val="nil"/>
            </w:tcBorders>
            <w:shd w:val="clear" w:color="auto" w:fill="auto"/>
            <w:noWrap/>
            <w:vAlign w:val="bottom"/>
            <w:hideMark/>
          </w:tcPr>
          <w:p w:rsidR="004657E0" w:rsidRPr="000875F4" w:rsidRDefault="004657E0" w:rsidP="004657E0">
            <w:pPr>
              <w:spacing w:after="0" w:line="240" w:lineRule="auto"/>
              <w:jc w:val="left"/>
              <w:rPr>
                <w:rFonts w:ascii="Arial" w:eastAsia="Times New Roman" w:hAnsi="Arial" w:cs="Arial"/>
                <w:sz w:val="20"/>
                <w:szCs w:val="20"/>
                <w:lang w:eastAsia="tr-TR"/>
              </w:rPr>
            </w:pPr>
            <w:r w:rsidRPr="000875F4">
              <w:rPr>
                <w:rFonts w:ascii="Arial" w:eastAsia="Times New Roman" w:hAnsi="Arial" w:cs="Arial"/>
                <w:sz w:val="20"/>
                <w:szCs w:val="20"/>
                <w:lang w:eastAsia="tr-TR"/>
              </w:rPr>
              <w:t> </w:t>
            </w:r>
          </w:p>
        </w:tc>
        <w:tc>
          <w:tcPr>
            <w:tcW w:w="72" w:type="pct"/>
            <w:tcBorders>
              <w:top w:val="nil"/>
              <w:left w:val="nil"/>
              <w:bottom w:val="nil"/>
              <w:right w:val="nil"/>
            </w:tcBorders>
            <w:shd w:val="clear" w:color="auto" w:fill="auto"/>
            <w:noWrap/>
            <w:vAlign w:val="bottom"/>
            <w:hideMark/>
          </w:tcPr>
          <w:p w:rsidR="004657E0" w:rsidRPr="000875F4" w:rsidRDefault="004657E0" w:rsidP="004657E0">
            <w:pPr>
              <w:spacing w:after="0" w:line="240" w:lineRule="auto"/>
              <w:jc w:val="left"/>
              <w:rPr>
                <w:rFonts w:ascii="Arial" w:eastAsia="Times New Roman" w:hAnsi="Arial" w:cs="Arial"/>
                <w:sz w:val="16"/>
                <w:szCs w:val="20"/>
                <w:lang w:eastAsia="tr-TR"/>
              </w:rPr>
            </w:pPr>
          </w:p>
        </w:tc>
        <w:tc>
          <w:tcPr>
            <w:tcW w:w="776" w:type="pct"/>
            <w:tcBorders>
              <w:top w:val="nil"/>
              <w:left w:val="nil"/>
              <w:bottom w:val="nil"/>
              <w:right w:val="nil"/>
            </w:tcBorders>
            <w:shd w:val="clear" w:color="auto" w:fill="auto"/>
            <w:noWrap/>
            <w:vAlign w:val="bottom"/>
            <w:hideMark/>
          </w:tcPr>
          <w:p w:rsidR="004657E0" w:rsidRPr="000875F4" w:rsidRDefault="004657E0" w:rsidP="004657E0">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570-Geçmiş yıllar Olumlu Faal. Son.</w:t>
            </w:r>
          </w:p>
        </w:tc>
        <w:tc>
          <w:tcPr>
            <w:tcW w:w="359" w:type="pct"/>
            <w:tcBorders>
              <w:top w:val="nil"/>
              <w:left w:val="single" w:sz="8" w:space="0" w:color="auto"/>
              <w:bottom w:val="nil"/>
              <w:right w:val="single" w:sz="8" w:space="0" w:color="auto"/>
            </w:tcBorders>
            <w:shd w:val="clear" w:color="auto" w:fill="auto"/>
            <w:noWrap/>
            <w:vAlign w:val="center"/>
          </w:tcPr>
          <w:p w:rsidR="004657E0" w:rsidRPr="000875F4" w:rsidRDefault="004657E0" w:rsidP="004657E0">
            <w:pPr>
              <w:spacing w:after="0" w:line="240" w:lineRule="auto"/>
              <w:jc w:val="right"/>
              <w:rPr>
                <w:rFonts w:ascii="Arial" w:eastAsia="Times New Roman" w:hAnsi="Arial" w:cs="Arial"/>
                <w:sz w:val="16"/>
                <w:szCs w:val="16"/>
                <w:lang w:eastAsia="tr-TR"/>
              </w:rPr>
            </w:pPr>
            <w:r>
              <w:rPr>
                <w:rFonts w:ascii="Arial" w:hAnsi="Arial" w:cs="Arial"/>
                <w:color w:val="000000"/>
                <w:sz w:val="16"/>
                <w:szCs w:val="16"/>
              </w:rPr>
              <w:t>248.289.208,86</w:t>
            </w:r>
          </w:p>
        </w:tc>
        <w:tc>
          <w:tcPr>
            <w:tcW w:w="326" w:type="pct"/>
            <w:tcBorders>
              <w:top w:val="nil"/>
              <w:left w:val="nil"/>
              <w:bottom w:val="nil"/>
              <w:right w:val="nil"/>
            </w:tcBorders>
            <w:shd w:val="clear" w:color="auto" w:fill="auto"/>
            <w:noWrap/>
            <w:vAlign w:val="center"/>
          </w:tcPr>
          <w:p w:rsidR="004657E0" w:rsidRPr="000875F4" w:rsidRDefault="004657E0" w:rsidP="004657E0">
            <w:pPr>
              <w:spacing w:after="0" w:line="240" w:lineRule="auto"/>
              <w:jc w:val="right"/>
              <w:rPr>
                <w:rFonts w:ascii="Arial" w:eastAsia="Times New Roman" w:hAnsi="Arial" w:cs="Arial"/>
                <w:sz w:val="16"/>
                <w:szCs w:val="16"/>
                <w:lang w:eastAsia="tr-TR"/>
              </w:rPr>
            </w:pPr>
            <w:r>
              <w:rPr>
                <w:rFonts w:ascii="Arial" w:hAnsi="Arial" w:cs="Arial"/>
                <w:color w:val="000000"/>
                <w:sz w:val="16"/>
                <w:szCs w:val="16"/>
              </w:rPr>
              <w:t>638.773.907,07</w:t>
            </w:r>
          </w:p>
        </w:tc>
        <w:tc>
          <w:tcPr>
            <w:tcW w:w="354" w:type="pct"/>
            <w:tcBorders>
              <w:top w:val="nil"/>
              <w:left w:val="single" w:sz="8" w:space="0" w:color="auto"/>
              <w:bottom w:val="nil"/>
              <w:right w:val="single" w:sz="8" w:space="0" w:color="auto"/>
            </w:tcBorders>
            <w:shd w:val="clear" w:color="auto" w:fill="auto"/>
            <w:noWrap/>
            <w:vAlign w:val="center"/>
          </w:tcPr>
          <w:p w:rsidR="004657E0" w:rsidRPr="000875F4" w:rsidRDefault="004657E0" w:rsidP="004657E0">
            <w:pPr>
              <w:spacing w:after="0" w:line="240" w:lineRule="auto"/>
              <w:jc w:val="right"/>
              <w:rPr>
                <w:rFonts w:ascii="Arial" w:eastAsia="Times New Roman" w:hAnsi="Arial" w:cs="Arial"/>
                <w:sz w:val="16"/>
                <w:szCs w:val="16"/>
                <w:lang w:eastAsia="tr-TR"/>
              </w:rPr>
            </w:pPr>
            <w:r>
              <w:rPr>
                <w:rFonts w:ascii="Arial" w:hAnsi="Arial" w:cs="Arial"/>
                <w:color w:val="000000"/>
                <w:sz w:val="16"/>
                <w:szCs w:val="16"/>
              </w:rPr>
              <w:t>1.050.229.552,10</w:t>
            </w:r>
          </w:p>
        </w:tc>
      </w:tr>
      <w:tr w:rsidR="000875F4" w:rsidRPr="000875F4" w:rsidTr="000875F4">
        <w:trPr>
          <w:gridAfter w:val="4"/>
          <w:wAfter w:w="1354" w:type="pct"/>
          <w:trHeight w:val="20"/>
        </w:trPr>
        <w:tc>
          <w:tcPr>
            <w:tcW w:w="37" w:type="pct"/>
            <w:tcBorders>
              <w:top w:val="nil"/>
              <w:left w:val="single" w:sz="8" w:space="0" w:color="auto"/>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88"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Arial" w:eastAsia="Times New Roman" w:hAnsi="Arial" w:cs="Arial"/>
                <w:sz w:val="16"/>
                <w:szCs w:val="16"/>
                <w:lang w:eastAsia="tr-TR"/>
              </w:rPr>
            </w:pPr>
          </w:p>
        </w:tc>
        <w:tc>
          <w:tcPr>
            <w:tcW w:w="597" w:type="pct"/>
            <w:tcBorders>
              <w:top w:val="nil"/>
              <w:left w:val="nil"/>
              <w:bottom w:val="nil"/>
              <w:right w:val="single" w:sz="8" w:space="0" w:color="auto"/>
            </w:tcBorders>
            <w:shd w:val="clear" w:color="auto" w:fill="auto"/>
            <w:noWrap/>
            <w:vAlign w:val="bottom"/>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226-Verilen Depozito ve Teminatlar</w:t>
            </w:r>
          </w:p>
        </w:tc>
        <w:tc>
          <w:tcPr>
            <w:tcW w:w="330" w:type="pct"/>
            <w:tcBorders>
              <w:top w:val="nil"/>
              <w:left w:val="nil"/>
              <w:bottom w:val="nil"/>
              <w:right w:val="single" w:sz="8" w:space="0" w:color="auto"/>
            </w:tcBorders>
            <w:shd w:val="clear" w:color="auto" w:fill="auto"/>
            <w:noWrap/>
            <w:vAlign w:val="bottom"/>
          </w:tcPr>
          <w:p w:rsidR="000875F4" w:rsidRPr="000875F4" w:rsidRDefault="00AC5C30"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bCs/>
                <w:sz w:val="16"/>
                <w:szCs w:val="16"/>
                <w:lang w:eastAsia="tr-TR"/>
              </w:rPr>
              <w:t>300.000,00</w:t>
            </w:r>
          </w:p>
        </w:tc>
        <w:tc>
          <w:tcPr>
            <w:tcW w:w="330" w:type="pct"/>
            <w:tcBorders>
              <w:top w:val="nil"/>
              <w:left w:val="nil"/>
              <w:bottom w:val="nil"/>
              <w:right w:val="single" w:sz="8"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bCs/>
                <w:sz w:val="16"/>
                <w:szCs w:val="16"/>
                <w:lang w:eastAsia="tr-TR"/>
              </w:rPr>
              <w:t>300.000,00</w:t>
            </w:r>
          </w:p>
        </w:tc>
        <w:tc>
          <w:tcPr>
            <w:tcW w:w="339" w:type="pct"/>
            <w:tcBorders>
              <w:top w:val="nil"/>
              <w:left w:val="nil"/>
              <w:bottom w:val="nil"/>
              <w:right w:val="single" w:sz="8"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heme="minorHAnsi" w:hAnsi="Arial" w:cs="Arial"/>
                <w:sz w:val="16"/>
                <w:szCs w:val="12"/>
              </w:rPr>
              <w:t>300.000,00</w:t>
            </w:r>
          </w:p>
        </w:tc>
        <w:tc>
          <w:tcPr>
            <w:tcW w:w="38"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Arial" w:eastAsia="Times New Roman" w:hAnsi="Arial" w:cs="Arial"/>
                <w:sz w:val="20"/>
                <w:szCs w:val="20"/>
                <w:lang w:eastAsia="tr-TR"/>
              </w:rPr>
            </w:pPr>
            <w:r w:rsidRPr="000875F4">
              <w:rPr>
                <w:rFonts w:ascii="Arial" w:eastAsia="Times New Roman" w:hAnsi="Arial" w:cs="Arial"/>
                <w:sz w:val="20"/>
                <w:szCs w:val="20"/>
                <w:lang w:eastAsia="tr-TR"/>
              </w:rPr>
              <w:t> </w:t>
            </w:r>
          </w:p>
        </w:tc>
        <w:tc>
          <w:tcPr>
            <w:tcW w:w="848" w:type="pct"/>
            <w:gridSpan w:val="2"/>
            <w:tcBorders>
              <w:top w:val="nil"/>
              <w:left w:val="nil"/>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b/>
                <w:bCs/>
                <w:sz w:val="16"/>
                <w:szCs w:val="16"/>
                <w:lang w:eastAsia="tr-TR"/>
              </w:rPr>
            </w:pPr>
          </w:p>
          <w:p w:rsidR="000875F4" w:rsidRPr="000875F4" w:rsidRDefault="000875F4" w:rsidP="000875F4">
            <w:pPr>
              <w:spacing w:after="0" w:line="240" w:lineRule="auto"/>
              <w:jc w:val="lef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58-GEÇMİŞ YILLAR OLUMSUZ FAALİYET SONUCU</w:t>
            </w:r>
          </w:p>
          <w:p w:rsidR="000875F4" w:rsidRPr="000875F4" w:rsidRDefault="000875F4" w:rsidP="000875F4">
            <w:pPr>
              <w:spacing w:after="0" w:line="240" w:lineRule="auto"/>
              <w:jc w:val="left"/>
              <w:rPr>
                <w:rFonts w:ascii="Arial" w:eastAsia="Times New Roman" w:hAnsi="Arial" w:cs="Arial"/>
                <w:bCs/>
                <w:sz w:val="16"/>
                <w:szCs w:val="16"/>
                <w:lang w:eastAsia="tr-TR"/>
              </w:rPr>
            </w:pPr>
            <w:r w:rsidRPr="000875F4">
              <w:rPr>
                <w:rFonts w:ascii="Arial" w:eastAsia="Times New Roman" w:hAnsi="Arial" w:cs="Arial"/>
                <w:b/>
                <w:bCs/>
                <w:sz w:val="16"/>
                <w:szCs w:val="16"/>
                <w:lang w:eastAsia="tr-TR"/>
              </w:rPr>
              <w:t xml:space="preserve">       </w:t>
            </w:r>
            <w:r w:rsidRPr="000875F4">
              <w:rPr>
                <w:rFonts w:ascii="Arial" w:eastAsia="Times New Roman" w:hAnsi="Arial" w:cs="Arial"/>
                <w:bCs/>
                <w:sz w:val="16"/>
                <w:szCs w:val="16"/>
                <w:lang w:eastAsia="tr-TR"/>
              </w:rPr>
              <w:t>580-Geçmiş Yıllar Olumsuz Faaliyet     Sonuçları Hesabı</w:t>
            </w:r>
          </w:p>
          <w:p w:rsidR="000875F4" w:rsidRPr="000875F4" w:rsidRDefault="000875F4" w:rsidP="000875F4">
            <w:pPr>
              <w:spacing w:after="0" w:line="240" w:lineRule="auto"/>
              <w:jc w:val="lef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59-DÖNEM FAALİYET SONUÇLARI</w:t>
            </w:r>
          </w:p>
        </w:tc>
        <w:tc>
          <w:tcPr>
            <w:tcW w:w="359" w:type="pct"/>
            <w:tcBorders>
              <w:top w:val="nil"/>
              <w:left w:val="single" w:sz="8" w:space="0" w:color="auto"/>
              <w:bottom w:val="nil"/>
              <w:right w:val="single" w:sz="8"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0,00</w:t>
            </w:r>
          </w:p>
          <w:p w:rsidR="000875F4" w:rsidRPr="000875F4" w:rsidRDefault="000875F4" w:rsidP="000875F4">
            <w:pPr>
              <w:spacing w:after="0" w:line="240" w:lineRule="auto"/>
              <w:jc w:val="right"/>
              <w:rPr>
                <w:rFonts w:ascii="Arial" w:eastAsia="Times New Roman" w:hAnsi="Arial" w:cs="Arial"/>
                <w:bCs/>
                <w:sz w:val="16"/>
                <w:szCs w:val="16"/>
                <w:lang w:eastAsia="tr-TR"/>
              </w:rPr>
            </w:pPr>
          </w:p>
          <w:p w:rsidR="000875F4" w:rsidRPr="000875F4" w:rsidRDefault="000875F4" w:rsidP="000875F4">
            <w:pPr>
              <w:spacing w:after="0" w:line="240" w:lineRule="auto"/>
              <w:jc w:val="right"/>
              <w:rPr>
                <w:rFonts w:ascii="Arial" w:eastAsia="Times New Roman" w:hAnsi="Arial" w:cs="Arial"/>
                <w:bCs/>
                <w:sz w:val="16"/>
                <w:szCs w:val="16"/>
                <w:lang w:eastAsia="tr-TR"/>
              </w:rPr>
            </w:pPr>
            <w:r w:rsidRPr="000875F4">
              <w:rPr>
                <w:rFonts w:ascii="Arial" w:eastAsia="Times New Roman" w:hAnsi="Arial" w:cs="Arial"/>
                <w:bCs/>
                <w:sz w:val="16"/>
                <w:szCs w:val="16"/>
                <w:lang w:eastAsia="tr-TR"/>
              </w:rPr>
              <w:t>0,00</w:t>
            </w:r>
          </w:p>
          <w:p w:rsidR="000875F4" w:rsidRPr="000875F4" w:rsidRDefault="000875F4" w:rsidP="000875F4">
            <w:pPr>
              <w:spacing w:after="0" w:line="240" w:lineRule="auto"/>
              <w:jc w:val="right"/>
              <w:rPr>
                <w:rFonts w:ascii="Arial" w:eastAsia="Times New Roman" w:hAnsi="Arial" w:cs="Arial"/>
                <w:bCs/>
                <w:sz w:val="16"/>
                <w:szCs w:val="16"/>
                <w:lang w:eastAsia="tr-TR"/>
              </w:rPr>
            </w:pPr>
          </w:p>
          <w:p w:rsidR="000875F4" w:rsidRPr="000875F4" w:rsidRDefault="004657E0" w:rsidP="000875F4">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133.659.124,67</w:t>
            </w:r>
          </w:p>
        </w:tc>
        <w:tc>
          <w:tcPr>
            <w:tcW w:w="326" w:type="pct"/>
            <w:tcBorders>
              <w:top w:val="nil"/>
              <w:left w:val="nil"/>
              <w:bottom w:val="nil"/>
              <w:right w:val="nil"/>
            </w:tcBorders>
            <w:shd w:val="clear" w:color="auto" w:fill="auto"/>
            <w:noWrap/>
            <w:vAlign w:val="bottom"/>
          </w:tcPr>
          <w:p w:rsidR="004657E0" w:rsidRPr="000875F4" w:rsidRDefault="004657E0" w:rsidP="004657E0">
            <w:pPr>
              <w:spacing w:after="0" w:line="240" w:lineRule="auto"/>
              <w:jc w:val="right"/>
              <w:rPr>
                <w:rFonts w:ascii="Arial" w:eastAsiaTheme="minorHAnsi" w:hAnsi="Arial" w:cs="Arial"/>
                <w:b/>
                <w:sz w:val="16"/>
                <w:szCs w:val="12"/>
              </w:rPr>
            </w:pPr>
            <w:r w:rsidRPr="000875F4">
              <w:rPr>
                <w:rFonts w:ascii="Arial" w:eastAsiaTheme="minorHAnsi" w:hAnsi="Arial" w:cs="Arial"/>
                <w:b/>
                <w:sz w:val="16"/>
                <w:szCs w:val="12"/>
              </w:rPr>
              <w:t>-283.754.525,55</w:t>
            </w:r>
          </w:p>
          <w:p w:rsidR="000875F4" w:rsidRPr="000875F4" w:rsidRDefault="000875F4" w:rsidP="000875F4">
            <w:pPr>
              <w:spacing w:after="0" w:line="240" w:lineRule="auto"/>
              <w:jc w:val="right"/>
              <w:rPr>
                <w:rFonts w:ascii="Arial" w:eastAsia="Times New Roman" w:hAnsi="Arial" w:cs="Arial"/>
                <w:bCs/>
                <w:sz w:val="16"/>
                <w:szCs w:val="16"/>
                <w:lang w:eastAsia="tr-TR"/>
              </w:rPr>
            </w:pPr>
          </w:p>
          <w:p w:rsidR="000875F4" w:rsidRPr="000875F4" w:rsidRDefault="004657E0" w:rsidP="000875F4">
            <w:pPr>
              <w:spacing w:after="0" w:line="240" w:lineRule="auto"/>
              <w:jc w:val="right"/>
              <w:rPr>
                <w:rFonts w:ascii="Arial" w:eastAsia="Times New Roman" w:hAnsi="Arial" w:cs="Arial"/>
                <w:bCs/>
                <w:sz w:val="16"/>
                <w:szCs w:val="16"/>
                <w:lang w:eastAsia="tr-TR"/>
              </w:rPr>
            </w:pPr>
            <w:r w:rsidRPr="000875F4">
              <w:rPr>
                <w:rFonts w:ascii="Arial" w:eastAsiaTheme="minorHAnsi" w:hAnsi="Arial" w:cs="Arial"/>
                <w:sz w:val="16"/>
                <w:szCs w:val="12"/>
              </w:rPr>
              <w:t>-283.754.525,55</w:t>
            </w:r>
          </w:p>
          <w:p w:rsidR="000875F4" w:rsidRPr="000875F4" w:rsidRDefault="000875F4" w:rsidP="000875F4">
            <w:pPr>
              <w:spacing w:after="0" w:line="240" w:lineRule="auto"/>
              <w:jc w:val="right"/>
              <w:rPr>
                <w:rFonts w:ascii="Arial" w:eastAsia="Times New Roman" w:hAnsi="Arial" w:cs="Arial"/>
                <w:bCs/>
                <w:sz w:val="16"/>
                <w:szCs w:val="16"/>
                <w:lang w:eastAsia="tr-TR"/>
              </w:rPr>
            </w:pPr>
          </w:p>
          <w:p w:rsidR="000875F4" w:rsidRPr="000875F4" w:rsidRDefault="004657E0" w:rsidP="000875F4">
            <w:pPr>
              <w:spacing w:after="0" w:line="240" w:lineRule="auto"/>
              <w:jc w:val="right"/>
              <w:rPr>
                <w:rFonts w:ascii="Arial" w:eastAsia="Times New Roman" w:hAnsi="Arial" w:cs="Arial"/>
                <w:b/>
                <w:bCs/>
                <w:sz w:val="16"/>
                <w:szCs w:val="16"/>
                <w:lang w:eastAsia="tr-TR"/>
              </w:rPr>
            </w:pPr>
            <w:r w:rsidRPr="000875F4">
              <w:rPr>
                <w:rFonts w:ascii="Arial" w:eastAsiaTheme="minorHAnsi" w:hAnsi="Arial" w:cs="Arial"/>
                <w:b/>
                <w:sz w:val="16"/>
                <w:szCs w:val="12"/>
              </w:rPr>
              <w:t>-112.007.094,96</w:t>
            </w:r>
          </w:p>
        </w:tc>
        <w:tc>
          <w:tcPr>
            <w:tcW w:w="354" w:type="pct"/>
            <w:tcBorders>
              <w:top w:val="nil"/>
              <w:left w:val="single" w:sz="8" w:space="0" w:color="auto"/>
              <w:bottom w:val="nil"/>
              <w:right w:val="single" w:sz="8" w:space="0" w:color="auto"/>
            </w:tcBorders>
            <w:shd w:val="clear" w:color="auto" w:fill="auto"/>
            <w:noWrap/>
            <w:vAlign w:val="bottom"/>
          </w:tcPr>
          <w:p w:rsidR="000875F4" w:rsidRPr="000875F4" w:rsidRDefault="004657E0" w:rsidP="000875F4">
            <w:pPr>
              <w:spacing w:after="0" w:line="240" w:lineRule="auto"/>
              <w:jc w:val="right"/>
              <w:rPr>
                <w:rFonts w:ascii="Arial" w:eastAsiaTheme="minorHAnsi" w:hAnsi="Arial" w:cs="Arial"/>
                <w:b/>
                <w:sz w:val="16"/>
                <w:szCs w:val="12"/>
              </w:rPr>
            </w:pPr>
            <w:r w:rsidRPr="004657E0">
              <w:rPr>
                <w:rFonts w:ascii="Arial" w:eastAsiaTheme="minorHAnsi" w:hAnsi="Arial" w:cs="Arial"/>
                <w:b/>
                <w:sz w:val="16"/>
                <w:szCs w:val="12"/>
              </w:rPr>
              <w:t>-867.828.445,83</w:t>
            </w:r>
          </w:p>
          <w:p w:rsidR="000875F4" w:rsidRPr="000875F4" w:rsidRDefault="000875F4" w:rsidP="000875F4">
            <w:pPr>
              <w:spacing w:after="0" w:line="240" w:lineRule="auto"/>
              <w:jc w:val="right"/>
              <w:rPr>
                <w:rFonts w:ascii="Arial" w:eastAsiaTheme="minorHAnsi" w:hAnsi="Arial" w:cs="Arial"/>
                <w:sz w:val="16"/>
                <w:szCs w:val="12"/>
              </w:rPr>
            </w:pPr>
          </w:p>
          <w:p w:rsidR="000875F4" w:rsidRPr="000875F4" w:rsidRDefault="004657E0" w:rsidP="000875F4">
            <w:pPr>
              <w:spacing w:after="0" w:line="240" w:lineRule="auto"/>
              <w:jc w:val="right"/>
              <w:rPr>
                <w:rFonts w:ascii="Arial" w:eastAsiaTheme="minorHAnsi" w:hAnsi="Arial" w:cs="Arial"/>
                <w:sz w:val="16"/>
                <w:szCs w:val="12"/>
              </w:rPr>
            </w:pPr>
            <w:r w:rsidRPr="004657E0">
              <w:rPr>
                <w:rFonts w:ascii="Arial" w:eastAsiaTheme="minorHAnsi" w:hAnsi="Arial" w:cs="Arial"/>
                <w:sz w:val="16"/>
                <w:szCs w:val="12"/>
              </w:rPr>
              <w:t>-867.828.445,83</w:t>
            </w:r>
          </w:p>
          <w:p w:rsidR="000875F4" w:rsidRPr="000875F4" w:rsidRDefault="000875F4" w:rsidP="000875F4">
            <w:pPr>
              <w:spacing w:after="0" w:line="240" w:lineRule="auto"/>
              <w:jc w:val="right"/>
              <w:rPr>
                <w:rFonts w:ascii="Arial" w:eastAsiaTheme="minorHAnsi" w:hAnsi="Arial" w:cs="Arial"/>
                <w:sz w:val="16"/>
                <w:szCs w:val="12"/>
              </w:rPr>
            </w:pPr>
          </w:p>
          <w:p w:rsidR="000875F4" w:rsidRPr="000875F4" w:rsidRDefault="004657E0" w:rsidP="000875F4">
            <w:pPr>
              <w:spacing w:after="0" w:line="240" w:lineRule="auto"/>
              <w:jc w:val="right"/>
              <w:rPr>
                <w:rFonts w:ascii="Arial" w:eastAsia="Times New Roman" w:hAnsi="Arial" w:cs="Arial"/>
                <w:b/>
                <w:bCs/>
                <w:sz w:val="16"/>
                <w:szCs w:val="16"/>
                <w:lang w:eastAsia="tr-TR"/>
              </w:rPr>
            </w:pPr>
            <w:r w:rsidRPr="004657E0">
              <w:rPr>
                <w:rFonts w:ascii="Arial" w:eastAsiaTheme="minorHAnsi" w:hAnsi="Arial" w:cs="Arial"/>
                <w:b/>
                <w:sz w:val="16"/>
                <w:szCs w:val="12"/>
              </w:rPr>
              <w:t>9.344.167,45</w:t>
            </w:r>
          </w:p>
        </w:tc>
      </w:tr>
      <w:tr w:rsidR="00AC5C30" w:rsidRPr="000875F4" w:rsidTr="000875F4">
        <w:trPr>
          <w:gridAfter w:val="4"/>
          <w:wAfter w:w="1354" w:type="pct"/>
          <w:trHeight w:val="20"/>
        </w:trPr>
        <w:tc>
          <w:tcPr>
            <w:tcW w:w="37" w:type="pct"/>
            <w:tcBorders>
              <w:top w:val="nil"/>
              <w:left w:val="single" w:sz="8" w:space="0" w:color="auto"/>
              <w:bottom w:val="nil"/>
              <w:right w:val="nil"/>
            </w:tcBorders>
            <w:shd w:val="clear" w:color="auto" w:fill="auto"/>
            <w:noWrap/>
            <w:vAlign w:val="center"/>
            <w:hideMark/>
          </w:tcPr>
          <w:p w:rsidR="00AC5C30" w:rsidRPr="000875F4" w:rsidRDefault="00AC5C30" w:rsidP="00AC5C30">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685" w:type="pct"/>
            <w:gridSpan w:val="2"/>
            <w:tcBorders>
              <w:top w:val="nil"/>
              <w:left w:val="nil"/>
              <w:bottom w:val="nil"/>
              <w:right w:val="single" w:sz="8" w:space="0" w:color="000000"/>
            </w:tcBorders>
            <w:shd w:val="clear" w:color="auto" w:fill="auto"/>
            <w:noWrap/>
            <w:vAlign w:val="center"/>
            <w:hideMark/>
          </w:tcPr>
          <w:p w:rsidR="00AC5C30" w:rsidRPr="000875F4" w:rsidRDefault="00AC5C30" w:rsidP="00AC5C30">
            <w:pPr>
              <w:spacing w:after="0" w:line="240" w:lineRule="auto"/>
              <w:jc w:val="left"/>
              <w:rPr>
                <w:rFonts w:ascii="Arial" w:eastAsia="Times New Roman" w:hAnsi="Arial" w:cs="Arial"/>
                <w:b/>
                <w:bCs/>
                <w:sz w:val="16"/>
                <w:szCs w:val="16"/>
                <w:lang w:eastAsia="tr-TR"/>
              </w:rPr>
            </w:pPr>
          </w:p>
          <w:p w:rsidR="00AC5C30" w:rsidRPr="000875F4" w:rsidRDefault="00AC5C30" w:rsidP="00AC5C30">
            <w:pPr>
              <w:spacing w:after="0" w:line="240" w:lineRule="auto"/>
              <w:jc w:val="lef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25-MADDİ DURAN VARLIKLAR</w:t>
            </w:r>
          </w:p>
        </w:tc>
        <w:tc>
          <w:tcPr>
            <w:tcW w:w="330" w:type="pct"/>
            <w:tcBorders>
              <w:top w:val="nil"/>
              <w:left w:val="nil"/>
              <w:bottom w:val="nil"/>
              <w:right w:val="single" w:sz="8" w:space="0" w:color="auto"/>
            </w:tcBorders>
            <w:shd w:val="clear" w:color="auto" w:fill="auto"/>
            <w:noWrap/>
            <w:vAlign w:val="center"/>
          </w:tcPr>
          <w:p w:rsidR="00AC5C30" w:rsidRPr="000875F4" w:rsidRDefault="00AC5C30" w:rsidP="00AC5C30">
            <w:pPr>
              <w:spacing w:after="0" w:line="240" w:lineRule="auto"/>
              <w:jc w:val="right"/>
              <w:rPr>
                <w:rFonts w:ascii="Arial" w:eastAsia="Times New Roman" w:hAnsi="Arial" w:cs="Arial"/>
                <w:b/>
                <w:bCs/>
                <w:sz w:val="16"/>
                <w:szCs w:val="16"/>
                <w:lang w:eastAsia="tr-TR"/>
              </w:rPr>
            </w:pPr>
            <w:r>
              <w:rPr>
                <w:rFonts w:ascii="Arial" w:hAnsi="Arial" w:cs="Arial"/>
                <w:b/>
                <w:bCs/>
                <w:color w:val="000000"/>
                <w:sz w:val="16"/>
                <w:szCs w:val="16"/>
              </w:rPr>
              <w:t>347.708.011,14</w:t>
            </w:r>
          </w:p>
        </w:tc>
        <w:tc>
          <w:tcPr>
            <w:tcW w:w="330" w:type="pct"/>
            <w:tcBorders>
              <w:top w:val="nil"/>
              <w:left w:val="nil"/>
              <w:bottom w:val="nil"/>
              <w:right w:val="single" w:sz="8" w:space="0" w:color="auto"/>
            </w:tcBorders>
            <w:shd w:val="clear" w:color="auto" w:fill="auto"/>
            <w:noWrap/>
            <w:vAlign w:val="center"/>
          </w:tcPr>
          <w:p w:rsidR="00AC5C30" w:rsidRPr="000875F4" w:rsidRDefault="00AC5C30" w:rsidP="00AC5C30">
            <w:pPr>
              <w:spacing w:after="0" w:line="240" w:lineRule="auto"/>
              <w:jc w:val="right"/>
              <w:rPr>
                <w:rFonts w:ascii="Arial" w:eastAsia="Times New Roman" w:hAnsi="Arial" w:cs="Arial"/>
                <w:b/>
                <w:bCs/>
                <w:sz w:val="16"/>
                <w:szCs w:val="16"/>
                <w:lang w:eastAsia="tr-TR"/>
              </w:rPr>
            </w:pPr>
            <w:r>
              <w:rPr>
                <w:rFonts w:ascii="Arial" w:hAnsi="Arial" w:cs="Arial"/>
                <w:b/>
                <w:bCs/>
                <w:color w:val="000000"/>
                <w:sz w:val="16"/>
                <w:szCs w:val="16"/>
              </w:rPr>
              <w:t>343.607.879,54</w:t>
            </w:r>
          </w:p>
        </w:tc>
        <w:tc>
          <w:tcPr>
            <w:tcW w:w="339" w:type="pct"/>
            <w:tcBorders>
              <w:top w:val="nil"/>
              <w:left w:val="nil"/>
              <w:bottom w:val="nil"/>
              <w:right w:val="single" w:sz="8" w:space="0" w:color="auto"/>
            </w:tcBorders>
            <w:shd w:val="clear" w:color="auto" w:fill="auto"/>
            <w:noWrap/>
            <w:vAlign w:val="center"/>
          </w:tcPr>
          <w:p w:rsidR="00AC5C30" w:rsidRPr="000875F4" w:rsidRDefault="00AC5C30" w:rsidP="00AC5C30">
            <w:pPr>
              <w:spacing w:after="0" w:line="240" w:lineRule="auto"/>
              <w:jc w:val="right"/>
              <w:rPr>
                <w:rFonts w:ascii="Arial" w:eastAsia="Times New Roman" w:hAnsi="Arial" w:cs="Arial"/>
                <w:b/>
                <w:bCs/>
                <w:sz w:val="16"/>
                <w:szCs w:val="16"/>
                <w:lang w:eastAsia="tr-TR"/>
              </w:rPr>
            </w:pPr>
            <w:r>
              <w:rPr>
                <w:rFonts w:ascii="Arial" w:hAnsi="Arial" w:cs="Arial"/>
                <w:b/>
                <w:bCs/>
                <w:color w:val="000000"/>
                <w:sz w:val="16"/>
                <w:szCs w:val="16"/>
              </w:rPr>
              <w:t>342.782.154,46</w:t>
            </w:r>
          </w:p>
        </w:tc>
        <w:tc>
          <w:tcPr>
            <w:tcW w:w="38" w:type="pct"/>
            <w:tcBorders>
              <w:top w:val="nil"/>
              <w:left w:val="nil"/>
              <w:bottom w:val="nil"/>
              <w:right w:val="nil"/>
            </w:tcBorders>
            <w:shd w:val="clear" w:color="auto" w:fill="auto"/>
            <w:noWrap/>
            <w:vAlign w:val="bottom"/>
            <w:hideMark/>
          </w:tcPr>
          <w:p w:rsidR="00AC5C30" w:rsidRPr="000875F4" w:rsidRDefault="00AC5C30" w:rsidP="00AC5C30">
            <w:pPr>
              <w:spacing w:after="0" w:line="240" w:lineRule="auto"/>
              <w:jc w:val="left"/>
              <w:rPr>
                <w:rFonts w:ascii="Arial" w:eastAsia="Times New Roman" w:hAnsi="Arial" w:cs="Arial"/>
                <w:sz w:val="20"/>
                <w:szCs w:val="20"/>
                <w:lang w:eastAsia="tr-TR"/>
              </w:rPr>
            </w:pPr>
            <w:r w:rsidRPr="000875F4">
              <w:rPr>
                <w:rFonts w:ascii="Arial" w:eastAsia="Times New Roman" w:hAnsi="Arial" w:cs="Arial"/>
                <w:sz w:val="20"/>
                <w:szCs w:val="20"/>
                <w:lang w:eastAsia="tr-TR"/>
              </w:rPr>
              <w:t> </w:t>
            </w:r>
          </w:p>
        </w:tc>
        <w:tc>
          <w:tcPr>
            <w:tcW w:w="72" w:type="pct"/>
            <w:tcBorders>
              <w:top w:val="nil"/>
              <w:left w:val="nil"/>
              <w:bottom w:val="nil"/>
              <w:right w:val="nil"/>
            </w:tcBorders>
            <w:shd w:val="clear" w:color="auto" w:fill="auto"/>
            <w:noWrap/>
            <w:vAlign w:val="center"/>
            <w:hideMark/>
          </w:tcPr>
          <w:p w:rsidR="00AC5C30" w:rsidRPr="000875F4" w:rsidRDefault="00AC5C30" w:rsidP="00AC5C30">
            <w:pPr>
              <w:spacing w:after="0" w:line="240" w:lineRule="auto"/>
              <w:jc w:val="left"/>
              <w:rPr>
                <w:rFonts w:ascii="Arial" w:eastAsia="Times New Roman" w:hAnsi="Arial" w:cs="Arial"/>
                <w:sz w:val="16"/>
                <w:szCs w:val="20"/>
                <w:lang w:eastAsia="tr-TR"/>
              </w:rPr>
            </w:pPr>
          </w:p>
        </w:tc>
        <w:tc>
          <w:tcPr>
            <w:tcW w:w="776" w:type="pct"/>
            <w:tcBorders>
              <w:top w:val="nil"/>
              <w:left w:val="nil"/>
              <w:bottom w:val="nil"/>
              <w:right w:val="nil"/>
            </w:tcBorders>
            <w:shd w:val="clear" w:color="auto" w:fill="auto"/>
            <w:noWrap/>
            <w:vAlign w:val="center"/>
            <w:hideMark/>
          </w:tcPr>
          <w:p w:rsidR="00AC5C30" w:rsidRPr="000875F4" w:rsidRDefault="00AC5C30" w:rsidP="00AC5C30">
            <w:pPr>
              <w:spacing w:after="0" w:line="240" w:lineRule="auto"/>
              <w:jc w:val="left"/>
              <w:rPr>
                <w:rFonts w:ascii="Arial" w:eastAsia="Times New Roman" w:hAnsi="Arial" w:cs="Arial"/>
                <w:sz w:val="16"/>
                <w:szCs w:val="16"/>
                <w:lang w:eastAsia="tr-TR"/>
              </w:rPr>
            </w:pPr>
          </w:p>
          <w:p w:rsidR="00AC5C30" w:rsidRPr="000875F4" w:rsidRDefault="00AC5C30" w:rsidP="00AC5C30">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590-Dönem Olumlu Faaliyet Sonucu Hesabı</w:t>
            </w:r>
          </w:p>
          <w:p w:rsidR="00AC5C30" w:rsidRPr="000875F4" w:rsidRDefault="00AC5C30" w:rsidP="00AC5C30">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591-Dönem Olumsuz Faaliyet Sonucu</w:t>
            </w:r>
          </w:p>
        </w:tc>
        <w:tc>
          <w:tcPr>
            <w:tcW w:w="359" w:type="pct"/>
            <w:tcBorders>
              <w:top w:val="nil"/>
              <w:left w:val="single" w:sz="8" w:space="0" w:color="auto"/>
              <w:bottom w:val="nil"/>
              <w:right w:val="single" w:sz="8" w:space="0" w:color="auto"/>
            </w:tcBorders>
            <w:shd w:val="clear" w:color="auto" w:fill="auto"/>
            <w:noWrap/>
            <w:vAlign w:val="bottom"/>
          </w:tcPr>
          <w:p w:rsidR="00AC5C30" w:rsidRPr="000875F4" w:rsidRDefault="004657E0" w:rsidP="00AC5C30">
            <w:pPr>
              <w:spacing w:after="0" w:line="240" w:lineRule="auto"/>
              <w:jc w:val="right"/>
              <w:rPr>
                <w:rFonts w:ascii="Arial" w:eastAsia="Times New Roman" w:hAnsi="Arial" w:cs="Arial"/>
                <w:bCs/>
                <w:sz w:val="16"/>
                <w:szCs w:val="16"/>
                <w:lang w:eastAsia="tr-TR"/>
              </w:rPr>
            </w:pPr>
            <w:r w:rsidRPr="004657E0">
              <w:rPr>
                <w:rFonts w:ascii="Arial" w:eastAsia="Times New Roman" w:hAnsi="Arial" w:cs="Arial"/>
                <w:bCs/>
                <w:sz w:val="16"/>
                <w:szCs w:val="16"/>
                <w:lang w:eastAsia="tr-TR"/>
              </w:rPr>
              <w:t>133.659.124,67</w:t>
            </w:r>
          </w:p>
          <w:p w:rsidR="00AC5C30" w:rsidRPr="000875F4" w:rsidRDefault="00AC5C30" w:rsidP="00AC5C30">
            <w:pPr>
              <w:spacing w:after="0" w:line="240" w:lineRule="auto"/>
              <w:jc w:val="right"/>
              <w:rPr>
                <w:rFonts w:ascii="Arial" w:eastAsia="Times New Roman" w:hAnsi="Arial" w:cs="Arial"/>
                <w:sz w:val="16"/>
                <w:szCs w:val="16"/>
                <w:lang w:eastAsia="tr-TR"/>
              </w:rPr>
            </w:pPr>
            <w:r w:rsidRPr="000875F4">
              <w:rPr>
                <w:rFonts w:ascii="Arial" w:eastAsia="Times New Roman" w:hAnsi="Arial" w:cs="Arial"/>
                <w:bCs/>
                <w:sz w:val="16"/>
                <w:szCs w:val="16"/>
                <w:lang w:eastAsia="tr-TR"/>
              </w:rPr>
              <w:t>0,00</w:t>
            </w:r>
          </w:p>
        </w:tc>
        <w:tc>
          <w:tcPr>
            <w:tcW w:w="326" w:type="pct"/>
            <w:tcBorders>
              <w:top w:val="nil"/>
              <w:left w:val="nil"/>
              <w:bottom w:val="nil"/>
              <w:right w:val="nil"/>
            </w:tcBorders>
            <w:shd w:val="clear" w:color="auto" w:fill="auto"/>
            <w:noWrap/>
            <w:vAlign w:val="bottom"/>
          </w:tcPr>
          <w:p w:rsidR="00AC5C30" w:rsidRPr="000875F4" w:rsidRDefault="004657E0" w:rsidP="00AC5C30">
            <w:pPr>
              <w:spacing w:after="0" w:line="240" w:lineRule="auto"/>
              <w:jc w:val="right"/>
              <w:rPr>
                <w:rFonts w:ascii="Arial" w:eastAsia="Times New Roman" w:hAnsi="Arial" w:cs="Arial"/>
                <w:bCs/>
                <w:sz w:val="16"/>
                <w:szCs w:val="16"/>
                <w:lang w:eastAsia="tr-TR"/>
              </w:rPr>
            </w:pPr>
            <w:r w:rsidRPr="000875F4">
              <w:rPr>
                <w:rFonts w:ascii="Arial" w:eastAsia="Times New Roman" w:hAnsi="Arial" w:cs="Arial"/>
                <w:bCs/>
                <w:sz w:val="16"/>
                <w:szCs w:val="16"/>
                <w:lang w:eastAsia="tr-TR"/>
              </w:rPr>
              <w:t>0,00</w:t>
            </w:r>
          </w:p>
          <w:p w:rsidR="00AC5C30" w:rsidRPr="000875F4" w:rsidRDefault="004657E0" w:rsidP="00AC5C30">
            <w:pPr>
              <w:spacing w:after="0" w:line="240" w:lineRule="auto"/>
              <w:jc w:val="right"/>
              <w:rPr>
                <w:rFonts w:ascii="Arial" w:eastAsia="Times New Roman" w:hAnsi="Arial" w:cs="Arial"/>
                <w:sz w:val="16"/>
                <w:szCs w:val="16"/>
                <w:lang w:eastAsia="tr-TR"/>
              </w:rPr>
            </w:pPr>
            <w:r w:rsidRPr="004657E0">
              <w:rPr>
                <w:rFonts w:ascii="Arial" w:eastAsia="Times New Roman" w:hAnsi="Arial" w:cs="Arial"/>
                <w:bCs/>
                <w:sz w:val="16"/>
                <w:szCs w:val="16"/>
                <w:lang w:eastAsia="tr-TR"/>
              </w:rPr>
              <w:t>-112.007.094,96</w:t>
            </w:r>
          </w:p>
        </w:tc>
        <w:tc>
          <w:tcPr>
            <w:tcW w:w="354" w:type="pct"/>
            <w:tcBorders>
              <w:top w:val="nil"/>
              <w:left w:val="single" w:sz="8" w:space="0" w:color="auto"/>
              <w:bottom w:val="nil"/>
              <w:right w:val="single" w:sz="8" w:space="0" w:color="auto"/>
            </w:tcBorders>
            <w:shd w:val="clear" w:color="auto" w:fill="auto"/>
            <w:noWrap/>
            <w:vAlign w:val="center"/>
          </w:tcPr>
          <w:p w:rsidR="00AC5C30" w:rsidRPr="000875F4" w:rsidRDefault="00AC5C30" w:rsidP="00AC5C30">
            <w:pPr>
              <w:spacing w:after="0" w:line="240" w:lineRule="auto"/>
              <w:jc w:val="right"/>
              <w:rPr>
                <w:rFonts w:ascii="Arial" w:eastAsiaTheme="minorHAnsi" w:hAnsi="Arial" w:cs="Arial"/>
                <w:sz w:val="16"/>
                <w:szCs w:val="12"/>
              </w:rPr>
            </w:pPr>
          </w:p>
          <w:p w:rsidR="00AC5C30" w:rsidRPr="000875F4" w:rsidRDefault="000862EE" w:rsidP="00AC5C30">
            <w:pPr>
              <w:spacing w:after="0" w:line="240" w:lineRule="auto"/>
              <w:jc w:val="right"/>
              <w:rPr>
                <w:rFonts w:ascii="Arial" w:eastAsiaTheme="minorHAnsi" w:hAnsi="Arial" w:cs="Arial"/>
                <w:sz w:val="16"/>
                <w:szCs w:val="12"/>
              </w:rPr>
            </w:pPr>
            <w:r w:rsidRPr="000862EE">
              <w:rPr>
                <w:rFonts w:ascii="Arial" w:eastAsiaTheme="minorHAnsi" w:hAnsi="Arial" w:cs="Arial"/>
                <w:sz w:val="16"/>
                <w:szCs w:val="12"/>
              </w:rPr>
              <w:t>9.344.167,45</w:t>
            </w:r>
          </w:p>
          <w:p w:rsidR="00AC5C30" w:rsidRPr="000875F4" w:rsidRDefault="000862EE" w:rsidP="00AC5C30">
            <w:pPr>
              <w:spacing w:after="0" w:line="240" w:lineRule="auto"/>
              <w:jc w:val="right"/>
              <w:rPr>
                <w:rFonts w:ascii="Arial" w:eastAsia="Times New Roman" w:hAnsi="Arial" w:cs="Arial"/>
                <w:sz w:val="16"/>
                <w:szCs w:val="16"/>
                <w:lang w:eastAsia="tr-TR"/>
              </w:rPr>
            </w:pPr>
            <w:r w:rsidRPr="000862EE">
              <w:rPr>
                <w:rFonts w:ascii="Arial" w:eastAsiaTheme="minorHAnsi" w:hAnsi="Arial" w:cs="Arial"/>
                <w:sz w:val="16"/>
                <w:szCs w:val="12"/>
              </w:rPr>
              <w:t>0,00</w:t>
            </w:r>
          </w:p>
        </w:tc>
      </w:tr>
      <w:tr w:rsidR="00AC5C30" w:rsidRPr="000875F4" w:rsidTr="000875F4">
        <w:trPr>
          <w:gridAfter w:val="4"/>
          <w:wAfter w:w="1354" w:type="pct"/>
          <w:trHeight w:val="20"/>
        </w:trPr>
        <w:tc>
          <w:tcPr>
            <w:tcW w:w="37" w:type="pct"/>
            <w:tcBorders>
              <w:top w:val="nil"/>
              <w:left w:val="single" w:sz="8" w:space="0" w:color="auto"/>
              <w:bottom w:val="nil"/>
              <w:right w:val="nil"/>
            </w:tcBorders>
            <w:shd w:val="clear" w:color="auto" w:fill="auto"/>
            <w:noWrap/>
            <w:vAlign w:val="center"/>
            <w:hideMark/>
          </w:tcPr>
          <w:p w:rsidR="00AC5C30" w:rsidRPr="000875F4" w:rsidRDefault="00AC5C30" w:rsidP="00AC5C30">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88" w:type="pct"/>
            <w:tcBorders>
              <w:top w:val="nil"/>
              <w:left w:val="nil"/>
              <w:bottom w:val="nil"/>
              <w:right w:val="nil"/>
            </w:tcBorders>
            <w:shd w:val="clear" w:color="auto" w:fill="auto"/>
            <w:noWrap/>
            <w:vAlign w:val="center"/>
            <w:hideMark/>
          </w:tcPr>
          <w:p w:rsidR="00AC5C30" w:rsidRPr="000875F4" w:rsidRDefault="00AC5C30" w:rsidP="00AC5C30">
            <w:pPr>
              <w:spacing w:after="0" w:line="240" w:lineRule="auto"/>
              <w:jc w:val="left"/>
              <w:rPr>
                <w:rFonts w:ascii="Arial" w:eastAsia="Times New Roman" w:hAnsi="Arial" w:cs="Arial"/>
                <w:sz w:val="16"/>
                <w:szCs w:val="16"/>
                <w:lang w:eastAsia="tr-TR"/>
              </w:rPr>
            </w:pPr>
          </w:p>
        </w:tc>
        <w:tc>
          <w:tcPr>
            <w:tcW w:w="597" w:type="pct"/>
            <w:tcBorders>
              <w:top w:val="nil"/>
              <w:left w:val="nil"/>
              <w:bottom w:val="nil"/>
              <w:right w:val="single" w:sz="8" w:space="0" w:color="auto"/>
            </w:tcBorders>
            <w:shd w:val="clear" w:color="auto" w:fill="auto"/>
            <w:noWrap/>
            <w:vAlign w:val="center"/>
            <w:hideMark/>
          </w:tcPr>
          <w:p w:rsidR="00AC5C30" w:rsidRPr="000875F4" w:rsidRDefault="00AC5C30" w:rsidP="00AC5C30">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250-Arazi ve Arsalar Hes.</w:t>
            </w:r>
          </w:p>
        </w:tc>
        <w:tc>
          <w:tcPr>
            <w:tcW w:w="330" w:type="pct"/>
            <w:tcBorders>
              <w:top w:val="nil"/>
              <w:left w:val="nil"/>
              <w:bottom w:val="nil"/>
              <w:right w:val="single" w:sz="8" w:space="0" w:color="auto"/>
            </w:tcBorders>
            <w:shd w:val="clear" w:color="auto" w:fill="auto"/>
            <w:noWrap/>
            <w:vAlign w:val="center"/>
          </w:tcPr>
          <w:p w:rsidR="00AC5C30" w:rsidRPr="000875F4" w:rsidRDefault="00AC5C30" w:rsidP="00AC5C30">
            <w:pPr>
              <w:spacing w:after="0" w:line="240" w:lineRule="auto"/>
              <w:jc w:val="right"/>
              <w:rPr>
                <w:rFonts w:ascii="Arial" w:eastAsia="Times New Roman" w:hAnsi="Arial" w:cs="Arial"/>
                <w:sz w:val="16"/>
                <w:szCs w:val="16"/>
                <w:lang w:eastAsia="tr-TR"/>
              </w:rPr>
            </w:pPr>
            <w:r>
              <w:rPr>
                <w:rFonts w:ascii="Arial" w:hAnsi="Arial" w:cs="Arial"/>
                <w:color w:val="000000"/>
                <w:sz w:val="16"/>
                <w:szCs w:val="16"/>
              </w:rPr>
              <w:t>96.310.000,00</w:t>
            </w:r>
          </w:p>
        </w:tc>
        <w:tc>
          <w:tcPr>
            <w:tcW w:w="330" w:type="pct"/>
            <w:tcBorders>
              <w:top w:val="nil"/>
              <w:left w:val="nil"/>
              <w:bottom w:val="nil"/>
              <w:right w:val="single" w:sz="8" w:space="0" w:color="auto"/>
            </w:tcBorders>
            <w:shd w:val="clear" w:color="auto" w:fill="auto"/>
            <w:noWrap/>
            <w:vAlign w:val="center"/>
          </w:tcPr>
          <w:p w:rsidR="00AC5C30" w:rsidRPr="000875F4" w:rsidRDefault="00AC5C30" w:rsidP="00AC5C30">
            <w:pPr>
              <w:spacing w:after="0" w:line="240" w:lineRule="auto"/>
              <w:jc w:val="right"/>
              <w:rPr>
                <w:rFonts w:ascii="Arial" w:eastAsia="Times New Roman" w:hAnsi="Arial" w:cs="Arial"/>
                <w:sz w:val="16"/>
                <w:szCs w:val="16"/>
                <w:lang w:eastAsia="tr-TR"/>
              </w:rPr>
            </w:pPr>
            <w:r>
              <w:rPr>
                <w:rFonts w:ascii="Arial" w:hAnsi="Arial" w:cs="Arial"/>
                <w:color w:val="000000"/>
                <w:sz w:val="16"/>
                <w:szCs w:val="16"/>
              </w:rPr>
              <w:t>96.310.000,00</w:t>
            </w:r>
          </w:p>
        </w:tc>
        <w:tc>
          <w:tcPr>
            <w:tcW w:w="339" w:type="pct"/>
            <w:tcBorders>
              <w:top w:val="nil"/>
              <w:left w:val="nil"/>
              <w:bottom w:val="nil"/>
              <w:right w:val="single" w:sz="8" w:space="0" w:color="auto"/>
            </w:tcBorders>
            <w:shd w:val="clear" w:color="auto" w:fill="auto"/>
            <w:noWrap/>
            <w:vAlign w:val="center"/>
          </w:tcPr>
          <w:p w:rsidR="00AC5C30" w:rsidRPr="000875F4" w:rsidRDefault="00AC5C30" w:rsidP="00AC5C30">
            <w:pPr>
              <w:spacing w:after="0" w:line="240" w:lineRule="auto"/>
              <w:jc w:val="right"/>
              <w:rPr>
                <w:rFonts w:ascii="Arial" w:eastAsia="Times New Roman" w:hAnsi="Arial" w:cs="Arial"/>
                <w:sz w:val="16"/>
                <w:szCs w:val="16"/>
                <w:lang w:eastAsia="tr-TR"/>
              </w:rPr>
            </w:pPr>
            <w:r>
              <w:rPr>
                <w:rFonts w:ascii="Arial" w:hAnsi="Arial" w:cs="Arial"/>
                <w:color w:val="000000"/>
                <w:sz w:val="16"/>
                <w:szCs w:val="16"/>
              </w:rPr>
              <w:t>96.310.000,00</w:t>
            </w:r>
          </w:p>
        </w:tc>
        <w:tc>
          <w:tcPr>
            <w:tcW w:w="38" w:type="pct"/>
            <w:tcBorders>
              <w:top w:val="nil"/>
              <w:left w:val="nil"/>
              <w:bottom w:val="nil"/>
              <w:right w:val="nil"/>
            </w:tcBorders>
            <w:shd w:val="clear" w:color="auto" w:fill="auto"/>
            <w:noWrap/>
            <w:vAlign w:val="bottom"/>
            <w:hideMark/>
          </w:tcPr>
          <w:p w:rsidR="00AC5C30" w:rsidRPr="000875F4" w:rsidRDefault="00AC5C30" w:rsidP="00AC5C30">
            <w:pPr>
              <w:spacing w:after="0" w:line="240" w:lineRule="auto"/>
              <w:jc w:val="left"/>
              <w:rPr>
                <w:rFonts w:ascii="Arial" w:eastAsia="Times New Roman" w:hAnsi="Arial" w:cs="Arial"/>
                <w:sz w:val="16"/>
                <w:szCs w:val="16"/>
                <w:lang w:eastAsia="tr-TR"/>
              </w:rPr>
            </w:pPr>
          </w:p>
        </w:tc>
        <w:tc>
          <w:tcPr>
            <w:tcW w:w="72" w:type="pct"/>
            <w:tcBorders>
              <w:top w:val="nil"/>
              <w:left w:val="nil"/>
              <w:bottom w:val="nil"/>
              <w:right w:val="nil"/>
            </w:tcBorders>
            <w:shd w:val="clear" w:color="auto" w:fill="auto"/>
            <w:noWrap/>
            <w:vAlign w:val="bottom"/>
            <w:hideMark/>
          </w:tcPr>
          <w:p w:rsidR="00AC5C30" w:rsidRPr="000875F4" w:rsidRDefault="00AC5C30" w:rsidP="00AC5C30">
            <w:pPr>
              <w:spacing w:after="0" w:line="240" w:lineRule="auto"/>
              <w:jc w:val="left"/>
              <w:rPr>
                <w:rFonts w:ascii="Times New Roman" w:eastAsia="Times New Roman" w:hAnsi="Times New Roman"/>
                <w:sz w:val="20"/>
                <w:szCs w:val="20"/>
                <w:lang w:eastAsia="tr-TR"/>
              </w:rPr>
            </w:pPr>
          </w:p>
        </w:tc>
        <w:tc>
          <w:tcPr>
            <w:tcW w:w="776" w:type="pct"/>
            <w:tcBorders>
              <w:top w:val="nil"/>
              <w:left w:val="nil"/>
              <w:bottom w:val="nil"/>
              <w:right w:val="nil"/>
            </w:tcBorders>
            <w:shd w:val="clear" w:color="auto" w:fill="auto"/>
            <w:noWrap/>
            <w:vAlign w:val="bottom"/>
            <w:hideMark/>
          </w:tcPr>
          <w:p w:rsidR="00AC5C30" w:rsidRPr="000875F4" w:rsidRDefault="00AC5C30" w:rsidP="00AC5C30">
            <w:pPr>
              <w:spacing w:after="0" w:line="240" w:lineRule="auto"/>
              <w:jc w:val="left"/>
              <w:rPr>
                <w:rFonts w:ascii="Times New Roman" w:eastAsia="Times New Roman" w:hAnsi="Times New Roman"/>
                <w:sz w:val="20"/>
                <w:szCs w:val="20"/>
                <w:lang w:eastAsia="tr-TR"/>
              </w:rPr>
            </w:pPr>
          </w:p>
        </w:tc>
        <w:tc>
          <w:tcPr>
            <w:tcW w:w="359" w:type="pct"/>
            <w:tcBorders>
              <w:top w:val="nil"/>
              <w:left w:val="single" w:sz="8" w:space="0" w:color="auto"/>
              <w:bottom w:val="nil"/>
              <w:right w:val="single" w:sz="8" w:space="0" w:color="auto"/>
            </w:tcBorders>
            <w:shd w:val="clear" w:color="auto" w:fill="auto"/>
            <w:noWrap/>
            <w:vAlign w:val="bottom"/>
            <w:hideMark/>
          </w:tcPr>
          <w:p w:rsidR="00AC5C30" w:rsidRPr="000875F4" w:rsidRDefault="00AC5C30" w:rsidP="00AC5C30">
            <w:pPr>
              <w:spacing w:after="0" w:line="240" w:lineRule="auto"/>
              <w:jc w:val="right"/>
              <w:rPr>
                <w:rFonts w:ascii="Arial" w:eastAsia="Times New Roman" w:hAnsi="Arial" w:cs="Arial"/>
                <w:sz w:val="20"/>
                <w:szCs w:val="20"/>
                <w:lang w:eastAsia="tr-TR"/>
              </w:rPr>
            </w:pPr>
            <w:r w:rsidRPr="000875F4">
              <w:rPr>
                <w:rFonts w:ascii="Arial" w:eastAsia="Times New Roman" w:hAnsi="Arial" w:cs="Arial"/>
                <w:sz w:val="20"/>
                <w:szCs w:val="20"/>
                <w:lang w:eastAsia="tr-TR"/>
              </w:rPr>
              <w:t> </w:t>
            </w:r>
          </w:p>
        </w:tc>
        <w:tc>
          <w:tcPr>
            <w:tcW w:w="326" w:type="pct"/>
            <w:tcBorders>
              <w:top w:val="nil"/>
              <w:left w:val="nil"/>
              <w:bottom w:val="nil"/>
              <w:right w:val="nil"/>
            </w:tcBorders>
            <w:shd w:val="clear" w:color="auto" w:fill="auto"/>
            <w:noWrap/>
            <w:vAlign w:val="bottom"/>
          </w:tcPr>
          <w:p w:rsidR="00AC5C30" w:rsidRPr="000875F4" w:rsidRDefault="00AC5C30" w:rsidP="00AC5C30">
            <w:pPr>
              <w:spacing w:after="0" w:line="240" w:lineRule="auto"/>
              <w:jc w:val="right"/>
              <w:rPr>
                <w:rFonts w:ascii="Arial" w:eastAsia="Times New Roman" w:hAnsi="Arial" w:cs="Arial"/>
                <w:sz w:val="20"/>
                <w:szCs w:val="20"/>
                <w:lang w:eastAsia="tr-TR"/>
              </w:rPr>
            </w:pPr>
          </w:p>
        </w:tc>
        <w:tc>
          <w:tcPr>
            <w:tcW w:w="354" w:type="pct"/>
            <w:tcBorders>
              <w:top w:val="nil"/>
              <w:left w:val="single" w:sz="8" w:space="0" w:color="auto"/>
              <w:bottom w:val="nil"/>
              <w:right w:val="single" w:sz="8" w:space="0" w:color="auto"/>
            </w:tcBorders>
            <w:shd w:val="clear" w:color="auto" w:fill="auto"/>
            <w:noWrap/>
            <w:vAlign w:val="bottom"/>
            <w:hideMark/>
          </w:tcPr>
          <w:p w:rsidR="00AC5C30" w:rsidRPr="000875F4" w:rsidRDefault="00AC5C30" w:rsidP="00AC5C30">
            <w:pPr>
              <w:spacing w:after="0" w:line="240" w:lineRule="auto"/>
              <w:jc w:val="right"/>
              <w:rPr>
                <w:rFonts w:ascii="Arial" w:eastAsia="Times New Roman" w:hAnsi="Arial" w:cs="Arial"/>
                <w:sz w:val="20"/>
                <w:szCs w:val="20"/>
                <w:lang w:eastAsia="tr-TR"/>
              </w:rPr>
            </w:pPr>
            <w:r w:rsidRPr="000875F4">
              <w:rPr>
                <w:rFonts w:ascii="Arial" w:eastAsia="Times New Roman" w:hAnsi="Arial" w:cs="Arial"/>
                <w:sz w:val="20"/>
                <w:szCs w:val="20"/>
                <w:lang w:eastAsia="tr-TR"/>
              </w:rPr>
              <w:t> </w:t>
            </w:r>
          </w:p>
        </w:tc>
      </w:tr>
      <w:tr w:rsidR="00AC5C30" w:rsidRPr="000875F4" w:rsidTr="000875F4">
        <w:trPr>
          <w:gridAfter w:val="4"/>
          <w:wAfter w:w="1354" w:type="pct"/>
          <w:trHeight w:val="20"/>
        </w:trPr>
        <w:tc>
          <w:tcPr>
            <w:tcW w:w="37" w:type="pct"/>
            <w:tcBorders>
              <w:top w:val="nil"/>
              <w:left w:val="single" w:sz="8" w:space="0" w:color="auto"/>
              <w:bottom w:val="nil"/>
              <w:right w:val="nil"/>
            </w:tcBorders>
            <w:shd w:val="clear" w:color="auto" w:fill="auto"/>
            <w:noWrap/>
            <w:vAlign w:val="center"/>
            <w:hideMark/>
          </w:tcPr>
          <w:p w:rsidR="00AC5C30" w:rsidRPr="000875F4" w:rsidRDefault="00AC5C30" w:rsidP="00AC5C30">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88" w:type="pct"/>
            <w:tcBorders>
              <w:top w:val="nil"/>
              <w:left w:val="nil"/>
              <w:bottom w:val="nil"/>
              <w:right w:val="nil"/>
            </w:tcBorders>
            <w:shd w:val="clear" w:color="auto" w:fill="auto"/>
            <w:noWrap/>
            <w:vAlign w:val="center"/>
            <w:hideMark/>
          </w:tcPr>
          <w:p w:rsidR="00AC5C30" w:rsidRPr="000875F4" w:rsidRDefault="00AC5C30" w:rsidP="00AC5C30">
            <w:pPr>
              <w:spacing w:after="0" w:line="240" w:lineRule="auto"/>
              <w:jc w:val="left"/>
              <w:rPr>
                <w:rFonts w:ascii="Arial" w:eastAsia="Times New Roman" w:hAnsi="Arial" w:cs="Arial"/>
                <w:sz w:val="16"/>
                <w:szCs w:val="16"/>
                <w:lang w:eastAsia="tr-TR"/>
              </w:rPr>
            </w:pPr>
          </w:p>
        </w:tc>
        <w:tc>
          <w:tcPr>
            <w:tcW w:w="597" w:type="pct"/>
            <w:tcBorders>
              <w:top w:val="nil"/>
              <w:left w:val="nil"/>
              <w:bottom w:val="nil"/>
              <w:right w:val="single" w:sz="8" w:space="0" w:color="auto"/>
            </w:tcBorders>
            <w:shd w:val="clear" w:color="auto" w:fill="auto"/>
            <w:noWrap/>
            <w:vAlign w:val="center"/>
            <w:hideMark/>
          </w:tcPr>
          <w:p w:rsidR="00AC5C30" w:rsidRPr="000875F4" w:rsidRDefault="00AC5C30" w:rsidP="00AC5C30">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252-Binalar Hesabı</w:t>
            </w:r>
          </w:p>
        </w:tc>
        <w:tc>
          <w:tcPr>
            <w:tcW w:w="330" w:type="pct"/>
            <w:tcBorders>
              <w:top w:val="nil"/>
              <w:left w:val="nil"/>
              <w:bottom w:val="nil"/>
              <w:right w:val="single" w:sz="8" w:space="0" w:color="auto"/>
            </w:tcBorders>
            <w:shd w:val="clear" w:color="auto" w:fill="auto"/>
            <w:noWrap/>
            <w:vAlign w:val="center"/>
          </w:tcPr>
          <w:p w:rsidR="00AC5C30" w:rsidRPr="000875F4" w:rsidRDefault="00AC5C30" w:rsidP="00AC5C30">
            <w:pPr>
              <w:spacing w:after="0" w:line="240" w:lineRule="auto"/>
              <w:jc w:val="right"/>
              <w:rPr>
                <w:rFonts w:ascii="Arial" w:eastAsia="Times New Roman" w:hAnsi="Arial" w:cs="Arial"/>
                <w:sz w:val="16"/>
                <w:szCs w:val="16"/>
                <w:lang w:eastAsia="tr-TR"/>
              </w:rPr>
            </w:pPr>
            <w:r>
              <w:rPr>
                <w:rFonts w:ascii="Arial" w:hAnsi="Arial" w:cs="Arial"/>
                <w:color w:val="000000"/>
                <w:sz w:val="16"/>
                <w:szCs w:val="16"/>
              </w:rPr>
              <w:t>14.915.698,86</w:t>
            </w:r>
          </w:p>
        </w:tc>
        <w:tc>
          <w:tcPr>
            <w:tcW w:w="330" w:type="pct"/>
            <w:tcBorders>
              <w:top w:val="nil"/>
              <w:left w:val="nil"/>
              <w:bottom w:val="nil"/>
              <w:right w:val="single" w:sz="8" w:space="0" w:color="auto"/>
            </w:tcBorders>
            <w:shd w:val="clear" w:color="auto" w:fill="auto"/>
            <w:noWrap/>
            <w:vAlign w:val="center"/>
          </w:tcPr>
          <w:p w:rsidR="00AC5C30" w:rsidRPr="000875F4" w:rsidRDefault="00AC5C30" w:rsidP="00AC5C30">
            <w:pPr>
              <w:spacing w:after="0" w:line="240" w:lineRule="auto"/>
              <w:jc w:val="right"/>
              <w:rPr>
                <w:rFonts w:ascii="Arial" w:eastAsia="Times New Roman" w:hAnsi="Arial" w:cs="Arial"/>
                <w:sz w:val="16"/>
                <w:szCs w:val="16"/>
                <w:lang w:eastAsia="tr-TR"/>
              </w:rPr>
            </w:pPr>
            <w:r>
              <w:rPr>
                <w:rFonts w:ascii="Arial" w:hAnsi="Arial" w:cs="Arial"/>
                <w:color w:val="000000"/>
                <w:sz w:val="16"/>
                <w:szCs w:val="16"/>
              </w:rPr>
              <w:t>14.915.698,86</w:t>
            </w:r>
          </w:p>
        </w:tc>
        <w:tc>
          <w:tcPr>
            <w:tcW w:w="339" w:type="pct"/>
            <w:tcBorders>
              <w:top w:val="nil"/>
              <w:left w:val="nil"/>
              <w:bottom w:val="nil"/>
              <w:right w:val="single" w:sz="8" w:space="0" w:color="auto"/>
            </w:tcBorders>
            <w:shd w:val="clear" w:color="auto" w:fill="auto"/>
            <w:noWrap/>
            <w:vAlign w:val="center"/>
          </w:tcPr>
          <w:p w:rsidR="00AC5C30" w:rsidRPr="000875F4" w:rsidRDefault="00AC5C30" w:rsidP="00AC5C30">
            <w:pPr>
              <w:spacing w:after="0" w:line="240" w:lineRule="auto"/>
              <w:jc w:val="right"/>
              <w:rPr>
                <w:rFonts w:ascii="Arial" w:eastAsia="Times New Roman" w:hAnsi="Arial" w:cs="Arial"/>
                <w:sz w:val="16"/>
                <w:szCs w:val="16"/>
                <w:lang w:eastAsia="tr-TR"/>
              </w:rPr>
            </w:pPr>
            <w:r>
              <w:rPr>
                <w:rFonts w:ascii="Arial" w:hAnsi="Arial" w:cs="Arial"/>
                <w:color w:val="000000"/>
                <w:sz w:val="16"/>
                <w:szCs w:val="16"/>
              </w:rPr>
              <w:t>14.915.698,86</w:t>
            </w:r>
          </w:p>
        </w:tc>
        <w:tc>
          <w:tcPr>
            <w:tcW w:w="38" w:type="pct"/>
            <w:tcBorders>
              <w:top w:val="nil"/>
              <w:left w:val="nil"/>
              <w:bottom w:val="nil"/>
              <w:right w:val="nil"/>
            </w:tcBorders>
            <w:shd w:val="clear" w:color="auto" w:fill="auto"/>
            <w:noWrap/>
            <w:vAlign w:val="bottom"/>
            <w:hideMark/>
          </w:tcPr>
          <w:p w:rsidR="00AC5C30" w:rsidRPr="000875F4" w:rsidRDefault="00AC5C30" w:rsidP="00AC5C30">
            <w:pPr>
              <w:spacing w:after="0" w:line="240" w:lineRule="auto"/>
              <w:jc w:val="left"/>
              <w:rPr>
                <w:rFonts w:ascii="Arial" w:eastAsia="Times New Roman" w:hAnsi="Arial" w:cs="Arial"/>
                <w:sz w:val="16"/>
                <w:szCs w:val="16"/>
                <w:lang w:eastAsia="tr-TR"/>
              </w:rPr>
            </w:pPr>
          </w:p>
        </w:tc>
        <w:tc>
          <w:tcPr>
            <w:tcW w:w="72" w:type="pct"/>
            <w:tcBorders>
              <w:top w:val="nil"/>
              <w:left w:val="nil"/>
              <w:bottom w:val="nil"/>
              <w:right w:val="nil"/>
            </w:tcBorders>
            <w:shd w:val="clear" w:color="auto" w:fill="auto"/>
            <w:noWrap/>
            <w:vAlign w:val="bottom"/>
            <w:hideMark/>
          </w:tcPr>
          <w:p w:rsidR="00AC5C30" w:rsidRPr="000875F4" w:rsidRDefault="00AC5C30" w:rsidP="00AC5C30">
            <w:pPr>
              <w:spacing w:after="0" w:line="240" w:lineRule="auto"/>
              <w:jc w:val="left"/>
              <w:rPr>
                <w:rFonts w:ascii="Times New Roman" w:eastAsia="Times New Roman" w:hAnsi="Times New Roman"/>
                <w:sz w:val="20"/>
                <w:szCs w:val="20"/>
                <w:lang w:eastAsia="tr-TR"/>
              </w:rPr>
            </w:pPr>
          </w:p>
        </w:tc>
        <w:tc>
          <w:tcPr>
            <w:tcW w:w="776" w:type="pct"/>
            <w:tcBorders>
              <w:top w:val="nil"/>
              <w:left w:val="nil"/>
              <w:bottom w:val="nil"/>
              <w:right w:val="nil"/>
            </w:tcBorders>
            <w:shd w:val="clear" w:color="auto" w:fill="auto"/>
            <w:noWrap/>
            <w:vAlign w:val="bottom"/>
            <w:hideMark/>
          </w:tcPr>
          <w:p w:rsidR="00AC5C30" w:rsidRPr="000875F4" w:rsidRDefault="00AC5C30" w:rsidP="00AC5C30">
            <w:pPr>
              <w:spacing w:after="0" w:line="240" w:lineRule="auto"/>
              <w:jc w:val="left"/>
              <w:rPr>
                <w:rFonts w:ascii="Times New Roman" w:eastAsia="Times New Roman" w:hAnsi="Times New Roman"/>
                <w:sz w:val="20"/>
                <w:szCs w:val="20"/>
                <w:lang w:eastAsia="tr-TR"/>
              </w:rPr>
            </w:pPr>
          </w:p>
        </w:tc>
        <w:tc>
          <w:tcPr>
            <w:tcW w:w="359" w:type="pct"/>
            <w:tcBorders>
              <w:top w:val="nil"/>
              <w:left w:val="single" w:sz="8" w:space="0" w:color="auto"/>
              <w:bottom w:val="nil"/>
              <w:right w:val="single" w:sz="8" w:space="0" w:color="auto"/>
            </w:tcBorders>
            <w:shd w:val="clear" w:color="auto" w:fill="auto"/>
            <w:noWrap/>
            <w:vAlign w:val="bottom"/>
            <w:hideMark/>
          </w:tcPr>
          <w:p w:rsidR="00AC5C30" w:rsidRPr="000875F4" w:rsidRDefault="00AC5C30" w:rsidP="00AC5C30">
            <w:pPr>
              <w:spacing w:after="0" w:line="240" w:lineRule="auto"/>
              <w:jc w:val="right"/>
              <w:rPr>
                <w:rFonts w:ascii="Arial" w:eastAsia="Times New Roman" w:hAnsi="Arial" w:cs="Arial"/>
                <w:sz w:val="20"/>
                <w:szCs w:val="20"/>
                <w:lang w:eastAsia="tr-TR"/>
              </w:rPr>
            </w:pPr>
            <w:r w:rsidRPr="000875F4">
              <w:rPr>
                <w:rFonts w:ascii="Arial" w:eastAsia="Times New Roman" w:hAnsi="Arial" w:cs="Arial"/>
                <w:sz w:val="20"/>
                <w:szCs w:val="20"/>
                <w:lang w:eastAsia="tr-TR"/>
              </w:rPr>
              <w:t> </w:t>
            </w:r>
          </w:p>
        </w:tc>
        <w:tc>
          <w:tcPr>
            <w:tcW w:w="326" w:type="pct"/>
            <w:tcBorders>
              <w:top w:val="nil"/>
              <w:left w:val="nil"/>
              <w:bottom w:val="nil"/>
              <w:right w:val="nil"/>
            </w:tcBorders>
            <w:shd w:val="clear" w:color="auto" w:fill="auto"/>
            <w:noWrap/>
            <w:vAlign w:val="bottom"/>
            <w:hideMark/>
          </w:tcPr>
          <w:p w:rsidR="00AC5C30" w:rsidRPr="000875F4" w:rsidRDefault="00AC5C30" w:rsidP="00AC5C30">
            <w:pPr>
              <w:spacing w:after="0" w:line="240" w:lineRule="auto"/>
              <w:jc w:val="right"/>
              <w:rPr>
                <w:rFonts w:ascii="Arial" w:eastAsia="Times New Roman" w:hAnsi="Arial" w:cs="Arial"/>
                <w:sz w:val="20"/>
                <w:szCs w:val="20"/>
                <w:lang w:eastAsia="tr-TR"/>
              </w:rPr>
            </w:pPr>
          </w:p>
        </w:tc>
        <w:tc>
          <w:tcPr>
            <w:tcW w:w="354" w:type="pct"/>
            <w:tcBorders>
              <w:top w:val="nil"/>
              <w:left w:val="single" w:sz="8" w:space="0" w:color="auto"/>
              <w:bottom w:val="nil"/>
              <w:right w:val="single" w:sz="8" w:space="0" w:color="auto"/>
            </w:tcBorders>
            <w:shd w:val="clear" w:color="auto" w:fill="auto"/>
            <w:noWrap/>
            <w:vAlign w:val="bottom"/>
            <w:hideMark/>
          </w:tcPr>
          <w:p w:rsidR="00AC5C30" w:rsidRPr="000875F4" w:rsidRDefault="00AC5C30" w:rsidP="00AC5C30">
            <w:pPr>
              <w:spacing w:after="0" w:line="240" w:lineRule="auto"/>
              <w:jc w:val="right"/>
              <w:rPr>
                <w:rFonts w:ascii="Arial" w:eastAsia="Times New Roman" w:hAnsi="Arial" w:cs="Arial"/>
                <w:sz w:val="20"/>
                <w:szCs w:val="20"/>
                <w:lang w:eastAsia="tr-TR"/>
              </w:rPr>
            </w:pPr>
            <w:r w:rsidRPr="000875F4">
              <w:rPr>
                <w:rFonts w:ascii="Arial" w:eastAsia="Times New Roman" w:hAnsi="Arial" w:cs="Arial"/>
                <w:sz w:val="20"/>
                <w:szCs w:val="20"/>
                <w:lang w:eastAsia="tr-TR"/>
              </w:rPr>
              <w:t> </w:t>
            </w:r>
          </w:p>
        </w:tc>
      </w:tr>
      <w:tr w:rsidR="00AC5C30" w:rsidRPr="000875F4" w:rsidTr="000875F4">
        <w:trPr>
          <w:gridAfter w:val="4"/>
          <w:wAfter w:w="1354" w:type="pct"/>
          <w:trHeight w:val="20"/>
        </w:trPr>
        <w:tc>
          <w:tcPr>
            <w:tcW w:w="37" w:type="pct"/>
            <w:tcBorders>
              <w:top w:val="nil"/>
              <w:left w:val="single" w:sz="8" w:space="0" w:color="auto"/>
              <w:bottom w:val="nil"/>
              <w:right w:val="nil"/>
            </w:tcBorders>
            <w:shd w:val="clear" w:color="auto" w:fill="auto"/>
            <w:noWrap/>
            <w:vAlign w:val="center"/>
            <w:hideMark/>
          </w:tcPr>
          <w:p w:rsidR="00AC5C30" w:rsidRPr="000875F4" w:rsidRDefault="00AC5C30" w:rsidP="00AC5C30">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88" w:type="pct"/>
            <w:tcBorders>
              <w:top w:val="nil"/>
              <w:left w:val="nil"/>
              <w:bottom w:val="nil"/>
              <w:right w:val="nil"/>
            </w:tcBorders>
            <w:shd w:val="clear" w:color="auto" w:fill="auto"/>
            <w:noWrap/>
            <w:vAlign w:val="center"/>
            <w:hideMark/>
          </w:tcPr>
          <w:p w:rsidR="00AC5C30" w:rsidRPr="000875F4" w:rsidRDefault="00AC5C30" w:rsidP="00AC5C30">
            <w:pPr>
              <w:spacing w:after="0" w:line="240" w:lineRule="auto"/>
              <w:jc w:val="left"/>
              <w:rPr>
                <w:rFonts w:ascii="Arial" w:eastAsia="Times New Roman" w:hAnsi="Arial" w:cs="Arial"/>
                <w:sz w:val="16"/>
                <w:szCs w:val="16"/>
                <w:lang w:eastAsia="tr-TR"/>
              </w:rPr>
            </w:pPr>
          </w:p>
        </w:tc>
        <w:tc>
          <w:tcPr>
            <w:tcW w:w="597" w:type="pct"/>
            <w:tcBorders>
              <w:top w:val="nil"/>
              <w:left w:val="nil"/>
              <w:bottom w:val="nil"/>
              <w:right w:val="single" w:sz="8" w:space="0" w:color="auto"/>
            </w:tcBorders>
            <w:shd w:val="clear" w:color="auto" w:fill="auto"/>
            <w:noWrap/>
            <w:vAlign w:val="center"/>
            <w:hideMark/>
          </w:tcPr>
          <w:p w:rsidR="00AC5C30" w:rsidRPr="000875F4" w:rsidRDefault="00AC5C30" w:rsidP="00AC5C30">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253-Tesis, Makine ve Cihazlar</w:t>
            </w:r>
          </w:p>
        </w:tc>
        <w:tc>
          <w:tcPr>
            <w:tcW w:w="330" w:type="pct"/>
            <w:tcBorders>
              <w:top w:val="nil"/>
              <w:left w:val="nil"/>
              <w:bottom w:val="nil"/>
              <w:right w:val="single" w:sz="8" w:space="0" w:color="auto"/>
            </w:tcBorders>
            <w:shd w:val="clear" w:color="auto" w:fill="auto"/>
            <w:noWrap/>
            <w:vAlign w:val="center"/>
          </w:tcPr>
          <w:p w:rsidR="00AC5C30" w:rsidRPr="000875F4" w:rsidRDefault="00AC5C30" w:rsidP="00AC5C30">
            <w:pPr>
              <w:spacing w:after="0" w:line="240" w:lineRule="auto"/>
              <w:jc w:val="right"/>
              <w:rPr>
                <w:rFonts w:ascii="Arial" w:eastAsia="Times New Roman" w:hAnsi="Arial" w:cs="Arial"/>
                <w:sz w:val="16"/>
                <w:szCs w:val="16"/>
                <w:lang w:eastAsia="tr-TR"/>
              </w:rPr>
            </w:pPr>
            <w:r>
              <w:rPr>
                <w:rFonts w:ascii="Arial" w:hAnsi="Arial" w:cs="Arial"/>
                <w:color w:val="000000"/>
                <w:sz w:val="16"/>
                <w:szCs w:val="16"/>
              </w:rPr>
              <w:t>5.504.656,26</w:t>
            </w:r>
          </w:p>
        </w:tc>
        <w:tc>
          <w:tcPr>
            <w:tcW w:w="330" w:type="pct"/>
            <w:tcBorders>
              <w:top w:val="nil"/>
              <w:left w:val="nil"/>
              <w:bottom w:val="nil"/>
              <w:right w:val="single" w:sz="8" w:space="0" w:color="auto"/>
            </w:tcBorders>
            <w:shd w:val="clear" w:color="auto" w:fill="auto"/>
            <w:noWrap/>
            <w:vAlign w:val="center"/>
          </w:tcPr>
          <w:p w:rsidR="00AC5C30" w:rsidRPr="000875F4" w:rsidRDefault="00AC5C30" w:rsidP="00AC5C30">
            <w:pPr>
              <w:spacing w:after="0" w:line="240" w:lineRule="auto"/>
              <w:jc w:val="right"/>
              <w:rPr>
                <w:rFonts w:ascii="Arial" w:eastAsia="Times New Roman" w:hAnsi="Arial" w:cs="Arial"/>
                <w:sz w:val="16"/>
                <w:szCs w:val="16"/>
                <w:lang w:eastAsia="tr-TR"/>
              </w:rPr>
            </w:pPr>
            <w:r>
              <w:rPr>
                <w:rFonts w:ascii="Arial" w:hAnsi="Arial" w:cs="Arial"/>
                <w:color w:val="000000"/>
                <w:sz w:val="16"/>
                <w:szCs w:val="16"/>
              </w:rPr>
              <w:t>5.597.857,52</w:t>
            </w:r>
          </w:p>
        </w:tc>
        <w:tc>
          <w:tcPr>
            <w:tcW w:w="339" w:type="pct"/>
            <w:tcBorders>
              <w:top w:val="nil"/>
              <w:left w:val="nil"/>
              <w:bottom w:val="nil"/>
              <w:right w:val="single" w:sz="8" w:space="0" w:color="auto"/>
            </w:tcBorders>
            <w:shd w:val="clear" w:color="auto" w:fill="auto"/>
            <w:noWrap/>
            <w:vAlign w:val="center"/>
          </w:tcPr>
          <w:p w:rsidR="00AC5C30" w:rsidRPr="000875F4" w:rsidRDefault="00AC5C30" w:rsidP="00AC5C30">
            <w:pPr>
              <w:spacing w:after="0" w:line="240" w:lineRule="auto"/>
              <w:jc w:val="right"/>
              <w:rPr>
                <w:rFonts w:ascii="Arial" w:eastAsia="Times New Roman" w:hAnsi="Arial" w:cs="Arial"/>
                <w:sz w:val="16"/>
                <w:szCs w:val="16"/>
                <w:lang w:eastAsia="tr-TR"/>
              </w:rPr>
            </w:pPr>
            <w:r>
              <w:rPr>
                <w:rFonts w:ascii="Arial" w:hAnsi="Arial" w:cs="Arial"/>
                <w:color w:val="000000"/>
                <w:sz w:val="16"/>
                <w:szCs w:val="16"/>
              </w:rPr>
              <w:t>5.873.704,52</w:t>
            </w:r>
          </w:p>
        </w:tc>
        <w:tc>
          <w:tcPr>
            <w:tcW w:w="38" w:type="pct"/>
            <w:tcBorders>
              <w:top w:val="nil"/>
              <w:left w:val="nil"/>
              <w:bottom w:val="nil"/>
              <w:right w:val="nil"/>
            </w:tcBorders>
            <w:shd w:val="clear" w:color="auto" w:fill="auto"/>
            <w:noWrap/>
            <w:vAlign w:val="center"/>
            <w:hideMark/>
          </w:tcPr>
          <w:p w:rsidR="00AC5C30" w:rsidRPr="000875F4" w:rsidRDefault="00AC5C30" w:rsidP="00AC5C30">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72" w:type="pct"/>
            <w:tcBorders>
              <w:top w:val="nil"/>
              <w:left w:val="nil"/>
              <w:bottom w:val="nil"/>
              <w:right w:val="nil"/>
            </w:tcBorders>
            <w:shd w:val="clear" w:color="auto" w:fill="auto"/>
            <w:noWrap/>
            <w:vAlign w:val="bottom"/>
            <w:hideMark/>
          </w:tcPr>
          <w:p w:rsidR="00AC5C30" w:rsidRPr="000875F4" w:rsidRDefault="00AC5C30" w:rsidP="00AC5C30">
            <w:pPr>
              <w:spacing w:after="0" w:line="240" w:lineRule="auto"/>
              <w:jc w:val="left"/>
              <w:rPr>
                <w:rFonts w:ascii="Arial" w:eastAsia="Times New Roman" w:hAnsi="Arial" w:cs="Arial"/>
                <w:sz w:val="16"/>
                <w:szCs w:val="16"/>
                <w:lang w:eastAsia="tr-TR"/>
              </w:rPr>
            </w:pPr>
          </w:p>
        </w:tc>
        <w:tc>
          <w:tcPr>
            <w:tcW w:w="776" w:type="pct"/>
            <w:tcBorders>
              <w:top w:val="nil"/>
              <w:left w:val="nil"/>
              <w:bottom w:val="nil"/>
              <w:right w:val="nil"/>
            </w:tcBorders>
            <w:shd w:val="clear" w:color="auto" w:fill="auto"/>
            <w:noWrap/>
            <w:vAlign w:val="bottom"/>
            <w:hideMark/>
          </w:tcPr>
          <w:p w:rsidR="00AC5C30" w:rsidRPr="000875F4" w:rsidRDefault="00AC5C30" w:rsidP="00AC5C30">
            <w:pPr>
              <w:spacing w:after="0" w:line="240" w:lineRule="auto"/>
              <w:jc w:val="left"/>
              <w:rPr>
                <w:rFonts w:ascii="Times New Roman" w:eastAsia="Times New Roman" w:hAnsi="Times New Roman"/>
                <w:sz w:val="20"/>
                <w:szCs w:val="20"/>
                <w:lang w:eastAsia="tr-TR"/>
              </w:rPr>
            </w:pPr>
          </w:p>
        </w:tc>
        <w:tc>
          <w:tcPr>
            <w:tcW w:w="359" w:type="pct"/>
            <w:tcBorders>
              <w:top w:val="nil"/>
              <w:left w:val="single" w:sz="8" w:space="0" w:color="auto"/>
              <w:bottom w:val="nil"/>
              <w:right w:val="single" w:sz="8" w:space="0" w:color="auto"/>
            </w:tcBorders>
            <w:shd w:val="clear" w:color="auto" w:fill="auto"/>
            <w:noWrap/>
            <w:vAlign w:val="bottom"/>
            <w:hideMark/>
          </w:tcPr>
          <w:p w:rsidR="00AC5C30" w:rsidRPr="000875F4" w:rsidRDefault="00AC5C30" w:rsidP="00AC5C30">
            <w:pPr>
              <w:spacing w:after="0" w:line="240" w:lineRule="auto"/>
              <w:jc w:val="right"/>
              <w:rPr>
                <w:rFonts w:ascii="Arial" w:eastAsia="Times New Roman" w:hAnsi="Arial" w:cs="Arial"/>
                <w:sz w:val="20"/>
                <w:szCs w:val="20"/>
                <w:lang w:eastAsia="tr-TR"/>
              </w:rPr>
            </w:pPr>
            <w:r w:rsidRPr="000875F4">
              <w:rPr>
                <w:rFonts w:ascii="Arial" w:eastAsia="Times New Roman" w:hAnsi="Arial" w:cs="Arial"/>
                <w:sz w:val="20"/>
                <w:szCs w:val="20"/>
                <w:lang w:eastAsia="tr-TR"/>
              </w:rPr>
              <w:t> </w:t>
            </w:r>
          </w:p>
        </w:tc>
        <w:tc>
          <w:tcPr>
            <w:tcW w:w="326" w:type="pct"/>
            <w:tcBorders>
              <w:top w:val="nil"/>
              <w:left w:val="nil"/>
              <w:bottom w:val="nil"/>
              <w:right w:val="nil"/>
            </w:tcBorders>
            <w:shd w:val="clear" w:color="auto" w:fill="auto"/>
            <w:noWrap/>
            <w:vAlign w:val="bottom"/>
            <w:hideMark/>
          </w:tcPr>
          <w:p w:rsidR="00AC5C30" w:rsidRPr="000875F4" w:rsidRDefault="00AC5C30" w:rsidP="00AC5C30">
            <w:pPr>
              <w:spacing w:after="0" w:line="240" w:lineRule="auto"/>
              <w:jc w:val="right"/>
              <w:rPr>
                <w:rFonts w:ascii="Arial" w:eastAsia="Times New Roman" w:hAnsi="Arial" w:cs="Arial"/>
                <w:sz w:val="20"/>
                <w:szCs w:val="20"/>
                <w:lang w:eastAsia="tr-TR"/>
              </w:rPr>
            </w:pPr>
          </w:p>
        </w:tc>
        <w:tc>
          <w:tcPr>
            <w:tcW w:w="354" w:type="pct"/>
            <w:tcBorders>
              <w:top w:val="nil"/>
              <w:left w:val="single" w:sz="8" w:space="0" w:color="auto"/>
              <w:bottom w:val="nil"/>
              <w:right w:val="single" w:sz="8" w:space="0" w:color="auto"/>
            </w:tcBorders>
            <w:shd w:val="clear" w:color="auto" w:fill="auto"/>
            <w:noWrap/>
            <w:vAlign w:val="bottom"/>
            <w:hideMark/>
          </w:tcPr>
          <w:p w:rsidR="00AC5C30" w:rsidRPr="000875F4" w:rsidRDefault="00AC5C30" w:rsidP="00AC5C30">
            <w:pPr>
              <w:spacing w:after="0" w:line="240" w:lineRule="auto"/>
              <w:jc w:val="right"/>
              <w:rPr>
                <w:rFonts w:ascii="Arial" w:eastAsia="Times New Roman" w:hAnsi="Arial" w:cs="Arial"/>
                <w:sz w:val="20"/>
                <w:szCs w:val="20"/>
                <w:lang w:eastAsia="tr-TR"/>
              </w:rPr>
            </w:pPr>
            <w:r w:rsidRPr="000875F4">
              <w:rPr>
                <w:rFonts w:ascii="Arial" w:eastAsia="Times New Roman" w:hAnsi="Arial" w:cs="Arial"/>
                <w:sz w:val="20"/>
                <w:szCs w:val="20"/>
                <w:lang w:eastAsia="tr-TR"/>
              </w:rPr>
              <w:t> </w:t>
            </w:r>
          </w:p>
        </w:tc>
      </w:tr>
      <w:tr w:rsidR="00AC5C30" w:rsidRPr="000875F4" w:rsidTr="00AC5C30">
        <w:trPr>
          <w:gridAfter w:val="4"/>
          <w:wAfter w:w="1354" w:type="pct"/>
          <w:trHeight w:val="20"/>
        </w:trPr>
        <w:tc>
          <w:tcPr>
            <w:tcW w:w="37" w:type="pct"/>
            <w:tcBorders>
              <w:top w:val="nil"/>
              <w:left w:val="single" w:sz="8" w:space="0" w:color="auto"/>
              <w:bottom w:val="nil"/>
              <w:right w:val="nil"/>
            </w:tcBorders>
            <w:shd w:val="clear" w:color="auto" w:fill="auto"/>
            <w:noWrap/>
            <w:vAlign w:val="center"/>
            <w:hideMark/>
          </w:tcPr>
          <w:p w:rsidR="00AC5C30" w:rsidRPr="000875F4" w:rsidRDefault="00AC5C30" w:rsidP="00AC5C30">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88" w:type="pct"/>
            <w:tcBorders>
              <w:top w:val="nil"/>
              <w:left w:val="nil"/>
              <w:bottom w:val="nil"/>
              <w:right w:val="nil"/>
            </w:tcBorders>
            <w:shd w:val="clear" w:color="auto" w:fill="auto"/>
            <w:noWrap/>
            <w:vAlign w:val="center"/>
            <w:hideMark/>
          </w:tcPr>
          <w:p w:rsidR="00AC5C30" w:rsidRPr="000875F4" w:rsidRDefault="00AC5C30" w:rsidP="00AC5C30">
            <w:pPr>
              <w:spacing w:after="0" w:line="240" w:lineRule="auto"/>
              <w:jc w:val="left"/>
              <w:rPr>
                <w:rFonts w:ascii="Arial" w:eastAsia="Times New Roman" w:hAnsi="Arial" w:cs="Arial"/>
                <w:sz w:val="16"/>
                <w:szCs w:val="16"/>
                <w:lang w:eastAsia="tr-TR"/>
              </w:rPr>
            </w:pPr>
          </w:p>
        </w:tc>
        <w:tc>
          <w:tcPr>
            <w:tcW w:w="597" w:type="pct"/>
            <w:tcBorders>
              <w:top w:val="nil"/>
              <w:left w:val="nil"/>
              <w:bottom w:val="nil"/>
              <w:right w:val="single" w:sz="8" w:space="0" w:color="auto"/>
            </w:tcBorders>
            <w:shd w:val="clear" w:color="auto" w:fill="auto"/>
            <w:noWrap/>
            <w:vAlign w:val="center"/>
            <w:hideMark/>
          </w:tcPr>
          <w:p w:rsidR="00AC5C30" w:rsidRPr="000875F4" w:rsidRDefault="00AC5C30" w:rsidP="00AC5C30">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254-Taşıtlar Hesabı</w:t>
            </w:r>
          </w:p>
        </w:tc>
        <w:tc>
          <w:tcPr>
            <w:tcW w:w="330" w:type="pct"/>
            <w:tcBorders>
              <w:top w:val="nil"/>
              <w:left w:val="nil"/>
              <w:bottom w:val="nil"/>
              <w:right w:val="single" w:sz="8" w:space="0" w:color="auto"/>
            </w:tcBorders>
            <w:shd w:val="clear" w:color="auto" w:fill="auto"/>
            <w:noWrap/>
            <w:vAlign w:val="center"/>
          </w:tcPr>
          <w:p w:rsidR="00AC5C30" w:rsidRPr="000875F4" w:rsidRDefault="00AC5C30" w:rsidP="00AC5C30">
            <w:pPr>
              <w:spacing w:after="0" w:line="240" w:lineRule="auto"/>
              <w:jc w:val="right"/>
              <w:rPr>
                <w:rFonts w:ascii="Arial" w:eastAsia="Times New Roman" w:hAnsi="Arial" w:cs="Arial"/>
                <w:sz w:val="16"/>
                <w:szCs w:val="16"/>
                <w:lang w:eastAsia="tr-TR"/>
              </w:rPr>
            </w:pPr>
            <w:r>
              <w:rPr>
                <w:rFonts w:ascii="Arial" w:hAnsi="Arial" w:cs="Arial"/>
                <w:color w:val="000000"/>
                <w:sz w:val="16"/>
                <w:szCs w:val="16"/>
              </w:rPr>
              <w:t>0</w:t>
            </w:r>
          </w:p>
        </w:tc>
        <w:tc>
          <w:tcPr>
            <w:tcW w:w="330" w:type="pct"/>
            <w:tcBorders>
              <w:top w:val="nil"/>
              <w:left w:val="nil"/>
              <w:bottom w:val="nil"/>
              <w:right w:val="single" w:sz="8" w:space="0" w:color="auto"/>
            </w:tcBorders>
            <w:shd w:val="clear" w:color="auto" w:fill="auto"/>
            <w:noWrap/>
            <w:vAlign w:val="center"/>
          </w:tcPr>
          <w:p w:rsidR="00AC5C30" w:rsidRPr="000875F4" w:rsidRDefault="00AC5C30" w:rsidP="00AC5C30">
            <w:pPr>
              <w:spacing w:after="0" w:line="240" w:lineRule="auto"/>
              <w:jc w:val="right"/>
              <w:rPr>
                <w:rFonts w:ascii="Arial" w:eastAsia="Times New Roman" w:hAnsi="Arial" w:cs="Arial"/>
                <w:sz w:val="16"/>
                <w:szCs w:val="16"/>
                <w:lang w:eastAsia="tr-TR"/>
              </w:rPr>
            </w:pPr>
            <w:r>
              <w:rPr>
                <w:rFonts w:ascii="Arial" w:hAnsi="Arial" w:cs="Arial"/>
                <w:color w:val="000000"/>
                <w:sz w:val="16"/>
                <w:szCs w:val="16"/>
              </w:rPr>
              <w:t>0</w:t>
            </w:r>
          </w:p>
        </w:tc>
        <w:tc>
          <w:tcPr>
            <w:tcW w:w="339" w:type="pct"/>
            <w:tcBorders>
              <w:top w:val="nil"/>
              <w:left w:val="nil"/>
              <w:bottom w:val="nil"/>
              <w:right w:val="single" w:sz="8" w:space="0" w:color="auto"/>
            </w:tcBorders>
            <w:shd w:val="clear" w:color="auto" w:fill="auto"/>
            <w:noWrap/>
            <w:vAlign w:val="center"/>
          </w:tcPr>
          <w:p w:rsidR="00AC5C30" w:rsidRPr="000875F4" w:rsidRDefault="00AC5C30" w:rsidP="00AC5C30">
            <w:pPr>
              <w:spacing w:after="0" w:line="240" w:lineRule="auto"/>
              <w:jc w:val="right"/>
              <w:rPr>
                <w:rFonts w:ascii="Arial" w:eastAsia="Times New Roman" w:hAnsi="Arial" w:cs="Arial"/>
                <w:sz w:val="16"/>
                <w:szCs w:val="16"/>
                <w:lang w:eastAsia="tr-TR"/>
              </w:rPr>
            </w:pPr>
            <w:r>
              <w:rPr>
                <w:rFonts w:ascii="Arial" w:hAnsi="Arial" w:cs="Arial"/>
                <w:color w:val="000000"/>
                <w:sz w:val="16"/>
                <w:szCs w:val="16"/>
              </w:rPr>
              <w:t>0</w:t>
            </w:r>
          </w:p>
        </w:tc>
        <w:tc>
          <w:tcPr>
            <w:tcW w:w="38" w:type="pct"/>
            <w:tcBorders>
              <w:top w:val="nil"/>
              <w:left w:val="nil"/>
              <w:bottom w:val="nil"/>
              <w:right w:val="nil"/>
            </w:tcBorders>
            <w:shd w:val="clear" w:color="auto" w:fill="auto"/>
            <w:noWrap/>
            <w:vAlign w:val="center"/>
            <w:hideMark/>
          </w:tcPr>
          <w:p w:rsidR="00AC5C30" w:rsidRPr="000875F4" w:rsidRDefault="00AC5C30" w:rsidP="00AC5C30">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72" w:type="pct"/>
            <w:tcBorders>
              <w:top w:val="nil"/>
              <w:left w:val="nil"/>
              <w:bottom w:val="nil"/>
              <w:right w:val="nil"/>
            </w:tcBorders>
            <w:shd w:val="clear" w:color="auto" w:fill="auto"/>
            <w:noWrap/>
            <w:vAlign w:val="bottom"/>
            <w:hideMark/>
          </w:tcPr>
          <w:p w:rsidR="00AC5C30" w:rsidRPr="000875F4" w:rsidRDefault="00AC5C30" w:rsidP="00AC5C30">
            <w:pPr>
              <w:spacing w:after="0" w:line="240" w:lineRule="auto"/>
              <w:jc w:val="left"/>
              <w:rPr>
                <w:rFonts w:ascii="Arial" w:eastAsia="Times New Roman" w:hAnsi="Arial" w:cs="Arial"/>
                <w:sz w:val="16"/>
                <w:szCs w:val="16"/>
                <w:lang w:eastAsia="tr-TR"/>
              </w:rPr>
            </w:pPr>
          </w:p>
        </w:tc>
        <w:tc>
          <w:tcPr>
            <w:tcW w:w="776" w:type="pct"/>
            <w:tcBorders>
              <w:top w:val="nil"/>
              <w:left w:val="nil"/>
              <w:bottom w:val="nil"/>
              <w:right w:val="nil"/>
            </w:tcBorders>
            <w:shd w:val="clear" w:color="auto" w:fill="auto"/>
            <w:noWrap/>
            <w:vAlign w:val="bottom"/>
            <w:hideMark/>
          </w:tcPr>
          <w:p w:rsidR="00AC5C30" w:rsidRPr="000875F4" w:rsidRDefault="00AC5C30" w:rsidP="00AC5C30">
            <w:pPr>
              <w:spacing w:after="0" w:line="240" w:lineRule="auto"/>
              <w:jc w:val="left"/>
              <w:rPr>
                <w:rFonts w:ascii="Times New Roman" w:eastAsia="Times New Roman" w:hAnsi="Times New Roman"/>
                <w:sz w:val="20"/>
                <w:szCs w:val="20"/>
                <w:lang w:eastAsia="tr-TR"/>
              </w:rPr>
            </w:pPr>
          </w:p>
        </w:tc>
        <w:tc>
          <w:tcPr>
            <w:tcW w:w="359" w:type="pct"/>
            <w:tcBorders>
              <w:top w:val="nil"/>
              <w:left w:val="single" w:sz="8" w:space="0" w:color="auto"/>
              <w:bottom w:val="nil"/>
              <w:right w:val="single" w:sz="8" w:space="0" w:color="auto"/>
            </w:tcBorders>
            <w:shd w:val="clear" w:color="auto" w:fill="auto"/>
            <w:noWrap/>
            <w:vAlign w:val="bottom"/>
            <w:hideMark/>
          </w:tcPr>
          <w:p w:rsidR="00AC5C30" w:rsidRPr="000875F4" w:rsidRDefault="00AC5C30" w:rsidP="00AC5C30">
            <w:pPr>
              <w:spacing w:after="0" w:line="240" w:lineRule="auto"/>
              <w:jc w:val="right"/>
              <w:rPr>
                <w:rFonts w:ascii="Arial" w:eastAsia="Times New Roman" w:hAnsi="Arial" w:cs="Arial"/>
                <w:sz w:val="20"/>
                <w:szCs w:val="20"/>
                <w:lang w:eastAsia="tr-TR"/>
              </w:rPr>
            </w:pPr>
            <w:r w:rsidRPr="000875F4">
              <w:rPr>
                <w:rFonts w:ascii="Arial" w:eastAsia="Times New Roman" w:hAnsi="Arial" w:cs="Arial"/>
                <w:sz w:val="20"/>
                <w:szCs w:val="20"/>
                <w:lang w:eastAsia="tr-TR"/>
              </w:rPr>
              <w:t> </w:t>
            </w:r>
          </w:p>
        </w:tc>
        <w:tc>
          <w:tcPr>
            <w:tcW w:w="326" w:type="pct"/>
            <w:tcBorders>
              <w:top w:val="nil"/>
              <w:left w:val="nil"/>
              <w:bottom w:val="nil"/>
              <w:right w:val="nil"/>
            </w:tcBorders>
            <w:shd w:val="clear" w:color="auto" w:fill="auto"/>
            <w:noWrap/>
            <w:vAlign w:val="bottom"/>
            <w:hideMark/>
          </w:tcPr>
          <w:p w:rsidR="00AC5C30" w:rsidRPr="000875F4" w:rsidRDefault="00AC5C30" w:rsidP="00AC5C30">
            <w:pPr>
              <w:spacing w:after="0" w:line="240" w:lineRule="auto"/>
              <w:jc w:val="right"/>
              <w:rPr>
                <w:rFonts w:ascii="Arial" w:eastAsia="Times New Roman" w:hAnsi="Arial" w:cs="Arial"/>
                <w:sz w:val="20"/>
                <w:szCs w:val="20"/>
                <w:lang w:eastAsia="tr-TR"/>
              </w:rPr>
            </w:pPr>
          </w:p>
        </w:tc>
        <w:tc>
          <w:tcPr>
            <w:tcW w:w="354" w:type="pct"/>
            <w:tcBorders>
              <w:top w:val="nil"/>
              <w:left w:val="single" w:sz="8" w:space="0" w:color="auto"/>
              <w:bottom w:val="nil"/>
              <w:right w:val="single" w:sz="8" w:space="0" w:color="auto"/>
            </w:tcBorders>
            <w:shd w:val="clear" w:color="auto" w:fill="auto"/>
            <w:noWrap/>
            <w:vAlign w:val="bottom"/>
            <w:hideMark/>
          </w:tcPr>
          <w:p w:rsidR="00AC5C30" w:rsidRPr="000875F4" w:rsidRDefault="00AC5C30" w:rsidP="00AC5C30">
            <w:pPr>
              <w:spacing w:after="0" w:line="240" w:lineRule="auto"/>
              <w:jc w:val="right"/>
              <w:rPr>
                <w:rFonts w:ascii="Arial" w:eastAsia="Times New Roman" w:hAnsi="Arial" w:cs="Arial"/>
                <w:sz w:val="20"/>
                <w:szCs w:val="20"/>
                <w:lang w:eastAsia="tr-TR"/>
              </w:rPr>
            </w:pPr>
            <w:r w:rsidRPr="000875F4">
              <w:rPr>
                <w:rFonts w:ascii="Arial" w:eastAsia="Times New Roman" w:hAnsi="Arial" w:cs="Arial"/>
                <w:sz w:val="20"/>
                <w:szCs w:val="20"/>
                <w:lang w:eastAsia="tr-TR"/>
              </w:rPr>
              <w:t> </w:t>
            </w:r>
          </w:p>
        </w:tc>
      </w:tr>
      <w:tr w:rsidR="00AC5C30" w:rsidRPr="000875F4" w:rsidTr="000875F4">
        <w:trPr>
          <w:gridAfter w:val="4"/>
          <w:wAfter w:w="1354" w:type="pct"/>
          <w:trHeight w:val="20"/>
        </w:trPr>
        <w:tc>
          <w:tcPr>
            <w:tcW w:w="37" w:type="pct"/>
            <w:tcBorders>
              <w:top w:val="nil"/>
              <w:left w:val="single" w:sz="8" w:space="0" w:color="auto"/>
              <w:bottom w:val="nil"/>
              <w:right w:val="nil"/>
            </w:tcBorders>
            <w:shd w:val="clear" w:color="auto" w:fill="auto"/>
            <w:noWrap/>
            <w:vAlign w:val="center"/>
            <w:hideMark/>
          </w:tcPr>
          <w:p w:rsidR="00AC5C30" w:rsidRPr="000875F4" w:rsidRDefault="00AC5C30" w:rsidP="00AC5C30">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88" w:type="pct"/>
            <w:tcBorders>
              <w:top w:val="nil"/>
              <w:left w:val="nil"/>
              <w:bottom w:val="nil"/>
              <w:right w:val="nil"/>
            </w:tcBorders>
            <w:shd w:val="clear" w:color="auto" w:fill="auto"/>
            <w:noWrap/>
            <w:vAlign w:val="center"/>
            <w:hideMark/>
          </w:tcPr>
          <w:p w:rsidR="00AC5C30" w:rsidRPr="000875F4" w:rsidRDefault="00AC5C30" w:rsidP="00AC5C30">
            <w:pPr>
              <w:spacing w:after="0" w:line="240" w:lineRule="auto"/>
              <w:jc w:val="left"/>
              <w:rPr>
                <w:rFonts w:ascii="Arial" w:eastAsia="Times New Roman" w:hAnsi="Arial" w:cs="Arial"/>
                <w:sz w:val="16"/>
                <w:szCs w:val="16"/>
                <w:lang w:eastAsia="tr-TR"/>
              </w:rPr>
            </w:pPr>
          </w:p>
        </w:tc>
        <w:tc>
          <w:tcPr>
            <w:tcW w:w="597" w:type="pct"/>
            <w:tcBorders>
              <w:top w:val="nil"/>
              <w:left w:val="nil"/>
              <w:bottom w:val="nil"/>
              <w:right w:val="single" w:sz="8" w:space="0" w:color="auto"/>
            </w:tcBorders>
            <w:shd w:val="clear" w:color="auto" w:fill="auto"/>
            <w:noWrap/>
            <w:vAlign w:val="center"/>
            <w:hideMark/>
          </w:tcPr>
          <w:p w:rsidR="00AC5C30" w:rsidRPr="000875F4" w:rsidRDefault="00AC5C30" w:rsidP="00AC5C30">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255-Demirbaşlar Hesabı</w:t>
            </w:r>
          </w:p>
        </w:tc>
        <w:tc>
          <w:tcPr>
            <w:tcW w:w="330" w:type="pct"/>
            <w:tcBorders>
              <w:top w:val="nil"/>
              <w:left w:val="nil"/>
              <w:bottom w:val="nil"/>
              <w:right w:val="single" w:sz="8" w:space="0" w:color="auto"/>
            </w:tcBorders>
            <w:shd w:val="clear" w:color="auto" w:fill="auto"/>
            <w:noWrap/>
            <w:vAlign w:val="center"/>
          </w:tcPr>
          <w:p w:rsidR="00AC5C30" w:rsidRPr="000875F4" w:rsidRDefault="00AC5C30" w:rsidP="00AC5C30">
            <w:pPr>
              <w:spacing w:after="0" w:line="240" w:lineRule="auto"/>
              <w:jc w:val="right"/>
              <w:rPr>
                <w:rFonts w:ascii="Arial" w:eastAsia="Times New Roman" w:hAnsi="Arial" w:cs="Arial"/>
                <w:sz w:val="16"/>
                <w:szCs w:val="16"/>
                <w:lang w:eastAsia="tr-TR"/>
              </w:rPr>
            </w:pPr>
            <w:r>
              <w:rPr>
                <w:rFonts w:ascii="Arial" w:hAnsi="Arial" w:cs="Arial"/>
                <w:color w:val="000000"/>
                <w:sz w:val="16"/>
                <w:szCs w:val="16"/>
              </w:rPr>
              <w:t>43.720.953,55</w:t>
            </w:r>
          </w:p>
        </w:tc>
        <w:tc>
          <w:tcPr>
            <w:tcW w:w="330" w:type="pct"/>
            <w:tcBorders>
              <w:top w:val="nil"/>
              <w:left w:val="nil"/>
              <w:bottom w:val="nil"/>
              <w:right w:val="single" w:sz="8" w:space="0" w:color="auto"/>
            </w:tcBorders>
            <w:shd w:val="clear" w:color="auto" w:fill="auto"/>
            <w:noWrap/>
            <w:vAlign w:val="center"/>
          </w:tcPr>
          <w:p w:rsidR="00AC5C30" w:rsidRPr="000875F4" w:rsidRDefault="00AC5C30" w:rsidP="00AC5C30">
            <w:pPr>
              <w:spacing w:after="0" w:line="240" w:lineRule="auto"/>
              <w:jc w:val="right"/>
              <w:rPr>
                <w:rFonts w:ascii="Arial" w:eastAsia="Times New Roman" w:hAnsi="Arial" w:cs="Arial"/>
                <w:sz w:val="16"/>
                <w:szCs w:val="16"/>
                <w:lang w:eastAsia="tr-TR"/>
              </w:rPr>
            </w:pPr>
            <w:r>
              <w:rPr>
                <w:rFonts w:ascii="Arial" w:hAnsi="Arial" w:cs="Arial"/>
                <w:color w:val="000000"/>
                <w:sz w:val="16"/>
                <w:szCs w:val="16"/>
              </w:rPr>
              <w:t>45.024.457,01</w:t>
            </w:r>
          </w:p>
        </w:tc>
        <w:tc>
          <w:tcPr>
            <w:tcW w:w="339" w:type="pct"/>
            <w:tcBorders>
              <w:top w:val="nil"/>
              <w:left w:val="nil"/>
              <w:bottom w:val="nil"/>
              <w:right w:val="single" w:sz="8" w:space="0" w:color="auto"/>
            </w:tcBorders>
            <w:shd w:val="clear" w:color="auto" w:fill="auto"/>
            <w:noWrap/>
            <w:vAlign w:val="center"/>
          </w:tcPr>
          <w:p w:rsidR="00AC5C30" w:rsidRPr="000875F4" w:rsidRDefault="00AC5C30" w:rsidP="00AC5C30">
            <w:pPr>
              <w:spacing w:after="0" w:line="240" w:lineRule="auto"/>
              <w:jc w:val="right"/>
              <w:rPr>
                <w:rFonts w:ascii="Arial" w:eastAsia="Times New Roman" w:hAnsi="Arial" w:cs="Arial"/>
                <w:sz w:val="16"/>
                <w:szCs w:val="16"/>
                <w:lang w:eastAsia="tr-TR"/>
              </w:rPr>
            </w:pPr>
            <w:r>
              <w:rPr>
                <w:rFonts w:ascii="Arial" w:hAnsi="Arial" w:cs="Arial"/>
                <w:color w:val="000000"/>
                <w:sz w:val="16"/>
                <w:szCs w:val="16"/>
              </w:rPr>
              <w:t>46.865.700,54</w:t>
            </w:r>
          </w:p>
        </w:tc>
        <w:tc>
          <w:tcPr>
            <w:tcW w:w="38" w:type="pct"/>
            <w:tcBorders>
              <w:top w:val="nil"/>
              <w:left w:val="nil"/>
              <w:bottom w:val="nil"/>
              <w:right w:val="nil"/>
            </w:tcBorders>
            <w:shd w:val="clear" w:color="auto" w:fill="auto"/>
            <w:noWrap/>
            <w:vAlign w:val="center"/>
            <w:hideMark/>
          </w:tcPr>
          <w:p w:rsidR="00AC5C30" w:rsidRPr="000875F4" w:rsidRDefault="00AC5C30" w:rsidP="00AC5C30">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72" w:type="pct"/>
            <w:tcBorders>
              <w:top w:val="nil"/>
              <w:left w:val="nil"/>
              <w:bottom w:val="nil"/>
              <w:right w:val="nil"/>
            </w:tcBorders>
            <w:shd w:val="clear" w:color="auto" w:fill="auto"/>
            <w:noWrap/>
            <w:vAlign w:val="bottom"/>
            <w:hideMark/>
          </w:tcPr>
          <w:p w:rsidR="00AC5C30" w:rsidRPr="000875F4" w:rsidRDefault="00AC5C30" w:rsidP="00AC5C30">
            <w:pPr>
              <w:spacing w:after="0" w:line="240" w:lineRule="auto"/>
              <w:jc w:val="left"/>
              <w:rPr>
                <w:rFonts w:ascii="Arial" w:eastAsia="Times New Roman" w:hAnsi="Arial" w:cs="Arial"/>
                <w:sz w:val="16"/>
                <w:szCs w:val="16"/>
                <w:lang w:eastAsia="tr-TR"/>
              </w:rPr>
            </w:pPr>
          </w:p>
        </w:tc>
        <w:tc>
          <w:tcPr>
            <w:tcW w:w="776" w:type="pct"/>
            <w:tcBorders>
              <w:top w:val="nil"/>
              <w:left w:val="nil"/>
              <w:bottom w:val="nil"/>
              <w:right w:val="nil"/>
            </w:tcBorders>
            <w:shd w:val="clear" w:color="auto" w:fill="auto"/>
            <w:noWrap/>
            <w:vAlign w:val="bottom"/>
            <w:hideMark/>
          </w:tcPr>
          <w:p w:rsidR="00AC5C30" w:rsidRPr="000875F4" w:rsidRDefault="00AC5C30" w:rsidP="00AC5C30">
            <w:pPr>
              <w:spacing w:after="0" w:line="240" w:lineRule="auto"/>
              <w:jc w:val="left"/>
              <w:rPr>
                <w:rFonts w:ascii="Times New Roman" w:eastAsia="Times New Roman" w:hAnsi="Times New Roman"/>
                <w:sz w:val="20"/>
                <w:szCs w:val="20"/>
                <w:lang w:eastAsia="tr-TR"/>
              </w:rPr>
            </w:pPr>
          </w:p>
        </w:tc>
        <w:tc>
          <w:tcPr>
            <w:tcW w:w="359" w:type="pct"/>
            <w:tcBorders>
              <w:top w:val="nil"/>
              <w:left w:val="single" w:sz="8" w:space="0" w:color="auto"/>
              <w:bottom w:val="nil"/>
              <w:right w:val="single" w:sz="8" w:space="0" w:color="auto"/>
            </w:tcBorders>
            <w:shd w:val="clear" w:color="auto" w:fill="auto"/>
            <w:noWrap/>
            <w:vAlign w:val="bottom"/>
            <w:hideMark/>
          </w:tcPr>
          <w:p w:rsidR="00AC5C30" w:rsidRPr="000875F4" w:rsidRDefault="00AC5C30" w:rsidP="00AC5C30">
            <w:pPr>
              <w:spacing w:after="0" w:line="240" w:lineRule="auto"/>
              <w:jc w:val="right"/>
              <w:rPr>
                <w:rFonts w:ascii="Arial" w:eastAsia="Times New Roman" w:hAnsi="Arial" w:cs="Arial"/>
                <w:sz w:val="20"/>
                <w:szCs w:val="20"/>
                <w:lang w:eastAsia="tr-TR"/>
              </w:rPr>
            </w:pPr>
            <w:r w:rsidRPr="000875F4">
              <w:rPr>
                <w:rFonts w:ascii="Arial" w:eastAsia="Times New Roman" w:hAnsi="Arial" w:cs="Arial"/>
                <w:sz w:val="20"/>
                <w:szCs w:val="20"/>
                <w:lang w:eastAsia="tr-TR"/>
              </w:rPr>
              <w:t> </w:t>
            </w:r>
          </w:p>
        </w:tc>
        <w:tc>
          <w:tcPr>
            <w:tcW w:w="326" w:type="pct"/>
            <w:tcBorders>
              <w:top w:val="nil"/>
              <w:left w:val="nil"/>
              <w:bottom w:val="nil"/>
              <w:right w:val="nil"/>
            </w:tcBorders>
            <w:shd w:val="clear" w:color="auto" w:fill="auto"/>
            <w:noWrap/>
            <w:vAlign w:val="bottom"/>
            <w:hideMark/>
          </w:tcPr>
          <w:p w:rsidR="00AC5C30" w:rsidRPr="000875F4" w:rsidRDefault="00AC5C30" w:rsidP="00AC5C30">
            <w:pPr>
              <w:spacing w:after="0" w:line="240" w:lineRule="auto"/>
              <w:jc w:val="right"/>
              <w:rPr>
                <w:rFonts w:ascii="Arial" w:eastAsia="Times New Roman" w:hAnsi="Arial" w:cs="Arial"/>
                <w:sz w:val="20"/>
                <w:szCs w:val="20"/>
                <w:lang w:eastAsia="tr-TR"/>
              </w:rPr>
            </w:pPr>
          </w:p>
        </w:tc>
        <w:tc>
          <w:tcPr>
            <w:tcW w:w="354" w:type="pct"/>
            <w:tcBorders>
              <w:top w:val="nil"/>
              <w:left w:val="single" w:sz="8" w:space="0" w:color="auto"/>
              <w:bottom w:val="nil"/>
              <w:right w:val="single" w:sz="8" w:space="0" w:color="auto"/>
            </w:tcBorders>
            <w:shd w:val="clear" w:color="auto" w:fill="auto"/>
            <w:noWrap/>
            <w:vAlign w:val="bottom"/>
            <w:hideMark/>
          </w:tcPr>
          <w:p w:rsidR="00AC5C30" w:rsidRPr="000875F4" w:rsidRDefault="00AC5C30" w:rsidP="00AC5C30">
            <w:pPr>
              <w:spacing w:after="0" w:line="240" w:lineRule="auto"/>
              <w:jc w:val="right"/>
              <w:rPr>
                <w:rFonts w:ascii="Arial" w:eastAsia="Times New Roman" w:hAnsi="Arial" w:cs="Arial"/>
                <w:sz w:val="20"/>
                <w:szCs w:val="20"/>
                <w:lang w:eastAsia="tr-TR"/>
              </w:rPr>
            </w:pPr>
            <w:r w:rsidRPr="000875F4">
              <w:rPr>
                <w:rFonts w:ascii="Arial" w:eastAsia="Times New Roman" w:hAnsi="Arial" w:cs="Arial"/>
                <w:sz w:val="20"/>
                <w:szCs w:val="20"/>
                <w:lang w:eastAsia="tr-TR"/>
              </w:rPr>
              <w:t> </w:t>
            </w:r>
          </w:p>
        </w:tc>
      </w:tr>
      <w:tr w:rsidR="00AC5C30" w:rsidRPr="000875F4" w:rsidTr="000875F4">
        <w:trPr>
          <w:gridAfter w:val="4"/>
          <w:wAfter w:w="1354" w:type="pct"/>
          <w:trHeight w:val="20"/>
        </w:trPr>
        <w:tc>
          <w:tcPr>
            <w:tcW w:w="37" w:type="pct"/>
            <w:tcBorders>
              <w:top w:val="nil"/>
              <w:left w:val="single" w:sz="8" w:space="0" w:color="auto"/>
              <w:bottom w:val="nil"/>
              <w:right w:val="nil"/>
            </w:tcBorders>
            <w:shd w:val="clear" w:color="auto" w:fill="auto"/>
            <w:noWrap/>
            <w:vAlign w:val="center"/>
            <w:hideMark/>
          </w:tcPr>
          <w:p w:rsidR="00AC5C30" w:rsidRPr="000875F4" w:rsidRDefault="00AC5C30" w:rsidP="00AC5C30">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lastRenderedPageBreak/>
              <w:t> </w:t>
            </w:r>
          </w:p>
        </w:tc>
        <w:tc>
          <w:tcPr>
            <w:tcW w:w="88" w:type="pct"/>
            <w:tcBorders>
              <w:top w:val="nil"/>
              <w:left w:val="nil"/>
              <w:bottom w:val="nil"/>
              <w:right w:val="nil"/>
            </w:tcBorders>
            <w:shd w:val="clear" w:color="auto" w:fill="auto"/>
            <w:noWrap/>
            <w:vAlign w:val="center"/>
            <w:hideMark/>
          </w:tcPr>
          <w:p w:rsidR="00AC5C30" w:rsidRPr="000875F4" w:rsidRDefault="00AC5C30" w:rsidP="00AC5C30">
            <w:pPr>
              <w:spacing w:after="0" w:line="240" w:lineRule="auto"/>
              <w:jc w:val="left"/>
              <w:rPr>
                <w:rFonts w:ascii="Arial" w:eastAsia="Times New Roman" w:hAnsi="Arial" w:cs="Arial"/>
                <w:sz w:val="16"/>
                <w:szCs w:val="16"/>
                <w:lang w:eastAsia="tr-TR"/>
              </w:rPr>
            </w:pPr>
          </w:p>
        </w:tc>
        <w:tc>
          <w:tcPr>
            <w:tcW w:w="597" w:type="pct"/>
            <w:tcBorders>
              <w:top w:val="nil"/>
              <w:left w:val="nil"/>
              <w:bottom w:val="nil"/>
              <w:right w:val="single" w:sz="8" w:space="0" w:color="auto"/>
            </w:tcBorders>
            <w:shd w:val="clear" w:color="auto" w:fill="auto"/>
            <w:noWrap/>
            <w:vAlign w:val="center"/>
            <w:hideMark/>
          </w:tcPr>
          <w:p w:rsidR="00AC5C30" w:rsidRPr="000875F4" w:rsidRDefault="00AC5C30" w:rsidP="00AC5C30">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257-Birikmiş Amortismanlar Hesabı (-)</w:t>
            </w:r>
          </w:p>
        </w:tc>
        <w:tc>
          <w:tcPr>
            <w:tcW w:w="330" w:type="pct"/>
            <w:tcBorders>
              <w:top w:val="nil"/>
              <w:left w:val="nil"/>
              <w:bottom w:val="nil"/>
              <w:right w:val="single" w:sz="8" w:space="0" w:color="auto"/>
            </w:tcBorders>
            <w:shd w:val="clear" w:color="auto" w:fill="auto"/>
            <w:noWrap/>
            <w:vAlign w:val="center"/>
          </w:tcPr>
          <w:p w:rsidR="00AC5C30" w:rsidRPr="000875F4" w:rsidRDefault="00AC5C30" w:rsidP="00AC5C30">
            <w:pPr>
              <w:spacing w:after="0" w:line="240" w:lineRule="auto"/>
              <w:jc w:val="right"/>
              <w:rPr>
                <w:rFonts w:ascii="Arial" w:eastAsia="Times New Roman" w:hAnsi="Arial" w:cs="Arial"/>
                <w:sz w:val="16"/>
                <w:szCs w:val="16"/>
                <w:lang w:eastAsia="tr-TR"/>
              </w:rPr>
            </w:pPr>
            <w:r>
              <w:rPr>
                <w:rFonts w:ascii="Arial" w:hAnsi="Arial" w:cs="Arial"/>
                <w:color w:val="000000"/>
                <w:sz w:val="16"/>
                <w:szCs w:val="16"/>
              </w:rPr>
              <w:t>-49.883.297,47</w:t>
            </w:r>
          </w:p>
        </w:tc>
        <w:tc>
          <w:tcPr>
            <w:tcW w:w="330" w:type="pct"/>
            <w:tcBorders>
              <w:top w:val="nil"/>
              <w:left w:val="nil"/>
              <w:bottom w:val="nil"/>
              <w:right w:val="single" w:sz="8" w:space="0" w:color="auto"/>
            </w:tcBorders>
            <w:shd w:val="clear" w:color="auto" w:fill="auto"/>
            <w:noWrap/>
            <w:vAlign w:val="center"/>
          </w:tcPr>
          <w:p w:rsidR="00AC5C30" w:rsidRPr="000875F4" w:rsidRDefault="00AC5C30" w:rsidP="00AC5C30">
            <w:pPr>
              <w:spacing w:after="0" w:line="240" w:lineRule="auto"/>
              <w:jc w:val="right"/>
              <w:rPr>
                <w:rFonts w:ascii="Arial" w:eastAsia="Times New Roman" w:hAnsi="Arial" w:cs="Arial"/>
                <w:sz w:val="16"/>
                <w:szCs w:val="16"/>
                <w:lang w:eastAsia="tr-TR"/>
              </w:rPr>
            </w:pPr>
            <w:r>
              <w:rPr>
                <w:rFonts w:ascii="Arial" w:hAnsi="Arial" w:cs="Arial"/>
                <w:color w:val="000000"/>
                <w:sz w:val="16"/>
                <w:szCs w:val="16"/>
              </w:rPr>
              <w:t>-55.380.133,79</w:t>
            </w:r>
          </w:p>
        </w:tc>
        <w:tc>
          <w:tcPr>
            <w:tcW w:w="339" w:type="pct"/>
            <w:tcBorders>
              <w:top w:val="nil"/>
              <w:left w:val="nil"/>
              <w:bottom w:val="nil"/>
              <w:right w:val="single" w:sz="8" w:space="0" w:color="auto"/>
            </w:tcBorders>
            <w:shd w:val="clear" w:color="auto" w:fill="auto"/>
            <w:noWrap/>
            <w:vAlign w:val="center"/>
          </w:tcPr>
          <w:p w:rsidR="00AC5C30" w:rsidRPr="000875F4" w:rsidRDefault="00AC5C30" w:rsidP="00AC5C30">
            <w:pPr>
              <w:spacing w:after="0" w:line="240" w:lineRule="auto"/>
              <w:jc w:val="right"/>
              <w:rPr>
                <w:rFonts w:ascii="Arial" w:eastAsia="Times New Roman" w:hAnsi="Arial" w:cs="Arial"/>
                <w:sz w:val="16"/>
                <w:szCs w:val="16"/>
                <w:lang w:eastAsia="tr-TR"/>
              </w:rPr>
            </w:pPr>
            <w:r>
              <w:rPr>
                <w:rFonts w:ascii="Arial" w:hAnsi="Arial" w:cs="Arial"/>
                <w:color w:val="000000"/>
                <w:sz w:val="16"/>
                <w:szCs w:val="16"/>
              </w:rPr>
              <w:t>-59.322.173,40</w:t>
            </w:r>
          </w:p>
        </w:tc>
        <w:tc>
          <w:tcPr>
            <w:tcW w:w="38" w:type="pct"/>
            <w:tcBorders>
              <w:top w:val="nil"/>
              <w:left w:val="nil"/>
              <w:bottom w:val="nil"/>
              <w:right w:val="nil"/>
            </w:tcBorders>
            <w:shd w:val="clear" w:color="auto" w:fill="auto"/>
            <w:noWrap/>
            <w:vAlign w:val="bottom"/>
            <w:hideMark/>
          </w:tcPr>
          <w:p w:rsidR="00AC5C30" w:rsidRPr="000875F4" w:rsidRDefault="00AC5C30" w:rsidP="00AC5C30">
            <w:pPr>
              <w:spacing w:after="0" w:line="240" w:lineRule="auto"/>
              <w:jc w:val="left"/>
              <w:rPr>
                <w:rFonts w:ascii="Arial" w:eastAsia="Times New Roman" w:hAnsi="Arial" w:cs="Arial"/>
                <w:sz w:val="20"/>
                <w:szCs w:val="20"/>
                <w:lang w:eastAsia="tr-TR"/>
              </w:rPr>
            </w:pPr>
            <w:r w:rsidRPr="000875F4">
              <w:rPr>
                <w:rFonts w:ascii="Arial" w:eastAsia="Times New Roman" w:hAnsi="Arial" w:cs="Arial"/>
                <w:sz w:val="20"/>
                <w:szCs w:val="20"/>
                <w:lang w:eastAsia="tr-TR"/>
              </w:rPr>
              <w:t> </w:t>
            </w:r>
          </w:p>
        </w:tc>
        <w:tc>
          <w:tcPr>
            <w:tcW w:w="72" w:type="pct"/>
            <w:tcBorders>
              <w:top w:val="nil"/>
              <w:left w:val="nil"/>
              <w:bottom w:val="nil"/>
              <w:right w:val="nil"/>
            </w:tcBorders>
            <w:shd w:val="clear" w:color="auto" w:fill="auto"/>
            <w:noWrap/>
            <w:vAlign w:val="bottom"/>
            <w:hideMark/>
          </w:tcPr>
          <w:p w:rsidR="00AC5C30" w:rsidRPr="000875F4" w:rsidRDefault="00AC5C30" w:rsidP="00AC5C30">
            <w:pPr>
              <w:spacing w:after="0" w:line="240" w:lineRule="auto"/>
              <w:jc w:val="left"/>
              <w:rPr>
                <w:rFonts w:ascii="Arial" w:eastAsia="Times New Roman" w:hAnsi="Arial" w:cs="Arial"/>
                <w:sz w:val="20"/>
                <w:szCs w:val="20"/>
                <w:lang w:eastAsia="tr-TR"/>
              </w:rPr>
            </w:pPr>
          </w:p>
        </w:tc>
        <w:tc>
          <w:tcPr>
            <w:tcW w:w="776" w:type="pct"/>
            <w:tcBorders>
              <w:top w:val="nil"/>
              <w:left w:val="nil"/>
              <w:bottom w:val="nil"/>
              <w:right w:val="nil"/>
            </w:tcBorders>
            <w:shd w:val="clear" w:color="auto" w:fill="auto"/>
            <w:noWrap/>
            <w:vAlign w:val="bottom"/>
            <w:hideMark/>
          </w:tcPr>
          <w:p w:rsidR="00AC5C30" w:rsidRPr="000875F4" w:rsidRDefault="00AC5C30" w:rsidP="00AC5C30">
            <w:pPr>
              <w:spacing w:after="0" w:line="240" w:lineRule="auto"/>
              <w:jc w:val="left"/>
              <w:rPr>
                <w:rFonts w:ascii="Times New Roman" w:eastAsia="Times New Roman" w:hAnsi="Times New Roman"/>
                <w:sz w:val="20"/>
                <w:szCs w:val="20"/>
                <w:lang w:eastAsia="tr-TR"/>
              </w:rPr>
            </w:pPr>
          </w:p>
        </w:tc>
        <w:tc>
          <w:tcPr>
            <w:tcW w:w="359" w:type="pct"/>
            <w:tcBorders>
              <w:top w:val="nil"/>
              <w:left w:val="single" w:sz="8" w:space="0" w:color="auto"/>
              <w:bottom w:val="nil"/>
              <w:right w:val="single" w:sz="8" w:space="0" w:color="auto"/>
            </w:tcBorders>
            <w:shd w:val="clear" w:color="auto" w:fill="auto"/>
            <w:noWrap/>
            <w:vAlign w:val="bottom"/>
            <w:hideMark/>
          </w:tcPr>
          <w:p w:rsidR="00AC5C30" w:rsidRPr="000875F4" w:rsidRDefault="00AC5C30" w:rsidP="00AC5C30">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326" w:type="pct"/>
            <w:tcBorders>
              <w:top w:val="nil"/>
              <w:left w:val="nil"/>
              <w:bottom w:val="nil"/>
              <w:right w:val="nil"/>
            </w:tcBorders>
            <w:shd w:val="clear" w:color="auto" w:fill="auto"/>
            <w:noWrap/>
            <w:vAlign w:val="bottom"/>
            <w:hideMark/>
          </w:tcPr>
          <w:p w:rsidR="00AC5C30" w:rsidRPr="000875F4" w:rsidRDefault="00AC5C30" w:rsidP="00AC5C30">
            <w:pPr>
              <w:spacing w:after="0" w:line="240" w:lineRule="auto"/>
              <w:jc w:val="right"/>
              <w:rPr>
                <w:rFonts w:ascii="Arial" w:eastAsia="Times New Roman" w:hAnsi="Arial" w:cs="Arial"/>
                <w:sz w:val="16"/>
                <w:szCs w:val="16"/>
                <w:lang w:eastAsia="tr-TR"/>
              </w:rPr>
            </w:pPr>
          </w:p>
        </w:tc>
        <w:tc>
          <w:tcPr>
            <w:tcW w:w="354" w:type="pct"/>
            <w:tcBorders>
              <w:top w:val="nil"/>
              <w:left w:val="single" w:sz="8" w:space="0" w:color="auto"/>
              <w:bottom w:val="nil"/>
              <w:right w:val="single" w:sz="8" w:space="0" w:color="auto"/>
            </w:tcBorders>
            <w:shd w:val="clear" w:color="auto" w:fill="auto"/>
            <w:noWrap/>
            <w:vAlign w:val="bottom"/>
            <w:hideMark/>
          </w:tcPr>
          <w:p w:rsidR="00AC5C30" w:rsidRPr="000875F4" w:rsidRDefault="00AC5C30" w:rsidP="00AC5C30">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r>
      <w:tr w:rsidR="00AC5C30" w:rsidRPr="000875F4" w:rsidTr="000875F4">
        <w:trPr>
          <w:gridAfter w:val="4"/>
          <w:wAfter w:w="1354" w:type="pct"/>
          <w:trHeight w:val="20"/>
        </w:trPr>
        <w:tc>
          <w:tcPr>
            <w:tcW w:w="37" w:type="pct"/>
            <w:tcBorders>
              <w:top w:val="nil"/>
              <w:left w:val="single" w:sz="8" w:space="0" w:color="auto"/>
              <w:right w:val="nil"/>
            </w:tcBorders>
            <w:shd w:val="clear" w:color="auto" w:fill="auto"/>
            <w:noWrap/>
            <w:vAlign w:val="center"/>
            <w:hideMark/>
          </w:tcPr>
          <w:p w:rsidR="00AC5C30" w:rsidRPr="000875F4" w:rsidRDefault="00AC5C30" w:rsidP="00AC5C30">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88" w:type="pct"/>
            <w:tcBorders>
              <w:top w:val="nil"/>
              <w:left w:val="nil"/>
              <w:right w:val="nil"/>
            </w:tcBorders>
            <w:shd w:val="clear" w:color="auto" w:fill="auto"/>
            <w:noWrap/>
            <w:vAlign w:val="center"/>
            <w:hideMark/>
          </w:tcPr>
          <w:p w:rsidR="00AC5C30" w:rsidRPr="000875F4" w:rsidRDefault="00AC5C30" w:rsidP="00AC5C30">
            <w:pPr>
              <w:spacing w:after="0" w:line="240" w:lineRule="auto"/>
              <w:jc w:val="left"/>
              <w:rPr>
                <w:rFonts w:ascii="Arial" w:eastAsia="Times New Roman" w:hAnsi="Arial" w:cs="Arial"/>
                <w:sz w:val="16"/>
                <w:szCs w:val="16"/>
                <w:lang w:eastAsia="tr-TR"/>
              </w:rPr>
            </w:pPr>
          </w:p>
        </w:tc>
        <w:tc>
          <w:tcPr>
            <w:tcW w:w="597" w:type="pct"/>
            <w:tcBorders>
              <w:top w:val="nil"/>
              <w:left w:val="nil"/>
              <w:right w:val="single" w:sz="8" w:space="0" w:color="auto"/>
            </w:tcBorders>
            <w:shd w:val="clear" w:color="auto" w:fill="auto"/>
            <w:noWrap/>
            <w:vAlign w:val="center"/>
            <w:hideMark/>
          </w:tcPr>
          <w:p w:rsidR="00AC5C30" w:rsidRPr="000875F4" w:rsidRDefault="00AC5C30" w:rsidP="00AC5C30">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258-Yapılmakta Olan Yatırımlar Hesabı</w:t>
            </w:r>
          </w:p>
        </w:tc>
        <w:tc>
          <w:tcPr>
            <w:tcW w:w="330" w:type="pct"/>
            <w:tcBorders>
              <w:top w:val="nil"/>
              <w:left w:val="nil"/>
              <w:right w:val="single" w:sz="8" w:space="0" w:color="auto"/>
            </w:tcBorders>
            <w:shd w:val="clear" w:color="auto" w:fill="auto"/>
            <w:noWrap/>
            <w:vAlign w:val="center"/>
          </w:tcPr>
          <w:p w:rsidR="00AC5C30" w:rsidRPr="000875F4" w:rsidRDefault="00AC5C30" w:rsidP="00AC5C30">
            <w:pPr>
              <w:spacing w:after="0" w:line="240" w:lineRule="auto"/>
              <w:jc w:val="right"/>
              <w:rPr>
                <w:rFonts w:ascii="Arial" w:eastAsia="Times New Roman" w:hAnsi="Arial" w:cs="Arial"/>
                <w:sz w:val="16"/>
                <w:szCs w:val="16"/>
                <w:lang w:eastAsia="tr-TR"/>
              </w:rPr>
            </w:pPr>
            <w:r>
              <w:rPr>
                <w:rFonts w:ascii="Arial" w:hAnsi="Arial" w:cs="Arial"/>
                <w:color w:val="000000"/>
                <w:sz w:val="16"/>
                <w:szCs w:val="16"/>
              </w:rPr>
              <w:t>233.268.040,46</w:t>
            </w:r>
          </w:p>
        </w:tc>
        <w:tc>
          <w:tcPr>
            <w:tcW w:w="330" w:type="pct"/>
            <w:tcBorders>
              <w:top w:val="nil"/>
              <w:left w:val="nil"/>
              <w:right w:val="single" w:sz="8" w:space="0" w:color="auto"/>
            </w:tcBorders>
            <w:shd w:val="clear" w:color="auto" w:fill="auto"/>
            <w:noWrap/>
            <w:vAlign w:val="center"/>
          </w:tcPr>
          <w:p w:rsidR="00AC5C30" w:rsidRPr="000875F4" w:rsidRDefault="00AC5C30" w:rsidP="00AC5C30">
            <w:pPr>
              <w:spacing w:after="0" w:line="240" w:lineRule="auto"/>
              <w:jc w:val="right"/>
              <w:rPr>
                <w:rFonts w:ascii="Arial" w:eastAsia="Times New Roman" w:hAnsi="Arial" w:cs="Arial"/>
                <w:sz w:val="16"/>
                <w:szCs w:val="16"/>
                <w:lang w:eastAsia="tr-TR"/>
              </w:rPr>
            </w:pPr>
            <w:r>
              <w:rPr>
                <w:rFonts w:ascii="Arial" w:hAnsi="Arial" w:cs="Arial"/>
                <w:color w:val="000000"/>
                <w:sz w:val="16"/>
                <w:szCs w:val="16"/>
              </w:rPr>
              <w:t>233.268.040,46</w:t>
            </w:r>
          </w:p>
        </w:tc>
        <w:tc>
          <w:tcPr>
            <w:tcW w:w="339" w:type="pct"/>
            <w:tcBorders>
              <w:top w:val="nil"/>
              <w:left w:val="nil"/>
              <w:right w:val="single" w:sz="8" w:space="0" w:color="auto"/>
            </w:tcBorders>
            <w:shd w:val="clear" w:color="auto" w:fill="auto"/>
            <w:noWrap/>
            <w:vAlign w:val="center"/>
          </w:tcPr>
          <w:p w:rsidR="00AC5C30" w:rsidRPr="000875F4" w:rsidRDefault="00AC5C30" w:rsidP="00AC5C30">
            <w:pPr>
              <w:spacing w:after="0" w:line="240" w:lineRule="auto"/>
              <w:jc w:val="right"/>
              <w:rPr>
                <w:rFonts w:ascii="Arial" w:eastAsia="Times New Roman" w:hAnsi="Arial" w:cs="Arial"/>
                <w:sz w:val="16"/>
                <w:szCs w:val="16"/>
                <w:lang w:eastAsia="tr-TR"/>
              </w:rPr>
            </w:pPr>
            <w:r>
              <w:rPr>
                <w:rFonts w:ascii="Arial" w:hAnsi="Arial" w:cs="Arial"/>
                <w:color w:val="000000"/>
                <w:sz w:val="16"/>
                <w:szCs w:val="16"/>
              </w:rPr>
              <w:t>234.267.264,46</w:t>
            </w:r>
          </w:p>
        </w:tc>
        <w:tc>
          <w:tcPr>
            <w:tcW w:w="38" w:type="pct"/>
            <w:tcBorders>
              <w:top w:val="nil"/>
              <w:left w:val="nil"/>
              <w:right w:val="nil"/>
            </w:tcBorders>
            <w:shd w:val="clear" w:color="auto" w:fill="auto"/>
            <w:noWrap/>
            <w:vAlign w:val="bottom"/>
            <w:hideMark/>
          </w:tcPr>
          <w:p w:rsidR="00AC5C30" w:rsidRPr="000875F4" w:rsidRDefault="00AC5C30" w:rsidP="00AC5C30">
            <w:pPr>
              <w:spacing w:after="0" w:line="240" w:lineRule="auto"/>
              <w:jc w:val="left"/>
              <w:rPr>
                <w:rFonts w:ascii="Arial" w:eastAsia="Times New Roman" w:hAnsi="Arial" w:cs="Arial"/>
                <w:sz w:val="20"/>
                <w:szCs w:val="20"/>
                <w:lang w:eastAsia="tr-TR"/>
              </w:rPr>
            </w:pPr>
            <w:r w:rsidRPr="000875F4">
              <w:rPr>
                <w:rFonts w:ascii="Arial" w:eastAsia="Times New Roman" w:hAnsi="Arial" w:cs="Arial"/>
                <w:sz w:val="20"/>
                <w:szCs w:val="20"/>
                <w:lang w:eastAsia="tr-TR"/>
              </w:rPr>
              <w:t> </w:t>
            </w:r>
          </w:p>
        </w:tc>
        <w:tc>
          <w:tcPr>
            <w:tcW w:w="72" w:type="pct"/>
            <w:tcBorders>
              <w:top w:val="nil"/>
              <w:left w:val="nil"/>
              <w:right w:val="nil"/>
            </w:tcBorders>
            <w:shd w:val="clear" w:color="auto" w:fill="auto"/>
            <w:noWrap/>
            <w:vAlign w:val="bottom"/>
            <w:hideMark/>
          </w:tcPr>
          <w:p w:rsidR="00AC5C30" w:rsidRPr="000875F4" w:rsidRDefault="00AC5C30" w:rsidP="00AC5C30">
            <w:pPr>
              <w:spacing w:after="0" w:line="240" w:lineRule="auto"/>
              <w:jc w:val="left"/>
              <w:rPr>
                <w:rFonts w:ascii="Arial" w:eastAsia="Times New Roman" w:hAnsi="Arial" w:cs="Arial"/>
                <w:sz w:val="20"/>
                <w:szCs w:val="20"/>
                <w:lang w:eastAsia="tr-TR"/>
              </w:rPr>
            </w:pPr>
          </w:p>
        </w:tc>
        <w:tc>
          <w:tcPr>
            <w:tcW w:w="776" w:type="pct"/>
            <w:tcBorders>
              <w:top w:val="nil"/>
              <w:left w:val="nil"/>
              <w:right w:val="nil"/>
            </w:tcBorders>
            <w:shd w:val="clear" w:color="auto" w:fill="auto"/>
            <w:noWrap/>
            <w:vAlign w:val="bottom"/>
            <w:hideMark/>
          </w:tcPr>
          <w:p w:rsidR="00AC5C30" w:rsidRPr="000875F4" w:rsidRDefault="00AC5C30" w:rsidP="00AC5C30">
            <w:pPr>
              <w:spacing w:after="0" w:line="240" w:lineRule="auto"/>
              <w:jc w:val="left"/>
              <w:rPr>
                <w:rFonts w:ascii="Times New Roman" w:eastAsia="Times New Roman" w:hAnsi="Times New Roman"/>
                <w:sz w:val="20"/>
                <w:szCs w:val="20"/>
                <w:lang w:eastAsia="tr-TR"/>
              </w:rPr>
            </w:pPr>
          </w:p>
        </w:tc>
        <w:tc>
          <w:tcPr>
            <w:tcW w:w="359" w:type="pct"/>
            <w:tcBorders>
              <w:top w:val="nil"/>
              <w:left w:val="single" w:sz="8" w:space="0" w:color="auto"/>
              <w:right w:val="single" w:sz="8" w:space="0" w:color="auto"/>
            </w:tcBorders>
            <w:shd w:val="clear" w:color="auto" w:fill="auto"/>
            <w:noWrap/>
            <w:vAlign w:val="bottom"/>
            <w:hideMark/>
          </w:tcPr>
          <w:p w:rsidR="00AC5C30" w:rsidRPr="000875F4" w:rsidRDefault="00AC5C30" w:rsidP="00AC5C30">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326" w:type="pct"/>
            <w:tcBorders>
              <w:top w:val="nil"/>
              <w:left w:val="nil"/>
              <w:right w:val="nil"/>
            </w:tcBorders>
            <w:shd w:val="clear" w:color="auto" w:fill="auto"/>
            <w:noWrap/>
            <w:vAlign w:val="bottom"/>
            <w:hideMark/>
          </w:tcPr>
          <w:p w:rsidR="00AC5C30" w:rsidRPr="000875F4" w:rsidRDefault="00AC5C30" w:rsidP="00AC5C30">
            <w:pPr>
              <w:spacing w:after="0" w:line="240" w:lineRule="auto"/>
              <w:jc w:val="right"/>
              <w:rPr>
                <w:rFonts w:ascii="Arial" w:eastAsia="Times New Roman" w:hAnsi="Arial" w:cs="Arial"/>
                <w:sz w:val="16"/>
                <w:szCs w:val="16"/>
                <w:lang w:eastAsia="tr-TR"/>
              </w:rPr>
            </w:pPr>
          </w:p>
        </w:tc>
        <w:tc>
          <w:tcPr>
            <w:tcW w:w="354" w:type="pct"/>
            <w:tcBorders>
              <w:top w:val="nil"/>
              <w:left w:val="single" w:sz="8" w:space="0" w:color="auto"/>
              <w:right w:val="single" w:sz="8" w:space="0" w:color="auto"/>
            </w:tcBorders>
            <w:shd w:val="clear" w:color="auto" w:fill="auto"/>
            <w:noWrap/>
            <w:vAlign w:val="bottom"/>
            <w:hideMark/>
          </w:tcPr>
          <w:p w:rsidR="00AC5C30" w:rsidRPr="000875F4" w:rsidRDefault="00AC5C30" w:rsidP="00AC5C30">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r>
      <w:tr w:rsidR="00AC5C30" w:rsidRPr="000875F4" w:rsidTr="000875F4">
        <w:trPr>
          <w:gridAfter w:val="4"/>
          <w:wAfter w:w="1354" w:type="pct"/>
          <w:trHeight w:val="20"/>
        </w:trPr>
        <w:tc>
          <w:tcPr>
            <w:tcW w:w="37" w:type="pct"/>
            <w:tcBorders>
              <w:top w:val="nil"/>
              <w:left w:val="single" w:sz="8" w:space="0" w:color="auto"/>
              <w:bottom w:val="single" w:sz="4" w:space="0" w:color="auto"/>
              <w:right w:val="nil"/>
            </w:tcBorders>
            <w:shd w:val="clear" w:color="auto" w:fill="auto"/>
            <w:noWrap/>
            <w:vAlign w:val="bottom"/>
            <w:hideMark/>
          </w:tcPr>
          <w:p w:rsidR="00AC5C30" w:rsidRPr="000875F4" w:rsidRDefault="00AC5C30" w:rsidP="00AC5C30">
            <w:pPr>
              <w:spacing w:after="0" w:line="240" w:lineRule="auto"/>
              <w:jc w:val="left"/>
              <w:rPr>
                <w:rFonts w:ascii="Arial" w:eastAsia="Times New Roman" w:hAnsi="Arial" w:cs="Arial"/>
                <w:sz w:val="20"/>
                <w:szCs w:val="20"/>
                <w:lang w:eastAsia="tr-TR"/>
              </w:rPr>
            </w:pPr>
            <w:r w:rsidRPr="000875F4">
              <w:rPr>
                <w:rFonts w:ascii="Arial" w:eastAsia="Times New Roman" w:hAnsi="Arial" w:cs="Arial"/>
                <w:sz w:val="20"/>
                <w:szCs w:val="20"/>
                <w:lang w:eastAsia="tr-TR"/>
              </w:rPr>
              <w:t> </w:t>
            </w:r>
          </w:p>
        </w:tc>
        <w:tc>
          <w:tcPr>
            <w:tcW w:w="88" w:type="pct"/>
            <w:tcBorders>
              <w:top w:val="nil"/>
              <w:left w:val="nil"/>
              <w:bottom w:val="single" w:sz="4" w:space="0" w:color="auto"/>
              <w:right w:val="nil"/>
            </w:tcBorders>
            <w:shd w:val="clear" w:color="auto" w:fill="auto"/>
            <w:noWrap/>
            <w:vAlign w:val="center"/>
            <w:hideMark/>
          </w:tcPr>
          <w:p w:rsidR="00AC5C30" w:rsidRPr="000875F4" w:rsidRDefault="00AC5C30" w:rsidP="00AC5C30">
            <w:pPr>
              <w:spacing w:after="0" w:line="240" w:lineRule="auto"/>
              <w:jc w:val="left"/>
              <w:rPr>
                <w:rFonts w:ascii="Arial" w:eastAsia="Times New Roman" w:hAnsi="Arial" w:cs="Arial"/>
                <w:sz w:val="20"/>
                <w:szCs w:val="20"/>
                <w:lang w:eastAsia="tr-TR"/>
              </w:rPr>
            </w:pPr>
          </w:p>
        </w:tc>
        <w:tc>
          <w:tcPr>
            <w:tcW w:w="597" w:type="pct"/>
            <w:tcBorders>
              <w:top w:val="nil"/>
              <w:left w:val="nil"/>
              <w:bottom w:val="single" w:sz="4" w:space="0" w:color="auto"/>
              <w:right w:val="single" w:sz="8" w:space="0" w:color="auto"/>
            </w:tcBorders>
            <w:shd w:val="clear" w:color="auto" w:fill="auto"/>
            <w:noWrap/>
            <w:vAlign w:val="center"/>
            <w:hideMark/>
          </w:tcPr>
          <w:p w:rsidR="00AC5C30" w:rsidRPr="000875F4" w:rsidRDefault="00AC5C30" w:rsidP="00AC5C30">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259-Yatırım Avansları Hesabı</w:t>
            </w:r>
          </w:p>
        </w:tc>
        <w:tc>
          <w:tcPr>
            <w:tcW w:w="330" w:type="pct"/>
            <w:tcBorders>
              <w:top w:val="nil"/>
              <w:left w:val="nil"/>
              <w:bottom w:val="single" w:sz="4" w:space="0" w:color="auto"/>
              <w:right w:val="single" w:sz="8" w:space="0" w:color="auto"/>
            </w:tcBorders>
            <w:shd w:val="clear" w:color="auto" w:fill="auto"/>
            <w:noWrap/>
            <w:vAlign w:val="center"/>
          </w:tcPr>
          <w:p w:rsidR="00AC5C30" w:rsidRPr="000875F4" w:rsidRDefault="00AC5C30" w:rsidP="00AC5C30">
            <w:pPr>
              <w:spacing w:after="0" w:line="240" w:lineRule="auto"/>
              <w:jc w:val="right"/>
              <w:rPr>
                <w:rFonts w:ascii="Arial" w:eastAsia="Times New Roman" w:hAnsi="Arial" w:cs="Arial"/>
                <w:sz w:val="16"/>
                <w:szCs w:val="16"/>
                <w:lang w:eastAsia="tr-TR"/>
              </w:rPr>
            </w:pPr>
            <w:r>
              <w:rPr>
                <w:rFonts w:ascii="Arial" w:hAnsi="Arial" w:cs="Arial"/>
                <w:color w:val="000000"/>
                <w:sz w:val="16"/>
                <w:szCs w:val="16"/>
              </w:rPr>
              <w:t>3.871.959,48</w:t>
            </w:r>
          </w:p>
        </w:tc>
        <w:tc>
          <w:tcPr>
            <w:tcW w:w="330" w:type="pct"/>
            <w:tcBorders>
              <w:top w:val="nil"/>
              <w:left w:val="nil"/>
              <w:bottom w:val="single" w:sz="4" w:space="0" w:color="auto"/>
              <w:right w:val="single" w:sz="8" w:space="0" w:color="auto"/>
            </w:tcBorders>
            <w:shd w:val="clear" w:color="auto" w:fill="auto"/>
            <w:noWrap/>
            <w:vAlign w:val="center"/>
          </w:tcPr>
          <w:p w:rsidR="00AC5C30" w:rsidRPr="000875F4" w:rsidRDefault="00AC5C30" w:rsidP="00AC5C30">
            <w:pPr>
              <w:spacing w:after="0" w:line="240" w:lineRule="auto"/>
              <w:jc w:val="right"/>
              <w:rPr>
                <w:rFonts w:ascii="Arial" w:eastAsia="Times New Roman" w:hAnsi="Arial" w:cs="Arial"/>
                <w:sz w:val="16"/>
                <w:szCs w:val="16"/>
                <w:lang w:eastAsia="tr-TR"/>
              </w:rPr>
            </w:pPr>
            <w:r>
              <w:rPr>
                <w:rFonts w:ascii="Arial" w:hAnsi="Arial" w:cs="Arial"/>
                <w:color w:val="000000"/>
                <w:sz w:val="16"/>
                <w:szCs w:val="16"/>
              </w:rPr>
              <w:t>3.871.959,48</w:t>
            </w:r>
          </w:p>
        </w:tc>
        <w:tc>
          <w:tcPr>
            <w:tcW w:w="339" w:type="pct"/>
            <w:tcBorders>
              <w:top w:val="nil"/>
              <w:left w:val="nil"/>
              <w:bottom w:val="single" w:sz="4" w:space="0" w:color="auto"/>
              <w:right w:val="single" w:sz="8" w:space="0" w:color="auto"/>
            </w:tcBorders>
            <w:shd w:val="clear" w:color="auto" w:fill="auto"/>
            <w:noWrap/>
            <w:vAlign w:val="center"/>
          </w:tcPr>
          <w:p w:rsidR="00AC5C30" w:rsidRPr="000875F4" w:rsidRDefault="00AC5C30" w:rsidP="00AC5C30">
            <w:pPr>
              <w:spacing w:after="0" w:line="240" w:lineRule="auto"/>
              <w:jc w:val="right"/>
              <w:rPr>
                <w:rFonts w:ascii="Arial" w:eastAsia="Times New Roman" w:hAnsi="Arial" w:cs="Arial"/>
                <w:sz w:val="16"/>
                <w:szCs w:val="16"/>
                <w:lang w:eastAsia="tr-TR"/>
              </w:rPr>
            </w:pPr>
            <w:r>
              <w:rPr>
                <w:rFonts w:ascii="Arial" w:hAnsi="Arial" w:cs="Arial"/>
                <w:color w:val="000000"/>
                <w:sz w:val="16"/>
                <w:szCs w:val="16"/>
              </w:rPr>
              <w:t>3.871.959,48</w:t>
            </w:r>
          </w:p>
        </w:tc>
        <w:tc>
          <w:tcPr>
            <w:tcW w:w="38" w:type="pct"/>
            <w:tcBorders>
              <w:top w:val="nil"/>
              <w:left w:val="nil"/>
              <w:bottom w:val="single" w:sz="4" w:space="0" w:color="auto"/>
              <w:right w:val="nil"/>
            </w:tcBorders>
            <w:shd w:val="clear" w:color="auto" w:fill="auto"/>
            <w:noWrap/>
            <w:vAlign w:val="bottom"/>
            <w:hideMark/>
          </w:tcPr>
          <w:p w:rsidR="00AC5C30" w:rsidRPr="000875F4" w:rsidRDefault="00AC5C30" w:rsidP="00AC5C30">
            <w:pPr>
              <w:spacing w:after="0" w:line="240" w:lineRule="auto"/>
              <w:jc w:val="left"/>
              <w:rPr>
                <w:rFonts w:ascii="Arial" w:eastAsia="Times New Roman" w:hAnsi="Arial" w:cs="Arial"/>
                <w:sz w:val="20"/>
                <w:szCs w:val="20"/>
                <w:lang w:eastAsia="tr-TR"/>
              </w:rPr>
            </w:pPr>
            <w:r w:rsidRPr="000875F4">
              <w:rPr>
                <w:rFonts w:ascii="Arial" w:eastAsia="Times New Roman" w:hAnsi="Arial" w:cs="Arial"/>
                <w:sz w:val="20"/>
                <w:szCs w:val="20"/>
                <w:lang w:eastAsia="tr-TR"/>
              </w:rPr>
              <w:t> </w:t>
            </w:r>
          </w:p>
        </w:tc>
        <w:tc>
          <w:tcPr>
            <w:tcW w:w="72" w:type="pct"/>
            <w:tcBorders>
              <w:top w:val="nil"/>
              <w:left w:val="nil"/>
              <w:bottom w:val="single" w:sz="4" w:space="0" w:color="auto"/>
              <w:right w:val="nil"/>
            </w:tcBorders>
            <w:shd w:val="clear" w:color="auto" w:fill="auto"/>
            <w:noWrap/>
            <w:vAlign w:val="bottom"/>
            <w:hideMark/>
          </w:tcPr>
          <w:p w:rsidR="00AC5C30" w:rsidRPr="000875F4" w:rsidRDefault="00AC5C30" w:rsidP="00AC5C30">
            <w:pPr>
              <w:spacing w:after="0" w:line="240" w:lineRule="auto"/>
              <w:jc w:val="left"/>
              <w:rPr>
                <w:rFonts w:ascii="Arial" w:eastAsia="Times New Roman" w:hAnsi="Arial" w:cs="Arial"/>
                <w:sz w:val="20"/>
                <w:szCs w:val="20"/>
                <w:lang w:eastAsia="tr-TR"/>
              </w:rPr>
            </w:pPr>
          </w:p>
        </w:tc>
        <w:tc>
          <w:tcPr>
            <w:tcW w:w="776" w:type="pct"/>
            <w:tcBorders>
              <w:top w:val="nil"/>
              <w:left w:val="nil"/>
              <w:bottom w:val="single" w:sz="4" w:space="0" w:color="auto"/>
              <w:right w:val="nil"/>
            </w:tcBorders>
            <w:shd w:val="clear" w:color="auto" w:fill="auto"/>
            <w:noWrap/>
            <w:vAlign w:val="bottom"/>
            <w:hideMark/>
          </w:tcPr>
          <w:p w:rsidR="00AC5C30" w:rsidRPr="000875F4" w:rsidRDefault="00AC5C30" w:rsidP="00AC5C30">
            <w:pPr>
              <w:spacing w:after="0" w:line="240" w:lineRule="auto"/>
              <w:jc w:val="left"/>
              <w:rPr>
                <w:rFonts w:ascii="Times New Roman" w:eastAsia="Times New Roman" w:hAnsi="Times New Roman"/>
                <w:sz w:val="20"/>
                <w:szCs w:val="20"/>
                <w:lang w:eastAsia="tr-TR"/>
              </w:rPr>
            </w:pPr>
          </w:p>
        </w:tc>
        <w:tc>
          <w:tcPr>
            <w:tcW w:w="359" w:type="pct"/>
            <w:tcBorders>
              <w:top w:val="nil"/>
              <w:left w:val="single" w:sz="8" w:space="0" w:color="auto"/>
              <w:bottom w:val="single" w:sz="4" w:space="0" w:color="auto"/>
              <w:right w:val="single" w:sz="8" w:space="0" w:color="auto"/>
            </w:tcBorders>
            <w:shd w:val="clear" w:color="auto" w:fill="auto"/>
            <w:noWrap/>
            <w:vAlign w:val="bottom"/>
            <w:hideMark/>
          </w:tcPr>
          <w:p w:rsidR="00AC5C30" w:rsidRPr="000875F4" w:rsidRDefault="00AC5C30" w:rsidP="00AC5C30">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326" w:type="pct"/>
            <w:tcBorders>
              <w:top w:val="nil"/>
              <w:left w:val="nil"/>
              <w:bottom w:val="single" w:sz="4" w:space="0" w:color="auto"/>
              <w:right w:val="nil"/>
            </w:tcBorders>
            <w:shd w:val="clear" w:color="auto" w:fill="auto"/>
            <w:noWrap/>
            <w:vAlign w:val="bottom"/>
            <w:hideMark/>
          </w:tcPr>
          <w:p w:rsidR="00AC5C30" w:rsidRPr="000875F4" w:rsidRDefault="00AC5C30" w:rsidP="00AC5C30">
            <w:pPr>
              <w:spacing w:after="0" w:line="240" w:lineRule="auto"/>
              <w:jc w:val="right"/>
              <w:rPr>
                <w:rFonts w:ascii="Arial" w:eastAsia="Times New Roman" w:hAnsi="Arial" w:cs="Arial"/>
                <w:sz w:val="16"/>
                <w:szCs w:val="16"/>
                <w:lang w:eastAsia="tr-TR"/>
              </w:rPr>
            </w:pPr>
          </w:p>
        </w:tc>
        <w:tc>
          <w:tcPr>
            <w:tcW w:w="354" w:type="pct"/>
            <w:tcBorders>
              <w:top w:val="nil"/>
              <w:left w:val="single" w:sz="8" w:space="0" w:color="auto"/>
              <w:bottom w:val="single" w:sz="4" w:space="0" w:color="auto"/>
              <w:right w:val="single" w:sz="8" w:space="0" w:color="auto"/>
            </w:tcBorders>
            <w:shd w:val="clear" w:color="auto" w:fill="auto"/>
            <w:noWrap/>
            <w:vAlign w:val="bottom"/>
            <w:hideMark/>
          </w:tcPr>
          <w:p w:rsidR="00AC5C30" w:rsidRPr="000875F4" w:rsidRDefault="00AC5C30" w:rsidP="00AC5C30">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r>
      <w:tr w:rsidR="000875F4" w:rsidRPr="000875F4" w:rsidTr="000875F4">
        <w:trPr>
          <w:gridAfter w:val="4"/>
          <w:wAfter w:w="1354" w:type="pct"/>
          <w:trHeight w:val="20"/>
        </w:trPr>
        <w:tc>
          <w:tcPr>
            <w:tcW w:w="37" w:type="pct"/>
            <w:tcBorders>
              <w:top w:val="nil"/>
              <w:left w:val="single" w:sz="8" w:space="0" w:color="auto"/>
              <w:bottom w:val="nil"/>
              <w:right w:val="nil"/>
            </w:tcBorders>
            <w:shd w:val="clear" w:color="auto" w:fill="auto"/>
            <w:noWrap/>
            <w:vAlign w:val="bottom"/>
            <w:hideMark/>
          </w:tcPr>
          <w:p w:rsidR="000875F4" w:rsidRPr="000875F4" w:rsidRDefault="000875F4" w:rsidP="000875F4">
            <w:pPr>
              <w:spacing w:after="0" w:line="240" w:lineRule="auto"/>
              <w:jc w:val="left"/>
              <w:rPr>
                <w:rFonts w:ascii="Arial" w:eastAsia="Times New Roman" w:hAnsi="Arial" w:cs="Arial"/>
                <w:sz w:val="20"/>
                <w:szCs w:val="20"/>
                <w:lang w:eastAsia="tr-TR"/>
              </w:rPr>
            </w:pPr>
          </w:p>
        </w:tc>
        <w:tc>
          <w:tcPr>
            <w:tcW w:w="685" w:type="pct"/>
            <w:gridSpan w:val="2"/>
            <w:tcBorders>
              <w:top w:val="nil"/>
              <w:left w:val="nil"/>
              <w:bottom w:val="nil"/>
              <w:right w:val="single" w:sz="8" w:space="0" w:color="000000"/>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26-MADDİ OLMAYAN DURAN VARLIKLAR</w:t>
            </w:r>
          </w:p>
        </w:tc>
        <w:tc>
          <w:tcPr>
            <w:tcW w:w="330" w:type="pct"/>
            <w:tcBorders>
              <w:top w:val="nil"/>
              <w:left w:val="nil"/>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0,00</w:t>
            </w:r>
          </w:p>
        </w:tc>
        <w:tc>
          <w:tcPr>
            <w:tcW w:w="330" w:type="pct"/>
            <w:tcBorders>
              <w:top w:val="nil"/>
              <w:left w:val="nil"/>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0,00</w:t>
            </w:r>
          </w:p>
        </w:tc>
        <w:tc>
          <w:tcPr>
            <w:tcW w:w="339" w:type="pct"/>
            <w:tcBorders>
              <w:top w:val="nil"/>
              <w:left w:val="nil"/>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0,00</w:t>
            </w:r>
          </w:p>
        </w:tc>
        <w:tc>
          <w:tcPr>
            <w:tcW w:w="38" w:type="pct"/>
            <w:tcBorders>
              <w:top w:val="nil"/>
              <w:left w:val="nil"/>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72" w:type="pct"/>
            <w:tcBorders>
              <w:top w:val="nil"/>
              <w:left w:val="nil"/>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p>
        </w:tc>
        <w:tc>
          <w:tcPr>
            <w:tcW w:w="776" w:type="pct"/>
            <w:tcBorders>
              <w:top w:val="nil"/>
              <w:left w:val="nil"/>
              <w:bottom w:val="nil"/>
              <w:right w:val="nil"/>
            </w:tcBorders>
            <w:shd w:val="clear" w:color="auto" w:fill="auto"/>
            <w:noWrap/>
            <w:vAlign w:val="center"/>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359" w:type="pct"/>
            <w:tcBorders>
              <w:top w:val="nil"/>
              <w:left w:val="single" w:sz="8" w:space="0" w:color="auto"/>
              <w:bottom w:val="nil"/>
              <w:right w:val="single" w:sz="8" w:space="0" w:color="auto"/>
            </w:tcBorders>
            <w:shd w:val="clear" w:color="auto" w:fill="auto"/>
            <w:noWrap/>
            <w:vAlign w:val="center"/>
            <w:hideMark/>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326" w:type="pct"/>
            <w:tcBorders>
              <w:top w:val="nil"/>
              <w:left w:val="nil"/>
              <w:bottom w:val="nil"/>
              <w:right w:val="nil"/>
            </w:tcBorders>
            <w:shd w:val="clear" w:color="auto" w:fill="auto"/>
            <w:noWrap/>
            <w:vAlign w:val="center"/>
            <w:hideMark/>
          </w:tcPr>
          <w:p w:rsidR="000875F4" w:rsidRPr="000875F4" w:rsidRDefault="000875F4" w:rsidP="000875F4">
            <w:pPr>
              <w:spacing w:after="0" w:line="240" w:lineRule="auto"/>
              <w:jc w:val="right"/>
              <w:rPr>
                <w:rFonts w:ascii="Arial" w:eastAsia="Times New Roman" w:hAnsi="Arial" w:cs="Arial"/>
                <w:sz w:val="16"/>
                <w:szCs w:val="16"/>
                <w:lang w:eastAsia="tr-TR"/>
              </w:rPr>
            </w:pPr>
          </w:p>
        </w:tc>
        <w:tc>
          <w:tcPr>
            <w:tcW w:w="354" w:type="pct"/>
            <w:tcBorders>
              <w:top w:val="nil"/>
              <w:left w:val="single" w:sz="8" w:space="0" w:color="auto"/>
              <w:bottom w:val="nil"/>
              <w:right w:val="single" w:sz="8" w:space="0" w:color="auto"/>
            </w:tcBorders>
            <w:shd w:val="clear" w:color="auto" w:fill="auto"/>
            <w:noWrap/>
            <w:vAlign w:val="center"/>
            <w:hideMark/>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r>
      <w:tr w:rsidR="000875F4" w:rsidRPr="000875F4" w:rsidTr="000875F4">
        <w:trPr>
          <w:gridAfter w:val="4"/>
          <w:wAfter w:w="1354" w:type="pct"/>
          <w:trHeight w:val="20"/>
        </w:trPr>
        <w:tc>
          <w:tcPr>
            <w:tcW w:w="37" w:type="pct"/>
            <w:tcBorders>
              <w:top w:val="nil"/>
              <w:left w:val="single" w:sz="8" w:space="0" w:color="auto"/>
              <w:bottom w:val="nil"/>
              <w:right w:val="nil"/>
            </w:tcBorders>
            <w:shd w:val="clear" w:color="auto" w:fill="auto"/>
            <w:noWrap/>
            <w:vAlign w:val="bottom"/>
            <w:hideMark/>
          </w:tcPr>
          <w:p w:rsidR="000875F4" w:rsidRPr="000875F4" w:rsidRDefault="000875F4" w:rsidP="000875F4">
            <w:pPr>
              <w:spacing w:after="0" w:line="240" w:lineRule="auto"/>
              <w:jc w:val="left"/>
              <w:rPr>
                <w:rFonts w:ascii="Arial" w:eastAsia="Times New Roman" w:hAnsi="Arial" w:cs="Arial"/>
                <w:sz w:val="20"/>
                <w:szCs w:val="20"/>
                <w:lang w:eastAsia="tr-TR"/>
              </w:rPr>
            </w:pPr>
            <w:r w:rsidRPr="000875F4">
              <w:rPr>
                <w:rFonts w:ascii="Arial" w:eastAsia="Times New Roman" w:hAnsi="Arial" w:cs="Arial"/>
                <w:sz w:val="20"/>
                <w:szCs w:val="20"/>
                <w:lang w:eastAsia="tr-TR"/>
              </w:rPr>
              <w:t> </w:t>
            </w:r>
          </w:p>
        </w:tc>
        <w:tc>
          <w:tcPr>
            <w:tcW w:w="88" w:type="pct"/>
            <w:tcBorders>
              <w:top w:val="nil"/>
              <w:left w:val="nil"/>
              <w:bottom w:val="nil"/>
              <w:right w:val="nil"/>
            </w:tcBorders>
            <w:shd w:val="clear" w:color="auto" w:fill="auto"/>
            <w:noWrap/>
            <w:vAlign w:val="bottom"/>
            <w:hideMark/>
          </w:tcPr>
          <w:p w:rsidR="000875F4" w:rsidRPr="000875F4" w:rsidRDefault="000875F4" w:rsidP="000875F4">
            <w:pPr>
              <w:spacing w:after="0" w:line="240" w:lineRule="auto"/>
              <w:jc w:val="left"/>
              <w:rPr>
                <w:rFonts w:ascii="Arial" w:eastAsia="Times New Roman" w:hAnsi="Arial" w:cs="Arial"/>
                <w:sz w:val="20"/>
                <w:szCs w:val="20"/>
                <w:lang w:eastAsia="tr-TR"/>
              </w:rPr>
            </w:pPr>
          </w:p>
        </w:tc>
        <w:tc>
          <w:tcPr>
            <w:tcW w:w="597" w:type="pct"/>
            <w:tcBorders>
              <w:top w:val="nil"/>
              <w:left w:val="nil"/>
              <w:bottom w:val="nil"/>
              <w:right w:val="single" w:sz="8" w:space="0" w:color="auto"/>
            </w:tcBorders>
            <w:shd w:val="clear" w:color="auto" w:fill="auto"/>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260-Haklar Hesabı</w:t>
            </w:r>
          </w:p>
        </w:tc>
        <w:tc>
          <w:tcPr>
            <w:tcW w:w="330" w:type="pct"/>
            <w:tcBorders>
              <w:top w:val="nil"/>
              <w:left w:val="nil"/>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13.988.931,81</w:t>
            </w:r>
          </w:p>
        </w:tc>
        <w:tc>
          <w:tcPr>
            <w:tcW w:w="330" w:type="pct"/>
            <w:tcBorders>
              <w:top w:val="nil"/>
              <w:left w:val="nil"/>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20.055.411,15</w:t>
            </w:r>
          </w:p>
        </w:tc>
        <w:tc>
          <w:tcPr>
            <w:tcW w:w="339" w:type="pct"/>
            <w:tcBorders>
              <w:top w:val="nil"/>
              <w:left w:val="nil"/>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heme="minorHAnsi" w:hAnsi="Arial" w:cs="Arial"/>
                <w:sz w:val="16"/>
                <w:szCs w:val="12"/>
              </w:rPr>
              <w:t>22.247.109,43</w:t>
            </w:r>
          </w:p>
        </w:tc>
        <w:tc>
          <w:tcPr>
            <w:tcW w:w="38" w:type="pct"/>
            <w:tcBorders>
              <w:top w:val="nil"/>
              <w:left w:val="nil"/>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72" w:type="pct"/>
            <w:tcBorders>
              <w:top w:val="nil"/>
              <w:left w:val="nil"/>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p>
        </w:tc>
        <w:tc>
          <w:tcPr>
            <w:tcW w:w="776" w:type="pct"/>
            <w:tcBorders>
              <w:top w:val="nil"/>
              <w:left w:val="nil"/>
              <w:bottom w:val="nil"/>
              <w:right w:val="nil"/>
            </w:tcBorders>
            <w:shd w:val="clear" w:color="auto" w:fill="auto"/>
            <w:noWrap/>
            <w:vAlign w:val="center"/>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359" w:type="pct"/>
            <w:tcBorders>
              <w:top w:val="nil"/>
              <w:left w:val="single" w:sz="8" w:space="0" w:color="auto"/>
              <w:bottom w:val="nil"/>
              <w:right w:val="single" w:sz="8" w:space="0" w:color="auto"/>
            </w:tcBorders>
            <w:shd w:val="clear" w:color="auto" w:fill="auto"/>
            <w:noWrap/>
            <w:vAlign w:val="center"/>
            <w:hideMark/>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326" w:type="pct"/>
            <w:tcBorders>
              <w:top w:val="nil"/>
              <w:left w:val="nil"/>
              <w:bottom w:val="nil"/>
              <w:right w:val="nil"/>
            </w:tcBorders>
            <w:shd w:val="clear" w:color="auto" w:fill="auto"/>
            <w:noWrap/>
            <w:vAlign w:val="center"/>
            <w:hideMark/>
          </w:tcPr>
          <w:p w:rsidR="000875F4" w:rsidRPr="000875F4" w:rsidRDefault="000875F4" w:rsidP="000875F4">
            <w:pPr>
              <w:spacing w:after="0" w:line="240" w:lineRule="auto"/>
              <w:jc w:val="right"/>
              <w:rPr>
                <w:rFonts w:ascii="Arial" w:eastAsia="Times New Roman" w:hAnsi="Arial" w:cs="Arial"/>
                <w:sz w:val="16"/>
                <w:szCs w:val="16"/>
                <w:lang w:eastAsia="tr-TR"/>
              </w:rPr>
            </w:pPr>
          </w:p>
        </w:tc>
        <w:tc>
          <w:tcPr>
            <w:tcW w:w="354" w:type="pct"/>
            <w:tcBorders>
              <w:top w:val="nil"/>
              <w:left w:val="single" w:sz="8" w:space="0" w:color="auto"/>
              <w:bottom w:val="nil"/>
              <w:right w:val="single" w:sz="8" w:space="0" w:color="auto"/>
            </w:tcBorders>
            <w:shd w:val="clear" w:color="auto" w:fill="auto"/>
            <w:noWrap/>
            <w:vAlign w:val="center"/>
            <w:hideMark/>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r>
      <w:tr w:rsidR="000875F4" w:rsidRPr="000875F4" w:rsidTr="000875F4">
        <w:trPr>
          <w:gridAfter w:val="4"/>
          <w:wAfter w:w="1354" w:type="pct"/>
          <w:trHeight w:val="20"/>
        </w:trPr>
        <w:tc>
          <w:tcPr>
            <w:tcW w:w="37" w:type="pct"/>
            <w:tcBorders>
              <w:top w:val="nil"/>
              <w:left w:val="single" w:sz="8" w:space="0" w:color="auto"/>
              <w:bottom w:val="single" w:sz="4" w:space="0" w:color="auto"/>
              <w:right w:val="nil"/>
            </w:tcBorders>
            <w:shd w:val="clear" w:color="auto" w:fill="auto"/>
            <w:noWrap/>
            <w:vAlign w:val="bottom"/>
            <w:hideMark/>
          </w:tcPr>
          <w:p w:rsidR="000875F4" w:rsidRPr="000875F4" w:rsidRDefault="000875F4" w:rsidP="000875F4">
            <w:pPr>
              <w:spacing w:after="0" w:line="240" w:lineRule="auto"/>
              <w:jc w:val="left"/>
              <w:rPr>
                <w:rFonts w:ascii="Arial" w:eastAsia="Times New Roman" w:hAnsi="Arial" w:cs="Arial"/>
                <w:sz w:val="20"/>
                <w:szCs w:val="20"/>
                <w:lang w:eastAsia="tr-TR"/>
              </w:rPr>
            </w:pPr>
            <w:r w:rsidRPr="000875F4">
              <w:rPr>
                <w:rFonts w:ascii="Arial" w:eastAsia="Times New Roman" w:hAnsi="Arial" w:cs="Arial"/>
                <w:sz w:val="20"/>
                <w:szCs w:val="20"/>
                <w:lang w:eastAsia="tr-TR"/>
              </w:rPr>
              <w:t> </w:t>
            </w:r>
          </w:p>
        </w:tc>
        <w:tc>
          <w:tcPr>
            <w:tcW w:w="88" w:type="pct"/>
            <w:tcBorders>
              <w:top w:val="nil"/>
              <w:left w:val="nil"/>
              <w:bottom w:val="single" w:sz="4" w:space="0" w:color="auto"/>
              <w:right w:val="nil"/>
            </w:tcBorders>
            <w:shd w:val="clear" w:color="auto" w:fill="auto"/>
            <w:noWrap/>
            <w:vAlign w:val="bottom"/>
            <w:hideMark/>
          </w:tcPr>
          <w:p w:rsidR="000875F4" w:rsidRPr="000875F4" w:rsidRDefault="000875F4" w:rsidP="000875F4">
            <w:pPr>
              <w:spacing w:after="0" w:line="240" w:lineRule="auto"/>
              <w:jc w:val="left"/>
              <w:rPr>
                <w:rFonts w:ascii="Arial" w:eastAsia="Times New Roman" w:hAnsi="Arial" w:cs="Arial"/>
                <w:sz w:val="20"/>
                <w:szCs w:val="20"/>
                <w:lang w:eastAsia="tr-TR"/>
              </w:rPr>
            </w:pPr>
          </w:p>
        </w:tc>
        <w:tc>
          <w:tcPr>
            <w:tcW w:w="597" w:type="pct"/>
            <w:tcBorders>
              <w:top w:val="nil"/>
              <w:left w:val="nil"/>
              <w:bottom w:val="single" w:sz="4" w:space="0" w:color="auto"/>
              <w:right w:val="single" w:sz="8" w:space="0" w:color="auto"/>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268-Birikmiş Amortismanlar Hesabı (-)</w:t>
            </w:r>
          </w:p>
        </w:tc>
        <w:tc>
          <w:tcPr>
            <w:tcW w:w="330" w:type="pct"/>
            <w:tcBorders>
              <w:top w:val="nil"/>
              <w:left w:val="nil"/>
              <w:bottom w:val="single" w:sz="4" w:space="0" w:color="auto"/>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-13.988.931,81</w:t>
            </w:r>
          </w:p>
        </w:tc>
        <w:tc>
          <w:tcPr>
            <w:tcW w:w="330" w:type="pct"/>
            <w:tcBorders>
              <w:top w:val="nil"/>
              <w:left w:val="nil"/>
              <w:bottom w:val="single" w:sz="4" w:space="0" w:color="auto"/>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-20.055.411,15</w:t>
            </w:r>
          </w:p>
        </w:tc>
        <w:tc>
          <w:tcPr>
            <w:tcW w:w="339" w:type="pct"/>
            <w:tcBorders>
              <w:top w:val="nil"/>
              <w:left w:val="nil"/>
              <w:bottom w:val="single" w:sz="4" w:space="0" w:color="auto"/>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heme="minorHAnsi" w:hAnsi="Arial" w:cs="Arial"/>
                <w:sz w:val="16"/>
                <w:szCs w:val="12"/>
              </w:rPr>
              <w:t>-22.247.109,43</w:t>
            </w:r>
          </w:p>
        </w:tc>
        <w:tc>
          <w:tcPr>
            <w:tcW w:w="38" w:type="pct"/>
            <w:tcBorders>
              <w:top w:val="nil"/>
              <w:left w:val="nil"/>
              <w:bottom w:val="single" w:sz="4" w:space="0" w:color="auto"/>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72" w:type="pct"/>
            <w:tcBorders>
              <w:top w:val="nil"/>
              <w:left w:val="nil"/>
              <w:bottom w:val="single" w:sz="4" w:space="0" w:color="auto"/>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p>
        </w:tc>
        <w:tc>
          <w:tcPr>
            <w:tcW w:w="776" w:type="pct"/>
            <w:tcBorders>
              <w:top w:val="nil"/>
              <w:left w:val="nil"/>
              <w:bottom w:val="single" w:sz="4" w:space="0" w:color="auto"/>
              <w:right w:val="nil"/>
            </w:tcBorders>
            <w:shd w:val="clear" w:color="auto" w:fill="auto"/>
            <w:noWrap/>
            <w:vAlign w:val="center"/>
            <w:hideMark/>
          </w:tcPr>
          <w:p w:rsidR="000875F4" w:rsidRPr="000875F4" w:rsidRDefault="000875F4" w:rsidP="000875F4">
            <w:pPr>
              <w:spacing w:after="0" w:line="240" w:lineRule="auto"/>
              <w:jc w:val="left"/>
              <w:rPr>
                <w:rFonts w:ascii="Times New Roman" w:eastAsia="Times New Roman" w:hAnsi="Times New Roman"/>
                <w:sz w:val="20"/>
                <w:szCs w:val="20"/>
                <w:lang w:eastAsia="tr-TR"/>
              </w:rPr>
            </w:pPr>
          </w:p>
        </w:tc>
        <w:tc>
          <w:tcPr>
            <w:tcW w:w="359" w:type="pct"/>
            <w:tcBorders>
              <w:top w:val="nil"/>
              <w:left w:val="single" w:sz="8" w:space="0" w:color="auto"/>
              <w:bottom w:val="single" w:sz="4" w:space="0" w:color="auto"/>
              <w:right w:val="single" w:sz="8" w:space="0" w:color="auto"/>
            </w:tcBorders>
            <w:shd w:val="clear" w:color="auto" w:fill="auto"/>
            <w:noWrap/>
            <w:vAlign w:val="center"/>
            <w:hideMark/>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326" w:type="pct"/>
            <w:tcBorders>
              <w:top w:val="nil"/>
              <w:left w:val="nil"/>
              <w:bottom w:val="single" w:sz="4" w:space="0" w:color="auto"/>
              <w:right w:val="nil"/>
            </w:tcBorders>
            <w:shd w:val="clear" w:color="auto" w:fill="auto"/>
            <w:noWrap/>
            <w:vAlign w:val="center"/>
            <w:hideMark/>
          </w:tcPr>
          <w:p w:rsidR="000875F4" w:rsidRPr="000875F4" w:rsidRDefault="000875F4" w:rsidP="000875F4">
            <w:pPr>
              <w:spacing w:after="0" w:line="240" w:lineRule="auto"/>
              <w:jc w:val="right"/>
              <w:rPr>
                <w:rFonts w:ascii="Arial" w:eastAsia="Times New Roman" w:hAnsi="Arial" w:cs="Arial"/>
                <w:sz w:val="16"/>
                <w:szCs w:val="16"/>
                <w:lang w:eastAsia="tr-TR"/>
              </w:rPr>
            </w:pPr>
          </w:p>
        </w:tc>
        <w:tc>
          <w:tcPr>
            <w:tcW w:w="354" w:type="pct"/>
            <w:tcBorders>
              <w:top w:val="nil"/>
              <w:left w:val="single" w:sz="8" w:space="0" w:color="auto"/>
              <w:bottom w:val="single" w:sz="4" w:space="0" w:color="auto"/>
              <w:right w:val="single" w:sz="8" w:space="0" w:color="auto"/>
            </w:tcBorders>
            <w:shd w:val="clear" w:color="auto" w:fill="auto"/>
            <w:noWrap/>
            <w:vAlign w:val="center"/>
            <w:hideMark/>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r>
      <w:tr w:rsidR="00CE2EC2" w:rsidRPr="000875F4" w:rsidTr="000875F4">
        <w:trPr>
          <w:gridAfter w:val="4"/>
          <w:wAfter w:w="1354" w:type="pct"/>
          <w:trHeight w:val="20"/>
        </w:trPr>
        <w:tc>
          <w:tcPr>
            <w:tcW w:w="722"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E2EC2" w:rsidRPr="000875F4" w:rsidRDefault="00CE2EC2" w:rsidP="00CE2EC2">
            <w:pPr>
              <w:spacing w:after="0" w:line="240" w:lineRule="auto"/>
              <w:jc w:val="left"/>
              <w:rPr>
                <w:rFonts w:ascii="Arial" w:eastAsia="Times New Roman" w:hAnsi="Arial" w:cs="Arial"/>
                <w:b/>
                <w:bCs/>
                <w:sz w:val="18"/>
                <w:szCs w:val="18"/>
                <w:lang w:eastAsia="tr-TR"/>
              </w:rPr>
            </w:pPr>
            <w:r w:rsidRPr="000875F4">
              <w:rPr>
                <w:rFonts w:ascii="Arial" w:eastAsia="Times New Roman" w:hAnsi="Arial" w:cs="Arial"/>
                <w:b/>
                <w:bCs/>
                <w:sz w:val="18"/>
                <w:szCs w:val="18"/>
                <w:lang w:eastAsia="tr-TR"/>
              </w:rPr>
              <w:t xml:space="preserve">  </w:t>
            </w:r>
          </w:p>
          <w:p w:rsidR="00CE2EC2" w:rsidRPr="000875F4" w:rsidRDefault="00CE2EC2" w:rsidP="00CE2EC2">
            <w:pPr>
              <w:spacing w:after="0" w:line="240" w:lineRule="auto"/>
              <w:jc w:val="left"/>
              <w:rPr>
                <w:rFonts w:ascii="Arial" w:eastAsia="Times New Roman" w:hAnsi="Arial" w:cs="Arial"/>
                <w:b/>
                <w:bCs/>
                <w:sz w:val="18"/>
                <w:szCs w:val="18"/>
                <w:lang w:eastAsia="tr-TR"/>
              </w:rPr>
            </w:pPr>
            <w:r w:rsidRPr="000875F4">
              <w:rPr>
                <w:rFonts w:ascii="Arial" w:eastAsia="Times New Roman" w:hAnsi="Arial" w:cs="Arial"/>
                <w:b/>
                <w:bCs/>
                <w:sz w:val="18"/>
                <w:szCs w:val="18"/>
                <w:lang w:eastAsia="tr-TR"/>
              </w:rPr>
              <w:t>AKTİF TOPLAMI</w:t>
            </w:r>
          </w:p>
          <w:p w:rsidR="00CE2EC2" w:rsidRPr="000875F4" w:rsidRDefault="00CE2EC2" w:rsidP="00CE2EC2">
            <w:pPr>
              <w:spacing w:after="0" w:line="240" w:lineRule="auto"/>
              <w:jc w:val="left"/>
              <w:rPr>
                <w:rFonts w:ascii="Arial" w:eastAsia="Times New Roman" w:hAnsi="Arial" w:cs="Arial"/>
                <w:b/>
                <w:bCs/>
                <w:sz w:val="18"/>
                <w:szCs w:val="18"/>
                <w:lang w:eastAsia="tr-TR"/>
              </w:rPr>
            </w:pPr>
          </w:p>
        </w:tc>
        <w:tc>
          <w:tcPr>
            <w:tcW w:w="33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E2EC2" w:rsidRPr="000875F4" w:rsidRDefault="00CE2EC2" w:rsidP="00CE2EC2">
            <w:pPr>
              <w:spacing w:after="0" w:line="240" w:lineRule="auto"/>
              <w:jc w:val="right"/>
              <w:rPr>
                <w:rFonts w:ascii="Arial" w:eastAsia="Times New Roman" w:hAnsi="Arial" w:cs="Arial"/>
                <w:b/>
                <w:bCs/>
                <w:sz w:val="18"/>
                <w:szCs w:val="18"/>
                <w:lang w:eastAsia="tr-TR"/>
              </w:rPr>
            </w:pPr>
            <w:r>
              <w:rPr>
                <w:rFonts w:ascii="Arial" w:hAnsi="Arial" w:cs="Arial"/>
                <w:b/>
                <w:bCs/>
                <w:color w:val="000000"/>
                <w:sz w:val="18"/>
                <w:szCs w:val="18"/>
              </w:rPr>
              <w:t>574.393.189,59</w:t>
            </w:r>
          </w:p>
        </w:tc>
        <w:tc>
          <w:tcPr>
            <w:tcW w:w="330" w:type="pct"/>
            <w:tcBorders>
              <w:top w:val="single" w:sz="4" w:space="0" w:color="auto"/>
              <w:left w:val="single" w:sz="4" w:space="0" w:color="auto"/>
              <w:bottom w:val="single" w:sz="4" w:space="0" w:color="auto"/>
              <w:right w:val="single" w:sz="4" w:space="0" w:color="auto"/>
            </w:tcBorders>
            <w:shd w:val="clear" w:color="auto" w:fill="auto"/>
            <w:noWrap/>
            <w:vAlign w:val="center"/>
          </w:tcPr>
          <w:p w:rsidR="00CE2EC2" w:rsidRPr="000875F4" w:rsidRDefault="00CE2EC2" w:rsidP="00CE2EC2">
            <w:pPr>
              <w:spacing w:after="0" w:line="240" w:lineRule="auto"/>
              <w:jc w:val="right"/>
              <w:rPr>
                <w:rFonts w:ascii="Arial" w:eastAsia="Times New Roman" w:hAnsi="Arial" w:cs="Arial"/>
                <w:b/>
                <w:bCs/>
                <w:sz w:val="18"/>
                <w:szCs w:val="18"/>
                <w:lang w:eastAsia="tr-TR"/>
              </w:rPr>
            </w:pPr>
            <w:r>
              <w:rPr>
                <w:rFonts w:ascii="Arial" w:hAnsi="Arial" w:cs="Arial"/>
                <w:b/>
                <w:bCs/>
                <w:color w:val="000000"/>
                <w:sz w:val="16"/>
                <w:szCs w:val="16"/>
              </w:rPr>
              <w:t>585.687.420,85</w:t>
            </w:r>
          </w:p>
        </w:tc>
        <w:tc>
          <w:tcPr>
            <w:tcW w:w="339" w:type="pct"/>
            <w:tcBorders>
              <w:top w:val="single" w:sz="4" w:space="0" w:color="auto"/>
              <w:left w:val="single" w:sz="4" w:space="0" w:color="auto"/>
              <w:bottom w:val="single" w:sz="4" w:space="0" w:color="auto"/>
              <w:right w:val="single" w:sz="4" w:space="0" w:color="auto"/>
            </w:tcBorders>
            <w:shd w:val="clear" w:color="auto" w:fill="auto"/>
            <w:noWrap/>
            <w:vAlign w:val="center"/>
          </w:tcPr>
          <w:p w:rsidR="00CE2EC2" w:rsidRPr="000875F4" w:rsidRDefault="00CE2EC2" w:rsidP="00CE2EC2">
            <w:pPr>
              <w:spacing w:after="0" w:line="240" w:lineRule="auto"/>
              <w:jc w:val="right"/>
              <w:rPr>
                <w:rFonts w:ascii="Arial" w:eastAsia="Times New Roman" w:hAnsi="Arial" w:cs="Arial"/>
                <w:b/>
                <w:bCs/>
                <w:sz w:val="18"/>
                <w:szCs w:val="18"/>
                <w:lang w:eastAsia="tr-TR"/>
              </w:rPr>
            </w:pPr>
            <w:r>
              <w:rPr>
                <w:rFonts w:ascii="Arial" w:hAnsi="Arial" w:cs="Arial"/>
                <w:b/>
                <w:bCs/>
                <w:color w:val="000000"/>
                <w:sz w:val="16"/>
                <w:szCs w:val="16"/>
              </w:rPr>
              <w:t>786.905.486,81</w:t>
            </w:r>
          </w:p>
        </w:tc>
        <w:tc>
          <w:tcPr>
            <w:tcW w:w="886"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E2EC2" w:rsidRPr="000875F4" w:rsidRDefault="00CE2EC2" w:rsidP="00CE2EC2">
            <w:pPr>
              <w:spacing w:after="0" w:line="240" w:lineRule="auto"/>
              <w:jc w:val="left"/>
              <w:rPr>
                <w:rFonts w:ascii="Arial" w:eastAsia="Times New Roman" w:hAnsi="Arial" w:cs="Arial"/>
                <w:b/>
                <w:bCs/>
                <w:sz w:val="18"/>
                <w:szCs w:val="18"/>
                <w:lang w:eastAsia="tr-TR"/>
              </w:rPr>
            </w:pPr>
            <w:r w:rsidRPr="000875F4">
              <w:rPr>
                <w:rFonts w:ascii="Arial" w:eastAsia="Times New Roman" w:hAnsi="Arial" w:cs="Arial"/>
                <w:b/>
                <w:bCs/>
                <w:sz w:val="18"/>
                <w:szCs w:val="18"/>
                <w:lang w:eastAsia="tr-TR"/>
              </w:rPr>
              <w:t xml:space="preserve">   PASİF TOPLAMI</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tcPr>
          <w:p w:rsidR="00CE2EC2" w:rsidRPr="000875F4" w:rsidRDefault="00CE2EC2" w:rsidP="00CE2EC2">
            <w:pPr>
              <w:spacing w:after="0" w:line="240" w:lineRule="auto"/>
              <w:jc w:val="right"/>
              <w:rPr>
                <w:rFonts w:ascii="Arial" w:eastAsia="Times New Roman" w:hAnsi="Arial" w:cs="Arial"/>
                <w:b/>
                <w:bCs/>
                <w:sz w:val="18"/>
                <w:szCs w:val="18"/>
                <w:lang w:eastAsia="tr-TR"/>
              </w:rPr>
            </w:pPr>
            <w:r>
              <w:rPr>
                <w:rFonts w:ascii="Arial" w:hAnsi="Arial" w:cs="Arial"/>
                <w:b/>
                <w:bCs/>
                <w:color w:val="000000"/>
                <w:sz w:val="18"/>
                <w:szCs w:val="18"/>
              </w:rPr>
              <w:t>574.393.189,59</w:t>
            </w:r>
          </w:p>
        </w:tc>
        <w:tc>
          <w:tcPr>
            <w:tcW w:w="3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E2EC2" w:rsidRPr="000875F4" w:rsidRDefault="00CE2EC2" w:rsidP="00CE2EC2">
            <w:pPr>
              <w:spacing w:after="0" w:line="240" w:lineRule="auto"/>
              <w:jc w:val="right"/>
              <w:rPr>
                <w:rFonts w:ascii="Arial" w:eastAsia="Times New Roman" w:hAnsi="Arial" w:cs="Arial"/>
                <w:b/>
                <w:bCs/>
                <w:sz w:val="18"/>
                <w:szCs w:val="18"/>
                <w:lang w:eastAsia="tr-TR"/>
              </w:rPr>
            </w:pPr>
            <w:r>
              <w:rPr>
                <w:rFonts w:ascii="Arial" w:hAnsi="Arial" w:cs="Arial"/>
                <w:b/>
                <w:bCs/>
                <w:color w:val="000000"/>
                <w:sz w:val="16"/>
                <w:szCs w:val="16"/>
              </w:rPr>
              <w:t>585.687.420,85</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rsidR="00CE2EC2" w:rsidRPr="000875F4" w:rsidRDefault="00CE2EC2" w:rsidP="00CE2EC2">
            <w:pPr>
              <w:spacing w:after="0" w:line="240" w:lineRule="auto"/>
              <w:jc w:val="right"/>
              <w:rPr>
                <w:rFonts w:ascii="Arial" w:eastAsia="Times New Roman" w:hAnsi="Arial" w:cs="Arial"/>
                <w:b/>
                <w:bCs/>
                <w:sz w:val="18"/>
                <w:szCs w:val="18"/>
                <w:lang w:eastAsia="tr-TR"/>
              </w:rPr>
            </w:pPr>
            <w:r>
              <w:rPr>
                <w:rFonts w:ascii="Arial" w:hAnsi="Arial" w:cs="Arial"/>
                <w:b/>
                <w:bCs/>
                <w:color w:val="000000"/>
                <w:sz w:val="16"/>
                <w:szCs w:val="16"/>
              </w:rPr>
              <w:t>786.905.486,81</w:t>
            </w:r>
          </w:p>
        </w:tc>
      </w:tr>
      <w:tr w:rsidR="000875F4" w:rsidRPr="000875F4" w:rsidTr="000875F4">
        <w:trPr>
          <w:gridAfter w:val="4"/>
          <w:wAfter w:w="1354" w:type="pct"/>
          <w:trHeight w:val="558"/>
        </w:trPr>
        <w:tc>
          <w:tcPr>
            <w:tcW w:w="722"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b/>
                <w:bCs/>
                <w:sz w:val="16"/>
                <w:szCs w:val="16"/>
                <w:u w:val="single"/>
                <w:lang w:eastAsia="tr-TR"/>
              </w:rPr>
            </w:pPr>
            <w:r w:rsidRPr="000875F4">
              <w:rPr>
                <w:rFonts w:ascii="Arial" w:eastAsia="Times New Roman" w:hAnsi="Arial" w:cs="Arial"/>
                <w:b/>
                <w:bCs/>
                <w:sz w:val="16"/>
                <w:szCs w:val="16"/>
                <w:u w:val="single"/>
                <w:lang w:eastAsia="tr-TR"/>
              </w:rPr>
              <w:t>NAZIM HESAPLAR</w:t>
            </w:r>
          </w:p>
        </w:tc>
        <w:tc>
          <w:tcPr>
            <w:tcW w:w="33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330" w:type="pct"/>
            <w:tcBorders>
              <w:top w:val="single" w:sz="4" w:space="0" w:color="auto"/>
              <w:left w:val="single" w:sz="4" w:space="0" w:color="auto"/>
              <w:bottom w:val="single" w:sz="4" w:space="0" w:color="auto"/>
              <w:right w:val="single" w:sz="4"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p>
        </w:tc>
        <w:tc>
          <w:tcPr>
            <w:tcW w:w="339" w:type="pct"/>
            <w:tcBorders>
              <w:top w:val="single" w:sz="4" w:space="0" w:color="auto"/>
              <w:left w:val="single" w:sz="4" w:space="0" w:color="auto"/>
              <w:bottom w:val="single" w:sz="4" w:space="0" w:color="auto"/>
              <w:right w:val="single" w:sz="4"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p>
        </w:tc>
        <w:tc>
          <w:tcPr>
            <w:tcW w:w="886"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b/>
                <w:bCs/>
                <w:sz w:val="16"/>
                <w:szCs w:val="16"/>
                <w:u w:val="single"/>
                <w:lang w:eastAsia="tr-TR"/>
              </w:rPr>
            </w:pPr>
            <w:r w:rsidRPr="000875F4">
              <w:rPr>
                <w:rFonts w:ascii="Arial" w:eastAsia="Times New Roman" w:hAnsi="Arial" w:cs="Arial"/>
                <w:b/>
                <w:bCs/>
                <w:sz w:val="16"/>
                <w:szCs w:val="16"/>
                <w:u w:val="single"/>
                <w:lang w:eastAsia="tr-TR"/>
              </w:rPr>
              <w:t>NAZIM HESAPLAR</w:t>
            </w:r>
          </w:p>
        </w:tc>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75F4" w:rsidRPr="000875F4" w:rsidRDefault="000875F4" w:rsidP="000875F4">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3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75F4" w:rsidRPr="000875F4" w:rsidRDefault="000875F4" w:rsidP="000875F4">
            <w:pPr>
              <w:spacing w:after="0" w:line="240" w:lineRule="auto"/>
              <w:jc w:val="right"/>
              <w:rPr>
                <w:rFonts w:ascii="Arial" w:eastAsia="Times New Roman" w:hAnsi="Arial" w:cs="Arial"/>
                <w:sz w:val="16"/>
                <w:szCs w:val="16"/>
                <w:lang w:eastAsia="tr-TR"/>
              </w:rPr>
            </w:pP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p>
        </w:tc>
      </w:tr>
      <w:tr w:rsidR="00EC28F3" w:rsidRPr="000875F4" w:rsidTr="000875F4">
        <w:trPr>
          <w:gridAfter w:val="4"/>
          <w:wAfter w:w="1354" w:type="pct"/>
          <w:trHeight w:val="20"/>
        </w:trPr>
        <w:tc>
          <w:tcPr>
            <w:tcW w:w="37" w:type="pct"/>
            <w:tcBorders>
              <w:top w:val="single" w:sz="4" w:space="0" w:color="auto"/>
              <w:left w:val="single" w:sz="8" w:space="0" w:color="auto"/>
              <w:bottom w:val="nil"/>
              <w:right w:val="nil"/>
            </w:tcBorders>
            <w:shd w:val="clear" w:color="auto" w:fill="auto"/>
            <w:noWrap/>
            <w:vAlign w:val="center"/>
            <w:hideMark/>
          </w:tcPr>
          <w:p w:rsidR="00EC28F3" w:rsidRPr="000875F4" w:rsidRDefault="00EC28F3" w:rsidP="00EC28F3">
            <w:pPr>
              <w:spacing w:after="0" w:line="240" w:lineRule="auto"/>
              <w:jc w:val="left"/>
              <w:rPr>
                <w:rFonts w:ascii="Arial" w:eastAsia="Times New Roman" w:hAnsi="Arial" w:cs="Arial"/>
                <w:b/>
                <w:bCs/>
                <w:sz w:val="16"/>
                <w:szCs w:val="16"/>
                <w:u w:val="single"/>
                <w:lang w:eastAsia="tr-TR"/>
              </w:rPr>
            </w:pPr>
          </w:p>
        </w:tc>
        <w:tc>
          <w:tcPr>
            <w:tcW w:w="88" w:type="pct"/>
            <w:tcBorders>
              <w:top w:val="single" w:sz="4" w:space="0" w:color="auto"/>
              <w:left w:val="nil"/>
              <w:bottom w:val="nil"/>
              <w:right w:val="nil"/>
            </w:tcBorders>
            <w:shd w:val="clear" w:color="auto" w:fill="auto"/>
            <w:noWrap/>
            <w:vAlign w:val="center"/>
            <w:hideMark/>
          </w:tcPr>
          <w:p w:rsidR="00EC28F3" w:rsidRPr="000875F4" w:rsidRDefault="00EC28F3" w:rsidP="00EC28F3">
            <w:pPr>
              <w:spacing w:after="0" w:line="240" w:lineRule="auto"/>
              <w:jc w:val="left"/>
              <w:rPr>
                <w:rFonts w:ascii="Arial" w:eastAsia="Times New Roman" w:hAnsi="Arial" w:cs="Arial"/>
                <w:b/>
                <w:bCs/>
                <w:sz w:val="16"/>
                <w:szCs w:val="16"/>
                <w:u w:val="single"/>
                <w:lang w:eastAsia="tr-TR"/>
              </w:rPr>
            </w:pPr>
          </w:p>
        </w:tc>
        <w:tc>
          <w:tcPr>
            <w:tcW w:w="597" w:type="pct"/>
            <w:tcBorders>
              <w:top w:val="single" w:sz="4" w:space="0" w:color="auto"/>
              <w:left w:val="nil"/>
              <w:bottom w:val="nil"/>
              <w:right w:val="single" w:sz="8" w:space="0" w:color="auto"/>
            </w:tcBorders>
            <w:shd w:val="clear" w:color="auto" w:fill="auto"/>
            <w:noWrap/>
            <w:vAlign w:val="center"/>
            <w:hideMark/>
          </w:tcPr>
          <w:p w:rsidR="00EC28F3" w:rsidRPr="000875F4" w:rsidRDefault="00EC28F3" w:rsidP="00EC28F3">
            <w:pPr>
              <w:spacing w:after="0"/>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910-Alınan Teminat Mektupları Hesabı</w:t>
            </w:r>
          </w:p>
          <w:p w:rsidR="00EC28F3" w:rsidRPr="000875F4" w:rsidRDefault="00EC28F3" w:rsidP="00EC28F3">
            <w:pPr>
              <w:spacing w:after="0"/>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911-Alınan Teminat Mektupları Emanetleri Hesabı</w:t>
            </w:r>
          </w:p>
          <w:p w:rsidR="00EC28F3" w:rsidRPr="000875F4" w:rsidRDefault="00EC28F3" w:rsidP="00EC28F3">
            <w:pPr>
              <w:spacing w:after="0"/>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920-Gider Taahhütleri Hesabı</w:t>
            </w:r>
          </w:p>
          <w:p w:rsidR="00EC28F3" w:rsidRPr="000875F4" w:rsidRDefault="00EC28F3" w:rsidP="00EC28F3">
            <w:pPr>
              <w:spacing w:after="0"/>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921-</w:t>
            </w:r>
            <w:r w:rsidRPr="000875F4">
              <w:t xml:space="preserve"> </w:t>
            </w:r>
            <w:r w:rsidRPr="000875F4">
              <w:rPr>
                <w:rFonts w:ascii="Arial" w:eastAsia="Times New Roman" w:hAnsi="Arial" w:cs="Arial"/>
                <w:sz w:val="16"/>
                <w:szCs w:val="16"/>
                <w:lang w:eastAsia="tr-TR"/>
              </w:rPr>
              <w:t>Gider Taahhütleri Karşılığı Hesabı</w:t>
            </w:r>
          </w:p>
          <w:p w:rsidR="00EC28F3" w:rsidRPr="000875F4" w:rsidRDefault="00EC28F3" w:rsidP="00EC28F3">
            <w:pPr>
              <w:spacing w:after="0"/>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948-Başka Birimler Adına İzlenen Alacaklar Hesabı</w:t>
            </w:r>
          </w:p>
          <w:p w:rsidR="00EC28F3" w:rsidRPr="000875F4" w:rsidRDefault="00EC28F3" w:rsidP="00EC28F3">
            <w:pPr>
              <w:spacing w:after="0"/>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949-Başka Birimler Adına İzlenen Alacak Emanetleri Hesabı</w:t>
            </w:r>
          </w:p>
          <w:p w:rsidR="00EC28F3" w:rsidRPr="000875F4" w:rsidRDefault="00EC28F3" w:rsidP="00EC28F3">
            <w:pPr>
              <w:spacing w:after="0"/>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998-Diğer Nazım Hesaplar</w:t>
            </w:r>
          </w:p>
          <w:p w:rsidR="00EC28F3" w:rsidRPr="000875F4" w:rsidRDefault="00EC28F3" w:rsidP="00EC28F3">
            <w:pPr>
              <w:spacing w:after="0"/>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999-Diğer Nazım Hes. Karşılığı Hesabı</w:t>
            </w:r>
          </w:p>
        </w:tc>
        <w:tc>
          <w:tcPr>
            <w:tcW w:w="330" w:type="pct"/>
            <w:tcBorders>
              <w:top w:val="single" w:sz="4" w:space="0" w:color="auto"/>
              <w:left w:val="nil"/>
              <w:bottom w:val="nil"/>
              <w:right w:val="single" w:sz="8" w:space="0" w:color="auto"/>
            </w:tcBorders>
            <w:shd w:val="clear" w:color="auto" w:fill="auto"/>
            <w:noWrap/>
            <w:vAlign w:val="center"/>
          </w:tcPr>
          <w:p w:rsidR="00EC28F3" w:rsidRPr="0095347F" w:rsidRDefault="00EC28F3" w:rsidP="00EC28F3">
            <w:pPr>
              <w:jc w:val="right"/>
              <w:rPr>
                <w:rFonts w:ascii="Arial" w:eastAsia="Times New Roman" w:hAnsi="Arial" w:cs="Arial"/>
                <w:color w:val="000000"/>
                <w:sz w:val="16"/>
                <w:szCs w:val="16"/>
              </w:rPr>
            </w:pPr>
            <w:r>
              <w:rPr>
                <w:rFonts w:ascii="Arial" w:hAnsi="Arial" w:cs="Arial"/>
                <w:color w:val="000000"/>
                <w:sz w:val="16"/>
                <w:szCs w:val="16"/>
              </w:rPr>
              <w:t>2.177.444.363,88</w:t>
            </w:r>
          </w:p>
          <w:p w:rsidR="00EC28F3" w:rsidRPr="000875F4" w:rsidRDefault="00EC28F3" w:rsidP="00EC28F3">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2.1</w:t>
            </w:r>
            <w:r>
              <w:rPr>
                <w:rFonts w:ascii="Arial" w:eastAsia="Times New Roman" w:hAnsi="Arial" w:cs="Arial"/>
                <w:sz w:val="16"/>
                <w:szCs w:val="16"/>
                <w:lang w:eastAsia="tr-TR"/>
              </w:rPr>
              <w:t>77.44</w:t>
            </w:r>
            <w:r w:rsidRPr="000875F4">
              <w:rPr>
                <w:rFonts w:ascii="Arial" w:eastAsia="Times New Roman" w:hAnsi="Arial" w:cs="Arial"/>
                <w:sz w:val="16"/>
                <w:szCs w:val="16"/>
                <w:lang w:eastAsia="tr-TR"/>
              </w:rPr>
              <w:t>4.3</w:t>
            </w:r>
            <w:r>
              <w:rPr>
                <w:rFonts w:ascii="Arial" w:eastAsia="Times New Roman" w:hAnsi="Arial" w:cs="Arial"/>
                <w:sz w:val="16"/>
                <w:szCs w:val="16"/>
                <w:lang w:eastAsia="tr-TR"/>
              </w:rPr>
              <w:t>63</w:t>
            </w:r>
            <w:r w:rsidRPr="000875F4">
              <w:rPr>
                <w:rFonts w:ascii="Arial" w:eastAsia="Times New Roman" w:hAnsi="Arial" w:cs="Arial"/>
                <w:sz w:val="16"/>
                <w:szCs w:val="16"/>
                <w:lang w:eastAsia="tr-TR"/>
              </w:rPr>
              <w:t>,</w:t>
            </w:r>
            <w:r>
              <w:rPr>
                <w:rFonts w:ascii="Arial" w:eastAsia="Times New Roman" w:hAnsi="Arial" w:cs="Arial"/>
                <w:sz w:val="16"/>
                <w:szCs w:val="16"/>
                <w:lang w:eastAsia="tr-TR"/>
              </w:rPr>
              <w:t>8</w:t>
            </w:r>
            <w:r w:rsidRPr="000875F4">
              <w:rPr>
                <w:rFonts w:ascii="Arial" w:eastAsia="Times New Roman" w:hAnsi="Arial" w:cs="Arial"/>
                <w:sz w:val="16"/>
                <w:szCs w:val="16"/>
                <w:lang w:eastAsia="tr-TR"/>
              </w:rPr>
              <w:t>8</w:t>
            </w:r>
          </w:p>
          <w:p w:rsidR="00EC28F3" w:rsidRPr="000875F4" w:rsidRDefault="00EC28F3" w:rsidP="00EC28F3">
            <w:pPr>
              <w:spacing w:after="0" w:line="240" w:lineRule="auto"/>
              <w:jc w:val="right"/>
              <w:rPr>
                <w:rFonts w:ascii="Arial" w:eastAsia="Times New Roman" w:hAnsi="Arial" w:cs="Arial"/>
                <w:sz w:val="16"/>
                <w:szCs w:val="16"/>
                <w:lang w:eastAsia="tr-TR"/>
              </w:rPr>
            </w:pPr>
          </w:p>
          <w:p w:rsidR="00EC28F3" w:rsidRPr="000875F4" w:rsidRDefault="00EC28F3" w:rsidP="00EC28F3">
            <w:pPr>
              <w:spacing w:after="0" w:line="240" w:lineRule="auto"/>
              <w:rPr>
                <w:rFonts w:ascii="Arial" w:eastAsia="Times New Roman" w:hAnsi="Arial" w:cs="Arial"/>
                <w:sz w:val="16"/>
                <w:szCs w:val="16"/>
                <w:lang w:eastAsia="tr-TR"/>
              </w:rPr>
            </w:pPr>
          </w:p>
          <w:p w:rsidR="00EC28F3" w:rsidRPr="000875F4" w:rsidRDefault="00EC28F3" w:rsidP="00EC28F3">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6.490.766,01</w:t>
            </w:r>
          </w:p>
          <w:p w:rsidR="00EC28F3" w:rsidRPr="000875F4" w:rsidRDefault="00EC28F3" w:rsidP="00EC28F3">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6.490.766,01</w:t>
            </w:r>
          </w:p>
          <w:p w:rsidR="00EC28F3" w:rsidRPr="000875F4" w:rsidRDefault="00EC28F3" w:rsidP="00EC28F3">
            <w:pPr>
              <w:spacing w:after="0" w:line="240" w:lineRule="auto"/>
              <w:jc w:val="right"/>
              <w:rPr>
                <w:rFonts w:ascii="Arial" w:eastAsia="Times New Roman" w:hAnsi="Arial" w:cs="Arial"/>
                <w:sz w:val="16"/>
                <w:szCs w:val="16"/>
                <w:lang w:eastAsia="tr-TR"/>
              </w:rPr>
            </w:pPr>
          </w:p>
          <w:p w:rsidR="00EC28F3" w:rsidRPr="000875F4" w:rsidRDefault="00EC28F3" w:rsidP="00EC28F3">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310.365,98</w:t>
            </w:r>
          </w:p>
          <w:p w:rsidR="00EC28F3" w:rsidRPr="000875F4" w:rsidRDefault="00EC28F3" w:rsidP="00EC28F3">
            <w:pPr>
              <w:spacing w:after="0" w:line="240" w:lineRule="auto"/>
              <w:jc w:val="right"/>
              <w:rPr>
                <w:rFonts w:ascii="Arial" w:eastAsia="Times New Roman" w:hAnsi="Arial" w:cs="Arial"/>
                <w:sz w:val="16"/>
                <w:szCs w:val="16"/>
                <w:lang w:eastAsia="tr-TR"/>
              </w:rPr>
            </w:pPr>
          </w:p>
          <w:p w:rsidR="00EC28F3" w:rsidRPr="000875F4" w:rsidRDefault="00EC28F3" w:rsidP="00EC28F3">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310.365,98</w:t>
            </w:r>
          </w:p>
          <w:p w:rsidR="00EC28F3" w:rsidRPr="000875F4" w:rsidRDefault="00EC28F3" w:rsidP="00EC28F3">
            <w:pPr>
              <w:spacing w:after="0" w:line="240" w:lineRule="auto"/>
              <w:jc w:val="right"/>
              <w:rPr>
                <w:rFonts w:ascii="Arial" w:eastAsia="Times New Roman" w:hAnsi="Arial" w:cs="Arial"/>
                <w:sz w:val="16"/>
                <w:szCs w:val="16"/>
                <w:lang w:eastAsia="tr-TR"/>
              </w:rPr>
            </w:pPr>
          </w:p>
          <w:p w:rsidR="00EC28F3" w:rsidRPr="000875F4" w:rsidRDefault="00EC28F3" w:rsidP="00EC28F3">
            <w:pPr>
              <w:spacing w:after="0" w:line="240" w:lineRule="auto"/>
              <w:jc w:val="right"/>
              <w:rPr>
                <w:rFonts w:ascii="Arial" w:eastAsia="Times New Roman" w:hAnsi="Arial" w:cs="Arial"/>
                <w:sz w:val="16"/>
                <w:szCs w:val="16"/>
                <w:lang w:eastAsia="tr-TR"/>
              </w:rPr>
            </w:pPr>
          </w:p>
          <w:p w:rsidR="00EC28F3" w:rsidRPr="000875F4" w:rsidRDefault="00EC28F3" w:rsidP="00EC28F3">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4.297.123.884,0</w:t>
            </w:r>
            <w:r>
              <w:rPr>
                <w:rFonts w:ascii="Arial" w:eastAsia="Times New Roman" w:hAnsi="Arial" w:cs="Arial"/>
                <w:sz w:val="16"/>
                <w:szCs w:val="16"/>
                <w:lang w:eastAsia="tr-TR"/>
              </w:rPr>
              <w:t>0</w:t>
            </w:r>
            <w:r w:rsidRPr="000875F4">
              <w:rPr>
                <w:rFonts w:ascii="Arial" w:eastAsia="Times New Roman" w:hAnsi="Arial" w:cs="Arial"/>
                <w:sz w:val="16"/>
                <w:szCs w:val="16"/>
                <w:lang w:eastAsia="tr-TR"/>
              </w:rPr>
              <w:t>4.297.123.884,0</w:t>
            </w:r>
            <w:r>
              <w:rPr>
                <w:rFonts w:ascii="Arial" w:eastAsia="Times New Roman" w:hAnsi="Arial" w:cs="Arial"/>
                <w:sz w:val="16"/>
                <w:szCs w:val="16"/>
                <w:lang w:eastAsia="tr-TR"/>
              </w:rPr>
              <w:t>0</w:t>
            </w:r>
          </w:p>
          <w:p w:rsidR="00EC28F3" w:rsidRPr="000875F4" w:rsidRDefault="00EC28F3" w:rsidP="00EC28F3">
            <w:pPr>
              <w:spacing w:after="0" w:line="240" w:lineRule="auto"/>
              <w:jc w:val="right"/>
              <w:rPr>
                <w:rFonts w:ascii="Arial" w:eastAsia="Times New Roman" w:hAnsi="Arial" w:cs="Arial"/>
                <w:sz w:val="16"/>
                <w:szCs w:val="16"/>
                <w:lang w:eastAsia="tr-TR"/>
              </w:rPr>
            </w:pPr>
          </w:p>
        </w:tc>
        <w:tc>
          <w:tcPr>
            <w:tcW w:w="330" w:type="pct"/>
            <w:tcBorders>
              <w:top w:val="single" w:sz="4" w:space="0" w:color="auto"/>
              <w:left w:val="nil"/>
              <w:bottom w:val="nil"/>
              <w:right w:val="single" w:sz="4" w:space="0" w:color="auto"/>
            </w:tcBorders>
            <w:shd w:val="clear" w:color="auto" w:fill="auto"/>
            <w:noWrap/>
            <w:vAlign w:val="center"/>
          </w:tcPr>
          <w:p w:rsidR="00EC28F3" w:rsidRPr="0095347F" w:rsidRDefault="00EC28F3" w:rsidP="00EC28F3">
            <w:pPr>
              <w:jc w:val="right"/>
              <w:rPr>
                <w:rFonts w:ascii="Arial" w:eastAsia="Times New Roman" w:hAnsi="Arial" w:cs="Arial"/>
                <w:color w:val="000000"/>
                <w:sz w:val="16"/>
                <w:szCs w:val="16"/>
              </w:rPr>
            </w:pPr>
            <w:r>
              <w:rPr>
                <w:rFonts w:ascii="Arial" w:hAnsi="Arial" w:cs="Arial"/>
                <w:color w:val="000000"/>
                <w:sz w:val="16"/>
                <w:szCs w:val="16"/>
              </w:rPr>
              <w:t>2.103.282.754,82</w:t>
            </w:r>
          </w:p>
          <w:p w:rsidR="00EC28F3" w:rsidRPr="000875F4" w:rsidRDefault="00EC28F3" w:rsidP="00EC28F3">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2.1</w:t>
            </w:r>
            <w:r>
              <w:rPr>
                <w:rFonts w:ascii="Arial" w:eastAsia="Times New Roman" w:hAnsi="Arial" w:cs="Arial"/>
                <w:sz w:val="16"/>
                <w:szCs w:val="16"/>
                <w:lang w:eastAsia="tr-TR"/>
              </w:rPr>
              <w:t>03</w:t>
            </w:r>
            <w:r w:rsidRPr="000875F4">
              <w:rPr>
                <w:rFonts w:ascii="Arial" w:eastAsia="Times New Roman" w:hAnsi="Arial" w:cs="Arial"/>
                <w:sz w:val="16"/>
                <w:szCs w:val="16"/>
                <w:lang w:eastAsia="tr-TR"/>
              </w:rPr>
              <w:t>.</w:t>
            </w:r>
            <w:r>
              <w:rPr>
                <w:rFonts w:ascii="Arial" w:eastAsia="Times New Roman" w:hAnsi="Arial" w:cs="Arial"/>
                <w:sz w:val="16"/>
                <w:szCs w:val="16"/>
                <w:lang w:eastAsia="tr-TR"/>
              </w:rPr>
              <w:t>282</w:t>
            </w:r>
            <w:r w:rsidRPr="000875F4">
              <w:rPr>
                <w:rFonts w:ascii="Arial" w:eastAsia="Times New Roman" w:hAnsi="Arial" w:cs="Arial"/>
                <w:sz w:val="16"/>
                <w:szCs w:val="16"/>
                <w:lang w:eastAsia="tr-TR"/>
              </w:rPr>
              <w:t>.</w:t>
            </w:r>
            <w:r>
              <w:rPr>
                <w:rFonts w:ascii="Arial" w:eastAsia="Times New Roman" w:hAnsi="Arial" w:cs="Arial"/>
                <w:sz w:val="16"/>
                <w:szCs w:val="16"/>
                <w:lang w:eastAsia="tr-TR"/>
              </w:rPr>
              <w:t>754</w:t>
            </w:r>
            <w:r w:rsidRPr="000875F4">
              <w:rPr>
                <w:rFonts w:ascii="Arial" w:eastAsia="Times New Roman" w:hAnsi="Arial" w:cs="Arial"/>
                <w:sz w:val="16"/>
                <w:szCs w:val="16"/>
                <w:lang w:eastAsia="tr-TR"/>
              </w:rPr>
              <w:t>,8</w:t>
            </w:r>
            <w:r>
              <w:rPr>
                <w:rFonts w:ascii="Arial" w:eastAsia="Times New Roman" w:hAnsi="Arial" w:cs="Arial"/>
                <w:sz w:val="16"/>
                <w:szCs w:val="16"/>
                <w:lang w:eastAsia="tr-TR"/>
              </w:rPr>
              <w:t>2</w:t>
            </w:r>
          </w:p>
          <w:p w:rsidR="00EC28F3" w:rsidRPr="000875F4" w:rsidRDefault="00EC28F3" w:rsidP="00EC28F3">
            <w:pPr>
              <w:spacing w:after="0" w:line="240" w:lineRule="auto"/>
              <w:jc w:val="right"/>
              <w:rPr>
                <w:rFonts w:ascii="Arial" w:eastAsia="Times New Roman" w:hAnsi="Arial" w:cs="Arial"/>
                <w:sz w:val="16"/>
                <w:szCs w:val="16"/>
                <w:lang w:eastAsia="tr-TR"/>
              </w:rPr>
            </w:pPr>
          </w:p>
          <w:p w:rsidR="00EC28F3" w:rsidRPr="000875F4" w:rsidRDefault="00EC28F3" w:rsidP="00EC28F3">
            <w:pPr>
              <w:spacing w:after="0" w:line="240" w:lineRule="auto"/>
              <w:jc w:val="right"/>
              <w:rPr>
                <w:rFonts w:ascii="Arial" w:eastAsia="Times New Roman" w:hAnsi="Arial" w:cs="Arial"/>
                <w:sz w:val="16"/>
                <w:szCs w:val="16"/>
                <w:lang w:eastAsia="tr-TR"/>
              </w:rPr>
            </w:pPr>
          </w:p>
          <w:p w:rsidR="00EC28F3" w:rsidRPr="000875F4" w:rsidRDefault="00EC28F3" w:rsidP="00EC28F3">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2.358.461,67</w:t>
            </w:r>
          </w:p>
          <w:p w:rsidR="00EC28F3" w:rsidRPr="000875F4" w:rsidRDefault="00EC28F3" w:rsidP="00EC28F3">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2.358.461,67</w:t>
            </w:r>
          </w:p>
          <w:p w:rsidR="00EC28F3" w:rsidRPr="000875F4" w:rsidRDefault="00EC28F3" w:rsidP="00EC28F3">
            <w:pPr>
              <w:spacing w:after="0" w:line="240" w:lineRule="auto"/>
              <w:jc w:val="right"/>
              <w:rPr>
                <w:rFonts w:ascii="Arial" w:eastAsia="Times New Roman" w:hAnsi="Arial" w:cs="Arial"/>
                <w:sz w:val="16"/>
                <w:szCs w:val="16"/>
                <w:lang w:eastAsia="tr-TR"/>
              </w:rPr>
            </w:pPr>
          </w:p>
          <w:p w:rsidR="00EC28F3" w:rsidRPr="000875F4" w:rsidRDefault="00EC28F3" w:rsidP="00EC28F3">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267.176,82</w:t>
            </w:r>
          </w:p>
          <w:p w:rsidR="00EC28F3" w:rsidRPr="000875F4" w:rsidRDefault="00EC28F3" w:rsidP="00EC28F3">
            <w:pPr>
              <w:spacing w:after="0" w:line="240" w:lineRule="auto"/>
              <w:jc w:val="right"/>
              <w:rPr>
                <w:rFonts w:ascii="Arial" w:eastAsia="Times New Roman" w:hAnsi="Arial" w:cs="Arial"/>
                <w:sz w:val="16"/>
                <w:szCs w:val="16"/>
                <w:lang w:eastAsia="tr-TR"/>
              </w:rPr>
            </w:pPr>
          </w:p>
          <w:p w:rsidR="00EC28F3" w:rsidRPr="000875F4" w:rsidRDefault="00EC28F3" w:rsidP="00EC28F3">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267.176,82</w:t>
            </w:r>
          </w:p>
          <w:p w:rsidR="00EC28F3" w:rsidRPr="000875F4" w:rsidRDefault="00EC28F3" w:rsidP="00EC28F3">
            <w:pPr>
              <w:spacing w:after="0" w:line="240" w:lineRule="auto"/>
              <w:jc w:val="right"/>
              <w:rPr>
                <w:rFonts w:ascii="Arial" w:eastAsia="Times New Roman" w:hAnsi="Arial" w:cs="Arial"/>
                <w:sz w:val="16"/>
                <w:szCs w:val="16"/>
                <w:lang w:eastAsia="tr-TR"/>
              </w:rPr>
            </w:pPr>
          </w:p>
          <w:p w:rsidR="00EC28F3" w:rsidRPr="000875F4" w:rsidRDefault="00EC28F3" w:rsidP="00EC28F3">
            <w:pPr>
              <w:spacing w:after="0" w:line="240" w:lineRule="auto"/>
              <w:jc w:val="right"/>
              <w:rPr>
                <w:rFonts w:ascii="Arial" w:eastAsia="Times New Roman" w:hAnsi="Arial" w:cs="Arial"/>
                <w:sz w:val="16"/>
                <w:szCs w:val="16"/>
                <w:lang w:eastAsia="tr-TR"/>
              </w:rPr>
            </w:pPr>
          </w:p>
          <w:p w:rsidR="00EC28F3" w:rsidRPr="000875F4" w:rsidRDefault="00EC28F3" w:rsidP="00EC28F3">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5.004.168.080,775.004.168.080,77</w:t>
            </w:r>
          </w:p>
          <w:p w:rsidR="00EC28F3" w:rsidRPr="000875F4" w:rsidRDefault="00EC28F3" w:rsidP="00EC28F3">
            <w:pPr>
              <w:spacing w:after="0" w:line="240" w:lineRule="auto"/>
              <w:jc w:val="right"/>
              <w:rPr>
                <w:rFonts w:ascii="Arial" w:eastAsia="Times New Roman" w:hAnsi="Arial" w:cs="Arial"/>
                <w:sz w:val="16"/>
                <w:szCs w:val="16"/>
                <w:lang w:eastAsia="tr-TR"/>
              </w:rPr>
            </w:pPr>
          </w:p>
        </w:tc>
        <w:tc>
          <w:tcPr>
            <w:tcW w:w="339" w:type="pct"/>
            <w:tcBorders>
              <w:top w:val="single" w:sz="4" w:space="0" w:color="auto"/>
              <w:left w:val="single" w:sz="4" w:space="0" w:color="auto"/>
              <w:bottom w:val="nil"/>
              <w:right w:val="single" w:sz="8" w:space="0" w:color="auto"/>
            </w:tcBorders>
            <w:shd w:val="clear" w:color="auto" w:fill="auto"/>
            <w:noWrap/>
            <w:vAlign w:val="center"/>
          </w:tcPr>
          <w:p w:rsidR="00EC28F3" w:rsidRPr="0095347F" w:rsidRDefault="00EC28F3" w:rsidP="00EC28F3">
            <w:pPr>
              <w:jc w:val="right"/>
              <w:rPr>
                <w:rFonts w:ascii="Arial" w:eastAsia="Times New Roman" w:hAnsi="Arial" w:cs="Arial"/>
                <w:color w:val="000000"/>
                <w:sz w:val="16"/>
                <w:szCs w:val="16"/>
              </w:rPr>
            </w:pPr>
            <w:r>
              <w:rPr>
                <w:rFonts w:ascii="Arial" w:hAnsi="Arial" w:cs="Arial"/>
                <w:color w:val="000000"/>
                <w:sz w:val="16"/>
                <w:szCs w:val="16"/>
              </w:rPr>
              <w:t>2.486.380.797,49</w:t>
            </w:r>
          </w:p>
          <w:p w:rsidR="00EC28F3" w:rsidRPr="000875F4" w:rsidRDefault="00EC28F3" w:rsidP="00EC28F3">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2.282.754,82</w:t>
            </w:r>
          </w:p>
          <w:p w:rsidR="00EC28F3" w:rsidRPr="000875F4" w:rsidRDefault="00EC28F3" w:rsidP="00EC28F3">
            <w:pPr>
              <w:spacing w:after="0" w:line="240" w:lineRule="auto"/>
              <w:jc w:val="right"/>
              <w:rPr>
                <w:rFonts w:ascii="Arial" w:eastAsia="Times New Roman" w:hAnsi="Arial" w:cs="Arial"/>
                <w:sz w:val="16"/>
                <w:szCs w:val="16"/>
                <w:lang w:eastAsia="tr-TR"/>
              </w:rPr>
            </w:pPr>
          </w:p>
          <w:p w:rsidR="00EC28F3" w:rsidRPr="000875F4" w:rsidRDefault="00EC28F3" w:rsidP="00EC28F3">
            <w:pPr>
              <w:spacing w:after="0" w:line="240" w:lineRule="auto"/>
              <w:jc w:val="right"/>
              <w:rPr>
                <w:rFonts w:ascii="Arial" w:eastAsia="Times New Roman" w:hAnsi="Arial" w:cs="Arial"/>
                <w:sz w:val="16"/>
                <w:szCs w:val="16"/>
                <w:lang w:eastAsia="tr-TR"/>
              </w:rPr>
            </w:pPr>
          </w:p>
          <w:p w:rsidR="00EC28F3" w:rsidRPr="000875F4" w:rsidRDefault="00EC28F3" w:rsidP="00EC28F3">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0</w:t>
            </w:r>
          </w:p>
          <w:p w:rsidR="00EC28F3" w:rsidRPr="000875F4" w:rsidRDefault="00EC28F3" w:rsidP="00EC28F3">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0</w:t>
            </w:r>
          </w:p>
          <w:p w:rsidR="00EC28F3" w:rsidRPr="000875F4" w:rsidRDefault="00EC28F3" w:rsidP="00EC28F3">
            <w:pPr>
              <w:spacing w:after="0" w:line="240" w:lineRule="auto"/>
              <w:jc w:val="right"/>
              <w:rPr>
                <w:rFonts w:ascii="Arial" w:eastAsia="Times New Roman" w:hAnsi="Arial" w:cs="Arial"/>
                <w:sz w:val="16"/>
                <w:szCs w:val="16"/>
                <w:lang w:eastAsia="tr-TR"/>
              </w:rPr>
            </w:pPr>
          </w:p>
          <w:p w:rsidR="00EC28F3" w:rsidRPr="000875F4" w:rsidRDefault="00EC28F3" w:rsidP="00EC28F3">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457.633,28</w:t>
            </w:r>
          </w:p>
          <w:p w:rsidR="00EC28F3" w:rsidRPr="000875F4" w:rsidRDefault="00EC28F3" w:rsidP="00EC28F3">
            <w:pPr>
              <w:spacing w:after="0" w:line="240" w:lineRule="auto"/>
              <w:jc w:val="right"/>
              <w:rPr>
                <w:rFonts w:ascii="Arial" w:eastAsia="Times New Roman" w:hAnsi="Arial" w:cs="Arial"/>
                <w:sz w:val="16"/>
                <w:szCs w:val="16"/>
                <w:lang w:eastAsia="tr-TR"/>
              </w:rPr>
            </w:pPr>
          </w:p>
          <w:p w:rsidR="00EC28F3" w:rsidRPr="000875F4" w:rsidRDefault="00EC28F3" w:rsidP="00EC28F3">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457.633,28</w:t>
            </w:r>
          </w:p>
          <w:p w:rsidR="00EC28F3" w:rsidRPr="000875F4" w:rsidRDefault="00EC28F3" w:rsidP="00EC28F3">
            <w:pPr>
              <w:spacing w:after="0" w:line="240" w:lineRule="auto"/>
              <w:jc w:val="right"/>
              <w:rPr>
                <w:rFonts w:ascii="Arial" w:eastAsia="Times New Roman" w:hAnsi="Arial" w:cs="Arial"/>
                <w:sz w:val="16"/>
                <w:szCs w:val="16"/>
                <w:lang w:eastAsia="tr-TR"/>
              </w:rPr>
            </w:pPr>
          </w:p>
          <w:p w:rsidR="00EC28F3" w:rsidRPr="000875F4" w:rsidRDefault="00EC28F3" w:rsidP="00EC28F3">
            <w:pPr>
              <w:spacing w:after="0" w:line="240" w:lineRule="auto"/>
              <w:jc w:val="right"/>
              <w:rPr>
                <w:rFonts w:ascii="Arial" w:eastAsia="Times New Roman" w:hAnsi="Arial" w:cs="Arial"/>
                <w:sz w:val="16"/>
                <w:szCs w:val="16"/>
                <w:lang w:eastAsia="tr-TR"/>
              </w:rPr>
            </w:pPr>
          </w:p>
          <w:p w:rsidR="00EC28F3" w:rsidRPr="000875F4" w:rsidRDefault="00EC28F3" w:rsidP="00EC28F3">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5.</w:t>
            </w:r>
            <w:r>
              <w:rPr>
                <w:rFonts w:ascii="Arial" w:eastAsia="Times New Roman" w:hAnsi="Arial" w:cs="Arial"/>
                <w:sz w:val="16"/>
                <w:szCs w:val="16"/>
                <w:lang w:eastAsia="tr-TR"/>
              </w:rPr>
              <w:t>250</w:t>
            </w:r>
            <w:r w:rsidRPr="000875F4">
              <w:rPr>
                <w:rFonts w:ascii="Arial" w:eastAsia="Times New Roman" w:hAnsi="Arial" w:cs="Arial"/>
                <w:sz w:val="16"/>
                <w:szCs w:val="16"/>
                <w:lang w:eastAsia="tr-TR"/>
              </w:rPr>
              <w:t>.</w:t>
            </w:r>
            <w:r>
              <w:rPr>
                <w:rFonts w:ascii="Arial" w:eastAsia="Times New Roman" w:hAnsi="Arial" w:cs="Arial"/>
                <w:sz w:val="16"/>
                <w:szCs w:val="16"/>
                <w:lang w:eastAsia="tr-TR"/>
              </w:rPr>
              <w:t>977</w:t>
            </w:r>
            <w:r w:rsidRPr="000875F4">
              <w:rPr>
                <w:rFonts w:ascii="Arial" w:eastAsia="Times New Roman" w:hAnsi="Arial" w:cs="Arial"/>
                <w:sz w:val="16"/>
                <w:szCs w:val="16"/>
                <w:lang w:eastAsia="tr-TR"/>
              </w:rPr>
              <w:t>.</w:t>
            </w:r>
            <w:r>
              <w:rPr>
                <w:rFonts w:ascii="Arial" w:eastAsia="Times New Roman" w:hAnsi="Arial" w:cs="Arial"/>
                <w:sz w:val="16"/>
                <w:szCs w:val="16"/>
                <w:lang w:eastAsia="tr-TR"/>
              </w:rPr>
              <w:t>158,03</w:t>
            </w:r>
            <w:r w:rsidRPr="000875F4">
              <w:rPr>
                <w:rFonts w:ascii="Arial" w:eastAsia="Times New Roman" w:hAnsi="Arial" w:cs="Arial"/>
                <w:sz w:val="16"/>
                <w:szCs w:val="16"/>
                <w:lang w:eastAsia="tr-TR"/>
              </w:rPr>
              <w:t>5.</w:t>
            </w:r>
            <w:r>
              <w:rPr>
                <w:rFonts w:ascii="Arial" w:eastAsia="Times New Roman" w:hAnsi="Arial" w:cs="Arial"/>
                <w:sz w:val="16"/>
                <w:szCs w:val="16"/>
                <w:lang w:eastAsia="tr-TR"/>
              </w:rPr>
              <w:t>250</w:t>
            </w:r>
            <w:r w:rsidRPr="000875F4">
              <w:rPr>
                <w:rFonts w:ascii="Arial" w:eastAsia="Times New Roman" w:hAnsi="Arial" w:cs="Arial"/>
                <w:sz w:val="16"/>
                <w:szCs w:val="16"/>
                <w:lang w:eastAsia="tr-TR"/>
              </w:rPr>
              <w:t>.</w:t>
            </w:r>
            <w:r>
              <w:rPr>
                <w:rFonts w:ascii="Arial" w:eastAsia="Times New Roman" w:hAnsi="Arial" w:cs="Arial"/>
                <w:sz w:val="16"/>
                <w:szCs w:val="16"/>
                <w:lang w:eastAsia="tr-TR"/>
              </w:rPr>
              <w:t>977</w:t>
            </w:r>
            <w:r w:rsidRPr="000875F4">
              <w:rPr>
                <w:rFonts w:ascii="Arial" w:eastAsia="Times New Roman" w:hAnsi="Arial" w:cs="Arial"/>
                <w:sz w:val="16"/>
                <w:szCs w:val="16"/>
                <w:lang w:eastAsia="tr-TR"/>
              </w:rPr>
              <w:t>.</w:t>
            </w:r>
            <w:r>
              <w:rPr>
                <w:rFonts w:ascii="Arial" w:eastAsia="Times New Roman" w:hAnsi="Arial" w:cs="Arial"/>
                <w:sz w:val="16"/>
                <w:szCs w:val="16"/>
                <w:lang w:eastAsia="tr-TR"/>
              </w:rPr>
              <w:t>158,03</w:t>
            </w:r>
          </w:p>
          <w:p w:rsidR="00EC28F3" w:rsidRPr="000875F4" w:rsidRDefault="00EC28F3" w:rsidP="00EC28F3">
            <w:pPr>
              <w:spacing w:after="0" w:line="240" w:lineRule="auto"/>
              <w:jc w:val="right"/>
              <w:rPr>
                <w:rFonts w:ascii="Arial" w:eastAsia="Times New Roman" w:hAnsi="Arial" w:cs="Arial"/>
                <w:sz w:val="16"/>
                <w:szCs w:val="16"/>
                <w:lang w:eastAsia="tr-TR"/>
              </w:rPr>
            </w:pPr>
          </w:p>
        </w:tc>
        <w:tc>
          <w:tcPr>
            <w:tcW w:w="38" w:type="pct"/>
            <w:tcBorders>
              <w:top w:val="single" w:sz="4" w:space="0" w:color="auto"/>
              <w:left w:val="nil"/>
              <w:bottom w:val="nil"/>
              <w:right w:val="nil"/>
            </w:tcBorders>
            <w:shd w:val="clear" w:color="auto" w:fill="auto"/>
            <w:noWrap/>
            <w:vAlign w:val="center"/>
            <w:hideMark/>
          </w:tcPr>
          <w:p w:rsidR="00EC28F3" w:rsidRPr="000875F4" w:rsidRDefault="00EC28F3" w:rsidP="00EC28F3">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72" w:type="pct"/>
            <w:tcBorders>
              <w:top w:val="single" w:sz="4" w:space="0" w:color="auto"/>
              <w:left w:val="nil"/>
              <w:bottom w:val="nil"/>
              <w:right w:val="nil"/>
            </w:tcBorders>
            <w:shd w:val="clear" w:color="auto" w:fill="auto"/>
            <w:noWrap/>
            <w:vAlign w:val="center"/>
          </w:tcPr>
          <w:p w:rsidR="00EC28F3" w:rsidRPr="000875F4" w:rsidRDefault="00EC28F3" w:rsidP="00EC28F3">
            <w:pPr>
              <w:spacing w:after="0" w:line="240" w:lineRule="auto"/>
              <w:jc w:val="left"/>
              <w:rPr>
                <w:rFonts w:ascii="Arial" w:eastAsia="Times New Roman" w:hAnsi="Arial" w:cs="Arial"/>
                <w:sz w:val="16"/>
                <w:szCs w:val="16"/>
                <w:lang w:eastAsia="tr-TR"/>
              </w:rPr>
            </w:pPr>
          </w:p>
        </w:tc>
        <w:tc>
          <w:tcPr>
            <w:tcW w:w="776" w:type="pct"/>
            <w:tcBorders>
              <w:top w:val="single" w:sz="4" w:space="0" w:color="auto"/>
              <w:left w:val="nil"/>
              <w:bottom w:val="nil"/>
              <w:right w:val="nil"/>
            </w:tcBorders>
            <w:shd w:val="clear" w:color="auto" w:fill="auto"/>
            <w:noWrap/>
            <w:vAlign w:val="center"/>
          </w:tcPr>
          <w:p w:rsidR="00EC28F3" w:rsidRPr="000875F4" w:rsidRDefault="00EC28F3" w:rsidP="00EC28F3">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910-Alınan Teminat Mektupları Hesabı</w:t>
            </w:r>
          </w:p>
          <w:p w:rsidR="00EC28F3" w:rsidRPr="000875F4" w:rsidRDefault="00EC28F3" w:rsidP="00EC28F3">
            <w:pPr>
              <w:spacing w:after="0" w:line="240" w:lineRule="auto"/>
              <w:jc w:val="left"/>
              <w:rPr>
                <w:rFonts w:ascii="Arial" w:eastAsia="Times New Roman" w:hAnsi="Arial" w:cs="Arial"/>
                <w:sz w:val="16"/>
                <w:szCs w:val="16"/>
                <w:lang w:eastAsia="tr-TR"/>
              </w:rPr>
            </w:pPr>
          </w:p>
          <w:p w:rsidR="00EC28F3" w:rsidRPr="000875F4" w:rsidRDefault="00EC28F3" w:rsidP="00EC28F3">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911-Alınan Teminat Mektupları Emanetleri Hesabı</w:t>
            </w:r>
          </w:p>
          <w:p w:rsidR="00EC28F3" w:rsidRPr="000875F4" w:rsidRDefault="00EC28F3" w:rsidP="00EC28F3">
            <w:pPr>
              <w:spacing w:after="0" w:line="240" w:lineRule="auto"/>
              <w:jc w:val="left"/>
              <w:rPr>
                <w:rFonts w:ascii="Arial" w:eastAsia="Times New Roman" w:hAnsi="Arial" w:cs="Arial"/>
                <w:sz w:val="16"/>
                <w:szCs w:val="16"/>
                <w:lang w:eastAsia="tr-TR"/>
              </w:rPr>
            </w:pPr>
          </w:p>
          <w:p w:rsidR="00EC28F3" w:rsidRPr="000875F4" w:rsidRDefault="00EC28F3" w:rsidP="00EC28F3">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920-Gider Taahhütleri Hesabı</w:t>
            </w:r>
          </w:p>
          <w:p w:rsidR="00EC28F3" w:rsidRPr="000875F4" w:rsidRDefault="00EC28F3" w:rsidP="00EC28F3">
            <w:pPr>
              <w:spacing w:after="0" w:line="240" w:lineRule="auto"/>
              <w:jc w:val="left"/>
              <w:rPr>
                <w:rFonts w:ascii="Arial" w:eastAsia="Times New Roman" w:hAnsi="Arial" w:cs="Arial"/>
                <w:sz w:val="16"/>
                <w:szCs w:val="16"/>
                <w:lang w:eastAsia="tr-TR"/>
              </w:rPr>
            </w:pPr>
          </w:p>
          <w:p w:rsidR="00EC28F3" w:rsidRPr="000875F4" w:rsidRDefault="00EC28F3" w:rsidP="00EC28F3">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921- Gider Taahhütleri Karşılığı Hesabı</w:t>
            </w:r>
          </w:p>
          <w:p w:rsidR="00EC28F3" w:rsidRPr="000875F4" w:rsidRDefault="00EC28F3" w:rsidP="00EC28F3">
            <w:pPr>
              <w:spacing w:after="0" w:line="240" w:lineRule="auto"/>
              <w:jc w:val="left"/>
              <w:rPr>
                <w:rFonts w:ascii="Arial" w:eastAsia="Times New Roman" w:hAnsi="Arial" w:cs="Arial"/>
                <w:sz w:val="16"/>
                <w:szCs w:val="16"/>
                <w:lang w:eastAsia="tr-TR"/>
              </w:rPr>
            </w:pPr>
          </w:p>
          <w:p w:rsidR="00EC28F3" w:rsidRPr="000875F4" w:rsidRDefault="00EC28F3" w:rsidP="00EC28F3">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948-Başka Birimler Adına İzlenen Alacaklar Hesabı</w:t>
            </w:r>
          </w:p>
          <w:p w:rsidR="00EC28F3" w:rsidRPr="000875F4" w:rsidRDefault="00EC28F3" w:rsidP="00EC28F3">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949-Başka Birimler Adına İzlenen Alacak Emanetleri Hesabı</w:t>
            </w:r>
          </w:p>
          <w:p w:rsidR="00EC28F3" w:rsidRPr="000875F4" w:rsidRDefault="00EC28F3" w:rsidP="00EC28F3">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998-Diğer Nazım Hesaplar</w:t>
            </w:r>
          </w:p>
          <w:p w:rsidR="00EC28F3" w:rsidRPr="000875F4" w:rsidRDefault="00EC28F3" w:rsidP="00EC28F3">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999-Diğer Nazım Hes. Karşılığı Hesabı</w:t>
            </w:r>
          </w:p>
          <w:p w:rsidR="00EC28F3" w:rsidRPr="000875F4" w:rsidRDefault="00EC28F3" w:rsidP="00EC28F3">
            <w:pPr>
              <w:spacing w:after="0" w:line="240" w:lineRule="auto"/>
              <w:jc w:val="left"/>
              <w:rPr>
                <w:rFonts w:ascii="Arial" w:eastAsia="Times New Roman" w:hAnsi="Arial" w:cs="Arial"/>
                <w:sz w:val="16"/>
                <w:szCs w:val="16"/>
                <w:lang w:eastAsia="tr-TR"/>
              </w:rPr>
            </w:pPr>
          </w:p>
        </w:tc>
        <w:tc>
          <w:tcPr>
            <w:tcW w:w="359" w:type="pct"/>
            <w:tcBorders>
              <w:top w:val="single" w:sz="4" w:space="0" w:color="auto"/>
              <w:left w:val="single" w:sz="8" w:space="0" w:color="auto"/>
              <w:bottom w:val="nil"/>
              <w:right w:val="single" w:sz="8" w:space="0" w:color="auto"/>
            </w:tcBorders>
            <w:shd w:val="clear" w:color="auto" w:fill="auto"/>
            <w:noWrap/>
            <w:vAlign w:val="center"/>
          </w:tcPr>
          <w:p w:rsidR="00EC28F3" w:rsidRPr="0095347F" w:rsidRDefault="00EC28F3" w:rsidP="00EC28F3">
            <w:pPr>
              <w:jc w:val="right"/>
              <w:rPr>
                <w:rFonts w:ascii="Arial" w:eastAsia="Times New Roman" w:hAnsi="Arial" w:cs="Arial"/>
                <w:color w:val="000000"/>
                <w:sz w:val="16"/>
                <w:szCs w:val="16"/>
              </w:rPr>
            </w:pPr>
            <w:r>
              <w:rPr>
                <w:rFonts w:ascii="Arial" w:hAnsi="Arial" w:cs="Arial"/>
                <w:color w:val="000000"/>
                <w:sz w:val="16"/>
                <w:szCs w:val="16"/>
              </w:rPr>
              <w:t>2.177.444.363,88</w:t>
            </w:r>
          </w:p>
          <w:p w:rsidR="00EC28F3" w:rsidRPr="000875F4" w:rsidRDefault="00EC28F3" w:rsidP="00EC28F3">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2.1</w:t>
            </w:r>
            <w:r>
              <w:rPr>
                <w:rFonts w:ascii="Arial" w:eastAsia="Times New Roman" w:hAnsi="Arial" w:cs="Arial"/>
                <w:sz w:val="16"/>
                <w:szCs w:val="16"/>
                <w:lang w:eastAsia="tr-TR"/>
              </w:rPr>
              <w:t>77.44</w:t>
            </w:r>
            <w:r w:rsidRPr="000875F4">
              <w:rPr>
                <w:rFonts w:ascii="Arial" w:eastAsia="Times New Roman" w:hAnsi="Arial" w:cs="Arial"/>
                <w:sz w:val="16"/>
                <w:szCs w:val="16"/>
                <w:lang w:eastAsia="tr-TR"/>
              </w:rPr>
              <w:t>4.3</w:t>
            </w:r>
            <w:r>
              <w:rPr>
                <w:rFonts w:ascii="Arial" w:eastAsia="Times New Roman" w:hAnsi="Arial" w:cs="Arial"/>
                <w:sz w:val="16"/>
                <w:szCs w:val="16"/>
                <w:lang w:eastAsia="tr-TR"/>
              </w:rPr>
              <w:t>63</w:t>
            </w:r>
            <w:r w:rsidRPr="000875F4">
              <w:rPr>
                <w:rFonts w:ascii="Arial" w:eastAsia="Times New Roman" w:hAnsi="Arial" w:cs="Arial"/>
                <w:sz w:val="16"/>
                <w:szCs w:val="16"/>
                <w:lang w:eastAsia="tr-TR"/>
              </w:rPr>
              <w:t>,</w:t>
            </w:r>
            <w:r>
              <w:rPr>
                <w:rFonts w:ascii="Arial" w:eastAsia="Times New Roman" w:hAnsi="Arial" w:cs="Arial"/>
                <w:sz w:val="16"/>
                <w:szCs w:val="16"/>
                <w:lang w:eastAsia="tr-TR"/>
              </w:rPr>
              <w:t>8</w:t>
            </w:r>
            <w:r w:rsidRPr="000875F4">
              <w:rPr>
                <w:rFonts w:ascii="Arial" w:eastAsia="Times New Roman" w:hAnsi="Arial" w:cs="Arial"/>
                <w:sz w:val="16"/>
                <w:szCs w:val="16"/>
                <w:lang w:eastAsia="tr-TR"/>
              </w:rPr>
              <w:t>8</w:t>
            </w:r>
          </w:p>
          <w:p w:rsidR="00EC28F3" w:rsidRPr="000875F4" w:rsidRDefault="00EC28F3" w:rsidP="00EC28F3">
            <w:pPr>
              <w:spacing w:after="0" w:line="240" w:lineRule="auto"/>
              <w:jc w:val="right"/>
              <w:rPr>
                <w:rFonts w:ascii="Arial" w:eastAsia="Times New Roman" w:hAnsi="Arial" w:cs="Arial"/>
                <w:sz w:val="16"/>
                <w:szCs w:val="16"/>
                <w:lang w:eastAsia="tr-TR"/>
              </w:rPr>
            </w:pPr>
          </w:p>
          <w:p w:rsidR="00EC28F3" w:rsidRPr="000875F4" w:rsidRDefault="00EC28F3" w:rsidP="00EC28F3">
            <w:pPr>
              <w:spacing w:after="0" w:line="240" w:lineRule="auto"/>
              <w:rPr>
                <w:rFonts w:ascii="Arial" w:eastAsia="Times New Roman" w:hAnsi="Arial" w:cs="Arial"/>
                <w:sz w:val="16"/>
                <w:szCs w:val="16"/>
                <w:lang w:eastAsia="tr-TR"/>
              </w:rPr>
            </w:pPr>
          </w:p>
          <w:p w:rsidR="00EC28F3" w:rsidRPr="000875F4" w:rsidRDefault="00EC28F3" w:rsidP="00EC28F3">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6.490.766,01</w:t>
            </w:r>
          </w:p>
          <w:p w:rsidR="00EC28F3" w:rsidRPr="000875F4" w:rsidRDefault="00EC28F3" w:rsidP="00EC28F3">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6.490.766,01</w:t>
            </w:r>
          </w:p>
          <w:p w:rsidR="00EC28F3" w:rsidRPr="000875F4" w:rsidRDefault="00EC28F3" w:rsidP="00EC28F3">
            <w:pPr>
              <w:spacing w:after="0" w:line="240" w:lineRule="auto"/>
              <w:jc w:val="right"/>
              <w:rPr>
                <w:rFonts w:ascii="Arial" w:eastAsia="Times New Roman" w:hAnsi="Arial" w:cs="Arial"/>
                <w:sz w:val="16"/>
                <w:szCs w:val="16"/>
                <w:lang w:eastAsia="tr-TR"/>
              </w:rPr>
            </w:pPr>
          </w:p>
          <w:p w:rsidR="00EC28F3" w:rsidRPr="000875F4" w:rsidRDefault="00EC28F3" w:rsidP="00EC28F3">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310.365,98</w:t>
            </w:r>
          </w:p>
          <w:p w:rsidR="00EC28F3" w:rsidRPr="000875F4" w:rsidRDefault="00EC28F3" w:rsidP="00EC28F3">
            <w:pPr>
              <w:spacing w:after="0" w:line="240" w:lineRule="auto"/>
              <w:jc w:val="right"/>
              <w:rPr>
                <w:rFonts w:ascii="Arial" w:eastAsia="Times New Roman" w:hAnsi="Arial" w:cs="Arial"/>
                <w:sz w:val="16"/>
                <w:szCs w:val="16"/>
                <w:lang w:eastAsia="tr-TR"/>
              </w:rPr>
            </w:pPr>
          </w:p>
          <w:p w:rsidR="00EC28F3" w:rsidRPr="000875F4" w:rsidRDefault="00EC28F3" w:rsidP="00EC28F3">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310.365,98</w:t>
            </w:r>
          </w:p>
          <w:p w:rsidR="00EC28F3" w:rsidRPr="000875F4" w:rsidRDefault="00EC28F3" w:rsidP="00EC28F3">
            <w:pPr>
              <w:spacing w:after="0" w:line="240" w:lineRule="auto"/>
              <w:jc w:val="right"/>
              <w:rPr>
                <w:rFonts w:ascii="Arial" w:eastAsia="Times New Roman" w:hAnsi="Arial" w:cs="Arial"/>
                <w:sz w:val="16"/>
                <w:szCs w:val="16"/>
                <w:lang w:eastAsia="tr-TR"/>
              </w:rPr>
            </w:pPr>
          </w:p>
          <w:p w:rsidR="00EC28F3" w:rsidRPr="000875F4" w:rsidRDefault="00EC28F3" w:rsidP="00EC28F3">
            <w:pPr>
              <w:spacing w:after="0" w:line="240" w:lineRule="auto"/>
              <w:jc w:val="right"/>
              <w:rPr>
                <w:rFonts w:ascii="Arial" w:eastAsia="Times New Roman" w:hAnsi="Arial" w:cs="Arial"/>
                <w:sz w:val="16"/>
                <w:szCs w:val="16"/>
                <w:lang w:eastAsia="tr-TR"/>
              </w:rPr>
            </w:pPr>
          </w:p>
          <w:p w:rsidR="00EC28F3" w:rsidRPr="000875F4" w:rsidRDefault="00EC28F3" w:rsidP="00EC28F3">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4.297.123.884,0</w:t>
            </w:r>
            <w:r>
              <w:rPr>
                <w:rFonts w:ascii="Arial" w:eastAsia="Times New Roman" w:hAnsi="Arial" w:cs="Arial"/>
                <w:sz w:val="16"/>
                <w:szCs w:val="16"/>
                <w:lang w:eastAsia="tr-TR"/>
              </w:rPr>
              <w:t xml:space="preserve">0 </w:t>
            </w:r>
            <w:r w:rsidRPr="000875F4">
              <w:rPr>
                <w:rFonts w:ascii="Arial" w:eastAsia="Times New Roman" w:hAnsi="Arial" w:cs="Arial"/>
                <w:sz w:val="16"/>
                <w:szCs w:val="16"/>
                <w:lang w:eastAsia="tr-TR"/>
              </w:rPr>
              <w:t>4.297.123.884,0</w:t>
            </w:r>
            <w:r>
              <w:rPr>
                <w:rFonts w:ascii="Arial" w:eastAsia="Times New Roman" w:hAnsi="Arial" w:cs="Arial"/>
                <w:sz w:val="16"/>
                <w:szCs w:val="16"/>
                <w:lang w:eastAsia="tr-TR"/>
              </w:rPr>
              <w:t>0</w:t>
            </w:r>
          </w:p>
          <w:p w:rsidR="00EC28F3" w:rsidRPr="000875F4" w:rsidRDefault="00EC28F3" w:rsidP="00EC28F3">
            <w:pPr>
              <w:spacing w:after="0" w:line="240" w:lineRule="auto"/>
              <w:jc w:val="right"/>
              <w:rPr>
                <w:rFonts w:ascii="Arial" w:eastAsia="Times New Roman" w:hAnsi="Arial" w:cs="Arial"/>
                <w:sz w:val="16"/>
                <w:szCs w:val="16"/>
                <w:lang w:eastAsia="tr-TR"/>
              </w:rPr>
            </w:pPr>
          </w:p>
        </w:tc>
        <w:tc>
          <w:tcPr>
            <w:tcW w:w="326" w:type="pct"/>
            <w:tcBorders>
              <w:top w:val="single" w:sz="4" w:space="0" w:color="auto"/>
              <w:left w:val="nil"/>
              <w:bottom w:val="nil"/>
              <w:right w:val="nil"/>
            </w:tcBorders>
            <w:shd w:val="clear" w:color="auto" w:fill="auto"/>
            <w:noWrap/>
            <w:vAlign w:val="center"/>
          </w:tcPr>
          <w:p w:rsidR="00EC28F3" w:rsidRPr="0095347F" w:rsidRDefault="00EC28F3" w:rsidP="00EC28F3">
            <w:pPr>
              <w:jc w:val="right"/>
              <w:rPr>
                <w:rFonts w:ascii="Arial" w:eastAsia="Times New Roman" w:hAnsi="Arial" w:cs="Arial"/>
                <w:color w:val="000000"/>
                <w:sz w:val="16"/>
                <w:szCs w:val="16"/>
              </w:rPr>
            </w:pPr>
            <w:r>
              <w:rPr>
                <w:rFonts w:ascii="Arial" w:hAnsi="Arial" w:cs="Arial"/>
                <w:color w:val="000000"/>
                <w:sz w:val="16"/>
                <w:szCs w:val="16"/>
              </w:rPr>
              <w:t>2.103.282.754,82</w:t>
            </w:r>
          </w:p>
          <w:p w:rsidR="00EC28F3" w:rsidRPr="000875F4" w:rsidRDefault="00EC28F3" w:rsidP="00EC28F3">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2.1</w:t>
            </w:r>
            <w:r>
              <w:rPr>
                <w:rFonts w:ascii="Arial" w:eastAsia="Times New Roman" w:hAnsi="Arial" w:cs="Arial"/>
                <w:sz w:val="16"/>
                <w:szCs w:val="16"/>
                <w:lang w:eastAsia="tr-TR"/>
              </w:rPr>
              <w:t>03</w:t>
            </w:r>
            <w:r w:rsidRPr="000875F4">
              <w:rPr>
                <w:rFonts w:ascii="Arial" w:eastAsia="Times New Roman" w:hAnsi="Arial" w:cs="Arial"/>
                <w:sz w:val="16"/>
                <w:szCs w:val="16"/>
                <w:lang w:eastAsia="tr-TR"/>
              </w:rPr>
              <w:t>.</w:t>
            </w:r>
            <w:r>
              <w:rPr>
                <w:rFonts w:ascii="Arial" w:eastAsia="Times New Roman" w:hAnsi="Arial" w:cs="Arial"/>
                <w:sz w:val="16"/>
                <w:szCs w:val="16"/>
                <w:lang w:eastAsia="tr-TR"/>
              </w:rPr>
              <w:t>282</w:t>
            </w:r>
            <w:r w:rsidRPr="000875F4">
              <w:rPr>
                <w:rFonts w:ascii="Arial" w:eastAsia="Times New Roman" w:hAnsi="Arial" w:cs="Arial"/>
                <w:sz w:val="16"/>
                <w:szCs w:val="16"/>
                <w:lang w:eastAsia="tr-TR"/>
              </w:rPr>
              <w:t>.</w:t>
            </w:r>
            <w:r>
              <w:rPr>
                <w:rFonts w:ascii="Arial" w:eastAsia="Times New Roman" w:hAnsi="Arial" w:cs="Arial"/>
                <w:sz w:val="16"/>
                <w:szCs w:val="16"/>
                <w:lang w:eastAsia="tr-TR"/>
              </w:rPr>
              <w:t>754</w:t>
            </w:r>
            <w:r w:rsidRPr="000875F4">
              <w:rPr>
                <w:rFonts w:ascii="Arial" w:eastAsia="Times New Roman" w:hAnsi="Arial" w:cs="Arial"/>
                <w:sz w:val="16"/>
                <w:szCs w:val="16"/>
                <w:lang w:eastAsia="tr-TR"/>
              </w:rPr>
              <w:t>,8</w:t>
            </w:r>
            <w:r>
              <w:rPr>
                <w:rFonts w:ascii="Arial" w:eastAsia="Times New Roman" w:hAnsi="Arial" w:cs="Arial"/>
                <w:sz w:val="16"/>
                <w:szCs w:val="16"/>
                <w:lang w:eastAsia="tr-TR"/>
              </w:rPr>
              <w:t>2</w:t>
            </w:r>
          </w:p>
          <w:p w:rsidR="00EC28F3" w:rsidRPr="000875F4" w:rsidRDefault="00EC28F3" w:rsidP="00EC28F3">
            <w:pPr>
              <w:spacing w:after="0" w:line="240" w:lineRule="auto"/>
              <w:jc w:val="right"/>
              <w:rPr>
                <w:rFonts w:ascii="Arial" w:eastAsia="Times New Roman" w:hAnsi="Arial" w:cs="Arial"/>
                <w:sz w:val="16"/>
                <w:szCs w:val="16"/>
                <w:lang w:eastAsia="tr-TR"/>
              </w:rPr>
            </w:pPr>
          </w:p>
          <w:p w:rsidR="00EC28F3" w:rsidRPr="000875F4" w:rsidRDefault="00EC28F3" w:rsidP="00EC28F3">
            <w:pPr>
              <w:spacing w:after="0" w:line="240" w:lineRule="auto"/>
              <w:jc w:val="right"/>
              <w:rPr>
                <w:rFonts w:ascii="Arial" w:eastAsia="Times New Roman" w:hAnsi="Arial" w:cs="Arial"/>
                <w:sz w:val="16"/>
                <w:szCs w:val="16"/>
                <w:lang w:eastAsia="tr-TR"/>
              </w:rPr>
            </w:pPr>
          </w:p>
          <w:p w:rsidR="00EC28F3" w:rsidRPr="000875F4" w:rsidRDefault="00EC28F3" w:rsidP="00EC28F3">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2.358.461,67</w:t>
            </w:r>
          </w:p>
          <w:p w:rsidR="00EC28F3" w:rsidRPr="000875F4" w:rsidRDefault="00EC28F3" w:rsidP="00EC28F3">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2.358.461,67</w:t>
            </w:r>
          </w:p>
          <w:p w:rsidR="00EC28F3" w:rsidRPr="000875F4" w:rsidRDefault="00EC28F3" w:rsidP="00EC28F3">
            <w:pPr>
              <w:spacing w:after="0" w:line="240" w:lineRule="auto"/>
              <w:jc w:val="right"/>
              <w:rPr>
                <w:rFonts w:ascii="Arial" w:eastAsia="Times New Roman" w:hAnsi="Arial" w:cs="Arial"/>
                <w:sz w:val="16"/>
                <w:szCs w:val="16"/>
                <w:lang w:eastAsia="tr-TR"/>
              </w:rPr>
            </w:pPr>
          </w:p>
          <w:p w:rsidR="00EC28F3" w:rsidRPr="000875F4" w:rsidRDefault="00EC28F3" w:rsidP="00EC28F3">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267.176,82</w:t>
            </w:r>
          </w:p>
          <w:p w:rsidR="00EC28F3" w:rsidRPr="000875F4" w:rsidRDefault="00EC28F3" w:rsidP="00EC28F3">
            <w:pPr>
              <w:spacing w:after="0" w:line="240" w:lineRule="auto"/>
              <w:jc w:val="right"/>
              <w:rPr>
                <w:rFonts w:ascii="Arial" w:eastAsia="Times New Roman" w:hAnsi="Arial" w:cs="Arial"/>
                <w:sz w:val="16"/>
                <w:szCs w:val="16"/>
                <w:lang w:eastAsia="tr-TR"/>
              </w:rPr>
            </w:pPr>
          </w:p>
          <w:p w:rsidR="00EC28F3" w:rsidRPr="000875F4" w:rsidRDefault="00EC28F3" w:rsidP="00EC28F3">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267.176,82</w:t>
            </w:r>
          </w:p>
          <w:p w:rsidR="00EC28F3" w:rsidRPr="000875F4" w:rsidRDefault="00EC28F3" w:rsidP="00EC28F3">
            <w:pPr>
              <w:spacing w:after="0" w:line="240" w:lineRule="auto"/>
              <w:jc w:val="right"/>
              <w:rPr>
                <w:rFonts w:ascii="Arial" w:eastAsia="Times New Roman" w:hAnsi="Arial" w:cs="Arial"/>
                <w:sz w:val="16"/>
                <w:szCs w:val="16"/>
                <w:lang w:eastAsia="tr-TR"/>
              </w:rPr>
            </w:pPr>
          </w:p>
          <w:p w:rsidR="00EC28F3" w:rsidRPr="000875F4" w:rsidRDefault="00EC28F3" w:rsidP="00EC28F3">
            <w:pPr>
              <w:spacing w:after="0" w:line="240" w:lineRule="auto"/>
              <w:jc w:val="right"/>
              <w:rPr>
                <w:rFonts w:ascii="Arial" w:eastAsia="Times New Roman" w:hAnsi="Arial" w:cs="Arial"/>
                <w:sz w:val="16"/>
                <w:szCs w:val="16"/>
                <w:lang w:eastAsia="tr-TR"/>
              </w:rPr>
            </w:pPr>
          </w:p>
          <w:p w:rsidR="00EC28F3" w:rsidRPr="000875F4" w:rsidRDefault="00EC28F3" w:rsidP="00EC28F3">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5.004.168.080,775.004.168.080,77</w:t>
            </w:r>
          </w:p>
          <w:p w:rsidR="00EC28F3" w:rsidRPr="000875F4" w:rsidRDefault="00EC28F3" w:rsidP="00EC28F3">
            <w:pPr>
              <w:spacing w:after="0" w:line="240" w:lineRule="auto"/>
              <w:jc w:val="right"/>
              <w:rPr>
                <w:rFonts w:ascii="Arial" w:eastAsia="Times New Roman" w:hAnsi="Arial" w:cs="Arial"/>
                <w:sz w:val="16"/>
                <w:szCs w:val="16"/>
                <w:lang w:eastAsia="tr-TR"/>
              </w:rPr>
            </w:pPr>
          </w:p>
        </w:tc>
        <w:tc>
          <w:tcPr>
            <w:tcW w:w="354" w:type="pct"/>
            <w:tcBorders>
              <w:top w:val="single" w:sz="4" w:space="0" w:color="auto"/>
              <w:left w:val="single" w:sz="8" w:space="0" w:color="auto"/>
              <w:bottom w:val="nil"/>
              <w:right w:val="single" w:sz="8" w:space="0" w:color="auto"/>
            </w:tcBorders>
            <w:shd w:val="clear" w:color="auto" w:fill="auto"/>
            <w:noWrap/>
            <w:vAlign w:val="center"/>
          </w:tcPr>
          <w:p w:rsidR="00EC28F3" w:rsidRPr="0095347F" w:rsidRDefault="00EC28F3" w:rsidP="00EC28F3">
            <w:pPr>
              <w:jc w:val="right"/>
              <w:rPr>
                <w:rFonts w:ascii="Arial" w:eastAsia="Times New Roman" w:hAnsi="Arial" w:cs="Arial"/>
                <w:color w:val="000000"/>
                <w:sz w:val="16"/>
                <w:szCs w:val="16"/>
              </w:rPr>
            </w:pPr>
            <w:r>
              <w:rPr>
                <w:rFonts w:ascii="Arial" w:hAnsi="Arial" w:cs="Arial"/>
                <w:color w:val="000000"/>
                <w:sz w:val="16"/>
                <w:szCs w:val="16"/>
              </w:rPr>
              <w:t>2.486.380.797,49</w:t>
            </w:r>
          </w:p>
          <w:p w:rsidR="00EC28F3" w:rsidRPr="000875F4" w:rsidRDefault="00EC28F3" w:rsidP="00EC28F3">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2.282.754,82</w:t>
            </w:r>
          </w:p>
          <w:p w:rsidR="00EC28F3" w:rsidRPr="000875F4" w:rsidRDefault="00EC28F3" w:rsidP="00EC28F3">
            <w:pPr>
              <w:spacing w:after="0" w:line="240" w:lineRule="auto"/>
              <w:jc w:val="right"/>
              <w:rPr>
                <w:rFonts w:ascii="Arial" w:eastAsia="Times New Roman" w:hAnsi="Arial" w:cs="Arial"/>
                <w:sz w:val="16"/>
                <w:szCs w:val="16"/>
                <w:lang w:eastAsia="tr-TR"/>
              </w:rPr>
            </w:pPr>
          </w:p>
          <w:p w:rsidR="00EC28F3" w:rsidRPr="000875F4" w:rsidRDefault="00EC28F3" w:rsidP="00EC28F3">
            <w:pPr>
              <w:spacing w:after="0" w:line="240" w:lineRule="auto"/>
              <w:jc w:val="right"/>
              <w:rPr>
                <w:rFonts w:ascii="Arial" w:eastAsia="Times New Roman" w:hAnsi="Arial" w:cs="Arial"/>
                <w:sz w:val="16"/>
                <w:szCs w:val="16"/>
                <w:lang w:eastAsia="tr-TR"/>
              </w:rPr>
            </w:pPr>
          </w:p>
          <w:p w:rsidR="00EC28F3" w:rsidRPr="000875F4" w:rsidRDefault="00EC28F3" w:rsidP="00EC28F3">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0</w:t>
            </w:r>
          </w:p>
          <w:p w:rsidR="00EC28F3" w:rsidRPr="000875F4" w:rsidRDefault="00EC28F3" w:rsidP="00EC28F3">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0</w:t>
            </w:r>
          </w:p>
          <w:p w:rsidR="00EC28F3" w:rsidRPr="000875F4" w:rsidRDefault="00EC28F3" w:rsidP="00EC28F3">
            <w:pPr>
              <w:spacing w:after="0" w:line="240" w:lineRule="auto"/>
              <w:jc w:val="right"/>
              <w:rPr>
                <w:rFonts w:ascii="Arial" w:eastAsia="Times New Roman" w:hAnsi="Arial" w:cs="Arial"/>
                <w:sz w:val="16"/>
                <w:szCs w:val="16"/>
                <w:lang w:eastAsia="tr-TR"/>
              </w:rPr>
            </w:pPr>
          </w:p>
          <w:p w:rsidR="00EC28F3" w:rsidRPr="000875F4" w:rsidRDefault="00EC28F3" w:rsidP="00EC28F3">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457.633,28</w:t>
            </w:r>
          </w:p>
          <w:p w:rsidR="00EC28F3" w:rsidRPr="000875F4" w:rsidRDefault="00EC28F3" w:rsidP="00EC28F3">
            <w:pPr>
              <w:spacing w:after="0" w:line="240" w:lineRule="auto"/>
              <w:jc w:val="right"/>
              <w:rPr>
                <w:rFonts w:ascii="Arial" w:eastAsia="Times New Roman" w:hAnsi="Arial" w:cs="Arial"/>
                <w:sz w:val="16"/>
                <w:szCs w:val="16"/>
                <w:lang w:eastAsia="tr-TR"/>
              </w:rPr>
            </w:pPr>
          </w:p>
          <w:p w:rsidR="00EC28F3" w:rsidRPr="000875F4" w:rsidRDefault="00EC28F3" w:rsidP="00EC28F3">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457.633,28</w:t>
            </w:r>
          </w:p>
          <w:p w:rsidR="00EC28F3" w:rsidRPr="000875F4" w:rsidRDefault="00EC28F3" w:rsidP="00EC28F3">
            <w:pPr>
              <w:spacing w:after="0" w:line="240" w:lineRule="auto"/>
              <w:jc w:val="right"/>
              <w:rPr>
                <w:rFonts w:ascii="Arial" w:eastAsia="Times New Roman" w:hAnsi="Arial" w:cs="Arial"/>
                <w:sz w:val="16"/>
                <w:szCs w:val="16"/>
                <w:lang w:eastAsia="tr-TR"/>
              </w:rPr>
            </w:pPr>
          </w:p>
          <w:p w:rsidR="00EC28F3" w:rsidRPr="000875F4" w:rsidRDefault="00EC28F3" w:rsidP="00EC28F3">
            <w:pPr>
              <w:spacing w:after="0" w:line="240" w:lineRule="auto"/>
              <w:jc w:val="right"/>
              <w:rPr>
                <w:rFonts w:ascii="Arial" w:eastAsia="Times New Roman" w:hAnsi="Arial" w:cs="Arial"/>
                <w:sz w:val="16"/>
                <w:szCs w:val="16"/>
                <w:lang w:eastAsia="tr-TR"/>
              </w:rPr>
            </w:pPr>
          </w:p>
          <w:p w:rsidR="00EC28F3" w:rsidRPr="000875F4" w:rsidRDefault="00EC28F3" w:rsidP="00EC28F3">
            <w:pPr>
              <w:spacing w:after="0" w:line="240" w:lineRule="auto"/>
              <w:jc w:val="right"/>
              <w:rPr>
                <w:rFonts w:ascii="Arial" w:eastAsia="Times New Roman" w:hAnsi="Arial" w:cs="Arial"/>
                <w:sz w:val="16"/>
                <w:szCs w:val="16"/>
                <w:lang w:eastAsia="tr-TR"/>
              </w:rPr>
            </w:pPr>
            <w:r w:rsidRPr="000875F4">
              <w:rPr>
                <w:rFonts w:ascii="Arial" w:eastAsia="Times New Roman" w:hAnsi="Arial" w:cs="Arial"/>
                <w:sz w:val="16"/>
                <w:szCs w:val="16"/>
                <w:lang w:eastAsia="tr-TR"/>
              </w:rPr>
              <w:t>5.</w:t>
            </w:r>
            <w:r>
              <w:rPr>
                <w:rFonts w:ascii="Arial" w:eastAsia="Times New Roman" w:hAnsi="Arial" w:cs="Arial"/>
                <w:sz w:val="16"/>
                <w:szCs w:val="16"/>
                <w:lang w:eastAsia="tr-TR"/>
              </w:rPr>
              <w:t>250</w:t>
            </w:r>
            <w:r w:rsidRPr="000875F4">
              <w:rPr>
                <w:rFonts w:ascii="Arial" w:eastAsia="Times New Roman" w:hAnsi="Arial" w:cs="Arial"/>
                <w:sz w:val="16"/>
                <w:szCs w:val="16"/>
                <w:lang w:eastAsia="tr-TR"/>
              </w:rPr>
              <w:t>.</w:t>
            </w:r>
            <w:r>
              <w:rPr>
                <w:rFonts w:ascii="Arial" w:eastAsia="Times New Roman" w:hAnsi="Arial" w:cs="Arial"/>
                <w:sz w:val="16"/>
                <w:szCs w:val="16"/>
                <w:lang w:eastAsia="tr-TR"/>
              </w:rPr>
              <w:t>977</w:t>
            </w:r>
            <w:r w:rsidRPr="000875F4">
              <w:rPr>
                <w:rFonts w:ascii="Arial" w:eastAsia="Times New Roman" w:hAnsi="Arial" w:cs="Arial"/>
                <w:sz w:val="16"/>
                <w:szCs w:val="16"/>
                <w:lang w:eastAsia="tr-TR"/>
              </w:rPr>
              <w:t>.</w:t>
            </w:r>
            <w:r>
              <w:rPr>
                <w:rFonts w:ascii="Arial" w:eastAsia="Times New Roman" w:hAnsi="Arial" w:cs="Arial"/>
                <w:sz w:val="16"/>
                <w:szCs w:val="16"/>
                <w:lang w:eastAsia="tr-TR"/>
              </w:rPr>
              <w:t xml:space="preserve">158,03 </w:t>
            </w:r>
            <w:r w:rsidRPr="000875F4">
              <w:rPr>
                <w:rFonts w:ascii="Arial" w:eastAsia="Times New Roman" w:hAnsi="Arial" w:cs="Arial"/>
                <w:sz w:val="16"/>
                <w:szCs w:val="16"/>
                <w:lang w:eastAsia="tr-TR"/>
              </w:rPr>
              <w:t>5.</w:t>
            </w:r>
            <w:r>
              <w:rPr>
                <w:rFonts w:ascii="Arial" w:eastAsia="Times New Roman" w:hAnsi="Arial" w:cs="Arial"/>
                <w:sz w:val="16"/>
                <w:szCs w:val="16"/>
                <w:lang w:eastAsia="tr-TR"/>
              </w:rPr>
              <w:t>250</w:t>
            </w:r>
            <w:r w:rsidRPr="000875F4">
              <w:rPr>
                <w:rFonts w:ascii="Arial" w:eastAsia="Times New Roman" w:hAnsi="Arial" w:cs="Arial"/>
                <w:sz w:val="16"/>
                <w:szCs w:val="16"/>
                <w:lang w:eastAsia="tr-TR"/>
              </w:rPr>
              <w:t>.</w:t>
            </w:r>
            <w:r>
              <w:rPr>
                <w:rFonts w:ascii="Arial" w:eastAsia="Times New Roman" w:hAnsi="Arial" w:cs="Arial"/>
                <w:sz w:val="16"/>
                <w:szCs w:val="16"/>
                <w:lang w:eastAsia="tr-TR"/>
              </w:rPr>
              <w:t>977</w:t>
            </w:r>
            <w:r w:rsidRPr="000875F4">
              <w:rPr>
                <w:rFonts w:ascii="Arial" w:eastAsia="Times New Roman" w:hAnsi="Arial" w:cs="Arial"/>
                <w:sz w:val="16"/>
                <w:szCs w:val="16"/>
                <w:lang w:eastAsia="tr-TR"/>
              </w:rPr>
              <w:t>.</w:t>
            </w:r>
            <w:r>
              <w:rPr>
                <w:rFonts w:ascii="Arial" w:eastAsia="Times New Roman" w:hAnsi="Arial" w:cs="Arial"/>
                <w:sz w:val="16"/>
                <w:szCs w:val="16"/>
                <w:lang w:eastAsia="tr-TR"/>
              </w:rPr>
              <w:t>158,03</w:t>
            </w:r>
          </w:p>
          <w:p w:rsidR="00EC28F3" w:rsidRPr="000875F4" w:rsidRDefault="00EC28F3" w:rsidP="00EC28F3">
            <w:pPr>
              <w:spacing w:after="0" w:line="240" w:lineRule="auto"/>
              <w:jc w:val="right"/>
              <w:rPr>
                <w:rFonts w:ascii="Arial" w:eastAsia="Times New Roman" w:hAnsi="Arial" w:cs="Arial"/>
                <w:sz w:val="16"/>
                <w:szCs w:val="16"/>
                <w:lang w:eastAsia="tr-TR"/>
              </w:rPr>
            </w:pPr>
          </w:p>
        </w:tc>
      </w:tr>
      <w:tr w:rsidR="000875F4" w:rsidRPr="000875F4" w:rsidTr="000875F4">
        <w:trPr>
          <w:gridAfter w:val="4"/>
          <w:wAfter w:w="1354" w:type="pct"/>
          <w:trHeight w:val="20"/>
        </w:trPr>
        <w:tc>
          <w:tcPr>
            <w:tcW w:w="37" w:type="pct"/>
            <w:tcBorders>
              <w:top w:val="nil"/>
              <w:left w:val="single" w:sz="8" w:space="0" w:color="auto"/>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b/>
                <w:bCs/>
                <w:sz w:val="16"/>
                <w:szCs w:val="16"/>
                <w:u w:val="single"/>
                <w:lang w:eastAsia="tr-TR"/>
              </w:rPr>
            </w:pPr>
          </w:p>
        </w:tc>
        <w:tc>
          <w:tcPr>
            <w:tcW w:w="88" w:type="pct"/>
            <w:tcBorders>
              <w:top w:val="nil"/>
              <w:left w:val="nil"/>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b/>
                <w:bCs/>
                <w:sz w:val="16"/>
                <w:szCs w:val="16"/>
                <w:u w:val="single"/>
                <w:lang w:eastAsia="tr-TR"/>
              </w:rPr>
            </w:pPr>
          </w:p>
        </w:tc>
        <w:tc>
          <w:tcPr>
            <w:tcW w:w="597" w:type="pct"/>
            <w:tcBorders>
              <w:top w:val="nil"/>
              <w:left w:val="nil"/>
              <w:bottom w:val="nil"/>
              <w:right w:val="single" w:sz="8" w:space="0" w:color="auto"/>
            </w:tcBorders>
            <w:shd w:val="clear" w:color="auto" w:fill="auto"/>
            <w:noWrap/>
            <w:vAlign w:val="bottom"/>
            <w:hideMark/>
          </w:tcPr>
          <w:p w:rsidR="000875F4" w:rsidRPr="000875F4" w:rsidRDefault="000875F4" w:rsidP="000875F4">
            <w:pPr>
              <w:spacing w:after="0"/>
              <w:jc w:val="left"/>
              <w:rPr>
                <w:rFonts w:ascii="Arial" w:eastAsia="Times New Roman" w:hAnsi="Arial" w:cs="Arial"/>
                <w:sz w:val="16"/>
                <w:szCs w:val="16"/>
                <w:lang w:eastAsia="tr-TR"/>
              </w:rPr>
            </w:pPr>
          </w:p>
          <w:p w:rsidR="000875F4" w:rsidRPr="000875F4" w:rsidRDefault="000875F4" w:rsidP="000875F4">
            <w:pPr>
              <w:spacing w:after="0"/>
              <w:jc w:val="left"/>
              <w:rPr>
                <w:rFonts w:ascii="Arial" w:eastAsia="Times New Roman" w:hAnsi="Arial" w:cs="Arial"/>
                <w:sz w:val="16"/>
                <w:szCs w:val="16"/>
                <w:lang w:eastAsia="tr-TR"/>
              </w:rPr>
            </w:pPr>
          </w:p>
        </w:tc>
        <w:tc>
          <w:tcPr>
            <w:tcW w:w="330" w:type="pct"/>
            <w:tcBorders>
              <w:top w:val="nil"/>
              <w:left w:val="nil"/>
              <w:bottom w:val="nil"/>
              <w:right w:val="single" w:sz="8"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sz w:val="16"/>
                <w:szCs w:val="16"/>
                <w:lang w:eastAsia="tr-TR"/>
              </w:rPr>
            </w:pPr>
          </w:p>
        </w:tc>
        <w:tc>
          <w:tcPr>
            <w:tcW w:w="330" w:type="pct"/>
            <w:tcBorders>
              <w:top w:val="nil"/>
              <w:left w:val="nil"/>
              <w:bottom w:val="nil"/>
              <w:right w:val="single" w:sz="4"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sz w:val="16"/>
                <w:szCs w:val="16"/>
                <w:lang w:eastAsia="tr-TR"/>
              </w:rPr>
            </w:pPr>
          </w:p>
        </w:tc>
        <w:tc>
          <w:tcPr>
            <w:tcW w:w="339" w:type="pct"/>
            <w:tcBorders>
              <w:top w:val="nil"/>
              <w:left w:val="single" w:sz="4" w:space="0" w:color="auto"/>
              <w:bottom w:val="nil"/>
              <w:right w:val="nil"/>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sz w:val="16"/>
                <w:szCs w:val="16"/>
                <w:lang w:eastAsia="tr-TR"/>
              </w:rPr>
            </w:pPr>
          </w:p>
        </w:tc>
        <w:tc>
          <w:tcPr>
            <w:tcW w:w="38" w:type="pct"/>
            <w:tcBorders>
              <w:top w:val="nil"/>
              <w:left w:val="single" w:sz="8" w:space="0" w:color="auto"/>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72" w:type="pct"/>
            <w:tcBorders>
              <w:top w:val="nil"/>
              <w:left w:val="nil"/>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p>
        </w:tc>
        <w:tc>
          <w:tcPr>
            <w:tcW w:w="776" w:type="pct"/>
            <w:tcBorders>
              <w:top w:val="nil"/>
              <w:left w:val="nil"/>
              <w:bottom w:val="nil"/>
              <w:right w:val="nil"/>
            </w:tcBorders>
            <w:shd w:val="clear" w:color="auto" w:fill="auto"/>
            <w:noWrap/>
            <w:vAlign w:val="bottom"/>
          </w:tcPr>
          <w:p w:rsidR="000875F4" w:rsidRPr="000875F4" w:rsidRDefault="000875F4" w:rsidP="000875F4">
            <w:pPr>
              <w:spacing w:after="0" w:line="240" w:lineRule="auto"/>
              <w:jc w:val="left"/>
              <w:rPr>
                <w:rFonts w:ascii="Arial" w:eastAsia="Times New Roman" w:hAnsi="Arial" w:cs="Arial"/>
                <w:sz w:val="16"/>
                <w:szCs w:val="16"/>
                <w:lang w:eastAsia="tr-TR"/>
              </w:rPr>
            </w:pPr>
          </w:p>
        </w:tc>
        <w:tc>
          <w:tcPr>
            <w:tcW w:w="359" w:type="pct"/>
            <w:tcBorders>
              <w:top w:val="nil"/>
              <w:left w:val="single" w:sz="8" w:space="0" w:color="auto"/>
              <w:bottom w:val="nil"/>
              <w:right w:val="single" w:sz="8"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sz w:val="16"/>
                <w:szCs w:val="16"/>
                <w:lang w:eastAsia="tr-TR"/>
              </w:rPr>
            </w:pPr>
          </w:p>
        </w:tc>
        <w:tc>
          <w:tcPr>
            <w:tcW w:w="326" w:type="pct"/>
            <w:tcBorders>
              <w:top w:val="nil"/>
              <w:left w:val="nil"/>
              <w:bottom w:val="nil"/>
              <w:right w:val="nil"/>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sz w:val="16"/>
                <w:szCs w:val="16"/>
                <w:lang w:eastAsia="tr-TR"/>
              </w:rPr>
            </w:pPr>
          </w:p>
        </w:tc>
        <w:tc>
          <w:tcPr>
            <w:tcW w:w="354" w:type="pct"/>
            <w:tcBorders>
              <w:top w:val="nil"/>
              <w:left w:val="single" w:sz="8" w:space="0" w:color="auto"/>
              <w:bottom w:val="nil"/>
              <w:right w:val="single" w:sz="8" w:space="0" w:color="auto"/>
            </w:tcBorders>
            <w:shd w:val="clear" w:color="auto" w:fill="auto"/>
            <w:noWrap/>
            <w:vAlign w:val="bottom"/>
          </w:tcPr>
          <w:p w:rsidR="000875F4" w:rsidRPr="000875F4" w:rsidRDefault="000875F4" w:rsidP="000875F4">
            <w:pPr>
              <w:spacing w:after="0" w:line="240" w:lineRule="auto"/>
              <w:jc w:val="right"/>
              <w:rPr>
                <w:rFonts w:ascii="Arial" w:eastAsia="Times New Roman" w:hAnsi="Arial" w:cs="Arial"/>
                <w:sz w:val="16"/>
                <w:szCs w:val="16"/>
                <w:lang w:eastAsia="tr-TR"/>
              </w:rPr>
            </w:pPr>
          </w:p>
        </w:tc>
      </w:tr>
      <w:tr w:rsidR="000875F4" w:rsidRPr="000875F4" w:rsidTr="000875F4">
        <w:trPr>
          <w:gridAfter w:val="4"/>
          <w:wAfter w:w="1354" w:type="pct"/>
          <w:trHeight w:val="20"/>
        </w:trPr>
        <w:tc>
          <w:tcPr>
            <w:tcW w:w="37" w:type="pct"/>
            <w:tcBorders>
              <w:top w:val="nil"/>
              <w:left w:val="single" w:sz="8" w:space="0" w:color="auto"/>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b/>
                <w:bCs/>
                <w:sz w:val="16"/>
                <w:szCs w:val="16"/>
                <w:u w:val="single"/>
                <w:lang w:eastAsia="tr-TR"/>
              </w:rPr>
            </w:pPr>
          </w:p>
        </w:tc>
        <w:tc>
          <w:tcPr>
            <w:tcW w:w="88" w:type="pct"/>
            <w:tcBorders>
              <w:top w:val="nil"/>
              <w:left w:val="nil"/>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b/>
                <w:bCs/>
                <w:sz w:val="16"/>
                <w:szCs w:val="16"/>
                <w:u w:val="single"/>
                <w:lang w:eastAsia="tr-TR"/>
              </w:rPr>
            </w:pPr>
          </w:p>
        </w:tc>
        <w:tc>
          <w:tcPr>
            <w:tcW w:w="597" w:type="pct"/>
            <w:tcBorders>
              <w:top w:val="nil"/>
              <w:left w:val="nil"/>
              <w:bottom w:val="nil"/>
              <w:right w:val="single" w:sz="8" w:space="0" w:color="auto"/>
            </w:tcBorders>
            <w:shd w:val="clear" w:color="auto" w:fill="auto"/>
            <w:noWrap/>
            <w:vAlign w:val="center"/>
            <w:hideMark/>
          </w:tcPr>
          <w:p w:rsidR="000875F4" w:rsidRPr="000875F4" w:rsidRDefault="000875F4" w:rsidP="000875F4">
            <w:pPr>
              <w:spacing w:after="0"/>
              <w:jc w:val="left"/>
              <w:rPr>
                <w:rFonts w:ascii="Arial" w:eastAsia="Times New Roman" w:hAnsi="Arial" w:cs="Arial"/>
                <w:sz w:val="16"/>
                <w:szCs w:val="16"/>
                <w:lang w:eastAsia="tr-TR"/>
              </w:rPr>
            </w:pPr>
          </w:p>
        </w:tc>
        <w:tc>
          <w:tcPr>
            <w:tcW w:w="330" w:type="pct"/>
            <w:tcBorders>
              <w:top w:val="nil"/>
              <w:left w:val="nil"/>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p>
        </w:tc>
        <w:tc>
          <w:tcPr>
            <w:tcW w:w="330" w:type="pct"/>
            <w:tcBorders>
              <w:top w:val="nil"/>
              <w:left w:val="nil"/>
              <w:bottom w:val="nil"/>
              <w:right w:val="single" w:sz="4"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p>
        </w:tc>
        <w:tc>
          <w:tcPr>
            <w:tcW w:w="339" w:type="pct"/>
            <w:tcBorders>
              <w:top w:val="nil"/>
              <w:left w:val="single" w:sz="4" w:space="0" w:color="auto"/>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p>
        </w:tc>
        <w:tc>
          <w:tcPr>
            <w:tcW w:w="38" w:type="pct"/>
            <w:tcBorders>
              <w:top w:val="nil"/>
              <w:left w:val="nil"/>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r w:rsidRPr="000875F4">
              <w:rPr>
                <w:rFonts w:ascii="Arial" w:eastAsia="Times New Roman" w:hAnsi="Arial" w:cs="Arial"/>
                <w:sz w:val="16"/>
                <w:szCs w:val="16"/>
                <w:lang w:eastAsia="tr-TR"/>
              </w:rPr>
              <w:t> </w:t>
            </w:r>
          </w:p>
        </w:tc>
        <w:tc>
          <w:tcPr>
            <w:tcW w:w="72" w:type="pct"/>
            <w:tcBorders>
              <w:top w:val="nil"/>
              <w:left w:val="nil"/>
              <w:bottom w:val="nil"/>
              <w:right w:val="nil"/>
            </w:tcBorders>
            <w:shd w:val="clear" w:color="auto" w:fill="auto"/>
            <w:noWrap/>
            <w:vAlign w:val="center"/>
            <w:hideMark/>
          </w:tcPr>
          <w:p w:rsidR="000875F4" w:rsidRPr="000875F4" w:rsidRDefault="000875F4" w:rsidP="000875F4">
            <w:pPr>
              <w:spacing w:after="0" w:line="240" w:lineRule="auto"/>
              <w:jc w:val="left"/>
              <w:rPr>
                <w:rFonts w:ascii="Arial" w:eastAsia="Times New Roman" w:hAnsi="Arial" w:cs="Arial"/>
                <w:sz w:val="16"/>
                <w:szCs w:val="16"/>
                <w:lang w:eastAsia="tr-TR"/>
              </w:rPr>
            </w:pPr>
          </w:p>
        </w:tc>
        <w:tc>
          <w:tcPr>
            <w:tcW w:w="776" w:type="pct"/>
            <w:tcBorders>
              <w:top w:val="nil"/>
              <w:left w:val="nil"/>
              <w:bottom w:val="nil"/>
              <w:right w:val="nil"/>
            </w:tcBorders>
            <w:shd w:val="clear" w:color="auto" w:fill="auto"/>
            <w:noWrap/>
            <w:vAlign w:val="center"/>
          </w:tcPr>
          <w:p w:rsidR="000875F4" w:rsidRPr="000875F4" w:rsidRDefault="000875F4" w:rsidP="000875F4">
            <w:pPr>
              <w:spacing w:after="0" w:line="240" w:lineRule="auto"/>
              <w:jc w:val="left"/>
              <w:rPr>
                <w:rFonts w:ascii="Arial" w:eastAsia="Times New Roman" w:hAnsi="Arial" w:cs="Arial"/>
                <w:sz w:val="16"/>
                <w:szCs w:val="16"/>
                <w:lang w:eastAsia="tr-TR"/>
              </w:rPr>
            </w:pPr>
          </w:p>
        </w:tc>
        <w:tc>
          <w:tcPr>
            <w:tcW w:w="359" w:type="pct"/>
            <w:tcBorders>
              <w:top w:val="nil"/>
              <w:left w:val="single" w:sz="8" w:space="0" w:color="auto"/>
              <w:bottom w:val="nil"/>
              <w:right w:val="single" w:sz="8" w:space="0" w:color="auto"/>
            </w:tcBorders>
            <w:shd w:val="clear" w:color="auto" w:fill="auto"/>
            <w:noWrap/>
            <w:vAlign w:val="center"/>
            <w:hideMark/>
          </w:tcPr>
          <w:p w:rsidR="000875F4" w:rsidRPr="000875F4" w:rsidRDefault="000875F4" w:rsidP="000875F4">
            <w:pPr>
              <w:spacing w:after="0" w:line="240" w:lineRule="auto"/>
              <w:jc w:val="right"/>
              <w:rPr>
                <w:rFonts w:ascii="Arial" w:eastAsia="Times New Roman" w:hAnsi="Arial" w:cs="Arial"/>
                <w:sz w:val="16"/>
                <w:szCs w:val="16"/>
                <w:lang w:eastAsia="tr-TR"/>
              </w:rPr>
            </w:pPr>
          </w:p>
        </w:tc>
        <w:tc>
          <w:tcPr>
            <w:tcW w:w="326" w:type="pct"/>
            <w:tcBorders>
              <w:top w:val="nil"/>
              <w:left w:val="nil"/>
              <w:bottom w:val="nil"/>
              <w:right w:val="nil"/>
            </w:tcBorders>
            <w:shd w:val="clear" w:color="auto" w:fill="auto"/>
            <w:noWrap/>
            <w:vAlign w:val="center"/>
            <w:hideMark/>
          </w:tcPr>
          <w:p w:rsidR="000875F4" w:rsidRPr="000875F4" w:rsidRDefault="000875F4" w:rsidP="000875F4">
            <w:pPr>
              <w:spacing w:after="0" w:line="240" w:lineRule="auto"/>
              <w:jc w:val="right"/>
              <w:rPr>
                <w:rFonts w:ascii="Arial" w:eastAsia="Times New Roman" w:hAnsi="Arial" w:cs="Arial"/>
                <w:sz w:val="16"/>
                <w:szCs w:val="16"/>
                <w:lang w:eastAsia="tr-TR"/>
              </w:rPr>
            </w:pPr>
          </w:p>
        </w:tc>
        <w:tc>
          <w:tcPr>
            <w:tcW w:w="354" w:type="pct"/>
            <w:tcBorders>
              <w:top w:val="nil"/>
              <w:left w:val="single" w:sz="8" w:space="0" w:color="auto"/>
              <w:bottom w:val="nil"/>
              <w:right w:val="single" w:sz="8" w:space="0" w:color="auto"/>
            </w:tcBorders>
            <w:shd w:val="clear" w:color="auto" w:fill="auto"/>
            <w:noWrap/>
            <w:vAlign w:val="center"/>
          </w:tcPr>
          <w:p w:rsidR="000875F4" w:rsidRPr="000875F4" w:rsidRDefault="000875F4" w:rsidP="000875F4">
            <w:pPr>
              <w:spacing w:after="0" w:line="240" w:lineRule="auto"/>
              <w:jc w:val="right"/>
              <w:rPr>
                <w:rFonts w:ascii="Arial" w:eastAsia="Times New Roman" w:hAnsi="Arial" w:cs="Arial"/>
                <w:sz w:val="16"/>
                <w:szCs w:val="16"/>
                <w:lang w:eastAsia="tr-TR"/>
              </w:rPr>
            </w:pPr>
          </w:p>
        </w:tc>
      </w:tr>
      <w:tr w:rsidR="00CE2EC2" w:rsidRPr="000875F4" w:rsidTr="000875F4">
        <w:trPr>
          <w:trHeight w:val="20"/>
        </w:trPr>
        <w:tc>
          <w:tcPr>
            <w:tcW w:w="722" w:type="pct"/>
            <w:gridSpan w:val="3"/>
            <w:tcBorders>
              <w:top w:val="nil"/>
              <w:left w:val="single" w:sz="8" w:space="0" w:color="auto"/>
              <w:bottom w:val="single" w:sz="8" w:space="0" w:color="auto"/>
              <w:right w:val="single" w:sz="8" w:space="0" w:color="000000"/>
            </w:tcBorders>
            <w:shd w:val="clear" w:color="auto" w:fill="auto"/>
            <w:noWrap/>
            <w:vAlign w:val="center"/>
            <w:hideMark/>
          </w:tcPr>
          <w:p w:rsidR="00CE2EC2" w:rsidRPr="000875F4" w:rsidRDefault="00CE2EC2" w:rsidP="00CE2EC2">
            <w:pPr>
              <w:spacing w:after="0" w:line="240" w:lineRule="auto"/>
              <w:jc w:val="left"/>
              <w:rPr>
                <w:rFonts w:ascii="Arial" w:eastAsia="Times New Roman" w:hAnsi="Arial" w:cs="Arial"/>
                <w:b/>
                <w:bCs/>
                <w:sz w:val="16"/>
                <w:szCs w:val="18"/>
                <w:lang w:eastAsia="tr-TR"/>
              </w:rPr>
            </w:pPr>
            <w:r w:rsidRPr="000875F4">
              <w:rPr>
                <w:rFonts w:ascii="Arial" w:eastAsia="Times New Roman" w:hAnsi="Arial" w:cs="Arial"/>
                <w:b/>
                <w:bCs/>
                <w:sz w:val="16"/>
                <w:szCs w:val="18"/>
                <w:lang w:eastAsia="tr-TR"/>
              </w:rPr>
              <w:t xml:space="preserve">   NAZIM HESAPLAR TOPLAMI</w:t>
            </w:r>
          </w:p>
        </w:tc>
        <w:tc>
          <w:tcPr>
            <w:tcW w:w="330" w:type="pct"/>
            <w:tcBorders>
              <w:top w:val="nil"/>
              <w:left w:val="nil"/>
              <w:bottom w:val="single" w:sz="8" w:space="0" w:color="auto"/>
              <w:right w:val="single" w:sz="8" w:space="0" w:color="auto"/>
            </w:tcBorders>
            <w:shd w:val="clear" w:color="auto" w:fill="auto"/>
            <w:noWrap/>
            <w:vAlign w:val="center"/>
          </w:tcPr>
          <w:p w:rsidR="00CE2EC2" w:rsidRPr="000875F4" w:rsidRDefault="00CE2EC2" w:rsidP="00CE2EC2">
            <w:pPr>
              <w:spacing w:after="0" w:line="240" w:lineRule="auto"/>
              <w:jc w:val="right"/>
              <w:rPr>
                <w:rFonts w:ascii="Arial" w:eastAsia="Times New Roman" w:hAnsi="Arial" w:cs="Arial"/>
                <w:b/>
                <w:bCs/>
                <w:sz w:val="16"/>
                <w:szCs w:val="18"/>
                <w:lang w:eastAsia="tr-TR"/>
              </w:rPr>
            </w:pPr>
            <w:r w:rsidRPr="000875F4">
              <w:rPr>
                <w:rFonts w:ascii="Arial" w:eastAsia="Times New Roman" w:hAnsi="Arial" w:cs="Arial"/>
                <w:b/>
                <w:bCs/>
                <w:sz w:val="16"/>
                <w:szCs w:val="18"/>
                <w:lang w:eastAsia="tr-TR"/>
              </w:rPr>
              <w:t>6.481.369.379,87</w:t>
            </w:r>
          </w:p>
        </w:tc>
        <w:tc>
          <w:tcPr>
            <w:tcW w:w="330" w:type="pct"/>
            <w:tcBorders>
              <w:top w:val="nil"/>
              <w:left w:val="nil"/>
              <w:bottom w:val="single" w:sz="8" w:space="0" w:color="auto"/>
              <w:right w:val="single" w:sz="8" w:space="0" w:color="auto"/>
            </w:tcBorders>
            <w:shd w:val="clear" w:color="auto" w:fill="auto"/>
            <w:noWrap/>
            <w:vAlign w:val="center"/>
          </w:tcPr>
          <w:p w:rsidR="00CE2EC2" w:rsidRPr="000875F4" w:rsidRDefault="00CE2EC2" w:rsidP="00CE2EC2">
            <w:pPr>
              <w:spacing w:after="0" w:line="240" w:lineRule="auto"/>
              <w:jc w:val="right"/>
              <w:rPr>
                <w:rFonts w:ascii="Arial" w:eastAsia="Times New Roman" w:hAnsi="Arial" w:cs="Arial"/>
                <w:b/>
                <w:bCs/>
                <w:sz w:val="16"/>
                <w:szCs w:val="18"/>
                <w:lang w:eastAsia="tr-TR"/>
              </w:rPr>
            </w:pPr>
            <w:r w:rsidRPr="000875F4">
              <w:rPr>
                <w:rFonts w:ascii="Arial" w:eastAsia="Times New Roman" w:hAnsi="Arial" w:cs="Arial"/>
                <w:b/>
                <w:sz w:val="16"/>
                <w:szCs w:val="16"/>
                <w:lang w:eastAsia="tr-TR"/>
              </w:rPr>
              <w:t>7.110.076.474,08</w:t>
            </w:r>
          </w:p>
        </w:tc>
        <w:tc>
          <w:tcPr>
            <w:tcW w:w="339" w:type="pct"/>
            <w:tcBorders>
              <w:top w:val="nil"/>
              <w:left w:val="nil"/>
              <w:bottom w:val="single" w:sz="8" w:space="0" w:color="auto"/>
              <w:right w:val="single" w:sz="8" w:space="0" w:color="auto"/>
            </w:tcBorders>
            <w:shd w:val="clear" w:color="auto" w:fill="auto"/>
            <w:noWrap/>
            <w:vAlign w:val="center"/>
          </w:tcPr>
          <w:p w:rsidR="00CE2EC2" w:rsidRPr="000875F4" w:rsidRDefault="00CE2EC2" w:rsidP="00CE2EC2">
            <w:pPr>
              <w:spacing w:after="0" w:line="240" w:lineRule="auto"/>
              <w:jc w:val="right"/>
              <w:rPr>
                <w:rFonts w:ascii="Arial" w:eastAsia="Times New Roman" w:hAnsi="Arial" w:cs="Arial"/>
                <w:b/>
                <w:sz w:val="16"/>
                <w:szCs w:val="16"/>
                <w:lang w:eastAsia="tr-TR"/>
              </w:rPr>
            </w:pPr>
            <w:r w:rsidRPr="000875F4">
              <w:rPr>
                <w:rFonts w:ascii="Arial" w:eastAsia="Times New Roman" w:hAnsi="Arial" w:cs="Arial"/>
                <w:b/>
                <w:sz w:val="16"/>
                <w:szCs w:val="16"/>
                <w:lang w:eastAsia="tr-TR"/>
              </w:rPr>
              <w:t>7.</w:t>
            </w:r>
            <w:r>
              <w:rPr>
                <w:rFonts w:ascii="Arial" w:eastAsia="Times New Roman" w:hAnsi="Arial" w:cs="Arial"/>
                <w:b/>
                <w:sz w:val="16"/>
                <w:szCs w:val="16"/>
                <w:lang w:eastAsia="tr-TR"/>
              </w:rPr>
              <w:t>737</w:t>
            </w:r>
            <w:r w:rsidRPr="000875F4">
              <w:rPr>
                <w:rFonts w:ascii="Arial" w:eastAsia="Times New Roman" w:hAnsi="Arial" w:cs="Arial"/>
                <w:b/>
                <w:sz w:val="16"/>
                <w:szCs w:val="16"/>
                <w:lang w:eastAsia="tr-TR"/>
              </w:rPr>
              <w:t>.</w:t>
            </w:r>
            <w:r>
              <w:rPr>
                <w:rFonts w:ascii="Arial" w:eastAsia="Times New Roman" w:hAnsi="Arial" w:cs="Arial"/>
                <w:b/>
                <w:sz w:val="16"/>
                <w:szCs w:val="16"/>
                <w:lang w:eastAsia="tr-TR"/>
              </w:rPr>
              <w:t>815</w:t>
            </w:r>
            <w:r w:rsidRPr="000875F4">
              <w:rPr>
                <w:rFonts w:ascii="Arial" w:eastAsia="Times New Roman" w:hAnsi="Arial" w:cs="Arial"/>
                <w:b/>
                <w:sz w:val="16"/>
                <w:szCs w:val="16"/>
                <w:lang w:eastAsia="tr-TR"/>
              </w:rPr>
              <w:t>.</w:t>
            </w:r>
            <w:r>
              <w:rPr>
                <w:rFonts w:ascii="Arial" w:eastAsia="Times New Roman" w:hAnsi="Arial" w:cs="Arial"/>
                <w:b/>
                <w:sz w:val="16"/>
                <w:szCs w:val="16"/>
                <w:lang w:eastAsia="tr-TR"/>
              </w:rPr>
              <w:t>588</w:t>
            </w:r>
            <w:r w:rsidRPr="000875F4">
              <w:rPr>
                <w:rFonts w:ascii="Arial" w:eastAsia="Times New Roman" w:hAnsi="Arial" w:cs="Arial"/>
                <w:b/>
                <w:sz w:val="16"/>
                <w:szCs w:val="16"/>
                <w:lang w:eastAsia="tr-TR"/>
              </w:rPr>
              <w:t>,</w:t>
            </w:r>
            <w:r>
              <w:rPr>
                <w:rFonts w:ascii="Arial" w:eastAsia="Times New Roman" w:hAnsi="Arial" w:cs="Arial"/>
                <w:b/>
                <w:sz w:val="16"/>
                <w:szCs w:val="16"/>
                <w:lang w:eastAsia="tr-TR"/>
              </w:rPr>
              <w:t>80</w:t>
            </w:r>
          </w:p>
        </w:tc>
        <w:tc>
          <w:tcPr>
            <w:tcW w:w="886" w:type="pct"/>
            <w:gridSpan w:val="3"/>
            <w:tcBorders>
              <w:top w:val="nil"/>
              <w:left w:val="single" w:sz="8" w:space="0" w:color="auto"/>
              <w:bottom w:val="single" w:sz="8" w:space="0" w:color="auto"/>
              <w:right w:val="nil"/>
            </w:tcBorders>
            <w:shd w:val="clear" w:color="auto" w:fill="auto"/>
            <w:noWrap/>
            <w:vAlign w:val="center"/>
            <w:hideMark/>
          </w:tcPr>
          <w:p w:rsidR="00CE2EC2" w:rsidRPr="000875F4" w:rsidRDefault="00CE2EC2" w:rsidP="00CE2EC2">
            <w:pPr>
              <w:spacing w:after="0" w:line="240" w:lineRule="auto"/>
              <w:jc w:val="left"/>
              <w:rPr>
                <w:rFonts w:ascii="Arial" w:eastAsia="Times New Roman" w:hAnsi="Arial" w:cs="Arial"/>
                <w:b/>
                <w:bCs/>
                <w:sz w:val="16"/>
                <w:szCs w:val="18"/>
                <w:lang w:eastAsia="tr-TR"/>
              </w:rPr>
            </w:pPr>
          </w:p>
        </w:tc>
        <w:tc>
          <w:tcPr>
            <w:tcW w:w="359" w:type="pct"/>
            <w:tcBorders>
              <w:top w:val="nil"/>
              <w:left w:val="single" w:sz="8" w:space="0" w:color="auto"/>
              <w:bottom w:val="single" w:sz="8" w:space="0" w:color="auto"/>
              <w:right w:val="single" w:sz="8" w:space="0" w:color="auto"/>
            </w:tcBorders>
            <w:shd w:val="clear" w:color="auto" w:fill="auto"/>
            <w:noWrap/>
            <w:vAlign w:val="center"/>
            <w:hideMark/>
          </w:tcPr>
          <w:p w:rsidR="00CE2EC2" w:rsidRPr="000875F4" w:rsidRDefault="00CE2EC2" w:rsidP="00CE2EC2">
            <w:pPr>
              <w:spacing w:after="0" w:line="240" w:lineRule="auto"/>
              <w:jc w:val="right"/>
              <w:rPr>
                <w:rFonts w:ascii="Arial" w:eastAsia="Times New Roman" w:hAnsi="Arial" w:cs="Arial"/>
                <w:b/>
                <w:bCs/>
                <w:sz w:val="16"/>
                <w:szCs w:val="18"/>
                <w:lang w:eastAsia="tr-TR"/>
              </w:rPr>
            </w:pPr>
            <w:r w:rsidRPr="000875F4">
              <w:rPr>
                <w:rFonts w:ascii="Arial" w:eastAsia="Times New Roman" w:hAnsi="Arial" w:cs="Arial"/>
                <w:b/>
                <w:bCs/>
                <w:sz w:val="16"/>
                <w:szCs w:val="18"/>
                <w:lang w:eastAsia="tr-TR"/>
              </w:rPr>
              <w:t>6.481.369.379,87</w:t>
            </w:r>
          </w:p>
        </w:tc>
        <w:tc>
          <w:tcPr>
            <w:tcW w:w="326" w:type="pct"/>
            <w:tcBorders>
              <w:top w:val="nil"/>
              <w:left w:val="nil"/>
              <w:bottom w:val="single" w:sz="8" w:space="0" w:color="auto"/>
              <w:right w:val="nil"/>
            </w:tcBorders>
            <w:shd w:val="clear" w:color="auto" w:fill="auto"/>
            <w:noWrap/>
            <w:vAlign w:val="center"/>
            <w:hideMark/>
          </w:tcPr>
          <w:p w:rsidR="00CE2EC2" w:rsidRPr="000875F4" w:rsidRDefault="00CE2EC2" w:rsidP="00CE2EC2">
            <w:pPr>
              <w:spacing w:after="0" w:line="240" w:lineRule="auto"/>
              <w:jc w:val="right"/>
              <w:rPr>
                <w:rFonts w:ascii="Arial" w:eastAsia="Times New Roman" w:hAnsi="Arial" w:cs="Arial"/>
                <w:b/>
                <w:bCs/>
                <w:sz w:val="16"/>
                <w:szCs w:val="18"/>
                <w:lang w:eastAsia="tr-TR"/>
              </w:rPr>
            </w:pPr>
            <w:r w:rsidRPr="000875F4">
              <w:rPr>
                <w:rFonts w:ascii="Arial" w:eastAsia="Times New Roman" w:hAnsi="Arial" w:cs="Arial"/>
                <w:b/>
                <w:sz w:val="16"/>
                <w:szCs w:val="16"/>
                <w:lang w:eastAsia="tr-TR"/>
              </w:rPr>
              <w:t>7.110.076.474,08</w:t>
            </w:r>
          </w:p>
        </w:tc>
        <w:tc>
          <w:tcPr>
            <w:tcW w:w="354" w:type="pct"/>
            <w:tcBorders>
              <w:top w:val="nil"/>
              <w:left w:val="single" w:sz="8" w:space="0" w:color="auto"/>
              <w:bottom w:val="single" w:sz="8" w:space="0" w:color="auto"/>
              <w:right w:val="single" w:sz="8" w:space="0" w:color="auto"/>
            </w:tcBorders>
            <w:shd w:val="clear" w:color="auto" w:fill="auto"/>
            <w:noWrap/>
            <w:vAlign w:val="center"/>
          </w:tcPr>
          <w:p w:rsidR="00CE2EC2" w:rsidRPr="000875F4" w:rsidRDefault="00CE2EC2" w:rsidP="00CE2EC2">
            <w:pPr>
              <w:spacing w:after="0" w:line="240" w:lineRule="auto"/>
              <w:jc w:val="right"/>
              <w:rPr>
                <w:rFonts w:ascii="Arial" w:eastAsia="Times New Roman" w:hAnsi="Arial" w:cs="Arial"/>
                <w:b/>
                <w:bCs/>
                <w:sz w:val="16"/>
                <w:szCs w:val="18"/>
                <w:lang w:eastAsia="tr-TR"/>
              </w:rPr>
            </w:pPr>
            <w:r w:rsidRPr="000875F4">
              <w:rPr>
                <w:rFonts w:ascii="Arial" w:eastAsia="Times New Roman" w:hAnsi="Arial" w:cs="Arial"/>
                <w:b/>
                <w:sz w:val="16"/>
                <w:szCs w:val="16"/>
                <w:lang w:eastAsia="tr-TR"/>
              </w:rPr>
              <w:t>7.</w:t>
            </w:r>
            <w:r>
              <w:rPr>
                <w:rFonts w:ascii="Arial" w:eastAsia="Times New Roman" w:hAnsi="Arial" w:cs="Arial"/>
                <w:b/>
                <w:sz w:val="16"/>
                <w:szCs w:val="16"/>
                <w:lang w:eastAsia="tr-TR"/>
              </w:rPr>
              <w:t>737</w:t>
            </w:r>
            <w:r w:rsidRPr="000875F4">
              <w:rPr>
                <w:rFonts w:ascii="Arial" w:eastAsia="Times New Roman" w:hAnsi="Arial" w:cs="Arial"/>
                <w:b/>
                <w:sz w:val="16"/>
                <w:szCs w:val="16"/>
                <w:lang w:eastAsia="tr-TR"/>
              </w:rPr>
              <w:t>.</w:t>
            </w:r>
            <w:r>
              <w:rPr>
                <w:rFonts w:ascii="Arial" w:eastAsia="Times New Roman" w:hAnsi="Arial" w:cs="Arial"/>
                <w:b/>
                <w:sz w:val="16"/>
                <w:szCs w:val="16"/>
                <w:lang w:eastAsia="tr-TR"/>
              </w:rPr>
              <w:t>815</w:t>
            </w:r>
            <w:r w:rsidRPr="000875F4">
              <w:rPr>
                <w:rFonts w:ascii="Arial" w:eastAsia="Times New Roman" w:hAnsi="Arial" w:cs="Arial"/>
                <w:b/>
                <w:sz w:val="16"/>
                <w:szCs w:val="16"/>
                <w:lang w:eastAsia="tr-TR"/>
              </w:rPr>
              <w:t>.</w:t>
            </w:r>
            <w:r>
              <w:rPr>
                <w:rFonts w:ascii="Arial" w:eastAsia="Times New Roman" w:hAnsi="Arial" w:cs="Arial"/>
                <w:b/>
                <w:sz w:val="16"/>
                <w:szCs w:val="16"/>
                <w:lang w:eastAsia="tr-TR"/>
              </w:rPr>
              <w:t>588</w:t>
            </w:r>
            <w:r w:rsidRPr="000875F4">
              <w:rPr>
                <w:rFonts w:ascii="Arial" w:eastAsia="Times New Roman" w:hAnsi="Arial" w:cs="Arial"/>
                <w:b/>
                <w:sz w:val="16"/>
                <w:szCs w:val="16"/>
                <w:lang w:eastAsia="tr-TR"/>
              </w:rPr>
              <w:t>,</w:t>
            </w:r>
            <w:r>
              <w:rPr>
                <w:rFonts w:ascii="Arial" w:eastAsia="Times New Roman" w:hAnsi="Arial" w:cs="Arial"/>
                <w:b/>
                <w:sz w:val="16"/>
                <w:szCs w:val="16"/>
                <w:lang w:eastAsia="tr-TR"/>
              </w:rPr>
              <w:t>80</w:t>
            </w:r>
          </w:p>
        </w:tc>
        <w:tc>
          <w:tcPr>
            <w:tcW w:w="339" w:type="pct"/>
          </w:tcPr>
          <w:p w:rsidR="00CE2EC2" w:rsidRPr="000875F4" w:rsidRDefault="00CE2EC2" w:rsidP="00CE2EC2">
            <w:pPr>
              <w:jc w:val="left"/>
            </w:pPr>
          </w:p>
        </w:tc>
        <w:tc>
          <w:tcPr>
            <w:tcW w:w="339" w:type="pct"/>
          </w:tcPr>
          <w:p w:rsidR="00CE2EC2" w:rsidRPr="000875F4" w:rsidRDefault="00CE2EC2" w:rsidP="00CE2EC2">
            <w:pPr>
              <w:jc w:val="left"/>
            </w:pPr>
          </w:p>
        </w:tc>
        <w:tc>
          <w:tcPr>
            <w:tcW w:w="339" w:type="pct"/>
          </w:tcPr>
          <w:p w:rsidR="00CE2EC2" w:rsidRPr="000875F4" w:rsidRDefault="00CE2EC2" w:rsidP="00CE2EC2">
            <w:pPr>
              <w:jc w:val="left"/>
            </w:pPr>
          </w:p>
        </w:tc>
        <w:tc>
          <w:tcPr>
            <w:tcW w:w="337" w:type="pct"/>
            <w:vAlign w:val="center"/>
          </w:tcPr>
          <w:p w:rsidR="00CE2EC2" w:rsidRPr="000875F4" w:rsidRDefault="00CE2EC2" w:rsidP="00CE2EC2">
            <w:pPr>
              <w:jc w:val="left"/>
            </w:pPr>
            <w:r w:rsidRPr="000875F4">
              <w:rPr>
                <w:rFonts w:ascii="Arial" w:eastAsia="Times New Roman" w:hAnsi="Arial" w:cs="Arial"/>
                <w:b/>
                <w:sz w:val="16"/>
                <w:szCs w:val="16"/>
                <w:lang w:eastAsia="tr-TR"/>
              </w:rPr>
              <w:t>7.110.076.474,08</w:t>
            </w:r>
          </w:p>
        </w:tc>
      </w:tr>
      <w:tr w:rsidR="00CE2EC2" w:rsidRPr="000875F4" w:rsidTr="000875F4">
        <w:trPr>
          <w:gridAfter w:val="4"/>
          <w:wAfter w:w="1354" w:type="pct"/>
          <w:trHeight w:val="441"/>
        </w:trPr>
        <w:tc>
          <w:tcPr>
            <w:tcW w:w="722" w:type="pct"/>
            <w:gridSpan w:val="3"/>
            <w:tcBorders>
              <w:top w:val="single" w:sz="8" w:space="0" w:color="auto"/>
              <w:left w:val="single" w:sz="8" w:space="0" w:color="auto"/>
              <w:bottom w:val="single" w:sz="8" w:space="0" w:color="auto"/>
              <w:right w:val="nil"/>
            </w:tcBorders>
            <w:shd w:val="clear" w:color="000000" w:fill="F2F2F2"/>
            <w:noWrap/>
            <w:vAlign w:val="center"/>
            <w:hideMark/>
          </w:tcPr>
          <w:p w:rsidR="00CE2EC2" w:rsidRPr="000875F4" w:rsidRDefault="00CE2EC2" w:rsidP="00CE2EC2">
            <w:pPr>
              <w:spacing w:after="0" w:line="240" w:lineRule="auto"/>
              <w:jc w:val="left"/>
              <w:rPr>
                <w:rFonts w:ascii="Arial" w:eastAsia="Times New Roman" w:hAnsi="Arial" w:cs="Arial"/>
                <w:b/>
                <w:bCs/>
                <w:sz w:val="16"/>
                <w:lang w:eastAsia="tr-TR"/>
              </w:rPr>
            </w:pPr>
            <w:r w:rsidRPr="000875F4">
              <w:rPr>
                <w:rFonts w:ascii="Arial" w:eastAsia="Times New Roman" w:hAnsi="Arial" w:cs="Arial"/>
                <w:b/>
                <w:bCs/>
                <w:sz w:val="16"/>
                <w:lang w:eastAsia="tr-TR"/>
              </w:rPr>
              <w:t xml:space="preserve">   GENEL TOPLAM</w:t>
            </w:r>
          </w:p>
        </w:tc>
        <w:tc>
          <w:tcPr>
            <w:tcW w:w="330" w:type="pct"/>
            <w:tcBorders>
              <w:top w:val="single" w:sz="8" w:space="0" w:color="auto"/>
              <w:left w:val="single" w:sz="8" w:space="0" w:color="auto"/>
              <w:bottom w:val="single" w:sz="4" w:space="0" w:color="auto"/>
              <w:right w:val="single" w:sz="8" w:space="0" w:color="auto"/>
            </w:tcBorders>
            <w:shd w:val="clear" w:color="000000" w:fill="F2F2F2"/>
            <w:noWrap/>
            <w:vAlign w:val="center"/>
          </w:tcPr>
          <w:p w:rsidR="00CE2EC2" w:rsidRPr="000875F4" w:rsidRDefault="00CE2EC2" w:rsidP="00CE2EC2">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7.055.762.569,46</w:t>
            </w:r>
          </w:p>
        </w:tc>
        <w:tc>
          <w:tcPr>
            <w:tcW w:w="330" w:type="pct"/>
            <w:tcBorders>
              <w:top w:val="single" w:sz="8" w:space="0" w:color="auto"/>
              <w:left w:val="nil"/>
              <w:bottom w:val="single" w:sz="4" w:space="0" w:color="auto"/>
              <w:right w:val="single" w:sz="8" w:space="0" w:color="auto"/>
            </w:tcBorders>
            <w:shd w:val="clear" w:color="000000" w:fill="F2F2F2"/>
            <w:noWrap/>
            <w:vAlign w:val="center"/>
          </w:tcPr>
          <w:p w:rsidR="00CE2EC2" w:rsidRPr="000875F4" w:rsidRDefault="00CE2EC2" w:rsidP="00CE2EC2">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7.695.763.894,93</w:t>
            </w:r>
          </w:p>
        </w:tc>
        <w:tc>
          <w:tcPr>
            <w:tcW w:w="339" w:type="pct"/>
            <w:tcBorders>
              <w:top w:val="single" w:sz="8" w:space="0" w:color="auto"/>
              <w:left w:val="nil"/>
              <w:bottom w:val="single" w:sz="4" w:space="0" w:color="auto"/>
              <w:right w:val="single" w:sz="8" w:space="0" w:color="auto"/>
            </w:tcBorders>
            <w:shd w:val="clear" w:color="000000" w:fill="F2F2F2"/>
            <w:noWrap/>
            <w:vAlign w:val="center"/>
          </w:tcPr>
          <w:p w:rsidR="00CE2EC2" w:rsidRPr="000875F4" w:rsidRDefault="00CE2EC2" w:rsidP="00CE2EC2">
            <w:pPr>
              <w:spacing w:after="0" w:line="240" w:lineRule="auto"/>
              <w:jc w:val="right"/>
              <w:rPr>
                <w:rFonts w:ascii="Arial" w:eastAsia="Times New Roman" w:hAnsi="Arial" w:cs="Arial"/>
                <w:b/>
                <w:bCs/>
                <w:sz w:val="16"/>
                <w:szCs w:val="16"/>
                <w:lang w:eastAsia="tr-TR"/>
              </w:rPr>
            </w:pPr>
            <w:r>
              <w:rPr>
                <w:rFonts w:ascii="Arial" w:eastAsia="Times New Roman" w:hAnsi="Arial" w:cs="Arial"/>
                <w:b/>
                <w:bCs/>
                <w:sz w:val="16"/>
                <w:szCs w:val="16"/>
                <w:lang w:eastAsia="tr-TR"/>
              </w:rPr>
              <w:t>8</w:t>
            </w:r>
            <w:r w:rsidRPr="000875F4">
              <w:rPr>
                <w:rFonts w:ascii="Arial" w:eastAsia="Times New Roman" w:hAnsi="Arial" w:cs="Arial"/>
                <w:b/>
                <w:bCs/>
                <w:sz w:val="16"/>
                <w:szCs w:val="16"/>
                <w:lang w:eastAsia="tr-TR"/>
              </w:rPr>
              <w:t>.</w:t>
            </w:r>
            <w:r>
              <w:rPr>
                <w:rFonts w:ascii="Arial" w:eastAsia="Times New Roman" w:hAnsi="Arial" w:cs="Arial"/>
                <w:b/>
                <w:bCs/>
                <w:sz w:val="16"/>
                <w:szCs w:val="16"/>
                <w:lang w:eastAsia="tr-TR"/>
              </w:rPr>
              <w:t>524</w:t>
            </w:r>
            <w:r w:rsidRPr="000875F4">
              <w:rPr>
                <w:rFonts w:ascii="Arial" w:eastAsia="Times New Roman" w:hAnsi="Arial" w:cs="Arial"/>
                <w:b/>
                <w:bCs/>
                <w:sz w:val="16"/>
                <w:szCs w:val="16"/>
                <w:lang w:eastAsia="tr-TR"/>
              </w:rPr>
              <w:t>.7</w:t>
            </w:r>
            <w:r>
              <w:rPr>
                <w:rFonts w:ascii="Arial" w:eastAsia="Times New Roman" w:hAnsi="Arial" w:cs="Arial"/>
                <w:b/>
                <w:bCs/>
                <w:sz w:val="16"/>
                <w:szCs w:val="16"/>
                <w:lang w:eastAsia="tr-TR"/>
              </w:rPr>
              <w:t>21</w:t>
            </w:r>
            <w:r w:rsidRPr="000875F4">
              <w:rPr>
                <w:rFonts w:ascii="Arial" w:eastAsia="Times New Roman" w:hAnsi="Arial" w:cs="Arial"/>
                <w:b/>
                <w:bCs/>
                <w:sz w:val="16"/>
                <w:szCs w:val="16"/>
                <w:lang w:eastAsia="tr-TR"/>
              </w:rPr>
              <w:t>.</w:t>
            </w:r>
            <w:r>
              <w:rPr>
                <w:rFonts w:ascii="Arial" w:eastAsia="Times New Roman" w:hAnsi="Arial" w:cs="Arial"/>
                <w:b/>
                <w:bCs/>
                <w:sz w:val="16"/>
                <w:szCs w:val="16"/>
                <w:lang w:eastAsia="tr-TR"/>
              </w:rPr>
              <w:t>075</w:t>
            </w:r>
            <w:r w:rsidRPr="000875F4">
              <w:rPr>
                <w:rFonts w:ascii="Arial" w:eastAsia="Times New Roman" w:hAnsi="Arial" w:cs="Arial"/>
                <w:b/>
                <w:bCs/>
                <w:sz w:val="16"/>
                <w:szCs w:val="16"/>
                <w:lang w:eastAsia="tr-TR"/>
              </w:rPr>
              <w:t>,</w:t>
            </w:r>
            <w:r>
              <w:rPr>
                <w:rFonts w:ascii="Arial" w:eastAsia="Times New Roman" w:hAnsi="Arial" w:cs="Arial"/>
                <w:b/>
                <w:bCs/>
                <w:sz w:val="16"/>
                <w:szCs w:val="16"/>
                <w:lang w:eastAsia="tr-TR"/>
              </w:rPr>
              <w:t>61</w:t>
            </w:r>
          </w:p>
        </w:tc>
        <w:tc>
          <w:tcPr>
            <w:tcW w:w="886" w:type="pct"/>
            <w:gridSpan w:val="3"/>
            <w:tcBorders>
              <w:top w:val="single" w:sz="8" w:space="0" w:color="auto"/>
              <w:left w:val="single" w:sz="8" w:space="0" w:color="auto"/>
              <w:bottom w:val="single" w:sz="8" w:space="0" w:color="auto"/>
              <w:right w:val="nil"/>
            </w:tcBorders>
            <w:shd w:val="clear" w:color="000000" w:fill="F2F2F2"/>
            <w:noWrap/>
            <w:vAlign w:val="center"/>
            <w:hideMark/>
          </w:tcPr>
          <w:p w:rsidR="00CE2EC2" w:rsidRPr="000875F4" w:rsidRDefault="00CE2EC2" w:rsidP="00CE2EC2">
            <w:pPr>
              <w:spacing w:after="0" w:line="240" w:lineRule="auto"/>
              <w:jc w:val="left"/>
              <w:rPr>
                <w:rFonts w:ascii="Arial" w:eastAsia="Times New Roman" w:hAnsi="Arial" w:cs="Arial"/>
                <w:b/>
                <w:bCs/>
                <w:sz w:val="16"/>
                <w:lang w:eastAsia="tr-TR"/>
              </w:rPr>
            </w:pPr>
            <w:r w:rsidRPr="000875F4">
              <w:rPr>
                <w:rFonts w:ascii="Arial" w:eastAsia="Times New Roman" w:hAnsi="Arial" w:cs="Arial"/>
                <w:b/>
                <w:bCs/>
                <w:sz w:val="16"/>
                <w:lang w:eastAsia="tr-TR"/>
              </w:rPr>
              <w:t xml:space="preserve">   GENEL TOPLAM</w:t>
            </w:r>
          </w:p>
        </w:tc>
        <w:tc>
          <w:tcPr>
            <w:tcW w:w="359" w:type="pct"/>
            <w:tcBorders>
              <w:top w:val="nil"/>
              <w:left w:val="single" w:sz="8" w:space="0" w:color="auto"/>
              <w:bottom w:val="single" w:sz="8" w:space="0" w:color="auto"/>
              <w:right w:val="single" w:sz="8" w:space="0" w:color="auto"/>
            </w:tcBorders>
            <w:shd w:val="clear" w:color="000000" w:fill="F2F2F2"/>
            <w:noWrap/>
            <w:vAlign w:val="center"/>
            <w:hideMark/>
          </w:tcPr>
          <w:p w:rsidR="00CE2EC2" w:rsidRPr="000875F4" w:rsidRDefault="00CE2EC2" w:rsidP="00CE2EC2">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7.055.762.569,46</w:t>
            </w:r>
          </w:p>
        </w:tc>
        <w:tc>
          <w:tcPr>
            <w:tcW w:w="326" w:type="pct"/>
            <w:tcBorders>
              <w:top w:val="nil"/>
              <w:left w:val="nil"/>
              <w:bottom w:val="single" w:sz="8" w:space="0" w:color="auto"/>
              <w:right w:val="single" w:sz="8" w:space="0" w:color="auto"/>
            </w:tcBorders>
            <w:shd w:val="clear" w:color="000000" w:fill="F2F2F2"/>
            <w:noWrap/>
            <w:vAlign w:val="center"/>
            <w:hideMark/>
          </w:tcPr>
          <w:p w:rsidR="00CE2EC2" w:rsidRPr="000875F4" w:rsidRDefault="00CE2EC2" w:rsidP="00CE2EC2">
            <w:pPr>
              <w:spacing w:after="0" w:line="240" w:lineRule="auto"/>
              <w:jc w:val="right"/>
              <w:rPr>
                <w:rFonts w:ascii="Arial" w:eastAsia="Times New Roman" w:hAnsi="Arial" w:cs="Arial"/>
                <w:b/>
                <w:bCs/>
                <w:sz w:val="16"/>
                <w:szCs w:val="16"/>
                <w:lang w:eastAsia="tr-TR"/>
              </w:rPr>
            </w:pPr>
            <w:r w:rsidRPr="000875F4">
              <w:rPr>
                <w:rFonts w:ascii="Arial" w:eastAsia="Times New Roman" w:hAnsi="Arial" w:cs="Arial"/>
                <w:b/>
                <w:bCs/>
                <w:sz w:val="16"/>
                <w:szCs w:val="16"/>
                <w:lang w:eastAsia="tr-TR"/>
              </w:rPr>
              <w:t>7.695.763.894,93</w:t>
            </w:r>
          </w:p>
        </w:tc>
        <w:tc>
          <w:tcPr>
            <w:tcW w:w="354" w:type="pct"/>
            <w:tcBorders>
              <w:top w:val="nil"/>
              <w:left w:val="nil"/>
              <w:bottom w:val="single" w:sz="8" w:space="0" w:color="auto"/>
              <w:right w:val="single" w:sz="8" w:space="0" w:color="auto"/>
            </w:tcBorders>
            <w:shd w:val="clear" w:color="000000" w:fill="F2F2F2"/>
            <w:noWrap/>
            <w:vAlign w:val="center"/>
          </w:tcPr>
          <w:p w:rsidR="00CE2EC2" w:rsidRPr="000875F4" w:rsidRDefault="00CE2EC2" w:rsidP="00CE2EC2">
            <w:pPr>
              <w:spacing w:after="0" w:line="240" w:lineRule="auto"/>
              <w:jc w:val="right"/>
              <w:rPr>
                <w:rFonts w:ascii="Arial" w:eastAsia="Times New Roman" w:hAnsi="Arial" w:cs="Arial"/>
                <w:b/>
                <w:bCs/>
                <w:sz w:val="16"/>
                <w:szCs w:val="16"/>
                <w:lang w:eastAsia="tr-TR"/>
              </w:rPr>
            </w:pPr>
            <w:r>
              <w:rPr>
                <w:rFonts w:ascii="Arial" w:eastAsia="Times New Roman" w:hAnsi="Arial" w:cs="Arial"/>
                <w:b/>
                <w:bCs/>
                <w:sz w:val="16"/>
                <w:szCs w:val="16"/>
                <w:lang w:eastAsia="tr-TR"/>
              </w:rPr>
              <w:t>8</w:t>
            </w:r>
            <w:r w:rsidRPr="000875F4">
              <w:rPr>
                <w:rFonts w:ascii="Arial" w:eastAsia="Times New Roman" w:hAnsi="Arial" w:cs="Arial"/>
                <w:b/>
                <w:bCs/>
                <w:sz w:val="16"/>
                <w:szCs w:val="16"/>
                <w:lang w:eastAsia="tr-TR"/>
              </w:rPr>
              <w:t>.</w:t>
            </w:r>
            <w:r>
              <w:rPr>
                <w:rFonts w:ascii="Arial" w:eastAsia="Times New Roman" w:hAnsi="Arial" w:cs="Arial"/>
                <w:b/>
                <w:bCs/>
                <w:sz w:val="16"/>
                <w:szCs w:val="16"/>
                <w:lang w:eastAsia="tr-TR"/>
              </w:rPr>
              <w:t>524</w:t>
            </w:r>
            <w:r w:rsidRPr="000875F4">
              <w:rPr>
                <w:rFonts w:ascii="Arial" w:eastAsia="Times New Roman" w:hAnsi="Arial" w:cs="Arial"/>
                <w:b/>
                <w:bCs/>
                <w:sz w:val="16"/>
                <w:szCs w:val="16"/>
                <w:lang w:eastAsia="tr-TR"/>
              </w:rPr>
              <w:t>.7</w:t>
            </w:r>
            <w:r>
              <w:rPr>
                <w:rFonts w:ascii="Arial" w:eastAsia="Times New Roman" w:hAnsi="Arial" w:cs="Arial"/>
                <w:b/>
                <w:bCs/>
                <w:sz w:val="16"/>
                <w:szCs w:val="16"/>
                <w:lang w:eastAsia="tr-TR"/>
              </w:rPr>
              <w:t>21</w:t>
            </w:r>
            <w:r w:rsidRPr="000875F4">
              <w:rPr>
                <w:rFonts w:ascii="Arial" w:eastAsia="Times New Roman" w:hAnsi="Arial" w:cs="Arial"/>
                <w:b/>
                <w:bCs/>
                <w:sz w:val="16"/>
                <w:szCs w:val="16"/>
                <w:lang w:eastAsia="tr-TR"/>
              </w:rPr>
              <w:t>.</w:t>
            </w:r>
            <w:r>
              <w:rPr>
                <w:rFonts w:ascii="Arial" w:eastAsia="Times New Roman" w:hAnsi="Arial" w:cs="Arial"/>
                <w:b/>
                <w:bCs/>
                <w:sz w:val="16"/>
                <w:szCs w:val="16"/>
                <w:lang w:eastAsia="tr-TR"/>
              </w:rPr>
              <w:t>075</w:t>
            </w:r>
            <w:r w:rsidRPr="000875F4">
              <w:rPr>
                <w:rFonts w:ascii="Arial" w:eastAsia="Times New Roman" w:hAnsi="Arial" w:cs="Arial"/>
                <w:b/>
                <w:bCs/>
                <w:sz w:val="16"/>
                <w:szCs w:val="16"/>
                <w:lang w:eastAsia="tr-TR"/>
              </w:rPr>
              <w:t>,</w:t>
            </w:r>
            <w:r>
              <w:rPr>
                <w:rFonts w:ascii="Arial" w:eastAsia="Times New Roman" w:hAnsi="Arial" w:cs="Arial"/>
                <w:b/>
                <w:bCs/>
                <w:sz w:val="16"/>
                <w:szCs w:val="16"/>
                <w:lang w:eastAsia="tr-TR"/>
              </w:rPr>
              <w:t>61</w:t>
            </w:r>
          </w:p>
        </w:tc>
      </w:tr>
    </w:tbl>
    <w:p w:rsidR="00933A6E" w:rsidRDefault="00933A6E" w:rsidP="00933A6E">
      <w:pPr>
        <w:pStyle w:val="ListeParagraf"/>
        <w:rPr>
          <w:b/>
          <w:sz w:val="18"/>
          <w:szCs w:val="18"/>
          <w:highlight w:val="yellow"/>
        </w:rPr>
      </w:pPr>
    </w:p>
    <w:p w:rsidR="001C3349" w:rsidRPr="00456863" w:rsidRDefault="001C3349" w:rsidP="00A959D5">
      <w:pPr>
        <w:jc w:val="center"/>
        <w:rPr>
          <w:b/>
          <w:sz w:val="18"/>
          <w:szCs w:val="18"/>
          <w:highlight w:val="yellow"/>
        </w:rPr>
      </w:pPr>
    </w:p>
    <w:p w:rsidR="001E4B05" w:rsidRPr="00456863" w:rsidRDefault="001E4B05" w:rsidP="009A5906">
      <w:pPr>
        <w:rPr>
          <w:sz w:val="12"/>
          <w:szCs w:val="12"/>
          <w:highlight w:val="yellow"/>
        </w:rPr>
      </w:pPr>
    </w:p>
    <w:sectPr w:rsidR="001E4B05" w:rsidRPr="00456863" w:rsidSect="00865E80">
      <w:pgSz w:w="16838" w:h="11906" w:orient="landscape"/>
      <w:pgMar w:top="113" w:right="249" w:bottom="113"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5FFC" w:rsidRDefault="00255FFC" w:rsidP="00297FE1">
      <w:pPr>
        <w:spacing w:after="0" w:line="240" w:lineRule="auto"/>
      </w:pPr>
      <w:r>
        <w:separator/>
      </w:r>
    </w:p>
  </w:endnote>
  <w:endnote w:type="continuationSeparator" w:id="0">
    <w:p w:rsidR="00255FFC" w:rsidRDefault="00255FFC" w:rsidP="00297F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New York">
    <w:panose1 w:val="02040503060506020304"/>
    <w:charset w:val="00"/>
    <w:family w:val="roman"/>
    <w:notTrueType/>
    <w:pitch w:val="variable"/>
    <w:sig w:usb0="00000003" w:usb1="00000000" w:usb2="00000000" w:usb3="00000000" w:csb0="00000001" w:csb1="00000000"/>
  </w:font>
  <w:font w:name="Arial">
    <w:panose1 w:val="020B0604020202020204"/>
    <w:charset w:val="A2"/>
    <w:family w:val="swiss"/>
    <w:pitch w:val="variable"/>
    <w:sig w:usb0="E0002EFF" w:usb1="C000785B" w:usb2="00000009" w:usb3="00000000" w:csb0="000001FF" w:csb1="00000000"/>
  </w:font>
  <w:font w:name="ヒラギノ明朝 Pro W3">
    <w:altName w:val="MS Mincho"/>
    <w:charset w:val="80"/>
    <w:family w:val="auto"/>
    <w:pitch w:val="variable"/>
    <w:sig w:usb0="00000001" w:usb1="00000000" w:usb2="01000407" w:usb3="00000000" w:csb0="00020000" w:csb1="00000000"/>
  </w:font>
  <w:font w:name="Times">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TR Arial">
    <w:altName w:val="Times New Roman"/>
    <w:panose1 w:val="00000000000000000000"/>
    <w:charset w:val="00"/>
    <w:family w:val="roman"/>
    <w:notTrueType/>
    <w:pitch w:val="variable"/>
    <w:sig w:usb0="00000003" w:usb1="00000000" w:usb2="00000000" w:usb3="00000000" w:csb0="00000001" w:csb1="00000000"/>
  </w:font>
  <w:font w:name="Consolas">
    <w:panose1 w:val="020B0609020204030204"/>
    <w:charset w:val="A2"/>
    <w:family w:val="modern"/>
    <w:pitch w:val="fixed"/>
    <w:sig w:usb0="E00006FF" w:usb1="0000FCFF" w:usb2="00000001" w:usb3="00000000" w:csb0="0000019F" w:csb1="00000000"/>
  </w:font>
  <w:font w:name="Arial TUR">
    <w:panose1 w:val="020B0604020202020204"/>
    <w:charset w:val="A2"/>
    <w:family w:val="swiss"/>
    <w:pitch w:val="variable"/>
    <w:sig w:usb0="E0002EFF" w:usb1="C000785B" w:usb2="00000009" w:usb3="00000000" w:csb0="000001FF" w:csb1="00000000"/>
  </w:font>
  <w:font w:name="Cambria Math">
    <w:panose1 w:val="02040503050406030204"/>
    <w:charset w:val="A2"/>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4372141"/>
      <w:docPartObj>
        <w:docPartGallery w:val="Page Numbers (Bottom of Page)"/>
        <w:docPartUnique/>
      </w:docPartObj>
    </w:sdtPr>
    <w:sdtEndPr/>
    <w:sdtContent>
      <w:p w:rsidR="0077386E" w:rsidRDefault="0077386E">
        <w:pPr>
          <w:pStyle w:val="AltBilgi"/>
          <w:jc w:val="center"/>
        </w:pPr>
        <w:r>
          <w:fldChar w:fldCharType="begin"/>
        </w:r>
        <w:r>
          <w:instrText>PAGE   \* MERGEFORMAT</w:instrText>
        </w:r>
        <w:r>
          <w:fldChar w:fldCharType="separate"/>
        </w:r>
        <w:r>
          <w:rPr>
            <w:noProof/>
          </w:rPr>
          <w:t>6</w:t>
        </w:r>
        <w:r>
          <w:rPr>
            <w:noProof/>
          </w:rPr>
          <w:fldChar w:fldCharType="end"/>
        </w:r>
      </w:p>
    </w:sdtContent>
  </w:sdt>
  <w:p w:rsidR="0077386E" w:rsidRDefault="0077386E">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7386E" w:rsidRDefault="0077386E">
    <w:pPr>
      <w:pStyle w:val="AltBilgi"/>
      <w:jc w:val="center"/>
      <w:rPr>
        <w:noProof/>
      </w:rPr>
    </w:pPr>
  </w:p>
  <w:p w:rsidR="0077386E" w:rsidRDefault="0077386E">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7386E" w:rsidRDefault="0077386E">
    <w:pPr>
      <w:pStyle w:val="AltBilgi"/>
      <w:jc w:val="center"/>
      <w:rPr>
        <w:noProof/>
      </w:rPr>
    </w:pPr>
    <w:r>
      <w:rPr>
        <w:noProof/>
      </w:rPr>
      <w:t>i</w:t>
    </w:r>
  </w:p>
  <w:p w:rsidR="0077386E" w:rsidRDefault="0077386E">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7386E" w:rsidRDefault="0077386E" w:rsidP="00357653">
    <w:pPr>
      <w:pStyle w:val="AltBilgi"/>
      <w:jc w:val="center"/>
    </w:pPr>
    <w:r>
      <w:rPr>
        <w:noProof/>
      </w:rPr>
      <w:t>1</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12971724"/>
      <w:docPartObj>
        <w:docPartGallery w:val="Page Numbers (Bottom of Page)"/>
        <w:docPartUnique/>
      </w:docPartObj>
    </w:sdtPr>
    <w:sdtEndPr/>
    <w:sdtContent>
      <w:p w:rsidR="0077386E" w:rsidRDefault="0077386E" w:rsidP="00F12D15">
        <w:pPr>
          <w:pStyle w:val="AltBilgi"/>
          <w:jc w:val="center"/>
        </w:pPr>
        <w:r>
          <w:fldChar w:fldCharType="begin"/>
        </w:r>
        <w:r>
          <w:instrText>PAGE   \* MERGEFORMAT</w:instrText>
        </w:r>
        <w:r>
          <w:fldChar w:fldCharType="separate"/>
        </w:r>
        <w:r>
          <w:rPr>
            <w:noProof/>
          </w:rPr>
          <w:t>139</w:t>
        </w:r>
        <w:r>
          <w:rPr>
            <w:noProof/>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7386E" w:rsidRDefault="0077386E" w:rsidP="00F922DE">
    <w:pPr>
      <w:pStyle w:val="AltBilgi"/>
      <w:tabs>
        <w:tab w:val="left" w:pos="4725"/>
        <w:tab w:val="center" w:pos="4961"/>
      </w:tabs>
      <w:jc w:val="center"/>
      <w:rPr>
        <w:noProof/>
      </w:rPr>
    </w:pPr>
    <w:r>
      <w:rPr>
        <w:noProof/>
      </w:rPr>
      <w:t>44</w:t>
    </w:r>
  </w:p>
  <w:p w:rsidR="0077386E" w:rsidRDefault="0077386E">
    <w:pPr>
      <w:pStyle w:val="AltBilgi"/>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7386E" w:rsidRDefault="0077386E" w:rsidP="007650B8">
    <w:pPr>
      <w:pStyle w:val="AltBilgi"/>
      <w:tabs>
        <w:tab w:val="left" w:pos="4725"/>
        <w:tab w:val="center" w:pos="4961"/>
      </w:tabs>
      <w:jc w:val="center"/>
      <w:rPr>
        <w:noProof/>
      </w:rPr>
    </w:pPr>
    <w:r>
      <w:rPr>
        <w:noProof/>
      </w:rPr>
      <w:t>44</w:t>
    </w:r>
  </w:p>
  <w:p w:rsidR="0077386E" w:rsidRDefault="0077386E">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5FFC" w:rsidRDefault="00255FFC" w:rsidP="00297FE1">
      <w:pPr>
        <w:spacing w:after="0" w:line="240" w:lineRule="auto"/>
      </w:pPr>
      <w:r>
        <w:separator/>
      </w:r>
    </w:p>
  </w:footnote>
  <w:footnote w:type="continuationSeparator" w:id="0">
    <w:p w:rsidR="00255FFC" w:rsidRDefault="00255FFC" w:rsidP="00297FE1">
      <w:pPr>
        <w:spacing w:after="0" w:line="240" w:lineRule="auto"/>
      </w:pPr>
      <w:r>
        <w:continuationSeparator/>
      </w:r>
    </w:p>
  </w:footnote>
  <w:footnote w:id="1">
    <w:p w:rsidR="0077386E" w:rsidRDefault="0077386E">
      <w:pPr>
        <w:pStyle w:val="DipnotMetni"/>
      </w:pPr>
      <w:r>
        <w:rPr>
          <w:rStyle w:val="DipnotBavurusu"/>
        </w:rPr>
        <w:footnoteRef/>
      </w:r>
      <w:r>
        <w:t xml:space="preserve"> </w:t>
      </w:r>
      <w:r w:rsidRPr="008A34A2">
        <w:t xml:space="preserve">25.12.2021 tarihli ve 31700 sayılı Resmî </w:t>
      </w:r>
      <w:r>
        <w:t>Gazetede</w:t>
      </w:r>
      <w:r w:rsidRPr="008A34A2">
        <w:t xml:space="preserve"> yayımlanan 7346 sayılı Bazı Kanunlarda Değişiklik Yapılmasına Dair Kanun</w:t>
      </w:r>
      <w:r>
        <w:t>’un 17 nci maddesi ile 4628 sayılı Enerji Piyasası Düzenleme Kurumunun Teşkilat ve Görevleri Hakkında Kanun’un 9 uncu maddesine yeni bent eklenerek Enerji Dönüşüm Dairesi Başkanlığı kurulmuştur.</w:t>
      </w:r>
    </w:p>
  </w:footnote>
  <w:footnote w:id="2">
    <w:p w:rsidR="0077386E" w:rsidRDefault="0077386E">
      <w:pPr>
        <w:pStyle w:val="DipnotMetni"/>
      </w:pPr>
      <w:r>
        <w:rPr>
          <w:rStyle w:val="DipnotBavurusu"/>
        </w:rPr>
        <w:footnoteRef/>
      </w:r>
      <w:r>
        <w:t xml:space="preserve"> </w:t>
      </w:r>
      <w:r w:rsidRPr="004F4A9F">
        <w:t>Sanayi ve Teknoloji Bakanlığı ile Kurum arasında 28.06.2006 tarihinde imzalanarak yürürlüğe giren Petrol ve LPG Piyasalarında Yapılacak Denetimlere İlişkin İşbirliği Protokolü, karşılıklı mutabakat ile 05.03.2020 tarihi itibar</w:t>
      </w:r>
      <w:r>
        <w:t>ı</w:t>
      </w:r>
      <w:r w:rsidRPr="004F4A9F">
        <w:t>yl</w:t>
      </w:r>
      <w:r>
        <w:t>a</w:t>
      </w:r>
      <w:r w:rsidRPr="004F4A9F">
        <w:t xml:space="preserve"> sonlandırılmıştır.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D21CD"/>
    <w:multiLevelType w:val="hybridMultilevel"/>
    <w:tmpl w:val="BE86B09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268764F"/>
    <w:multiLevelType w:val="hybridMultilevel"/>
    <w:tmpl w:val="E8F6EA3C"/>
    <w:lvl w:ilvl="0" w:tplc="CF2ECC44">
      <w:start w:val="52"/>
      <w:numFmt w:val="bullet"/>
      <w:lvlText w:val="-"/>
      <w:lvlJc w:val="left"/>
      <w:pPr>
        <w:ind w:left="1430" w:hanging="360"/>
      </w:pPr>
      <w:rPr>
        <w:rFonts w:ascii="Calibri" w:eastAsia="Times New Roman" w:hAnsi="Calibri" w:cs="Calibri" w:hint="default"/>
      </w:rPr>
    </w:lvl>
    <w:lvl w:ilvl="1" w:tplc="041F0003" w:tentative="1">
      <w:start w:val="1"/>
      <w:numFmt w:val="bullet"/>
      <w:lvlText w:val="o"/>
      <w:lvlJc w:val="left"/>
      <w:pPr>
        <w:ind w:left="2150" w:hanging="360"/>
      </w:pPr>
      <w:rPr>
        <w:rFonts w:ascii="Courier New" w:hAnsi="Courier New" w:cs="Courier New" w:hint="default"/>
      </w:rPr>
    </w:lvl>
    <w:lvl w:ilvl="2" w:tplc="041F0005" w:tentative="1">
      <w:start w:val="1"/>
      <w:numFmt w:val="bullet"/>
      <w:lvlText w:val=""/>
      <w:lvlJc w:val="left"/>
      <w:pPr>
        <w:ind w:left="2870" w:hanging="360"/>
      </w:pPr>
      <w:rPr>
        <w:rFonts w:ascii="Wingdings" w:hAnsi="Wingdings" w:hint="default"/>
      </w:rPr>
    </w:lvl>
    <w:lvl w:ilvl="3" w:tplc="041F0001" w:tentative="1">
      <w:start w:val="1"/>
      <w:numFmt w:val="bullet"/>
      <w:lvlText w:val=""/>
      <w:lvlJc w:val="left"/>
      <w:pPr>
        <w:ind w:left="3590" w:hanging="360"/>
      </w:pPr>
      <w:rPr>
        <w:rFonts w:ascii="Symbol" w:hAnsi="Symbol" w:hint="default"/>
      </w:rPr>
    </w:lvl>
    <w:lvl w:ilvl="4" w:tplc="041F0003" w:tentative="1">
      <w:start w:val="1"/>
      <w:numFmt w:val="bullet"/>
      <w:lvlText w:val="o"/>
      <w:lvlJc w:val="left"/>
      <w:pPr>
        <w:ind w:left="4310" w:hanging="360"/>
      </w:pPr>
      <w:rPr>
        <w:rFonts w:ascii="Courier New" w:hAnsi="Courier New" w:cs="Courier New" w:hint="default"/>
      </w:rPr>
    </w:lvl>
    <w:lvl w:ilvl="5" w:tplc="041F0005" w:tentative="1">
      <w:start w:val="1"/>
      <w:numFmt w:val="bullet"/>
      <w:lvlText w:val=""/>
      <w:lvlJc w:val="left"/>
      <w:pPr>
        <w:ind w:left="5030" w:hanging="360"/>
      </w:pPr>
      <w:rPr>
        <w:rFonts w:ascii="Wingdings" w:hAnsi="Wingdings" w:hint="default"/>
      </w:rPr>
    </w:lvl>
    <w:lvl w:ilvl="6" w:tplc="041F0001" w:tentative="1">
      <w:start w:val="1"/>
      <w:numFmt w:val="bullet"/>
      <w:lvlText w:val=""/>
      <w:lvlJc w:val="left"/>
      <w:pPr>
        <w:ind w:left="5750" w:hanging="360"/>
      </w:pPr>
      <w:rPr>
        <w:rFonts w:ascii="Symbol" w:hAnsi="Symbol" w:hint="default"/>
      </w:rPr>
    </w:lvl>
    <w:lvl w:ilvl="7" w:tplc="041F0003" w:tentative="1">
      <w:start w:val="1"/>
      <w:numFmt w:val="bullet"/>
      <w:lvlText w:val="o"/>
      <w:lvlJc w:val="left"/>
      <w:pPr>
        <w:ind w:left="6470" w:hanging="360"/>
      </w:pPr>
      <w:rPr>
        <w:rFonts w:ascii="Courier New" w:hAnsi="Courier New" w:cs="Courier New" w:hint="default"/>
      </w:rPr>
    </w:lvl>
    <w:lvl w:ilvl="8" w:tplc="041F0005" w:tentative="1">
      <w:start w:val="1"/>
      <w:numFmt w:val="bullet"/>
      <w:lvlText w:val=""/>
      <w:lvlJc w:val="left"/>
      <w:pPr>
        <w:ind w:left="7190" w:hanging="360"/>
      </w:pPr>
      <w:rPr>
        <w:rFonts w:ascii="Wingdings" w:hAnsi="Wingdings" w:hint="default"/>
      </w:rPr>
    </w:lvl>
  </w:abstractNum>
  <w:abstractNum w:abstractNumId="2" w15:restartNumberingAfterBreak="0">
    <w:nsid w:val="03237F80"/>
    <w:multiLevelType w:val="hybridMultilevel"/>
    <w:tmpl w:val="5242227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041C67AF"/>
    <w:multiLevelType w:val="hybridMultilevel"/>
    <w:tmpl w:val="B80E79B4"/>
    <w:lvl w:ilvl="0" w:tplc="29C0FBC8">
      <w:start w:val="1"/>
      <w:numFmt w:val="lowerLetter"/>
      <w:lvlText w:val="%1)"/>
      <w:lvlJc w:val="left"/>
      <w:pPr>
        <w:ind w:left="1800" w:hanging="360"/>
      </w:pPr>
      <w:rPr>
        <w:rFonts w:hint="default"/>
      </w:rPr>
    </w:lvl>
    <w:lvl w:ilvl="1" w:tplc="041F0019" w:tentative="1">
      <w:start w:val="1"/>
      <w:numFmt w:val="lowerLetter"/>
      <w:lvlText w:val="%2."/>
      <w:lvlJc w:val="left"/>
      <w:pPr>
        <w:ind w:left="2520" w:hanging="360"/>
      </w:pPr>
    </w:lvl>
    <w:lvl w:ilvl="2" w:tplc="041F001B" w:tentative="1">
      <w:start w:val="1"/>
      <w:numFmt w:val="lowerRoman"/>
      <w:lvlText w:val="%3."/>
      <w:lvlJc w:val="right"/>
      <w:pPr>
        <w:ind w:left="3240" w:hanging="180"/>
      </w:pPr>
    </w:lvl>
    <w:lvl w:ilvl="3" w:tplc="041F000F" w:tentative="1">
      <w:start w:val="1"/>
      <w:numFmt w:val="decimal"/>
      <w:lvlText w:val="%4."/>
      <w:lvlJc w:val="left"/>
      <w:pPr>
        <w:ind w:left="3960" w:hanging="360"/>
      </w:pPr>
    </w:lvl>
    <w:lvl w:ilvl="4" w:tplc="041F0019" w:tentative="1">
      <w:start w:val="1"/>
      <w:numFmt w:val="lowerLetter"/>
      <w:lvlText w:val="%5."/>
      <w:lvlJc w:val="left"/>
      <w:pPr>
        <w:ind w:left="4680" w:hanging="360"/>
      </w:pPr>
    </w:lvl>
    <w:lvl w:ilvl="5" w:tplc="041F001B" w:tentative="1">
      <w:start w:val="1"/>
      <w:numFmt w:val="lowerRoman"/>
      <w:lvlText w:val="%6."/>
      <w:lvlJc w:val="right"/>
      <w:pPr>
        <w:ind w:left="5400" w:hanging="180"/>
      </w:pPr>
    </w:lvl>
    <w:lvl w:ilvl="6" w:tplc="041F000F" w:tentative="1">
      <w:start w:val="1"/>
      <w:numFmt w:val="decimal"/>
      <w:lvlText w:val="%7."/>
      <w:lvlJc w:val="left"/>
      <w:pPr>
        <w:ind w:left="6120" w:hanging="360"/>
      </w:pPr>
    </w:lvl>
    <w:lvl w:ilvl="7" w:tplc="041F0019" w:tentative="1">
      <w:start w:val="1"/>
      <w:numFmt w:val="lowerLetter"/>
      <w:lvlText w:val="%8."/>
      <w:lvlJc w:val="left"/>
      <w:pPr>
        <w:ind w:left="6840" w:hanging="360"/>
      </w:pPr>
    </w:lvl>
    <w:lvl w:ilvl="8" w:tplc="041F001B" w:tentative="1">
      <w:start w:val="1"/>
      <w:numFmt w:val="lowerRoman"/>
      <w:lvlText w:val="%9."/>
      <w:lvlJc w:val="right"/>
      <w:pPr>
        <w:ind w:left="7560" w:hanging="180"/>
      </w:pPr>
    </w:lvl>
  </w:abstractNum>
  <w:abstractNum w:abstractNumId="4" w15:restartNumberingAfterBreak="0">
    <w:nsid w:val="05E96EBB"/>
    <w:multiLevelType w:val="hybridMultilevel"/>
    <w:tmpl w:val="34FADAE4"/>
    <w:lvl w:ilvl="0" w:tplc="6AB8AB04">
      <w:start w:val="1"/>
      <w:numFmt w:val="lowerLetter"/>
      <w:lvlText w:val="%1)"/>
      <w:lvlJc w:val="left"/>
      <w:pPr>
        <w:ind w:left="2203" w:hanging="360"/>
      </w:pPr>
      <w:rPr>
        <w:rFonts w:hint="default"/>
      </w:rPr>
    </w:lvl>
    <w:lvl w:ilvl="1" w:tplc="041F0019" w:tentative="1">
      <w:start w:val="1"/>
      <w:numFmt w:val="lowerLetter"/>
      <w:lvlText w:val="%2."/>
      <w:lvlJc w:val="left"/>
      <w:pPr>
        <w:ind w:left="2923" w:hanging="360"/>
      </w:pPr>
    </w:lvl>
    <w:lvl w:ilvl="2" w:tplc="041F001B" w:tentative="1">
      <w:start w:val="1"/>
      <w:numFmt w:val="lowerRoman"/>
      <w:lvlText w:val="%3."/>
      <w:lvlJc w:val="right"/>
      <w:pPr>
        <w:ind w:left="3643" w:hanging="180"/>
      </w:pPr>
    </w:lvl>
    <w:lvl w:ilvl="3" w:tplc="041F000F" w:tentative="1">
      <w:start w:val="1"/>
      <w:numFmt w:val="decimal"/>
      <w:lvlText w:val="%4."/>
      <w:lvlJc w:val="left"/>
      <w:pPr>
        <w:ind w:left="4363" w:hanging="360"/>
      </w:pPr>
    </w:lvl>
    <w:lvl w:ilvl="4" w:tplc="041F0019" w:tentative="1">
      <w:start w:val="1"/>
      <w:numFmt w:val="lowerLetter"/>
      <w:lvlText w:val="%5."/>
      <w:lvlJc w:val="left"/>
      <w:pPr>
        <w:ind w:left="5083" w:hanging="360"/>
      </w:pPr>
    </w:lvl>
    <w:lvl w:ilvl="5" w:tplc="041F001B" w:tentative="1">
      <w:start w:val="1"/>
      <w:numFmt w:val="lowerRoman"/>
      <w:lvlText w:val="%6."/>
      <w:lvlJc w:val="right"/>
      <w:pPr>
        <w:ind w:left="5803" w:hanging="180"/>
      </w:pPr>
    </w:lvl>
    <w:lvl w:ilvl="6" w:tplc="041F000F" w:tentative="1">
      <w:start w:val="1"/>
      <w:numFmt w:val="decimal"/>
      <w:lvlText w:val="%7."/>
      <w:lvlJc w:val="left"/>
      <w:pPr>
        <w:ind w:left="6523" w:hanging="360"/>
      </w:pPr>
    </w:lvl>
    <w:lvl w:ilvl="7" w:tplc="041F0019" w:tentative="1">
      <w:start w:val="1"/>
      <w:numFmt w:val="lowerLetter"/>
      <w:lvlText w:val="%8."/>
      <w:lvlJc w:val="left"/>
      <w:pPr>
        <w:ind w:left="7243" w:hanging="360"/>
      </w:pPr>
    </w:lvl>
    <w:lvl w:ilvl="8" w:tplc="041F001B" w:tentative="1">
      <w:start w:val="1"/>
      <w:numFmt w:val="lowerRoman"/>
      <w:lvlText w:val="%9."/>
      <w:lvlJc w:val="right"/>
      <w:pPr>
        <w:ind w:left="7963" w:hanging="180"/>
      </w:pPr>
    </w:lvl>
  </w:abstractNum>
  <w:abstractNum w:abstractNumId="5" w15:restartNumberingAfterBreak="0">
    <w:nsid w:val="06452F1C"/>
    <w:multiLevelType w:val="hybridMultilevel"/>
    <w:tmpl w:val="05C8043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06982E00"/>
    <w:multiLevelType w:val="hybridMultilevel"/>
    <w:tmpl w:val="021A0D5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07EE56F7"/>
    <w:multiLevelType w:val="hybridMultilevel"/>
    <w:tmpl w:val="F36050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08875FC0"/>
    <w:multiLevelType w:val="hybridMultilevel"/>
    <w:tmpl w:val="2D2EC23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089F6C01"/>
    <w:multiLevelType w:val="hybridMultilevel"/>
    <w:tmpl w:val="D8E4517C"/>
    <w:lvl w:ilvl="0" w:tplc="C8B8BB96">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0" w15:restartNumberingAfterBreak="0">
    <w:nsid w:val="09A11A07"/>
    <w:multiLevelType w:val="hybridMultilevel"/>
    <w:tmpl w:val="50588EB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0CE97BEC"/>
    <w:multiLevelType w:val="hybridMultilevel"/>
    <w:tmpl w:val="DC9617F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0DFD521F"/>
    <w:multiLevelType w:val="hybridMultilevel"/>
    <w:tmpl w:val="14D44BE6"/>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3" w15:restartNumberingAfterBreak="0">
    <w:nsid w:val="16C36676"/>
    <w:multiLevelType w:val="hybridMultilevel"/>
    <w:tmpl w:val="1BAE60F0"/>
    <w:lvl w:ilvl="0" w:tplc="C8B8BB96">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1806503B"/>
    <w:multiLevelType w:val="hybridMultilevel"/>
    <w:tmpl w:val="B226D3C8"/>
    <w:lvl w:ilvl="0" w:tplc="C8B8BB96">
      <w:numFmt w:val="bullet"/>
      <w:lvlText w:val="-"/>
      <w:lvlJc w:val="left"/>
      <w:pPr>
        <w:ind w:left="1491" w:hanging="360"/>
      </w:pPr>
      <w:rPr>
        <w:rFonts w:ascii="Times New Roman" w:eastAsia="Times New Roman" w:hAnsi="Times New Roman" w:cs="Times New Roman" w:hint="default"/>
      </w:rPr>
    </w:lvl>
    <w:lvl w:ilvl="1" w:tplc="041F0003" w:tentative="1">
      <w:start w:val="1"/>
      <w:numFmt w:val="bullet"/>
      <w:lvlText w:val="o"/>
      <w:lvlJc w:val="left"/>
      <w:pPr>
        <w:ind w:left="2211" w:hanging="360"/>
      </w:pPr>
      <w:rPr>
        <w:rFonts w:ascii="Courier New" w:hAnsi="Courier New" w:cs="Courier New" w:hint="default"/>
      </w:rPr>
    </w:lvl>
    <w:lvl w:ilvl="2" w:tplc="041F0005" w:tentative="1">
      <w:start w:val="1"/>
      <w:numFmt w:val="bullet"/>
      <w:lvlText w:val=""/>
      <w:lvlJc w:val="left"/>
      <w:pPr>
        <w:ind w:left="2931" w:hanging="360"/>
      </w:pPr>
      <w:rPr>
        <w:rFonts w:ascii="Wingdings" w:hAnsi="Wingdings" w:hint="default"/>
      </w:rPr>
    </w:lvl>
    <w:lvl w:ilvl="3" w:tplc="041F0001" w:tentative="1">
      <w:start w:val="1"/>
      <w:numFmt w:val="bullet"/>
      <w:lvlText w:val=""/>
      <w:lvlJc w:val="left"/>
      <w:pPr>
        <w:ind w:left="3651" w:hanging="360"/>
      </w:pPr>
      <w:rPr>
        <w:rFonts w:ascii="Symbol" w:hAnsi="Symbol" w:hint="default"/>
      </w:rPr>
    </w:lvl>
    <w:lvl w:ilvl="4" w:tplc="041F0003" w:tentative="1">
      <w:start w:val="1"/>
      <w:numFmt w:val="bullet"/>
      <w:lvlText w:val="o"/>
      <w:lvlJc w:val="left"/>
      <w:pPr>
        <w:ind w:left="4371" w:hanging="360"/>
      </w:pPr>
      <w:rPr>
        <w:rFonts w:ascii="Courier New" w:hAnsi="Courier New" w:cs="Courier New" w:hint="default"/>
      </w:rPr>
    </w:lvl>
    <w:lvl w:ilvl="5" w:tplc="041F0005" w:tentative="1">
      <w:start w:val="1"/>
      <w:numFmt w:val="bullet"/>
      <w:lvlText w:val=""/>
      <w:lvlJc w:val="left"/>
      <w:pPr>
        <w:ind w:left="5091" w:hanging="360"/>
      </w:pPr>
      <w:rPr>
        <w:rFonts w:ascii="Wingdings" w:hAnsi="Wingdings" w:hint="default"/>
      </w:rPr>
    </w:lvl>
    <w:lvl w:ilvl="6" w:tplc="041F0001" w:tentative="1">
      <w:start w:val="1"/>
      <w:numFmt w:val="bullet"/>
      <w:lvlText w:val=""/>
      <w:lvlJc w:val="left"/>
      <w:pPr>
        <w:ind w:left="5811" w:hanging="360"/>
      </w:pPr>
      <w:rPr>
        <w:rFonts w:ascii="Symbol" w:hAnsi="Symbol" w:hint="default"/>
      </w:rPr>
    </w:lvl>
    <w:lvl w:ilvl="7" w:tplc="041F0003" w:tentative="1">
      <w:start w:val="1"/>
      <w:numFmt w:val="bullet"/>
      <w:lvlText w:val="o"/>
      <w:lvlJc w:val="left"/>
      <w:pPr>
        <w:ind w:left="6531" w:hanging="360"/>
      </w:pPr>
      <w:rPr>
        <w:rFonts w:ascii="Courier New" w:hAnsi="Courier New" w:cs="Courier New" w:hint="default"/>
      </w:rPr>
    </w:lvl>
    <w:lvl w:ilvl="8" w:tplc="041F0005" w:tentative="1">
      <w:start w:val="1"/>
      <w:numFmt w:val="bullet"/>
      <w:lvlText w:val=""/>
      <w:lvlJc w:val="left"/>
      <w:pPr>
        <w:ind w:left="7251" w:hanging="360"/>
      </w:pPr>
      <w:rPr>
        <w:rFonts w:ascii="Wingdings" w:hAnsi="Wingdings" w:hint="default"/>
      </w:rPr>
    </w:lvl>
  </w:abstractNum>
  <w:abstractNum w:abstractNumId="15" w15:restartNumberingAfterBreak="0">
    <w:nsid w:val="1B0F3458"/>
    <w:multiLevelType w:val="hybridMultilevel"/>
    <w:tmpl w:val="0D3ACDA2"/>
    <w:lvl w:ilvl="0" w:tplc="66CC2382">
      <w:start w:val="1"/>
      <w:numFmt w:val="decimal"/>
      <w:lvlText w:val="%1)"/>
      <w:lvlJc w:val="left"/>
      <w:pPr>
        <w:ind w:left="1068" w:hanging="360"/>
      </w:pPr>
      <w:rPr>
        <w:rFonts w:hint="default"/>
        <w:b w:val="0"/>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6" w15:restartNumberingAfterBreak="0">
    <w:nsid w:val="1C632CBC"/>
    <w:multiLevelType w:val="hybridMultilevel"/>
    <w:tmpl w:val="3C80552C"/>
    <w:lvl w:ilvl="0" w:tplc="08726FBE">
      <w:numFmt w:val="bullet"/>
      <w:lvlText w:val="-"/>
      <w:lvlJc w:val="left"/>
      <w:pPr>
        <w:ind w:left="72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15:restartNumberingAfterBreak="0">
    <w:nsid w:val="1D8A7C71"/>
    <w:multiLevelType w:val="hybridMultilevel"/>
    <w:tmpl w:val="3BB6FF0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15:restartNumberingAfterBreak="0">
    <w:nsid w:val="21963217"/>
    <w:multiLevelType w:val="hybridMultilevel"/>
    <w:tmpl w:val="E21ABCD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15:restartNumberingAfterBreak="0">
    <w:nsid w:val="220F5BBF"/>
    <w:multiLevelType w:val="hybridMultilevel"/>
    <w:tmpl w:val="E79AAFE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15:restartNumberingAfterBreak="0">
    <w:nsid w:val="22374146"/>
    <w:multiLevelType w:val="hybridMultilevel"/>
    <w:tmpl w:val="B5AAB068"/>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21" w15:restartNumberingAfterBreak="0">
    <w:nsid w:val="22B64E2A"/>
    <w:multiLevelType w:val="hybridMultilevel"/>
    <w:tmpl w:val="51DA685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15:restartNumberingAfterBreak="0">
    <w:nsid w:val="26C45791"/>
    <w:multiLevelType w:val="hybridMultilevel"/>
    <w:tmpl w:val="97123A3C"/>
    <w:lvl w:ilvl="0" w:tplc="E4784AD4">
      <w:start w:val="3403"/>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23" w15:restartNumberingAfterBreak="0">
    <w:nsid w:val="27604A4C"/>
    <w:multiLevelType w:val="multilevel"/>
    <w:tmpl w:val="4742167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B9102EE"/>
    <w:multiLevelType w:val="multilevel"/>
    <w:tmpl w:val="233285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i w:val="0"/>
        <w:color w:val="000000" w:themeColor="text1"/>
        <w:sz w:val="22"/>
        <w:szCs w:val="22"/>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2E2453B2"/>
    <w:multiLevelType w:val="hybridMultilevel"/>
    <w:tmpl w:val="D59C62BC"/>
    <w:lvl w:ilvl="0" w:tplc="C8B8BB96">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26" w15:restartNumberingAfterBreak="0">
    <w:nsid w:val="31E976D4"/>
    <w:multiLevelType w:val="hybridMultilevel"/>
    <w:tmpl w:val="26EC903E"/>
    <w:lvl w:ilvl="0" w:tplc="3862802E">
      <w:start w:val="1"/>
      <w:numFmt w:val="decimal"/>
      <w:lvlText w:val="%1)"/>
      <w:lvlJc w:val="left"/>
      <w:pPr>
        <w:ind w:left="1080" w:hanging="360"/>
      </w:pPr>
      <w:rPr>
        <w:rFonts w:hint="default"/>
        <w:b/>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27" w15:restartNumberingAfterBreak="0">
    <w:nsid w:val="32D66CDE"/>
    <w:multiLevelType w:val="multilevel"/>
    <w:tmpl w:val="75943E8A"/>
    <w:lvl w:ilvl="0">
      <w:start w:val="1"/>
      <w:numFmt w:val="none"/>
      <w:pStyle w:val="SectionText"/>
      <w:lvlText w:val=""/>
      <w:lvlJc w:val="left"/>
      <w:pPr>
        <w:tabs>
          <w:tab w:val="num" w:pos="360"/>
        </w:tabs>
        <w:ind w:left="0" w:firstLine="0"/>
      </w:pPr>
      <w:rPr>
        <w:rFonts w:hint="default"/>
      </w:rPr>
    </w:lvl>
    <w:lvl w:ilvl="1">
      <w:start w:val="1"/>
      <w:numFmt w:val="none"/>
      <w:suff w:val="nothing"/>
      <w:lvlText w:val=""/>
      <w:lvlJc w:val="left"/>
      <w:pPr>
        <w:ind w:left="0" w:firstLine="0"/>
      </w:pPr>
      <w:rPr>
        <w:rFonts w:hint="default"/>
      </w:rPr>
    </w:lvl>
    <w:lvl w:ilvl="2">
      <w:start w:val="1"/>
      <w:numFmt w:val="none"/>
      <w:lvlText w:val=""/>
      <w:lvlJc w:val="left"/>
      <w:pPr>
        <w:tabs>
          <w:tab w:val="num" w:pos="360"/>
        </w:tabs>
        <w:ind w:left="0" w:firstLine="0"/>
      </w:pPr>
      <w:rPr>
        <w:rFonts w:hint="default"/>
      </w:rPr>
    </w:lvl>
    <w:lvl w:ilvl="3">
      <w:start w:val="6"/>
      <w:numFmt w:val="none"/>
      <w:pStyle w:val="SectionText"/>
      <w:suff w:val="nothing"/>
      <w:lvlText w:val="%4"/>
      <w:lvlJc w:val="left"/>
      <w:pPr>
        <w:ind w:left="0" w:firstLine="0"/>
      </w:pPr>
      <w:rPr>
        <w:rFonts w:hint="default"/>
      </w:rPr>
    </w:lvl>
    <w:lvl w:ilvl="4">
      <w:start w:val="3"/>
      <w:numFmt w:val="decimal"/>
      <w:lvlRestart w:val="0"/>
      <w:pStyle w:val="parheading"/>
      <w:lvlText w:val="%5"/>
      <w:lvlJc w:val="left"/>
      <w:pPr>
        <w:tabs>
          <w:tab w:val="num" w:pos="1080"/>
        </w:tabs>
        <w:ind w:left="720" w:firstLine="0"/>
      </w:pPr>
      <w:rPr>
        <w:rFonts w:hint="default"/>
      </w:rPr>
    </w:lvl>
    <w:lvl w:ilvl="5">
      <w:start w:val="7"/>
      <w:numFmt w:val="none"/>
      <w:lvlRestart w:val="2"/>
      <w:pStyle w:val="SectionText"/>
      <w:lvlText w:val="Madde 13 -"/>
      <w:lvlJc w:val="left"/>
      <w:pPr>
        <w:tabs>
          <w:tab w:val="num" w:pos="1800"/>
        </w:tabs>
        <w:ind w:left="0" w:firstLine="720"/>
      </w:pPr>
      <w:rPr>
        <w:rFonts w:hint="default"/>
        <w:b/>
        <w:strike w:val="0"/>
      </w:rPr>
    </w:lvl>
    <w:lvl w:ilvl="6">
      <w:start w:val="1"/>
      <w:numFmt w:val="lowerLetter"/>
      <w:lvlText w:val="%7)"/>
      <w:lvlJc w:val="left"/>
      <w:pPr>
        <w:tabs>
          <w:tab w:val="num" w:pos="1353"/>
        </w:tabs>
        <w:ind w:left="273" w:firstLine="720"/>
      </w:pPr>
      <w:rPr>
        <w:rFonts w:hint="default"/>
        <w:strike w:val="0"/>
      </w:rPr>
    </w:lvl>
    <w:lvl w:ilvl="7">
      <w:start w:val="1"/>
      <w:numFmt w:val="decimal"/>
      <w:lvlText w:val="%8)"/>
      <w:lvlJc w:val="left"/>
      <w:pPr>
        <w:tabs>
          <w:tab w:val="num" w:pos="720"/>
        </w:tabs>
        <w:ind w:left="720" w:hanging="720"/>
      </w:pPr>
      <w:rPr>
        <w:rFonts w:hint="default"/>
        <w:color w:val="auto"/>
        <w:lang w:val="tr-TR"/>
      </w:rPr>
    </w:lvl>
    <w:lvl w:ilvl="8">
      <w:start w:val="1"/>
      <w:numFmt w:val="none"/>
      <w:pStyle w:val="parheading"/>
      <w:suff w:val="nothing"/>
      <w:lvlText w:val=""/>
      <w:lvlJc w:val="left"/>
      <w:pPr>
        <w:ind w:left="0" w:firstLine="0"/>
      </w:pPr>
      <w:rPr>
        <w:rFonts w:hint="default"/>
      </w:rPr>
    </w:lvl>
  </w:abstractNum>
  <w:abstractNum w:abstractNumId="28" w15:restartNumberingAfterBreak="0">
    <w:nsid w:val="34293903"/>
    <w:multiLevelType w:val="hybridMultilevel"/>
    <w:tmpl w:val="6E28917E"/>
    <w:lvl w:ilvl="0" w:tplc="4314A66E">
      <w:start w:val="1"/>
      <w:numFmt w:val="upp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9" w15:restartNumberingAfterBreak="0">
    <w:nsid w:val="36DB1C3A"/>
    <w:multiLevelType w:val="hybridMultilevel"/>
    <w:tmpl w:val="29EE04F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0" w15:restartNumberingAfterBreak="0">
    <w:nsid w:val="38123D12"/>
    <w:multiLevelType w:val="hybridMultilevel"/>
    <w:tmpl w:val="28FCB972"/>
    <w:lvl w:ilvl="0" w:tplc="E5C41510">
      <w:start w:val="1"/>
      <w:numFmt w:val="decimal"/>
      <w:lvlText w:val="%1)"/>
      <w:lvlJc w:val="left"/>
      <w:pPr>
        <w:ind w:left="1080" w:hanging="360"/>
      </w:pPr>
      <w:rPr>
        <w:rFonts w:hint="default"/>
        <w:b/>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31" w15:restartNumberingAfterBreak="0">
    <w:nsid w:val="3C885B95"/>
    <w:multiLevelType w:val="hybridMultilevel"/>
    <w:tmpl w:val="76286ED2"/>
    <w:lvl w:ilvl="0" w:tplc="C8B8BB96">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32" w15:restartNumberingAfterBreak="0">
    <w:nsid w:val="3D7A20C6"/>
    <w:multiLevelType w:val="hybridMultilevel"/>
    <w:tmpl w:val="303A78E0"/>
    <w:lvl w:ilvl="0" w:tplc="13D8842C">
      <w:numFmt w:val="bullet"/>
      <w:lvlText w:val="-"/>
      <w:lvlJc w:val="left"/>
      <w:pPr>
        <w:ind w:left="720" w:hanging="360"/>
      </w:pPr>
      <w:rPr>
        <w:rFonts w:ascii="Calibri" w:eastAsia="Times New Roman" w:hAnsi="Calibri" w:cs="Calibr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3" w15:restartNumberingAfterBreak="0">
    <w:nsid w:val="3EE17916"/>
    <w:multiLevelType w:val="hybridMultilevel"/>
    <w:tmpl w:val="CEFAE684"/>
    <w:lvl w:ilvl="0" w:tplc="2F8EACFC">
      <w:start w:val="1"/>
      <w:numFmt w:val="lowerLetter"/>
      <w:lvlText w:val="%1)"/>
      <w:lvlJc w:val="left"/>
      <w:pPr>
        <w:ind w:left="1851" w:hanging="360"/>
      </w:pPr>
      <w:rPr>
        <w:rFonts w:hint="default"/>
      </w:rPr>
    </w:lvl>
    <w:lvl w:ilvl="1" w:tplc="041F0019" w:tentative="1">
      <w:start w:val="1"/>
      <w:numFmt w:val="lowerLetter"/>
      <w:lvlText w:val="%2."/>
      <w:lvlJc w:val="left"/>
      <w:pPr>
        <w:ind w:left="2571" w:hanging="360"/>
      </w:pPr>
    </w:lvl>
    <w:lvl w:ilvl="2" w:tplc="041F001B" w:tentative="1">
      <w:start w:val="1"/>
      <w:numFmt w:val="lowerRoman"/>
      <w:lvlText w:val="%3."/>
      <w:lvlJc w:val="right"/>
      <w:pPr>
        <w:ind w:left="3291" w:hanging="180"/>
      </w:pPr>
    </w:lvl>
    <w:lvl w:ilvl="3" w:tplc="041F000F" w:tentative="1">
      <w:start w:val="1"/>
      <w:numFmt w:val="decimal"/>
      <w:lvlText w:val="%4."/>
      <w:lvlJc w:val="left"/>
      <w:pPr>
        <w:ind w:left="4011" w:hanging="360"/>
      </w:pPr>
    </w:lvl>
    <w:lvl w:ilvl="4" w:tplc="041F0019" w:tentative="1">
      <w:start w:val="1"/>
      <w:numFmt w:val="lowerLetter"/>
      <w:lvlText w:val="%5."/>
      <w:lvlJc w:val="left"/>
      <w:pPr>
        <w:ind w:left="4731" w:hanging="360"/>
      </w:pPr>
    </w:lvl>
    <w:lvl w:ilvl="5" w:tplc="041F001B" w:tentative="1">
      <w:start w:val="1"/>
      <w:numFmt w:val="lowerRoman"/>
      <w:lvlText w:val="%6."/>
      <w:lvlJc w:val="right"/>
      <w:pPr>
        <w:ind w:left="5451" w:hanging="180"/>
      </w:pPr>
    </w:lvl>
    <w:lvl w:ilvl="6" w:tplc="041F000F" w:tentative="1">
      <w:start w:val="1"/>
      <w:numFmt w:val="decimal"/>
      <w:lvlText w:val="%7."/>
      <w:lvlJc w:val="left"/>
      <w:pPr>
        <w:ind w:left="6171" w:hanging="360"/>
      </w:pPr>
    </w:lvl>
    <w:lvl w:ilvl="7" w:tplc="041F0019" w:tentative="1">
      <w:start w:val="1"/>
      <w:numFmt w:val="lowerLetter"/>
      <w:lvlText w:val="%8."/>
      <w:lvlJc w:val="left"/>
      <w:pPr>
        <w:ind w:left="6891" w:hanging="360"/>
      </w:pPr>
    </w:lvl>
    <w:lvl w:ilvl="8" w:tplc="041F001B" w:tentative="1">
      <w:start w:val="1"/>
      <w:numFmt w:val="lowerRoman"/>
      <w:lvlText w:val="%9."/>
      <w:lvlJc w:val="right"/>
      <w:pPr>
        <w:ind w:left="7611" w:hanging="180"/>
      </w:pPr>
    </w:lvl>
  </w:abstractNum>
  <w:abstractNum w:abstractNumId="34" w15:restartNumberingAfterBreak="0">
    <w:nsid w:val="40EE2764"/>
    <w:multiLevelType w:val="hybridMultilevel"/>
    <w:tmpl w:val="821CD5D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5" w15:restartNumberingAfterBreak="0">
    <w:nsid w:val="41120B05"/>
    <w:multiLevelType w:val="hybridMultilevel"/>
    <w:tmpl w:val="C48818A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6" w15:restartNumberingAfterBreak="0">
    <w:nsid w:val="42CE148E"/>
    <w:multiLevelType w:val="hybridMultilevel"/>
    <w:tmpl w:val="E70EBC48"/>
    <w:lvl w:ilvl="0" w:tplc="CF2ECC44">
      <w:start w:val="52"/>
      <w:numFmt w:val="bullet"/>
      <w:lvlText w:val="-"/>
      <w:lvlJc w:val="left"/>
      <w:pPr>
        <w:ind w:left="1430" w:hanging="360"/>
      </w:pPr>
      <w:rPr>
        <w:rFonts w:ascii="Calibri" w:eastAsia="Times New Roman" w:hAnsi="Calibri" w:cs="Calibri" w:hint="default"/>
      </w:rPr>
    </w:lvl>
    <w:lvl w:ilvl="1" w:tplc="041F0003" w:tentative="1">
      <w:start w:val="1"/>
      <w:numFmt w:val="bullet"/>
      <w:lvlText w:val="o"/>
      <w:lvlJc w:val="left"/>
      <w:pPr>
        <w:ind w:left="2150" w:hanging="360"/>
      </w:pPr>
      <w:rPr>
        <w:rFonts w:ascii="Courier New" w:hAnsi="Courier New" w:cs="Courier New" w:hint="default"/>
      </w:rPr>
    </w:lvl>
    <w:lvl w:ilvl="2" w:tplc="041F0005" w:tentative="1">
      <w:start w:val="1"/>
      <w:numFmt w:val="bullet"/>
      <w:lvlText w:val=""/>
      <w:lvlJc w:val="left"/>
      <w:pPr>
        <w:ind w:left="2870" w:hanging="360"/>
      </w:pPr>
      <w:rPr>
        <w:rFonts w:ascii="Wingdings" w:hAnsi="Wingdings" w:hint="default"/>
      </w:rPr>
    </w:lvl>
    <w:lvl w:ilvl="3" w:tplc="041F0001" w:tentative="1">
      <w:start w:val="1"/>
      <w:numFmt w:val="bullet"/>
      <w:lvlText w:val=""/>
      <w:lvlJc w:val="left"/>
      <w:pPr>
        <w:ind w:left="3590" w:hanging="360"/>
      </w:pPr>
      <w:rPr>
        <w:rFonts w:ascii="Symbol" w:hAnsi="Symbol" w:hint="default"/>
      </w:rPr>
    </w:lvl>
    <w:lvl w:ilvl="4" w:tplc="041F0003" w:tentative="1">
      <w:start w:val="1"/>
      <w:numFmt w:val="bullet"/>
      <w:lvlText w:val="o"/>
      <w:lvlJc w:val="left"/>
      <w:pPr>
        <w:ind w:left="4310" w:hanging="360"/>
      </w:pPr>
      <w:rPr>
        <w:rFonts w:ascii="Courier New" w:hAnsi="Courier New" w:cs="Courier New" w:hint="default"/>
      </w:rPr>
    </w:lvl>
    <w:lvl w:ilvl="5" w:tplc="041F0005" w:tentative="1">
      <w:start w:val="1"/>
      <w:numFmt w:val="bullet"/>
      <w:lvlText w:val=""/>
      <w:lvlJc w:val="left"/>
      <w:pPr>
        <w:ind w:left="5030" w:hanging="360"/>
      </w:pPr>
      <w:rPr>
        <w:rFonts w:ascii="Wingdings" w:hAnsi="Wingdings" w:hint="default"/>
      </w:rPr>
    </w:lvl>
    <w:lvl w:ilvl="6" w:tplc="041F0001" w:tentative="1">
      <w:start w:val="1"/>
      <w:numFmt w:val="bullet"/>
      <w:lvlText w:val=""/>
      <w:lvlJc w:val="left"/>
      <w:pPr>
        <w:ind w:left="5750" w:hanging="360"/>
      </w:pPr>
      <w:rPr>
        <w:rFonts w:ascii="Symbol" w:hAnsi="Symbol" w:hint="default"/>
      </w:rPr>
    </w:lvl>
    <w:lvl w:ilvl="7" w:tplc="041F0003" w:tentative="1">
      <w:start w:val="1"/>
      <w:numFmt w:val="bullet"/>
      <w:lvlText w:val="o"/>
      <w:lvlJc w:val="left"/>
      <w:pPr>
        <w:ind w:left="6470" w:hanging="360"/>
      </w:pPr>
      <w:rPr>
        <w:rFonts w:ascii="Courier New" w:hAnsi="Courier New" w:cs="Courier New" w:hint="default"/>
      </w:rPr>
    </w:lvl>
    <w:lvl w:ilvl="8" w:tplc="041F0005" w:tentative="1">
      <w:start w:val="1"/>
      <w:numFmt w:val="bullet"/>
      <w:lvlText w:val=""/>
      <w:lvlJc w:val="left"/>
      <w:pPr>
        <w:ind w:left="7190" w:hanging="360"/>
      </w:pPr>
      <w:rPr>
        <w:rFonts w:ascii="Wingdings" w:hAnsi="Wingdings" w:hint="default"/>
      </w:rPr>
    </w:lvl>
  </w:abstractNum>
  <w:abstractNum w:abstractNumId="37" w15:restartNumberingAfterBreak="0">
    <w:nsid w:val="45EC3DAA"/>
    <w:multiLevelType w:val="hybridMultilevel"/>
    <w:tmpl w:val="5AA49ED2"/>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8" w15:restartNumberingAfterBreak="0">
    <w:nsid w:val="46950A29"/>
    <w:multiLevelType w:val="hybridMultilevel"/>
    <w:tmpl w:val="54128892"/>
    <w:lvl w:ilvl="0" w:tplc="6AB66844">
      <w:start w:val="1"/>
      <w:numFmt w:val="lowerLetter"/>
      <w:lvlText w:val="%1)"/>
      <w:lvlJc w:val="left"/>
      <w:pPr>
        <w:ind w:left="2203" w:hanging="360"/>
      </w:pPr>
      <w:rPr>
        <w:rFonts w:hint="default"/>
      </w:rPr>
    </w:lvl>
    <w:lvl w:ilvl="1" w:tplc="041F0019" w:tentative="1">
      <w:start w:val="1"/>
      <w:numFmt w:val="lowerLetter"/>
      <w:lvlText w:val="%2."/>
      <w:lvlJc w:val="left"/>
      <w:pPr>
        <w:ind w:left="2923" w:hanging="360"/>
      </w:pPr>
    </w:lvl>
    <w:lvl w:ilvl="2" w:tplc="041F001B" w:tentative="1">
      <w:start w:val="1"/>
      <w:numFmt w:val="lowerRoman"/>
      <w:lvlText w:val="%3."/>
      <w:lvlJc w:val="right"/>
      <w:pPr>
        <w:ind w:left="3643" w:hanging="180"/>
      </w:pPr>
    </w:lvl>
    <w:lvl w:ilvl="3" w:tplc="041F000F" w:tentative="1">
      <w:start w:val="1"/>
      <w:numFmt w:val="decimal"/>
      <w:lvlText w:val="%4."/>
      <w:lvlJc w:val="left"/>
      <w:pPr>
        <w:ind w:left="4363" w:hanging="360"/>
      </w:pPr>
    </w:lvl>
    <w:lvl w:ilvl="4" w:tplc="041F0019" w:tentative="1">
      <w:start w:val="1"/>
      <w:numFmt w:val="lowerLetter"/>
      <w:lvlText w:val="%5."/>
      <w:lvlJc w:val="left"/>
      <w:pPr>
        <w:ind w:left="5083" w:hanging="360"/>
      </w:pPr>
    </w:lvl>
    <w:lvl w:ilvl="5" w:tplc="041F001B" w:tentative="1">
      <w:start w:val="1"/>
      <w:numFmt w:val="lowerRoman"/>
      <w:lvlText w:val="%6."/>
      <w:lvlJc w:val="right"/>
      <w:pPr>
        <w:ind w:left="5803" w:hanging="180"/>
      </w:pPr>
    </w:lvl>
    <w:lvl w:ilvl="6" w:tplc="041F000F" w:tentative="1">
      <w:start w:val="1"/>
      <w:numFmt w:val="decimal"/>
      <w:lvlText w:val="%7."/>
      <w:lvlJc w:val="left"/>
      <w:pPr>
        <w:ind w:left="6523" w:hanging="360"/>
      </w:pPr>
    </w:lvl>
    <w:lvl w:ilvl="7" w:tplc="041F0019" w:tentative="1">
      <w:start w:val="1"/>
      <w:numFmt w:val="lowerLetter"/>
      <w:lvlText w:val="%8."/>
      <w:lvlJc w:val="left"/>
      <w:pPr>
        <w:ind w:left="7243" w:hanging="360"/>
      </w:pPr>
    </w:lvl>
    <w:lvl w:ilvl="8" w:tplc="041F001B" w:tentative="1">
      <w:start w:val="1"/>
      <w:numFmt w:val="lowerRoman"/>
      <w:lvlText w:val="%9."/>
      <w:lvlJc w:val="right"/>
      <w:pPr>
        <w:ind w:left="7963" w:hanging="180"/>
      </w:pPr>
    </w:lvl>
  </w:abstractNum>
  <w:abstractNum w:abstractNumId="39" w15:restartNumberingAfterBreak="0">
    <w:nsid w:val="488260EB"/>
    <w:multiLevelType w:val="hybridMultilevel"/>
    <w:tmpl w:val="6406D16E"/>
    <w:lvl w:ilvl="0" w:tplc="8D56A91A">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0" w15:restartNumberingAfterBreak="0">
    <w:nsid w:val="4A2A7B65"/>
    <w:multiLevelType w:val="hybridMultilevel"/>
    <w:tmpl w:val="45EA871A"/>
    <w:lvl w:ilvl="0" w:tplc="8F705C7A">
      <w:start w:val="28"/>
      <w:numFmt w:val="bullet"/>
      <w:lvlText w:val="•"/>
      <w:lvlJc w:val="left"/>
      <w:pPr>
        <w:ind w:left="1068" w:hanging="708"/>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1" w15:restartNumberingAfterBreak="0">
    <w:nsid w:val="4B9852B2"/>
    <w:multiLevelType w:val="hybridMultilevel"/>
    <w:tmpl w:val="7B88923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2" w15:restartNumberingAfterBreak="0">
    <w:nsid w:val="4B9854AD"/>
    <w:multiLevelType w:val="hybridMultilevel"/>
    <w:tmpl w:val="F408A29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3" w15:restartNumberingAfterBreak="0">
    <w:nsid w:val="4D7E1DCB"/>
    <w:multiLevelType w:val="hybridMultilevel"/>
    <w:tmpl w:val="378EAFE4"/>
    <w:lvl w:ilvl="0" w:tplc="5D32B5F0">
      <w:start w:val="1"/>
      <w:numFmt w:val="decimal"/>
      <w:lvlText w:val="%1."/>
      <w:lvlJc w:val="left"/>
      <w:pPr>
        <w:ind w:left="1068" w:hanging="708"/>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4" w15:restartNumberingAfterBreak="0">
    <w:nsid w:val="4E030BDC"/>
    <w:multiLevelType w:val="hybridMultilevel"/>
    <w:tmpl w:val="FF341A9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5" w15:restartNumberingAfterBreak="0">
    <w:nsid w:val="55C939F0"/>
    <w:multiLevelType w:val="hybridMultilevel"/>
    <w:tmpl w:val="DE62FECA"/>
    <w:lvl w:ilvl="0" w:tplc="63588BBC">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6" w15:restartNumberingAfterBreak="0">
    <w:nsid w:val="58700ABC"/>
    <w:multiLevelType w:val="hybridMultilevel"/>
    <w:tmpl w:val="1EA4BF6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7" w15:restartNumberingAfterBreak="0">
    <w:nsid w:val="5AA24BA8"/>
    <w:multiLevelType w:val="hybridMultilevel"/>
    <w:tmpl w:val="59128DE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8" w15:restartNumberingAfterBreak="0">
    <w:nsid w:val="5DD030FB"/>
    <w:multiLevelType w:val="hybridMultilevel"/>
    <w:tmpl w:val="1D1E5E8C"/>
    <w:lvl w:ilvl="0" w:tplc="DA44DF2E">
      <w:numFmt w:val="bullet"/>
      <w:lvlText w:val="•"/>
      <w:lvlJc w:val="left"/>
      <w:pPr>
        <w:ind w:left="1065" w:hanging="705"/>
      </w:pPr>
      <w:rPr>
        <w:rFonts w:ascii="Calibri" w:eastAsia="Calibri" w:hAnsi="Calibri" w:cs="Times New Roman" w:hint="default"/>
        <w:color w:val="000000" w:themeColor="text1"/>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9" w15:restartNumberingAfterBreak="0">
    <w:nsid w:val="5F546418"/>
    <w:multiLevelType w:val="hybridMultilevel"/>
    <w:tmpl w:val="A3C8C7F8"/>
    <w:lvl w:ilvl="0" w:tplc="041F0011">
      <w:start w:val="1"/>
      <w:numFmt w:val="decimal"/>
      <w:lvlText w:val="%1)"/>
      <w:lvlJc w:val="left"/>
      <w:pPr>
        <w:ind w:left="720" w:hanging="360"/>
      </w:pPr>
      <w:rPr>
        <w:rFonts w:hint="default"/>
        <w:b/>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0" w15:restartNumberingAfterBreak="0">
    <w:nsid w:val="5FD64CDE"/>
    <w:multiLevelType w:val="hybridMultilevel"/>
    <w:tmpl w:val="287EC6D2"/>
    <w:lvl w:ilvl="0" w:tplc="0B24C6CC">
      <w:start w:val="1"/>
      <w:numFmt w:val="decimal"/>
      <w:lvlText w:val="%1)"/>
      <w:lvlJc w:val="left"/>
      <w:pPr>
        <w:ind w:left="2203" w:hanging="360"/>
      </w:pPr>
      <w:rPr>
        <w:rFonts w:hint="default"/>
      </w:rPr>
    </w:lvl>
    <w:lvl w:ilvl="1" w:tplc="041F0019" w:tentative="1">
      <w:start w:val="1"/>
      <w:numFmt w:val="lowerLetter"/>
      <w:lvlText w:val="%2."/>
      <w:lvlJc w:val="left"/>
      <w:pPr>
        <w:ind w:left="2923" w:hanging="360"/>
      </w:pPr>
    </w:lvl>
    <w:lvl w:ilvl="2" w:tplc="041F001B" w:tentative="1">
      <w:start w:val="1"/>
      <w:numFmt w:val="lowerRoman"/>
      <w:lvlText w:val="%3."/>
      <w:lvlJc w:val="right"/>
      <w:pPr>
        <w:ind w:left="3643" w:hanging="180"/>
      </w:pPr>
    </w:lvl>
    <w:lvl w:ilvl="3" w:tplc="041F000F" w:tentative="1">
      <w:start w:val="1"/>
      <w:numFmt w:val="decimal"/>
      <w:lvlText w:val="%4."/>
      <w:lvlJc w:val="left"/>
      <w:pPr>
        <w:ind w:left="4363" w:hanging="360"/>
      </w:pPr>
    </w:lvl>
    <w:lvl w:ilvl="4" w:tplc="041F0019" w:tentative="1">
      <w:start w:val="1"/>
      <w:numFmt w:val="lowerLetter"/>
      <w:lvlText w:val="%5."/>
      <w:lvlJc w:val="left"/>
      <w:pPr>
        <w:ind w:left="5083" w:hanging="360"/>
      </w:pPr>
    </w:lvl>
    <w:lvl w:ilvl="5" w:tplc="041F001B" w:tentative="1">
      <w:start w:val="1"/>
      <w:numFmt w:val="lowerRoman"/>
      <w:lvlText w:val="%6."/>
      <w:lvlJc w:val="right"/>
      <w:pPr>
        <w:ind w:left="5803" w:hanging="180"/>
      </w:pPr>
    </w:lvl>
    <w:lvl w:ilvl="6" w:tplc="041F000F" w:tentative="1">
      <w:start w:val="1"/>
      <w:numFmt w:val="decimal"/>
      <w:lvlText w:val="%7."/>
      <w:lvlJc w:val="left"/>
      <w:pPr>
        <w:ind w:left="6523" w:hanging="360"/>
      </w:pPr>
    </w:lvl>
    <w:lvl w:ilvl="7" w:tplc="041F0019" w:tentative="1">
      <w:start w:val="1"/>
      <w:numFmt w:val="lowerLetter"/>
      <w:lvlText w:val="%8."/>
      <w:lvlJc w:val="left"/>
      <w:pPr>
        <w:ind w:left="7243" w:hanging="360"/>
      </w:pPr>
    </w:lvl>
    <w:lvl w:ilvl="8" w:tplc="041F001B" w:tentative="1">
      <w:start w:val="1"/>
      <w:numFmt w:val="lowerRoman"/>
      <w:lvlText w:val="%9."/>
      <w:lvlJc w:val="right"/>
      <w:pPr>
        <w:ind w:left="7963" w:hanging="180"/>
      </w:pPr>
    </w:lvl>
  </w:abstractNum>
  <w:abstractNum w:abstractNumId="51" w15:restartNumberingAfterBreak="0">
    <w:nsid w:val="61106416"/>
    <w:multiLevelType w:val="hybridMultilevel"/>
    <w:tmpl w:val="20166962"/>
    <w:lvl w:ilvl="0" w:tplc="544C41C2">
      <w:start w:val="1"/>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52" w15:restartNumberingAfterBreak="0">
    <w:nsid w:val="6212154C"/>
    <w:multiLevelType w:val="hybridMultilevel"/>
    <w:tmpl w:val="0CD0DC5A"/>
    <w:lvl w:ilvl="0" w:tplc="E4784AD4">
      <w:start w:val="3403"/>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53" w15:restartNumberingAfterBreak="0">
    <w:nsid w:val="62D43534"/>
    <w:multiLevelType w:val="hybridMultilevel"/>
    <w:tmpl w:val="FC34DDAC"/>
    <w:lvl w:ilvl="0" w:tplc="A24E1996">
      <w:numFmt w:val="bullet"/>
      <w:lvlText w:val="-"/>
      <w:lvlJc w:val="left"/>
      <w:pPr>
        <w:ind w:left="72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4" w15:restartNumberingAfterBreak="0">
    <w:nsid w:val="63475CC1"/>
    <w:multiLevelType w:val="hybridMultilevel"/>
    <w:tmpl w:val="4B9AEB9E"/>
    <w:lvl w:ilvl="0" w:tplc="E4784AD4">
      <w:start w:val="3403"/>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55" w15:restartNumberingAfterBreak="0">
    <w:nsid w:val="640C6A15"/>
    <w:multiLevelType w:val="hybridMultilevel"/>
    <w:tmpl w:val="96BAEE6C"/>
    <w:lvl w:ilvl="0" w:tplc="34667BEA">
      <w:start w:val="1"/>
      <w:numFmt w:val="decimal"/>
      <w:lvlText w:val="%1)"/>
      <w:lvlJc w:val="left"/>
      <w:pPr>
        <w:ind w:left="1788" w:hanging="360"/>
      </w:pPr>
      <w:rPr>
        <w:rFonts w:hint="default"/>
        <w:b/>
      </w:rPr>
    </w:lvl>
    <w:lvl w:ilvl="1" w:tplc="041F0019" w:tentative="1">
      <w:start w:val="1"/>
      <w:numFmt w:val="lowerLetter"/>
      <w:lvlText w:val="%2."/>
      <w:lvlJc w:val="left"/>
      <w:pPr>
        <w:ind w:left="2508" w:hanging="360"/>
      </w:pPr>
    </w:lvl>
    <w:lvl w:ilvl="2" w:tplc="041F001B" w:tentative="1">
      <w:start w:val="1"/>
      <w:numFmt w:val="lowerRoman"/>
      <w:lvlText w:val="%3."/>
      <w:lvlJc w:val="right"/>
      <w:pPr>
        <w:ind w:left="3228" w:hanging="180"/>
      </w:pPr>
    </w:lvl>
    <w:lvl w:ilvl="3" w:tplc="041F000F" w:tentative="1">
      <w:start w:val="1"/>
      <w:numFmt w:val="decimal"/>
      <w:lvlText w:val="%4."/>
      <w:lvlJc w:val="left"/>
      <w:pPr>
        <w:ind w:left="3948" w:hanging="360"/>
      </w:pPr>
    </w:lvl>
    <w:lvl w:ilvl="4" w:tplc="041F0019" w:tentative="1">
      <w:start w:val="1"/>
      <w:numFmt w:val="lowerLetter"/>
      <w:lvlText w:val="%5."/>
      <w:lvlJc w:val="left"/>
      <w:pPr>
        <w:ind w:left="4668" w:hanging="360"/>
      </w:pPr>
    </w:lvl>
    <w:lvl w:ilvl="5" w:tplc="041F001B" w:tentative="1">
      <w:start w:val="1"/>
      <w:numFmt w:val="lowerRoman"/>
      <w:lvlText w:val="%6."/>
      <w:lvlJc w:val="right"/>
      <w:pPr>
        <w:ind w:left="5388" w:hanging="180"/>
      </w:pPr>
    </w:lvl>
    <w:lvl w:ilvl="6" w:tplc="041F000F" w:tentative="1">
      <w:start w:val="1"/>
      <w:numFmt w:val="decimal"/>
      <w:lvlText w:val="%7."/>
      <w:lvlJc w:val="left"/>
      <w:pPr>
        <w:ind w:left="6108" w:hanging="360"/>
      </w:pPr>
    </w:lvl>
    <w:lvl w:ilvl="7" w:tplc="041F0019" w:tentative="1">
      <w:start w:val="1"/>
      <w:numFmt w:val="lowerLetter"/>
      <w:lvlText w:val="%8."/>
      <w:lvlJc w:val="left"/>
      <w:pPr>
        <w:ind w:left="6828" w:hanging="360"/>
      </w:pPr>
    </w:lvl>
    <w:lvl w:ilvl="8" w:tplc="041F001B" w:tentative="1">
      <w:start w:val="1"/>
      <w:numFmt w:val="lowerRoman"/>
      <w:lvlText w:val="%9."/>
      <w:lvlJc w:val="right"/>
      <w:pPr>
        <w:ind w:left="7548" w:hanging="180"/>
      </w:pPr>
    </w:lvl>
  </w:abstractNum>
  <w:abstractNum w:abstractNumId="56" w15:restartNumberingAfterBreak="0">
    <w:nsid w:val="64A733A9"/>
    <w:multiLevelType w:val="hybridMultilevel"/>
    <w:tmpl w:val="6C5C677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7" w15:restartNumberingAfterBreak="0">
    <w:nsid w:val="65D90D20"/>
    <w:multiLevelType w:val="hybridMultilevel"/>
    <w:tmpl w:val="2AC658A6"/>
    <w:lvl w:ilvl="0" w:tplc="E4784AD4">
      <w:start w:val="3403"/>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58" w15:restartNumberingAfterBreak="0">
    <w:nsid w:val="69B05576"/>
    <w:multiLevelType w:val="hybridMultilevel"/>
    <w:tmpl w:val="84D2152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9" w15:restartNumberingAfterBreak="0">
    <w:nsid w:val="6AAF0B66"/>
    <w:multiLevelType w:val="hybridMultilevel"/>
    <w:tmpl w:val="5B10D330"/>
    <w:lvl w:ilvl="0" w:tplc="C8B8BB96">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60" w15:restartNumberingAfterBreak="0">
    <w:nsid w:val="6B7117A5"/>
    <w:multiLevelType w:val="hybridMultilevel"/>
    <w:tmpl w:val="0E66B05E"/>
    <w:lvl w:ilvl="0" w:tplc="858E2A86">
      <w:start w:val="1"/>
      <w:numFmt w:val="lowerLetter"/>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1" w15:restartNumberingAfterBreak="0">
    <w:nsid w:val="6E2B2449"/>
    <w:multiLevelType w:val="hybridMultilevel"/>
    <w:tmpl w:val="75A0204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2" w15:restartNumberingAfterBreak="0">
    <w:nsid w:val="6FCA7404"/>
    <w:multiLevelType w:val="hybridMultilevel"/>
    <w:tmpl w:val="F9F8288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3" w15:restartNumberingAfterBreak="0">
    <w:nsid w:val="704C52F4"/>
    <w:multiLevelType w:val="hybridMultilevel"/>
    <w:tmpl w:val="2916974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4" w15:restartNumberingAfterBreak="0">
    <w:nsid w:val="70815626"/>
    <w:multiLevelType w:val="hybridMultilevel"/>
    <w:tmpl w:val="3E2EB502"/>
    <w:lvl w:ilvl="0" w:tplc="5048423A">
      <w:start w:val="1"/>
      <w:numFmt w:val="decimal"/>
      <w:lvlText w:val="%1."/>
      <w:lvlJc w:val="left"/>
      <w:pPr>
        <w:ind w:left="1440" w:hanging="360"/>
      </w:pPr>
      <w:rPr>
        <w:b/>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65" w15:restartNumberingAfterBreak="0">
    <w:nsid w:val="714C3A94"/>
    <w:multiLevelType w:val="hybridMultilevel"/>
    <w:tmpl w:val="17D6F226"/>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6" w15:restartNumberingAfterBreak="0">
    <w:nsid w:val="71AB7069"/>
    <w:multiLevelType w:val="hybridMultilevel"/>
    <w:tmpl w:val="0DB2A77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7" w15:restartNumberingAfterBreak="0">
    <w:nsid w:val="72CD04FB"/>
    <w:multiLevelType w:val="hybridMultilevel"/>
    <w:tmpl w:val="2B7ED7F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8" w15:restartNumberingAfterBreak="0">
    <w:nsid w:val="7493089C"/>
    <w:multiLevelType w:val="hybridMultilevel"/>
    <w:tmpl w:val="069A9F92"/>
    <w:lvl w:ilvl="0" w:tplc="E4784AD4">
      <w:start w:val="3403"/>
      <w:numFmt w:val="bullet"/>
      <w:lvlText w:val="-"/>
      <w:lvlJc w:val="left"/>
      <w:pPr>
        <w:ind w:left="1430" w:hanging="360"/>
      </w:pPr>
      <w:rPr>
        <w:rFonts w:ascii="Times New Roman" w:eastAsia="Times New Roman" w:hAnsi="Times New Roman" w:cs="Times New Roman" w:hint="default"/>
      </w:rPr>
    </w:lvl>
    <w:lvl w:ilvl="1" w:tplc="041F0003" w:tentative="1">
      <w:start w:val="1"/>
      <w:numFmt w:val="bullet"/>
      <w:lvlText w:val="o"/>
      <w:lvlJc w:val="left"/>
      <w:pPr>
        <w:ind w:left="2150" w:hanging="360"/>
      </w:pPr>
      <w:rPr>
        <w:rFonts w:ascii="Courier New" w:hAnsi="Courier New" w:cs="Courier New" w:hint="default"/>
      </w:rPr>
    </w:lvl>
    <w:lvl w:ilvl="2" w:tplc="041F0005" w:tentative="1">
      <w:start w:val="1"/>
      <w:numFmt w:val="bullet"/>
      <w:lvlText w:val=""/>
      <w:lvlJc w:val="left"/>
      <w:pPr>
        <w:ind w:left="2870" w:hanging="360"/>
      </w:pPr>
      <w:rPr>
        <w:rFonts w:ascii="Wingdings" w:hAnsi="Wingdings" w:hint="default"/>
      </w:rPr>
    </w:lvl>
    <w:lvl w:ilvl="3" w:tplc="041F0001" w:tentative="1">
      <w:start w:val="1"/>
      <w:numFmt w:val="bullet"/>
      <w:lvlText w:val=""/>
      <w:lvlJc w:val="left"/>
      <w:pPr>
        <w:ind w:left="3590" w:hanging="360"/>
      </w:pPr>
      <w:rPr>
        <w:rFonts w:ascii="Symbol" w:hAnsi="Symbol" w:hint="default"/>
      </w:rPr>
    </w:lvl>
    <w:lvl w:ilvl="4" w:tplc="041F0003" w:tentative="1">
      <w:start w:val="1"/>
      <w:numFmt w:val="bullet"/>
      <w:lvlText w:val="o"/>
      <w:lvlJc w:val="left"/>
      <w:pPr>
        <w:ind w:left="4310" w:hanging="360"/>
      </w:pPr>
      <w:rPr>
        <w:rFonts w:ascii="Courier New" w:hAnsi="Courier New" w:cs="Courier New" w:hint="default"/>
      </w:rPr>
    </w:lvl>
    <w:lvl w:ilvl="5" w:tplc="041F0005" w:tentative="1">
      <w:start w:val="1"/>
      <w:numFmt w:val="bullet"/>
      <w:lvlText w:val=""/>
      <w:lvlJc w:val="left"/>
      <w:pPr>
        <w:ind w:left="5030" w:hanging="360"/>
      </w:pPr>
      <w:rPr>
        <w:rFonts w:ascii="Wingdings" w:hAnsi="Wingdings" w:hint="default"/>
      </w:rPr>
    </w:lvl>
    <w:lvl w:ilvl="6" w:tplc="041F0001" w:tentative="1">
      <w:start w:val="1"/>
      <w:numFmt w:val="bullet"/>
      <w:lvlText w:val=""/>
      <w:lvlJc w:val="left"/>
      <w:pPr>
        <w:ind w:left="5750" w:hanging="360"/>
      </w:pPr>
      <w:rPr>
        <w:rFonts w:ascii="Symbol" w:hAnsi="Symbol" w:hint="default"/>
      </w:rPr>
    </w:lvl>
    <w:lvl w:ilvl="7" w:tplc="041F0003" w:tentative="1">
      <w:start w:val="1"/>
      <w:numFmt w:val="bullet"/>
      <w:lvlText w:val="o"/>
      <w:lvlJc w:val="left"/>
      <w:pPr>
        <w:ind w:left="6470" w:hanging="360"/>
      </w:pPr>
      <w:rPr>
        <w:rFonts w:ascii="Courier New" w:hAnsi="Courier New" w:cs="Courier New" w:hint="default"/>
      </w:rPr>
    </w:lvl>
    <w:lvl w:ilvl="8" w:tplc="041F0005" w:tentative="1">
      <w:start w:val="1"/>
      <w:numFmt w:val="bullet"/>
      <w:lvlText w:val=""/>
      <w:lvlJc w:val="left"/>
      <w:pPr>
        <w:ind w:left="7190" w:hanging="360"/>
      </w:pPr>
      <w:rPr>
        <w:rFonts w:ascii="Wingdings" w:hAnsi="Wingdings" w:hint="default"/>
      </w:rPr>
    </w:lvl>
  </w:abstractNum>
  <w:abstractNum w:abstractNumId="69" w15:restartNumberingAfterBreak="0">
    <w:nsid w:val="75FF0A92"/>
    <w:multiLevelType w:val="hybridMultilevel"/>
    <w:tmpl w:val="419ECDA4"/>
    <w:lvl w:ilvl="0" w:tplc="BDB8B30C">
      <w:start w:val="1"/>
      <w:numFmt w:val="lowerLetter"/>
      <w:lvlText w:val="%1)"/>
      <w:lvlJc w:val="left"/>
      <w:pPr>
        <w:ind w:left="2203" w:hanging="360"/>
      </w:pPr>
      <w:rPr>
        <w:rFonts w:hint="default"/>
      </w:rPr>
    </w:lvl>
    <w:lvl w:ilvl="1" w:tplc="041F0019" w:tentative="1">
      <w:start w:val="1"/>
      <w:numFmt w:val="lowerLetter"/>
      <w:lvlText w:val="%2."/>
      <w:lvlJc w:val="left"/>
      <w:pPr>
        <w:ind w:left="2923" w:hanging="360"/>
      </w:pPr>
    </w:lvl>
    <w:lvl w:ilvl="2" w:tplc="041F001B" w:tentative="1">
      <w:start w:val="1"/>
      <w:numFmt w:val="lowerRoman"/>
      <w:lvlText w:val="%3."/>
      <w:lvlJc w:val="right"/>
      <w:pPr>
        <w:ind w:left="3643" w:hanging="180"/>
      </w:pPr>
    </w:lvl>
    <w:lvl w:ilvl="3" w:tplc="041F000F" w:tentative="1">
      <w:start w:val="1"/>
      <w:numFmt w:val="decimal"/>
      <w:lvlText w:val="%4."/>
      <w:lvlJc w:val="left"/>
      <w:pPr>
        <w:ind w:left="4363" w:hanging="360"/>
      </w:pPr>
    </w:lvl>
    <w:lvl w:ilvl="4" w:tplc="041F0019" w:tentative="1">
      <w:start w:val="1"/>
      <w:numFmt w:val="lowerLetter"/>
      <w:lvlText w:val="%5."/>
      <w:lvlJc w:val="left"/>
      <w:pPr>
        <w:ind w:left="5083" w:hanging="360"/>
      </w:pPr>
    </w:lvl>
    <w:lvl w:ilvl="5" w:tplc="041F001B" w:tentative="1">
      <w:start w:val="1"/>
      <w:numFmt w:val="lowerRoman"/>
      <w:lvlText w:val="%6."/>
      <w:lvlJc w:val="right"/>
      <w:pPr>
        <w:ind w:left="5803" w:hanging="180"/>
      </w:pPr>
    </w:lvl>
    <w:lvl w:ilvl="6" w:tplc="041F000F" w:tentative="1">
      <w:start w:val="1"/>
      <w:numFmt w:val="decimal"/>
      <w:lvlText w:val="%7."/>
      <w:lvlJc w:val="left"/>
      <w:pPr>
        <w:ind w:left="6523" w:hanging="360"/>
      </w:pPr>
    </w:lvl>
    <w:lvl w:ilvl="7" w:tplc="041F0019" w:tentative="1">
      <w:start w:val="1"/>
      <w:numFmt w:val="lowerLetter"/>
      <w:lvlText w:val="%8."/>
      <w:lvlJc w:val="left"/>
      <w:pPr>
        <w:ind w:left="7243" w:hanging="360"/>
      </w:pPr>
    </w:lvl>
    <w:lvl w:ilvl="8" w:tplc="041F001B" w:tentative="1">
      <w:start w:val="1"/>
      <w:numFmt w:val="lowerRoman"/>
      <w:lvlText w:val="%9."/>
      <w:lvlJc w:val="right"/>
      <w:pPr>
        <w:ind w:left="7963" w:hanging="180"/>
      </w:pPr>
    </w:lvl>
  </w:abstractNum>
  <w:abstractNum w:abstractNumId="70" w15:restartNumberingAfterBreak="0">
    <w:nsid w:val="791D14FC"/>
    <w:multiLevelType w:val="hybridMultilevel"/>
    <w:tmpl w:val="70FCD6F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1" w15:restartNumberingAfterBreak="0">
    <w:nsid w:val="7A82276C"/>
    <w:multiLevelType w:val="hybridMultilevel"/>
    <w:tmpl w:val="3662990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2" w15:restartNumberingAfterBreak="0">
    <w:nsid w:val="7B78715F"/>
    <w:multiLevelType w:val="hybridMultilevel"/>
    <w:tmpl w:val="29D411B0"/>
    <w:lvl w:ilvl="0" w:tplc="041F000B">
      <w:start w:val="1"/>
      <w:numFmt w:val="bullet"/>
      <w:lvlText w:val=""/>
      <w:lvlJc w:val="left"/>
      <w:pPr>
        <w:ind w:left="1428" w:hanging="360"/>
      </w:pPr>
      <w:rPr>
        <w:rFonts w:ascii="Wingdings" w:hAnsi="Wingdings"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73" w15:restartNumberingAfterBreak="0">
    <w:nsid w:val="7DA735F2"/>
    <w:multiLevelType w:val="hybridMultilevel"/>
    <w:tmpl w:val="EB68B958"/>
    <w:lvl w:ilvl="0" w:tplc="CAA017EA">
      <w:start w:val="1"/>
      <w:numFmt w:val="lowerLetter"/>
      <w:lvlText w:val="%1)"/>
      <w:lvlJc w:val="left"/>
      <w:pPr>
        <w:ind w:left="1851" w:hanging="360"/>
      </w:pPr>
      <w:rPr>
        <w:rFonts w:hint="default"/>
      </w:rPr>
    </w:lvl>
    <w:lvl w:ilvl="1" w:tplc="041F0019" w:tentative="1">
      <w:start w:val="1"/>
      <w:numFmt w:val="lowerLetter"/>
      <w:lvlText w:val="%2."/>
      <w:lvlJc w:val="left"/>
      <w:pPr>
        <w:ind w:left="2571" w:hanging="360"/>
      </w:pPr>
    </w:lvl>
    <w:lvl w:ilvl="2" w:tplc="041F001B" w:tentative="1">
      <w:start w:val="1"/>
      <w:numFmt w:val="lowerRoman"/>
      <w:lvlText w:val="%3."/>
      <w:lvlJc w:val="right"/>
      <w:pPr>
        <w:ind w:left="3291" w:hanging="180"/>
      </w:pPr>
    </w:lvl>
    <w:lvl w:ilvl="3" w:tplc="041F000F" w:tentative="1">
      <w:start w:val="1"/>
      <w:numFmt w:val="decimal"/>
      <w:lvlText w:val="%4."/>
      <w:lvlJc w:val="left"/>
      <w:pPr>
        <w:ind w:left="4011" w:hanging="360"/>
      </w:pPr>
    </w:lvl>
    <w:lvl w:ilvl="4" w:tplc="041F0019" w:tentative="1">
      <w:start w:val="1"/>
      <w:numFmt w:val="lowerLetter"/>
      <w:lvlText w:val="%5."/>
      <w:lvlJc w:val="left"/>
      <w:pPr>
        <w:ind w:left="4731" w:hanging="360"/>
      </w:pPr>
    </w:lvl>
    <w:lvl w:ilvl="5" w:tplc="041F001B" w:tentative="1">
      <w:start w:val="1"/>
      <w:numFmt w:val="lowerRoman"/>
      <w:lvlText w:val="%6."/>
      <w:lvlJc w:val="right"/>
      <w:pPr>
        <w:ind w:left="5451" w:hanging="180"/>
      </w:pPr>
    </w:lvl>
    <w:lvl w:ilvl="6" w:tplc="041F000F" w:tentative="1">
      <w:start w:val="1"/>
      <w:numFmt w:val="decimal"/>
      <w:lvlText w:val="%7."/>
      <w:lvlJc w:val="left"/>
      <w:pPr>
        <w:ind w:left="6171" w:hanging="360"/>
      </w:pPr>
    </w:lvl>
    <w:lvl w:ilvl="7" w:tplc="041F0019" w:tentative="1">
      <w:start w:val="1"/>
      <w:numFmt w:val="lowerLetter"/>
      <w:lvlText w:val="%8."/>
      <w:lvlJc w:val="left"/>
      <w:pPr>
        <w:ind w:left="6891" w:hanging="360"/>
      </w:pPr>
    </w:lvl>
    <w:lvl w:ilvl="8" w:tplc="041F001B" w:tentative="1">
      <w:start w:val="1"/>
      <w:numFmt w:val="lowerRoman"/>
      <w:lvlText w:val="%9."/>
      <w:lvlJc w:val="right"/>
      <w:pPr>
        <w:ind w:left="7611" w:hanging="180"/>
      </w:pPr>
    </w:lvl>
  </w:abstractNum>
  <w:abstractNum w:abstractNumId="74" w15:restartNumberingAfterBreak="0">
    <w:nsid w:val="7EBD5CC1"/>
    <w:multiLevelType w:val="hybridMultilevel"/>
    <w:tmpl w:val="AF283914"/>
    <w:lvl w:ilvl="0" w:tplc="C8B8BB96">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75" w15:restartNumberingAfterBreak="0">
    <w:nsid w:val="7ED7465C"/>
    <w:multiLevelType w:val="multilevel"/>
    <w:tmpl w:val="D16840A8"/>
    <w:lvl w:ilvl="0">
      <w:start w:val="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7F2625CE"/>
    <w:multiLevelType w:val="hybridMultilevel"/>
    <w:tmpl w:val="16AADBE2"/>
    <w:lvl w:ilvl="0" w:tplc="041F0001">
      <w:start w:val="1"/>
      <w:numFmt w:val="bullet"/>
      <w:lvlText w:val=""/>
      <w:lvlJc w:val="left"/>
      <w:pPr>
        <w:ind w:left="770" w:hanging="360"/>
      </w:pPr>
      <w:rPr>
        <w:rFonts w:ascii="Symbol" w:hAnsi="Symbol" w:hint="default"/>
      </w:rPr>
    </w:lvl>
    <w:lvl w:ilvl="1" w:tplc="041F0003" w:tentative="1">
      <w:start w:val="1"/>
      <w:numFmt w:val="bullet"/>
      <w:lvlText w:val="o"/>
      <w:lvlJc w:val="left"/>
      <w:pPr>
        <w:ind w:left="1490" w:hanging="360"/>
      </w:pPr>
      <w:rPr>
        <w:rFonts w:ascii="Courier New" w:hAnsi="Courier New" w:cs="Courier New" w:hint="default"/>
      </w:rPr>
    </w:lvl>
    <w:lvl w:ilvl="2" w:tplc="041F0005" w:tentative="1">
      <w:start w:val="1"/>
      <w:numFmt w:val="bullet"/>
      <w:lvlText w:val=""/>
      <w:lvlJc w:val="left"/>
      <w:pPr>
        <w:ind w:left="2210" w:hanging="360"/>
      </w:pPr>
      <w:rPr>
        <w:rFonts w:ascii="Wingdings" w:hAnsi="Wingdings" w:hint="default"/>
      </w:rPr>
    </w:lvl>
    <w:lvl w:ilvl="3" w:tplc="041F0001" w:tentative="1">
      <w:start w:val="1"/>
      <w:numFmt w:val="bullet"/>
      <w:lvlText w:val=""/>
      <w:lvlJc w:val="left"/>
      <w:pPr>
        <w:ind w:left="2930" w:hanging="360"/>
      </w:pPr>
      <w:rPr>
        <w:rFonts w:ascii="Symbol" w:hAnsi="Symbol" w:hint="default"/>
      </w:rPr>
    </w:lvl>
    <w:lvl w:ilvl="4" w:tplc="041F0003" w:tentative="1">
      <w:start w:val="1"/>
      <w:numFmt w:val="bullet"/>
      <w:lvlText w:val="o"/>
      <w:lvlJc w:val="left"/>
      <w:pPr>
        <w:ind w:left="3650" w:hanging="360"/>
      </w:pPr>
      <w:rPr>
        <w:rFonts w:ascii="Courier New" w:hAnsi="Courier New" w:cs="Courier New" w:hint="default"/>
      </w:rPr>
    </w:lvl>
    <w:lvl w:ilvl="5" w:tplc="041F0005" w:tentative="1">
      <w:start w:val="1"/>
      <w:numFmt w:val="bullet"/>
      <w:lvlText w:val=""/>
      <w:lvlJc w:val="left"/>
      <w:pPr>
        <w:ind w:left="4370" w:hanging="360"/>
      </w:pPr>
      <w:rPr>
        <w:rFonts w:ascii="Wingdings" w:hAnsi="Wingdings" w:hint="default"/>
      </w:rPr>
    </w:lvl>
    <w:lvl w:ilvl="6" w:tplc="041F0001" w:tentative="1">
      <w:start w:val="1"/>
      <w:numFmt w:val="bullet"/>
      <w:lvlText w:val=""/>
      <w:lvlJc w:val="left"/>
      <w:pPr>
        <w:ind w:left="5090" w:hanging="360"/>
      </w:pPr>
      <w:rPr>
        <w:rFonts w:ascii="Symbol" w:hAnsi="Symbol" w:hint="default"/>
      </w:rPr>
    </w:lvl>
    <w:lvl w:ilvl="7" w:tplc="041F0003" w:tentative="1">
      <w:start w:val="1"/>
      <w:numFmt w:val="bullet"/>
      <w:lvlText w:val="o"/>
      <w:lvlJc w:val="left"/>
      <w:pPr>
        <w:ind w:left="5810" w:hanging="360"/>
      </w:pPr>
      <w:rPr>
        <w:rFonts w:ascii="Courier New" w:hAnsi="Courier New" w:cs="Courier New" w:hint="default"/>
      </w:rPr>
    </w:lvl>
    <w:lvl w:ilvl="8" w:tplc="041F0005" w:tentative="1">
      <w:start w:val="1"/>
      <w:numFmt w:val="bullet"/>
      <w:lvlText w:val=""/>
      <w:lvlJc w:val="left"/>
      <w:pPr>
        <w:ind w:left="6530" w:hanging="360"/>
      </w:pPr>
      <w:rPr>
        <w:rFonts w:ascii="Wingdings" w:hAnsi="Wingdings" w:hint="default"/>
      </w:rPr>
    </w:lvl>
  </w:abstractNum>
  <w:abstractNum w:abstractNumId="77" w15:restartNumberingAfterBreak="0">
    <w:nsid w:val="7F4F60DD"/>
    <w:multiLevelType w:val="hybridMultilevel"/>
    <w:tmpl w:val="270EB40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8" w15:restartNumberingAfterBreak="0">
    <w:nsid w:val="7F9A19FB"/>
    <w:multiLevelType w:val="hybridMultilevel"/>
    <w:tmpl w:val="3CE6956A"/>
    <w:lvl w:ilvl="0" w:tplc="041F0001">
      <w:start w:val="1"/>
      <w:numFmt w:val="bullet"/>
      <w:lvlText w:val=""/>
      <w:lvlJc w:val="left"/>
      <w:pPr>
        <w:ind w:left="1428" w:hanging="360"/>
      </w:pPr>
      <w:rPr>
        <w:rFonts w:ascii="Symbol" w:hAnsi="Symbol"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79" w15:restartNumberingAfterBreak="0">
    <w:nsid w:val="7FBD4E60"/>
    <w:multiLevelType w:val="hybridMultilevel"/>
    <w:tmpl w:val="A884587A"/>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37"/>
  </w:num>
  <w:num w:numId="2">
    <w:abstractNumId w:val="48"/>
  </w:num>
  <w:num w:numId="3">
    <w:abstractNumId w:val="39"/>
  </w:num>
  <w:num w:numId="4">
    <w:abstractNumId w:val="13"/>
  </w:num>
  <w:num w:numId="5">
    <w:abstractNumId w:val="72"/>
  </w:num>
  <w:num w:numId="6">
    <w:abstractNumId w:val="65"/>
  </w:num>
  <w:num w:numId="7">
    <w:abstractNumId w:val="43"/>
  </w:num>
  <w:num w:numId="8">
    <w:abstractNumId w:val="67"/>
  </w:num>
  <w:num w:numId="9">
    <w:abstractNumId w:val="66"/>
  </w:num>
  <w:num w:numId="10">
    <w:abstractNumId w:val="34"/>
  </w:num>
  <w:num w:numId="11">
    <w:abstractNumId w:val="24"/>
  </w:num>
  <w:num w:numId="12">
    <w:abstractNumId w:val="23"/>
  </w:num>
  <w:num w:numId="13">
    <w:abstractNumId w:val="47"/>
  </w:num>
  <w:num w:numId="14">
    <w:abstractNumId w:val="35"/>
  </w:num>
  <w:num w:numId="15">
    <w:abstractNumId w:val="56"/>
  </w:num>
  <w:num w:numId="16">
    <w:abstractNumId w:val="27"/>
  </w:num>
  <w:num w:numId="17">
    <w:abstractNumId w:val="44"/>
  </w:num>
  <w:num w:numId="18">
    <w:abstractNumId w:val="75"/>
  </w:num>
  <w:num w:numId="19">
    <w:abstractNumId w:val="28"/>
  </w:num>
  <w:num w:numId="20">
    <w:abstractNumId w:val="6"/>
  </w:num>
  <w:num w:numId="21">
    <w:abstractNumId w:val="79"/>
  </w:num>
  <w:num w:numId="22">
    <w:abstractNumId w:val="16"/>
  </w:num>
  <w:num w:numId="23">
    <w:abstractNumId w:val="53"/>
  </w:num>
  <w:num w:numId="24">
    <w:abstractNumId w:val="71"/>
  </w:num>
  <w:num w:numId="25">
    <w:abstractNumId w:val="54"/>
  </w:num>
  <w:num w:numId="26">
    <w:abstractNumId w:val="10"/>
  </w:num>
  <w:num w:numId="27">
    <w:abstractNumId w:val="58"/>
  </w:num>
  <w:num w:numId="28">
    <w:abstractNumId w:val="62"/>
  </w:num>
  <w:num w:numId="29">
    <w:abstractNumId w:val="17"/>
  </w:num>
  <w:num w:numId="30">
    <w:abstractNumId w:val="18"/>
  </w:num>
  <w:num w:numId="31">
    <w:abstractNumId w:val="19"/>
  </w:num>
  <w:num w:numId="32">
    <w:abstractNumId w:val="22"/>
  </w:num>
  <w:num w:numId="33">
    <w:abstractNumId w:val="29"/>
  </w:num>
  <w:num w:numId="34">
    <w:abstractNumId w:val="76"/>
  </w:num>
  <w:num w:numId="35">
    <w:abstractNumId w:val="8"/>
  </w:num>
  <w:num w:numId="36">
    <w:abstractNumId w:val="1"/>
  </w:num>
  <w:num w:numId="37">
    <w:abstractNumId w:val="36"/>
  </w:num>
  <w:num w:numId="38">
    <w:abstractNumId w:val="68"/>
  </w:num>
  <w:num w:numId="39">
    <w:abstractNumId w:val="57"/>
  </w:num>
  <w:num w:numId="40">
    <w:abstractNumId w:val="52"/>
  </w:num>
  <w:num w:numId="41">
    <w:abstractNumId w:val="41"/>
  </w:num>
  <w:num w:numId="42">
    <w:abstractNumId w:val="0"/>
  </w:num>
  <w:num w:numId="43">
    <w:abstractNumId w:val="63"/>
  </w:num>
  <w:num w:numId="44">
    <w:abstractNumId w:val="20"/>
  </w:num>
  <w:num w:numId="45">
    <w:abstractNumId w:val="61"/>
  </w:num>
  <w:num w:numId="46">
    <w:abstractNumId w:val="9"/>
  </w:num>
  <w:num w:numId="47">
    <w:abstractNumId w:val="59"/>
  </w:num>
  <w:num w:numId="48">
    <w:abstractNumId w:val="15"/>
  </w:num>
  <w:num w:numId="49">
    <w:abstractNumId w:val="55"/>
  </w:num>
  <w:num w:numId="50">
    <w:abstractNumId w:val="49"/>
  </w:num>
  <w:num w:numId="51">
    <w:abstractNumId w:val="26"/>
  </w:num>
  <w:num w:numId="52">
    <w:abstractNumId w:val="30"/>
  </w:num>
  <w:num w:numId="53">
    <w:abstractNumId w:val="45"/>
  </w:num>
  <w:num w:numId="54">
    <w:abstractNumId w:val="74"/>
  </w:num>
  <w:num w:numId="55">
    <w:abstractNumId w:val="21"/>
  </w:num>
  <w:num w:numId="56">
    <w:abstractNumId w:val="42"/>
  </w:num>
  <w:num w:numId="57">
    <w:abstractNumId w:val="77"/>
  </w:num>
  <w:num w:numId="58">
    <w:abstractNumId w:val="11"/>
  </w:num>
  <w:num w:numId="59">
    <w:abstractNumId w:val="25"/>
  </w:num>
  <w:num w:numId="60">
    <w:abstractNumId w:val="46"/>
  </w:num>
  <w:num w:numId="61">
    <w:abstractNumId w:val="14"/>
  </w:num>
  <w:num w:numId="62">
    <w:abstractNumId w:val="33"/>
  </w:num>
  <w:num w:numId="63">
    <w:abstractNumId w:val="73"/>
  </w:num>
  <w:num w:numId="64">
    <w:abstractNumId w:val="31"/>
  </w:num>
  <w:num w:numId="65">
    <w:abstractNumId w:val="3"/>
  </w:num>
  <w:num w:numId="66">
    <w:abstractNumId w:val="60"/>
  </w:num>
  <w:num w:numId="67">
    <w:abstractNumId w:val="4"/>
  </w:num>
  <w:num w:numId="68">
    <w:abstractNumId w:val="69"/>
  </w:num>
  <w:num w:numId="69">
    <w:abstractNumId w:val="38"/>
  </w:num>
  <w:num w:numId="70">
    <w:abstractNumId w:val="51"/>
  </w:num>
  <w:num w:numId="71">
    <w:abstractNumId w:val="50"/>
  </w:num>
  <w:num w:numId="72">
    <w:abstractNumId w:val="70"/>
  </w:num>
  <w:num w:numId="73">
    <w:abstractNumId w:val="12"/>
  </w:num>
  <w:num w:numId="74">
    <w:abstractNumId w:val="40"/>
  </w:num>
  <w:num w:numId="75">
    <w:abstractNumId w:val="5"/>
  </w:num>
  <w:num w:numId="76">
    <w:abstractNumId w:val="7"/>
  </w:num>
  <w:num w:numId="77">
    <w:abstractNumId w:val="78"/>
  </w:num>
  <w:num w:numId="78">
    <w:abstractNumId w:val="32"/>
  </w:num>
  <w:num w:numId="79">
    <w:abstractNumId w:val="2"/>
  </w:num>
  <w:num w:numId="80">
    <w:abstractNumId w:val="64"/>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de-DE" w:vendorID="64" w:dllVersion="6" w:nlCheck="1" w:checkStyle="0"/>
  <w:activeWritingStyle w:appName="MSWord" w:lang="en-US" w:vendorID="64" w:dllVersion="6" w:nlCheck="1" w:checkStyle="0"/>
  <w:activeWritingStyle w:appName="MSWord" w:lang="tr-TR" w:vendorID="64" w:dllVersion="4096" w:nlCheck="1" w:checkStyle="0"/>
  <w:activeWritingStyle w:appName="MSWord" w:lang="en-US" w:vendorID="64" w:dllVersion="4096" w:nlCheck="1" w:checkStyle="0"/>
  <w:documentProtection w:edit="trackedChanges" w:enforcement="0"/>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67E4"/>
    <w:rsid w:val="000000A5"/>
    <w:rsid w:val="00000968"/>
    <w:rsid w:val="00001076"/>
    <w:rsid w:val="00001229"/>
    <w:rsid w:val="0000123A"/>
    <w:rsid w:val="0000140F"/>
    <w:rsid w:val="00001426"/>
    <w:rsid w:val="00001479"/>
    <w:rsid w:val="000018C3"/>
    <w:rsid w:val="000019FB"/>
    <w:rsid w:val="00001E36"/>
    <w:rsid w:val="000020BB"/>
    <w:rsid w:val="000024E4"/>
    <w:rsid w:val="00002A7F"/>
    <w:rsid w:val="00003053"/>
    <w:rsid w:val="000030AD"/>
    <w:rsid w:val="000036BF"/>
    <w:rsid w:val="000038BD"/>
    <w:rsid w:val="0000400D"/>
    <w:rsid w:val="00004B10"/>
    <w:rsid w:val="00005066"/>
    <w:rsid w:val="00005680"/>
    <w:rsid w:val="0000661F"/>
    <w:rsid w:val="00006795"/>
    <w:rsid w:val="00006A0D"/>
    <w:rsid w:val="000074B5"/>
    <w:rsid w:val="00007983"/>
    <w:rsid w:val="000079C1"/>
    <w:rsid w:val="00007D6C"/>
    <w:rsid w:val="00010DDB"/>
    <w:rsid w:val="00010EE2"/>
    <w:rsid w:val="00012040"/>
    <w:rsid w:val="000122C8"/>
    <w:rsid w:val="00012426"/>
    <w:rsid w:val="00012FCF"/>
    <w:rsid w:val="00013DC2"/>
    <w:rsid w:val="00014201"/>
    <w:rsid w:val="00014B87"/>
    <w:rsid w:val="00014BAF"/>
    <w:rsid w:val="000152E9"/>
    <w:rsid w:val="00016114"/>
    <w:rsid w:val="00016190"/>
    <w:rsid w:val="00016365"/>
    <w:rsid w:val="00016500"/>
    <w:rsid w:val="00016A9F"/>
    <w:rsid w:val="000173EC"/>
    <w:rsid w:val="000174DF"/>
    <w:rsid w:val="0001777C"/>
    <w:rsid w:val="00017A98"/>
    <w:rsid w:val="0002067F"/>
    <w:rsid w:val="00020706"/>
    <w:rsid w:val="0002166D"/>
    <w:rsid w:val="000226B3"/>
    <w:rsid w:val="000232E6"/>
    <w:rsid w:val="00023780"/>
    <w:rsid w:val="000243C0"/>
    <w:rsid w:val="000244C2"/>
    <w:rsid w:val="0002480D"/>
    <w:rsid w:val="000248CD"/>
    <w:rsid w:val="00024D0C"/>
    <w:rsid w:val="00025110"/>
    <w:rsid w:val="0002539D"/>
    <w:rsid w:val="0002564D"/>
    <w:rsid w:val="000256CF"/>
    <w:rsid w:val="0002596E"/>
    <w:rsid w:val="00025A2C"/>
    <w:rsid w:val="000276C9"/>
    <w:rsid w:val="000279E8"/>
    <w:rsid w:val="000306B4"/>
    <w:rsid w:val="00030C2B"/>
    <w:rsid w:val="000315EA"/>
    <w:rsid w:val="00031DFC"/>
    <w:rsid w:val="000323C5"/>
    <w:rsid w:val="00032431"/>
    <w:rsid w:val="000324EF"/>
    <w:rsid w:val="000324F5"/>
    <w:rsid w:val="00032640"/>
    <w:rsid w:val="0003285A"/>
    <w:rsid w:val="00033973"/>
    <w:rsid w:val="00033E32"/>
    <w:rsid w:val="00033FFE"/>
    <w:rsid w:val="00034468"/>
    <w:rsid w:val="000348AE"/>
    <w:rsid w:val="000349E1"/>
    <w:rsid w:val="00034DE5"/>
    <w:rsid w:val="00035752"/>
    <w:rsid w:val="00035898"/>
    <w:rsid w:val="00035C70"/>
    <w:rsid w:val="00035D5B"/>
    <w:rsid w:val="00035D83"/>
    <w:rsid w:val="00036E47"/>
    <w:rsid w:val="00036EA4"/>
    <w:rsid w:val="000375F1"/>
    <w:rsid w:val="00040372"/>
    <w:rsid w:val="00040B6A"/>
    <w:rsid w:val="00041598"/>
    <w:rsid w:val="00042CFB"/>
    <w:rsid w:val="0004311F"/>
    <w:rsid w:val="00043437"/>
    <w:rsid w:val="000438D2"/>
    <w:rsid w:val="00043DEB"/>
    <w:rsid w:val="00044327"/>
    <w:rsid w:val="00044652"/>
    <w:rsid w:val="000454E9"/>
    <w:rsid w:val="000455FC"/>
    <w:rsid w:val="000456AD"/>
    <w:rsid w:val="000459DB"/>
    <w:rsid w:val="00045A80"/>
    <w:rsid w:val="00045E55"/>
    <w:rsid w:val="000469C3"/>
    <w:rsid w:val="00046C87"/>
    <w:rsid w:val="000471B5"/>
    <w:rsid w:val="0004784A"/>
    <w:rsid w:val="00047C88"/>
    <w:rsid w:val="0005083C"/>
    <w:rsid w:val="00050ADE"/>
    <w:rsid w:val="00051D88"/>
    <w:rsid w:val="00051E63"/>
    <w:rsid w:val="00052B53"/>
    <w:rsid w:val="00052C51"/>
    <w:rsid w:val="00052EEA"/>
    <w:rsid w:val="000542ED"/>
    <w:rsid w:val="0005491A"/>
    <w:rsid w:val="000552D9"/>
    <w:rsid w:val="0005536B"/>
    <w:rsid w:val="00055410"/>
    <w:rsid w:val="000554AE"/>
    <w:rsid w:val="0005599F"/>
    <w:rsid w:val="00055A98"/>
    <w:rsid w:val="00056173"/>
    <w:rsid w:val="00056634"/>
    <w:rsid w:val="00056C40"/>
    <w:rsid w:val="00056D1A"/>
    <w:rsid w:val="00056EF5"/>
    <w:rsid w:val="00056FEA"/>
    <w:rsid w:val="00057117"/>
    <w:rsid w:val="0005712A"/>
    <w:rsid w:val="00057138"/>
    <w:rsid w:val="0005773E"/>
    <w:rsid w:val="00057AC7"/>
    <w:rsid w:val="00057C84"/>
    <w:rsid w:val="0006018D"/>
    <w:rsid w:val="0006019A"/>
    <w:rsid w:val="0006026E"/>
    <w:rsid w:val="00060CED"/>
    <w:rsid w:val="00061190"/>
    <w:rsid w:val="000612B4"/>
    <w:rsid w:val="000618FD"/>
    <w:rsid w:val="00061AD9"/>
    <w:rsid w:val="00061C27"/>
    <w:rsid w:val="00061E36"/>
    <w:rsid w:val="00062D77"/>
    <w:rsid w:val="00062DC1"/>
    <w:rsid w:val="00062E31"/>
    <w:rsid w:val="00062F9F"/>
    <w:rsid w:val="000630DD"/>
    <w:rsid w:val="000631B1"/>
    <w:rsid w:val="000643BD"/>
    <w:rsid w:val="00065BBD"/>
    <w:rsid w:val="00066908"/>
    <w:rsid w:val="0006719B"/>
    <w:rsid w:val="00067BB9"/>
    <w:rsid w:val="000709AA"/>
    <w:rsid w:val="00070CEA"/>
    <w:rsid w:val="00070D7A"/>
    <w:rsid w:val="000712E3"/>
    <w:rsid w:val="00071686"/>
    <w:rsid w:val="0007174E"/>
    <w:rsid w:val="00071A8F"/>
    <w:rsid w:val="000730C6"/>
    <w:rsid w:val="00073260"/>
    <w:rsid w:val="000732CA"/>
    <w:rsid w:val="000735C9"/>
    <w:rsid w:val="000738A5"/>
    <w:rsid w:val="00074352"/>
    <w:rsid w:val="00074ECA"/>
    <w:rsid w:val="00074EF2"/>
    <w:rsid w:val="00075022"/>
    <w:rsid w:val="000756F6"/>
    <w:rsid w:val="00075A3F"/>
    <w:rsid w:val="00075A43"/>
    <w:rsid w:val="000762A4"/>
    <w:rsid w:val="00076409"/>
    <w:rsid w:val="000767AB"/>
    <w:rsid w:val="000769CC"/>
    <w:rsid w:val="000770AD"/>
    <w:rsid w:val="00077185"/>
    <w:rsid w:val="00077245"/>
    <w:rsid w:val="00077A3F"/>
    <w:rsid w:val="00080239"/>
    <w:rsid w:val="000803DF"/>
    <w:rsid w:val="000804B7"/>
    <w:rsid w:val="00080C51"/>
    <w:rsid w:val="000814E8"/>
    <w:rsid w:val="00081A65"/>
    <w:rsid w:val="0008285C"/>
    <w:rsid w:val="00082B50"/>
    <w:rsid w:val="00082F2B"/>
    <w:rsid w:val="00085082"/>
    <w:rsid w:val="000852BD"/>
    <w:rsid w:val="00085E29"/>
    <w:rsid w:val="000862EE"/>
    <w:rsid w:val="000869D0"/>
    <w:rsid w:val="000875F4"/>
    <w:rsid w:val="00087FEE"/>
    <w:rsid w:val="0009014C"/>
    <w:rsid w:val="00090153"/>
    <w:rsid w:val="000905EC"/>
    <w:rsid w:val="0009060A"/>
    <w:rsid w:val="00090EFD"/>
    <w:rsid w:val="0009152A"/>
    <w:rsid w:val="0009188B"/>
    <w:rsid w:val="000918FE"/>
    <w:rsid w:val="00092407"/>
    <w:rsid w:val="0009260D"/>
    <w:rsid w:val="00092967"/>
    <w:rsid w:val="00092B30"/>
    <w:rsid w:val="00092ED4"/>
    <w:rsid w:val="000937D1"/>
    <w:rsid w:val="00093E77"/>
    <w:rsid w:val="000940FF"/>
    <w:rsid w:val="000943F3"/>
    <w:rsid w:val="000951F7"/>
    <w:rsid w:val="0009547B"/>
    <w:rsid w:val="0009579B"/>
    <w:rsid w:val="00097575"/>
    <w:rsid w:val="00097791"/>
    <w:rsid w:val="00097796"/>
    <w:rsid w:val="00097839"/>
    <w:rsid w:val="000978D6"/>
    <w:rsid w:val="000A02ED"/>
    <w:rsid w:val="000A02FC"/>
    <w:rsid w:val="000A03EB"/>
    <w:rsid w:val="000A052B"/>
    <w:rsid w:val="000A109B"/>
    <w:rsid w:val="000A1FA3"/>
    <w:rsid w:val="000A1FD8"/>
    <w:rsid w:val="000A258C"/>
    <w:rsid w:val="000A27F3"/>
    <w:rsid w:val="000A28F2"/>
    <w:rsid w:val="000A29A5"/>
    <w:rsid w:val="000A333E"/>
    <w:rsid w:val="000A3A5E"/>
    <w:rsid w:val="000A4047"/>
    <w:rsid w:val="000A4EAA"/>
    <w:rsid w:val="000A572B"/>
    <w:rsid w:val="000A5790"/>
    <w:rsid w:val="000A5A56"/>
    <w:rsid w:val="000A5E9B"/>
    <w:rsid w:val="000A5FB6"/>
    <w:rsid w:val="000A6021"/>
    <w:rsid w:val="000A6393"/>
    <w:rsid w:val="000A6BEB"/>
    <w:rsid w:val="000A73CF"/>
    <w:rsid w:val="000A77AD"/>
    <w:rsid w:val="000A7861"/>
    <w:rsid w:val="000B08EE"/>
    <w:rsid w:val="000B0FFE"/>
    <w:rsid w:val="000B1340"/>
    <w:rsid w:val="000B13C1"/>
    <w:rsid w:val="000B16A5"/>
    <w:rsid w:val="000B1873"/>
    <w:rsid w:val="000B1AAA"/>
    <w:rsid w:val="000B24A1"/>
    <w:rsid w:val="000B2963"/>
    <w:rsid w:val="000B2B43"/>
    <w:rsid w:val="000B3327"/>
    <w:rsid w:val="000B36A2"/>
    <w:rsid w:val="000B3D2B"/>
    <w:rsid w:val="000B3EAC"/>
    <w:rsid w:val="000B4E5B"/>
    <w:rsid w:val="000B5057"/>
    <w:rsid w:val="000B50EF"/>
    <w:rsid w:val="000B5240"/>
    <w:rsid w:val="000B542C"/>
    <w:rsid w:val="000B5701"/>
    <w:rsid w:val="000B5A0E"/>
    <w:rsid w:val="000B64F2"/>
    <w:rsid w:val="000B7659"/>
    <w:rsid w:val="000B7717"/>
    <w:rsid w:val="000B7791"/>
    <w:rsid w:val="000B796D"/>
    <w:rsid w:val="000B7B7C"/>
    <w:rsid w:val="000C0874"/>
    <w:rsid w:val="000C11F6"/>
    <w:rsid w:val="000C14D2"/>
    <w:rsid w:val="000C289A"/>
    <w:rsid w:val="000C2BB0"/>
    <w:rsid w:val="000C2D59"/>
    <w:rsid w:val="000C2FF2"/>
    <w:rsid w:val="000C33B0"/>
    <w:rsid w:val="000C342C"/>
    <w:rsid w:val="000C3656"/>
    <w:rsid w:val="000C39D5"/>
    <w:rsid w:val="000C3BEE"/>
    <w:rsid w:val="000C3F15"/>
    <w:rsid w:val="000C43B2"/>
    <w:rsid w:val="000C4D85"/>
    <w:rsid w:val="000C56CB"/>
    <w:rsid w:val="000C5F74"/>
    <w:rsid w:val="000C601F"/>
    <w:rsid w:val="000C6581"/>
    <w:rsid w:val="000C706E"/>
    <w:rsid w:val="000C7213"/>
    <w:rsid w:val="000C72E1"/>
    <w:rsid w:val="000C7BA0"/>
    <w:rsid w:val="000C7D26"/>
    <w:rsid w:val="000D005D"/>
    <w:rsid w:val="000D043C"/>
    <w:rsid w:val="000D058F"/>
    <w:rsid w:val="000D0C4C"/>
    <w:rsid w:val="000D0C8A"/>
    <w:rsid w:val="000D0DBD"/>
    <w:rsid w:val="000D0E03"/>
    <w:rsid w:val="000D18F6"/>
    <w:rsid w:val="000D1AD8"/>
    <w:rsid w:val="000D1C5C"/>
    <w:rsid w:val="000D2262"/>
    <w:rsid w:val="000D26E4"/>
    <w:rsid w:val="000D284E"/>
    <w:rsid w:val="000D2B66"/>
    <w:rsid w:val="000D2F33"/>
    <w:rsid w:val="000D304D"/>
    <w:rsid w:val="000D3346"/>
    <w:rsid w:val="000D33A6"/>
    <w:rsid w:val="000D35F9"/>
    <w:rsid w:val="000D3911"/>
    <w:rsid w:val="000D3AB1"/>
    <w:rsid w:val="000D3B44"/>
    <w:rsid w:val="000D4A53"/>
    <w:rsid w:val="000D554F"/>
    <w:rsid w:val="000D5697"/>
    <w:rsid w:val="000D57AC"/>
    <w:rsid w:val="000D5A41"/>
    <w:rsid w:val="000D61EF"/>
    <w:rsid w:val="000D6A3E"/>
    <w:rsid w:val="000D6D3A"/>
    <w:rsid w:val="000D7226"/>
    <w:rsid w:val="000D775A"/>
    <w:rsid w:val="000D7B91"/>
    <w:rsid w:val="000D7C55"/>
    <w:rsid w:val="000E06BE"/>
    <w:rsid w:val="000E0722"/>
    <w:rsid w:val="000E0852"/>
    <w:rsid w:val="000E14AD"/>
    <w:rsid w:val="000E1526"/>
    <w:rsid w:val="000E161D"/>
    <w:rsid w:val="000E168A"/>
    <w:rsid w:val="000E254D"/>
    <w:rsid w:val="000E2647"/>
    <w:rsid w:val="000E2BD3"/>
    <w:rsid w:val="000E3BCA"/>
    <w:rsid w:val="000E3BE3"/>
    <w:rsid w:val="000E3EA2"/>
    <w:rsid w:val="000E400B"/>
    <w:rsid w:val="000E4215"/>
    <w:rsid w:val="000E4C94"/>
    <w:rsid w:val="000E54D7"/>
    <w:rsid w:val="000E5A01"/>
    <w:rsid w:val="000E649D"/>
    <w:rsid w:val="000E6554"/>
    <w:rsid w:val="000E66BC"/>
    <w:rsid w:val="000E6E45"/>
    <w:rsid w:val="000E6F7E"/>
    <w:rsid w:val="000E723D"/>
    <w:rsid w:val="000E7543"/>
    <w:rsid w:val="000E75F0"/>
    <w:rsid w:val="000E767F"/>
    <w:rsid w:val="000E7D9C"/>
    <w:rsid w:val="000E7FB3"/>
    <w:rsid w:val="000F0CC1"/>
    <w:rsid w:val="000F0D68"/>
    <w:rsid w:val="000F14C8"/>
    <w:rsid w:val="000F167F"/>
    <w:rsid w:val="000F1C1B"/>
    <w:rsid w:val="000F2021"/>
    <w:rsid w:val="000F2232"/>
    <w:rsid w:val="000F2466"/>
    <w:rsid w:val="000F2772"/>
    <w:rsid w:val="000F2A02"/>
    <w:rsid w:val="000F3122"/>
    <w:rsid w:val="000F34AC"/>
    <w:rsid w:val="000F378E"/>
    <w:rsid w:val="000F37A6"/>
    <w:rsid w:val="000F3D47"/>
    <w:rsid w:val="000F3FA9"/>
    <w:rsid w:val="000F3FC0"/>
    <w:rsid w:val="000F453B"/>
    <w:rsid w:val="000F480C"/>
    <w:rsid w:val="000F4FEB"/>
    <w:rsid w:val="000F5759"/>
    <w:rsid w:val="000F6005"/>
    <w:rsid w:val="000F7059"/>
    <w:rsid w:val="000F710B"/>
    <w:rsid w:val="000F72D1"/>
    <w:rsid w:val="000F769E"/>
    <w:rsid w:val="001009E1"/>
    <w:rsid w:val="00101392"/>
    <w:rsid w:val="001013E4"/>
    <w:rsid w:val="001031C3"/>
    <w:rsid w:val="00103205"/>
    <w:rsid w:val="00103238"/>
    <w:rsid w:val="0010376A"/>
    <w:rsid w:val="00103887"/>
    <w:rsid w:val="00104067"/>
    <w:rsid w:val="0010591A"/>
    <w:rsid w:val="00105C6F"/>
    <w:rsid w:val="00106DBC"/>
    <w:rsid w:val="00106F1E"/>
    <w:rsid w:val="00107333"/>
    <w:rsid w:val="001074C6"/>
    <w:rsid w:val="001079E3"/>
    <w:rsid w:val="00110C9B"/>
    <w:rsid w:val="0011102C"/>
    <w:rsid w:val="00111290"/>
    <w:rsid w:val="00111C9D"/>
    <w:rsid w:val="00111EF0"/>
    <w:rsid w:val="0011210D"/>
    <w:rsid w:val="00112A7D"/>
    <w:rsid w:val="0011314E"/>
    <w:rsid w:val="001133ED"/>
    <w:rsid w:val="001133FF"/>
    <w:rsid w:val="001134BE"/>
    <w:rsid w:val="00113ACB"/>
    <w:rsid w:val="00113DBA"/>
    <w:rsid w:val="001140CB"/>
    <w:rsid w:val="001142D0"/>
    <w:rsid w:val="00114A1F"/>
    <w:rsid w:val="00115A37"/>
    <w:rsid w:val="001167ED"/>
    <w:rsid w:val="00116EBD"/>
    <w:rsid w:val="00116F74"/>
    <w:rsid w:val="00117046"/>
    <w:rsid w:val="00117332"/>
    <w:rsid w:val="001175EF"/>
    <w:rsid w:val="001176C5"/>
    <w:rsid w:val="00117739"/>
    <w:rsid w:val="001177E7"/>
    <w:rsid w:val="001179F5"/>
    <w:rsid w:val="00117E60"/>
    <w:rsid w:val="001204A8"/>
    <w:rsid w:val="00120502"/>
    <w:rsid w:val="0012092F"/>
    <w:rsid w:val="00120988"/>
    <w:rsid w:val="0012177C"/>
    <w:rsid w:val="00121A8D"/>
    <w:rsid w:val="00121BA4"/>
    <w:rsid w:val="00121CBC"/>
    <w:rsid w:val="00122119"/>
    <w:rsid w:val="001222ED"/>
    <w:rsid w:val="001229C4"/>
    <w:rsid w:val="00122B04"/>
    <w:rsid w:val="00122BE0"/>
    <w:rsid w:val="00122E34"/>
    <w:rsid w:val="001230BA"/>
    <w:rsid w:val="00123830"/>
    <w:rsid w:val="00124A6F"/>
    <w:rsid w:val="00124BFC"/>
    <w:rsid w:val="0012526C"/>
    <w:rsid w:val="00125620"/>
    <w:rsid w:val="00125713"/>
    <w:rsid w:val="00125991"/>
    <w:rsid w:val="00125B2F"/>
    <w:rsid w:val="00125BE7"/>
    <w:rsid w:val="00125D44"/>
    <w:rsid w:val="00125E1D"/>
    <w:rsid w:val="0012644A"/>
    <w:rsid w:val="00126686"/>
    <w:rsid w:val="00127768"/>
    <w:rsid w:val="00127883"/>
    <w:rsid w:val="00127EAE"/>
    <w:rsid w:val="00127FC0"/>
    <w:rsid w:val="001300E8"/>
    <w:rsid w:val="0013020E"/>
    <w:rsid w:val="001308E8"/>
    <w:rsid w:val="00130C90"/>
    <w:rsid w:val="00130CE7"/>
    <w:rsid w:val="0013234F"/>
    <w:rsid w:val="00132411"/>
    <w:rsid w:val="001324FC"/>
    <w:rsid w:val="00132CF1"/>
    <w:rsid w:val="0013417D"/>
    <w:rsid w:val="0013459C"/>
    <w:rsid w:val="00134610"/>
    <w:rsid w:val="00134838"/>
    <w:rsid w:val="00134944"/>
    <w:rsid w:val="00134954"/>
    <w:rsid w:val="00135B03"/>
    <w:rsid w:val="00135CE5"/>
    <w:rsid w:val="0013668A"/>
    <w:rsid w:val="00136F81"/>
    <w:rsid w:val="0013742A"/>
    <w:rsid w:val="001376B5"/>
    <w:rsid w:val="001376BB"/>
    <w:rsid w:val="00140136"/>
    <w:rsid w:val="001407C3"/>
    <w:rsid w:val="00140D42"/>
    <w:rsid w:val="00141348"/>
    <w:rsid w:val="00141AF3"/>
    <w:rsid w:val="00141E49"/>
    <w:rsid w:val="0014219E"/>
    <w:rsid w:val="00142461"/>
    <w:rsid w:val="00142BB7"/>
    <w:rsid w:val="00142FE2"/>
    <w:rsid w:val="001431DC"/>
    <w:rsid w:val="00143445"/>
    <w:rsid w:val="001435A7"/>
    <w:rsid w:val="001439A7"/>
    <w:rsid w:val="00143BC6"/>
    <w:rsid w:val="00143DA7"/>
    <w:rsid w:val="00143E18"/>
    <w:rsid w:val="001440B2"/>
    <w:rsid w:val="001450F3"/>
    <w:rsid w:val="0014585B"/>
    <w:rsid w:val="00145A74"/>
    <w:rsid w:val="0014603E"/>
    <w:rsid w:val="00146671"/>
    <w:rsid w:val="001470FB"/>
    <w:rsid w:val="0014755C"/>
    <w:rsid w:val="0014794B"/>
    <w:rsid w:val="001501C6"/>
    <w:rsid w:val="0015037C"/>
    <w:rsid w:val="00151125"/>
    <w:rsid w:val="0015135A"/>
    <w:rsid w:val="00151702"/>
    <w:rsid w:val="00151CF9"/>
    <w:rsid w:val="001524A2"/>
    <w:rsid w:val="001531EA"/>
    <w:rsid w:val="001542D3"/>
    <w:rsid w:val="0015469F"/>
    <w:rsid w:val="00154911"/>
    <w:rsid w:val="001550AB"/>
    <w:rsid w:val="001556D1"/>
    <w:rsid w:val="00155CE3"/>
    <w:rsid w:val="00156164"/>
    <w:rsid w:val="001567C5"/>
    <w:rsid w:val="00157197"/>
    <w:rsid w:val="001573F6"/>
    <w:rsid w:val="0015746B"/>
    <w:rsid w:val="00157AA2"/>
    <w:rsid w:val="00157DCB"/>
    <w:rsid w:val="0016003D"/>
    <w:rsid w:val="00160842"/>
    <w:rsid w:val="001614E6"/>
    <w:rsid w:val="001619F0"/>
    <w:rsid w:val="00162A75"/>
    <w:rsid w:val="00162ACE"/>
    <w:rsid w:val="00162B0C"/>
    <w:rsid w:val="0016318B"/>
    <w:rsid w:val="00163807"/>
    <w:rsid w:val="00163DC1"/>
    <w:rsid w:val="001644A4"/>
    <w:rsid w:val="00164766"/>
    <w:rsid w:val="0016479C"/>
    <w:rsid w:val="00165419"/>
    <w:rsid w:val="00165FD3"/>
    <w:rsid w:val="001667B3"/>
    <w:rsid w:val="00166F31"/>
    <w:rsid w:val="001672A5"/>
    <w:rsid w:val="00167A62"/>
    <w:rsid w:val="00167BB4"/>
    <w:rsid w:val="00167BCA"/>
    <w:rsid w:val="00170052"/>
    <w:rsid w:val="0017060C"/>
    <w:rsid w:val="00170BF7"/>
    <w:rsid w:val="00170D5E"/>
    <w:rsid w:val="001712EC"/>
    <w:rsid w:val="00171438"/>
    <w:rsid w:val="00171818"/>
    <w:rsid w:val="00171A5B"/>
    <w:rsid w:val="00171B65"/>
    <w:rsid w:val="00172B07"/>
    <w:rsid w:val="00172E74"/>
    <w:rsid w:val="00173651"/>
    <w:rsid w:val="00173986"/>
    <w:rsid w:val="00173C8A"/>
    <w:rsid w:val="00175B39"/>
    <w:rsid w:val="00175D72"/>
    <w:rsid w:val="00175DF4"/>
    <w:rsid w:val="0017665A"/>
    <w:rsid w:val="00176AAE"/>
    <w:rsid w:val="00176CD3"/>
    <w:rsid w:val="001775F8"/>
    <w:rsid w:val="0017770B"/>
    <w:rsid w:val="00177A2B"/>
    <w:rsid w:val="00180052"/>
    <w:rsid w:val="0018028A"/>
    <w:rsid w:val="00180628"/>
    <w:rsid w:val="00180699"/>
    <w:rsid w:val="00180CDB"/>
    <w:rsid w:val="00181C6C"/>
    <w:rsid w:val="001823C5"/>
    <w:rsid w:val="001824F1"/>
    <w:rsid w:val="0018258B"/>
    <w:rsid w:val="00182BDD"/>
    <w:rsid w:val="00183024"/>
    <w:rsid w:val="0018332D"/>
    <w:rsid w:val="001839A2"/>
    <w:rsid w:val="001839CA"/>
    <w:rsid w:val="00183D40"/>
    <w:rsid w:val="001853AE"/>
    <w:rsid w:val="001853D3"/>
    <w:rsid w:val="00185636"/>
    <w:rsid w:val="00185879"/>
    <w:rsid w:val="00187181"/>
    <w:rsid w:val="001872C8"/>
    <w:rsid w:val="0019125E"/>
    <w:rsid w:val="0019143B"/>
    <w:rsid w:val="00191F53"/>
    <w:rsid w:val="00192003"/>
    <w:rsid w:val="00192A0A"/>
    <w:rsid w:val="00192F73"/>
    <w:rsid w:val="001936DC"/>
    <w:rsid w:val="00194644"/>
    <w:rsid w:val="001946AD"/>
    <w:rsid w:val="00194A3C"/>
    <w:rsid w:val="00194B78"/>
    <w:rsid w:val="00194DB0"/>
    <w:rsid w:val="00194DED"/>
    <w:rsid w:val="001952C4"/>
    <w:rsid w:val="001952DD"/>
    <w:rsid w:val="0019548A"/>
    <w:rsid w:val="00195CD5"/>
    <w:rsid w:val="00195F23"/>
    <w:rsid w:val="001965F1"/>
    <w:rsid w:val="00196918"/>
    <w:rsid w:val="00196DA2"/>
    <w:rsid w:val="001974C5"/>
    <w:rsid w:val="001976B7"/>
    <w:rsid w:val="001978FE"/>
    <w:rsid w:val="001A04B0"/>
    <w:rsid w:val="001A0619"/>
    <w:rsid w:val="001A1424"/>
    <w:rsid w:val="001A18DE"/>
    <w:rsid w:val="001A1908"/>
    <w:rsid w:val="001A217D"/>
    <w:rsid w:val="001A2529"/>
    <w:rsid w:val="001A2F40"/>
    <w:rsid w:val="001A2FB1"/>
    <w:rsid w:val="001A3AD7"/>
    <w:rsid w:val="001A3E9A"/>
    <w:rsid w:val="001A3F7E"/>
    <w:rsid w:val="001A402F"/>
    <w:rsid w:val="001A4552"/>
    <w:rsid w:val="001A507A"/>
    <w:rsid w:val="001A5189"/>
    <w:rsid w:val="001A56A8"/>
    <w:rsid w:val="001A583A"/>
    <w:rsid w:val="001A5DD5"/>
    <w:rsid w:val="001A6A64"/>
    <w:rsid w:val="001A6AF2"/>
    <w:rsid w:val="001A6DDF"/>
    <w:rsid w:val="001A756B"/>
    <w:rsid w:val="001A7617"/>
    <w:rsid w:val="001B05E1"/>
    <w:rsid w:val="001B0CDB"/>
    <w:rsid w:val="001B14BE"/>
    <w:rsid w:val="001B1AF6"/>
    <w:rsid w:val="001B1CD0"/>
    <w:rsid w:val="001B1D32"/>
    <w:rsid w:val="001B1ECD"/>
    <w:rsid w:val="001B23B1"/>
    <w:rsid w:val="001B36BA"/>
    <w:rsid w:val="001B4019"/>
    <w:rsid w:val="001B4143"/>
    <w:rsid w:val="001B49F5"/>
    <w:rsid w:val="001B5728"/>
    <w:rsid w:val="001B58A9"/>
    <w:rsid w:val="001B590F"/>
    <w:rsid w:val="001B6113"/>
    <w:rsid w:val="001B62D5"/>
    <w:rsid w:val="001B6300"/>
    <w:rsid w:val="001B73C4"/>
    <w:rsid w:val="001B7C1D"/>
    <w:rsid w:val="001C02AE"/>
    <w:rsid w:val="001C02DE"/>
    <w:rsid w:val="001C0851"/>
    <w:rsid w:val="001C1359"/>
    <w:rsid w:val="001C16A4"/>
    <w:rsid w:val="001C189C"/>
    <w:rsid w:val="001C18E2"/>
    <w:rsid w:val="001C1CE0"/>
    <w:rsid w:val="001C2126"/>
    <w:rsid w:val="001C257C"/>
    <w:rsid w:val="001C2BBC"/>
    <w:rsid w:val="001C2BE8"/>
    <w:rsid w:val="001C3349"/>
    <w:rsid w:val="001C350A"/>
    <w:rsid w:val="001C3568"/>
    <w:rsid w:val="001C47C9"/>
    <w:rsid w:val="001C4B84"/>
    <w:rsid w:val="001C5890"/>
    <w:rsid w:val="001C5E9C"/>
    <w:rsid w:val="001C5F6B"/>
    <w:rsid w:val="001C686E"/>
    <w:rsid w:val="001C6AF7"/>
    <w:rsid w:val="001C6CB5"/>
    <w:rsid w:val="001C7876"/>
    <w:rsid w:val="001C7885"/>
    <w:rsid w:val="001C79C3"/>
    <w:rsid w:val="001C7A37"/>
    <w:rsid w:val="001C7D38"/>
    <w:rsid w:val="001D0016"/>
    <w:rsid w:val="001D077F"/>
    <w:rsid w:val="001D08CC"/>
    <w:rsid w:val="001D0AE6"/>
    <w:rsid w:val="001D1042"/>
    <w:rsid w:val="001D13EF"/>
    <w:rsid w:val="001D1494"/>
    <w:rsid w:val="001D1BC9"/>
    <w:rsid w:val="001D1C98"/>
    <w:rsid w:val="001D1FAB"/>
    <w:rsid w:val="001D2131"/>
    <w:rsid w:val="001D25EF"/>
    <w:rsid w:val="001D2DA2"/>
    <w:rsid w:val="001D3BA1"/>
    <w:rsid w:val="001D4D93"/>
    <w:rsid w:val="001D4FAC"/>
    <w:rsid w:val="001D52A6"/>
    <w:rsid w:val="001D5FC1"/>
    <w:rsid w:val="001D6515"/>
    <w:rsid w:val="001D713A"/>
    <w:rsid w:val="001E0C3E"/>
    <w:rsid w:val="001E18EA"/>
    <w:rsid w:val="001E266C"/>
    <w:rsid w:val="001E2AB6"/>
    <w:rsid w:val="001E2F17"/>
    <w:rsid w:val="001E372A"/>
    <w:rsid w:val="001E38B6"/>
    <w:rsid w:val="001E3BE0"/>
    <w:rsid w:val="001E4392"/>
    <w:rsid w:val="001E4901"/>
    <w:rsid w:val="001E4B05"/>
    <w:rsid w:val="001E4EA8"/>
    <w:rsid w:val="001E4F7C"/>
    <w:rsid w:val="001E52CE"/>
    <w:rsid w:val="001E52D0"/>
    <w:rsid w:val="001E61B6"/>
    <w:rsid w:val="001E74D5"/>
    <w:rsid w:val="001E75D9"/>
    <w:rsid w:val="001E7C9E"/>
    <w:rsid w:val="001F0804"/>
    <w:rsid w:val="001F0872"/>
    <w:rsid w:val="001F0D30"/>
    <w:rsid w:val="001F0E73"/>
    <w:rsid w:val="001F12FF"/>
    <w:rsid w:val="001F14C3"/>
    <w:rsid w:val="001F2410"/>
    <w:rsid w:val="001F2637"/>
    <w:rsid w:val="001F2722"/>
    <w:rsid w:val="001F27F6"/>
    <w:rsid w:val="001F336D"/>
    <w:rsid w:val="001F35BC"/>
    <w:rsid w:val="001F39FB"/>
    <w:rsid w:val="001F3F80"/>
    <w:rsid w:val="001F4FDB"/>
    <w:rsid w:val="001F50C0"/>
    <w:rsid w:val="001F541D"/>
    <w:rsid w:val="001F55A3"/>
    <w:rsid w:val="001F5913"/>
    <w:rsid w:val="001F5ADE"/>
    <w:rsid w:val="001F5E6F"/>
    <w:rsid w:val="001F751B"/>
    <w:rsid w:val="00201160"/>
    <w:rsid w:val="0020161D"/>
    <w:rsid w:val="00201872"/>
    <w:rsid w:val="00201AA7"/>
    <w:rsid w:val="00201B49"/>
    <w:rsid w:val="00201F35"/>
    <w:rsid w:val="00202797"/>
    <w:rsid w:val="00202F2B"/>
    <w:rsid w:val="0020302F"/>
    <w:rsid w:val="0020327A"/>
    <w:rsid w:val="00203A18"/>
    <w:rsid w:val="00203B42"/>
    <w:rsid w:val="00204240"/>
    <w:rsid w:val="0020515F"/>
    <w:rsid w:val="0020516A"/>
    <w:rsid w:val="0020517B"/>
    <w:rsid w:val="0020537C"/>
    <w:rsid w:val="00205A7C"/>
    <w:rsid w:val="002060AD"/>
    <w:rsid w:val="00206F52"/>
    <w:rsid w:val="00210716"/>
    <w:rsid w:val="00210929"/>
    <w:rsid w:val="00211403"/>
    <w:rsid w:val="0021143C"/>
    <w:rsid w:val="00211B2C"/>
    <w:rsid w:val="00211D78"/>
    <w:rsid w:val="00211E80"/>
    <w:rsid w:val="00211F18"/>
    <w:rsid w:val="002127E5"/>
    <w:rsid w:val="00212910"/>
    <w:rsid w:val="00212B4C"/>
    <w:rsid w:val="002130CB"/>
    <w:rsid w:val="002133D4"/>
    <w:rsid w:val="002133E5"/>
    <w:rsid w:val="00213A59"/>
    <w:rsid w:val="00213ADE"/>
    <w:rsid w:val="00214E11"/>
    <w:rsid w:val="00214E9E"/>
    <w:rsid w:val="0021556A"/>
    <w:rsid w:val="00215B1E"/>
    <w:rsid w:val="00215BA7"/>
    <w:rsid w:val="00215CEF"/>
    <w:rsid w:val="002164FC"/>
    <w:rsid w:val="00216636"/>
    <w:rsid w:val="00217064"/>
    <w:rsid w:val="00217737"/>
    <w:rsid w:val="00217F5D"/>
    <w:rsid w:val="002200EC"/>
    <w:rsid w:val="00220C2A"/>
    <w:rsid w:val="00220F21"/>
    <w:rsid w:val="002212BF"/>
    <w:rsid w:val="00221A82"/>
    <w:rsid w:val="002232A2"/>
    <w:rsid w:val="002233DB"/>
    <w:rsid w:val="00223CE6"/>
    <w:rsid w:val="002240F1"/>
    <w:rsid w:val="00224168"/>
    <w:rsid w:val="0022422F"/>
    <w:rsid w:val="002242D7"/>
    <w:rsid w:val="0022475D"/>
    <w:rsid w:val="002249D2"/>
    <w:rsid w:val="0022561A"/>
    <w:rsid w:val="00225782"/>
    <w:rsid w:val="00225FA6"/>
    <w:rsid w:val="00226442"/>
    <w:rsid w:val="00226EE2"/>
    <w:rsid w:val="00227DB0"/>
    <w:rsid w:val="00227EE8"/>
    <w:rsid w:val="0023029E"/>
    <w:rsid w:val="00230358"/>
    <w:rsid w:val="002309A2"/>
    <w:rsid w:val="00230FF9"/>
    <w:rsid w:val="00231A12"/>
    <w:rsid w:val="00231CC8"/>
    <w:rsid w:val="002321D8"/>
    <w:rsid w:val="0023238D"/>
    <w:rsid w:val="00232507"/>
    <w:rsid w:val="00232805"/>
    <w:rsid w:val="00233347"/>
    <w:rsid w:val="00233B53"/>
    <w:rsid w:val="00233FBD"/>
    <w:rsid w:val="0023426B"/>
    <w:rsid w:val="0023444B"/>
    <w:rsid w:val="002344C8"/>
    <w:rsid w:val="002348F8"/>
    <w:rsid w:val="002357C3"/>
    <w:rsid w:val="00236107"/>
    <w:rsid w:val="0023623C"/>
    <w:rsid w:val="00236E43"/>
    <w:rsid w:val="00236F4A"/>
    <w:rsid w:val="00237791"/>
    <w:rsid w:val="00237A91"/>
    <w:rsid w:val="00237BCB"/>
    <w:rsid w:val="00237DFB"/>
    <w:rsid w:val="002402BD"/>
    <w:rsid w:val="002408E7"/>
    <w:rsid w:val="00241675"/>
    <w:rsid w:val="00241954"/>
    <w:rsid w:val="00242396"/>
    <w:rsid w:val="002424C2"/>
    <w:rsid w:val="002426B5"/>
    <w:rsid w:val="00242D92"/>
    <w:rsid w:val="0024304E"/>
    <w:rsid w:val="002432B3"/>
    <w:rsid w:val="00243392"/>
    <w:rsid w:val="0024339C"/>
    <w:rsid w:val="002435D9"/>
    <w:rsid w:val="00243B7C"/>
    <w:rsid w:val="0024468A"/>
    <w:rsid w:val="00244C32"/>
    <w:rsid w:val="00244F6A"/>
    <w:rsid w:val="00244F77"/>
    <w:rsid w:val="0024543B"/>
    <w:rsid w:val="0024602F"/>
    <w:rsid w:val="00246179"/>
    <w:rsid w:val="002463DA"/>
    <w:rsid w:val="0024710A"/>
    <w:rsid w:val="002476A4"/>
    <w:rsid w:val="00247D93"/>
    <w:rsid w:val="002504D2"/>
    <w:rsid w:val="00250FE8"/>
    <w:rsid w:val="00251642"/>
    <w:rsid w:val="00251693"/>
    <w:rsid w:val="00251C24"/>
    <w:rsid w:val="00252026"/>
    <w:rsid w:val="0025202F"/>
    <w:rsid w:val="00252E21"/>
    <w:rsid w:val="00252EE1"/>
    <w:rsid w:val="00253782"/>
    <w:rsid w:val="002537C0"/>
    <w:rsid w:val="00253FAB"/>
    <w:rsid w:val="002544BD"/>
    <w:rsid w:val="00254982"/>
    <w:rsid w:val="00255323"/>
    <w:rsid w:val="00255FFC"/>
    <w:rsid w:val="0025690D"/>
    <w:rsid w:val="002569F3"/>
    <w:rsid w:val="00256C28"/>
    <w:rsid w:val="0025712C"/>
    <w:rsid w:val="002571B8"/>
    <w:rsid w:val="00257422"/>
    <w:rsid w:val="0025747A"/>
    <w:rsid w:val="00257B95"/>
    <w:rsid w:val="00260412"/>
    <w:rsid w:val="00260469"/>
    <w:rsid w:val="0026085E"/>
    <w:rsid w:val="00260D9F"/>
    <w:rsid w:val="0026102E"/>
    <w:rsid w:val="002614CA"/>
    <w:rsid w:val="00261932"/>
    <w:rsid w:val="00261AE0"/>
    <w:rsid w:val="00261EDD"/>
    <w:rsid w:val="00262454"/>
    <w:rsid w:val="0026246D"/>
    <w:rsid w:val="0026321F"/>
    <w:rsid w:val="00263255"/>
    <w:rsid w:val="00263DC6"/>
    <w:rsid w:val="002644EA"/>
    <w:rsid w:val="0026453E"/>
    <w:rsid w:val="002645C0"/>
    <w:rsid w:val="002649D6"/>
    <w:rsid w:val="00264E99"/>
    <w:rsid w:val="002652A3"/>
    <w:rsid w:val="00265576"/>
    <w:rsid w:val="00265BEB"/>
    <w:rsid w:val="00265C20"/>
    <w:rsid w:val="002661ED"/>
    <w:rsid w:val="0026729D"/>
    <w:rsid w:val="00267456"/>
    <w:rsid w:val="002700C0"/>
    <w:rsid w:val="00270371"/>
    <w:rsid w:val="002708CF"/>
    <w:rsid w:val="00270CA3"/>
    <w:rsid w:val="00271033"/>
    <w:rsid w:val="0027117B"/>
    <w:rsid w:val="0027136F"/>
    <w:rsid w:val="00272468"/>
    <w:rsid w:val="0027266E"/>
    <w:rsid w:val="00272959"/>
    <w:rsid w:val="002729AE"/>
    <w:rsid w:val="0027341F"/>
    <w:rsid w:val="00273F9A"/>
    <w:rsid w:val="00274939"/>
    <w:rsid w:val="00274A9E"/>
    <w:rsid w:val="00274B95"/>
    <w:rsid w:val="00274C76"/>
    <w:rsid w:val="00274D04"/>
    <w:rsid w:val="00274D08"/>
    <w:rsid w:val="002750DB"/>
    <w:rsid w:val="002752A0"/>
    <w:rsid w:val="00275388"/>
    <w:rsid w:val="00275770"/>
    <w:rsid w:val="002765D1"/>
    <w:rsid w:val="002765EE"/>
    <w:rsid w:val="00276BD4"/>
    <w:rsid w:val="00276CD5"/>
    <w:rsid w:val="00276F27"/>
    <w:rsid w:val="002772DD"/>
    <w:rsid w:val="002774C4"/>
    <w:rsid w:val="002774C6"/>
    <w:rsid w:val="0027766B"/>
    <w:rsid w:val="002800A9"/>
    <w:rsid w:val="002802F2"/>
    <w:rsid w:val="002802F3"/>
    <w:rsid w:val="002810D7"/>
    <w:rsid w:val="00281A64"/>
    <w:rsid w:val="00281FC8"/>
    <w:rsid w:val="00282569"/>
    <w:rsid w:val="002835C9"/>
    <w:rsid w:val="00283B5A"/>
    <w:rsid w:val="00283DB3"/>
    <w:rsid w:val="00283F9B"/>
    <w:rsid w:val="002846B0"/>
    <w:rsid w:val="00285B32"/>
    <w:rsid w:val="00285DA3"/>
    <w:rsid w:val="0028618D"/>
    <w:rsid w:val="00286576"/>
    <w:rsid w:val="00286C67"/>
    <w:rsid w:val="00286F82"/>
    <w:rsid w:val="00287E36"/>
    <w:rsid w:val="00291A78"/>
    <w:rsid w:val="0029225F"/>
    <w:rsid w:val="0029334D"/>
    <w:rsid w:val="00293711"/>
    <w:rsid w:val="00294356"/>
    <w:rsid w:val="00294C9B"/>
    <w:rsid w:val="00296002"/>
    <w:rsid w:val="00296389"/>
    <w:rsid w:val="002966DA"/>
    <w:rsid w:val="002967D4"/>
    <w:rsid w:val="002978D3"/>
    <w:rsid w:val="00297FE1"/>
    <w:rsid w:val="002A0256"/>
    <w:rsid w:val="002A0BC0"/>
    <w:rsid w:val="002A11E3"/>
    <w:rsid w:val="002A12D8"/>
    <w:rsid w:val="002A1509"/>
    <w:rsid w:val="002A197D"/>
    <w:rsid w:val="002A1C87"/>
    <w:rsid w:val="002A222D"/>
    <w:rsid w:val="002A22A9"/>
    <w:rsid w:val="002A23FE"/>
    <w:rsid w:val="002A2649"/>
    <w:rsid w:val="002A2D17"/>
    <w:rsid w:val="002A2E4C"/>
    <w:rsid w:val="002A361B"/>
    <w:rsid w:val="002A3734"/>
    <w:rsid w:val="002A4101"/>
    <w:rsid w:val="002A46DA"/>
    <w:rsid w:val="002A47F1"/>
    <w:rsid w:val="002A4A82"/>
    <w:rsid w:val="002A4B8E"/>
    <w:rsid w:val="002A5282"/>
    <w:rsid w:val="002A5BF8"/>
    <w:rsid w:val="002A646F"/>
    <w:rsid w:val="002A76D2"/>
    <w:rsid w:val="002A78FD"/>
    <w:rsid w:val="002A7A43"/>
    <w:rsid w:val="002A7E33"/>
    <w:rsid w:val="002A7E9C"/>
    <w:rsid w:val="002B0258"/>
    <w:rsid w:val="002B0BE0"/>
    <w:rsid w:val="002B0DAE"/>
    <w:rsid w:val="002B1AEC"/>
    <w:rsid w:val="002B1D88"/>
    <w:rsid w:val="002B2058"/>
    <w:rsid w:val="002B269C"/>
    <w:rsid w:val="002B2758"/>
    <w:rsid w:val="002B335A"/>
    <w:rsid w:val="002B3553"/>
    <w:rsid w:val="002B37B1"/>
    <w:rsid w:val="002B3C41"/>
    <w:rsid w:val="002B3D00"/>
    <w:rsid w:val="002B3DD9"/>
    <w:rsid w:val="002B401C"/>
    <w:rsid w:val="002B41E0"/>
    <w:rsid w:val="002B4FB6"/>
    <w:rsid w:val="002B57E9"/>
    <w:rsid w:val="002B60C7"/>
    <w:rsid w:val="002B6174"/>
    <w:rsid w:val="002B61E6"/>
    <w:rsid w:val="002B737F"/>
    <w:rsid w:val="002B798C"/>
    <w:rsid w:val="002B799F"/>
    <w:rsid w:val="002C00F9"/>
    <w:rsid w:val="002C013E"/>
    <w:rsid w:val="002C0394"/>
    <w:rsid w:val="002C048D"/>
    <w:rsid w:val="002C0C22"/>
    <w:rsid w:val="002C1149"/>
    <w:rsid w:val="002C13EC"/>
    <w:rsid w:val="002C1908"/>
    <w:rsid w:val="002C1A5A"/>
    <w:rsid w:val="002C1E62"/>
    <w:rsid w:val="002C29B2"/>
    <w:rsid w:val="002C2BCA"/>
    <w:rsid w:val="002C3099"/>
    <w:rsid w:val="002C4207"/>
    <w:rsid w:val="002C430A"/>
    <w:rsid w:val="002C4559"/>
    <w:rsid w:val="002C4C2E"/>
    <w:rsid w:val="002C4F47"/>
    <w:rsid w:val="002C5397"/>
    <w:rsid w:val="002C62A0"/>
    <w:rsid w:val="002C658C"/>
    <w:rsid w:val="002C7981"/>
    <w:rsid w:val="002C7C56"/>
    <w:rsid w:val="002C7C86"/>
    <w:rsid w:val="002C7E9C"/>
    <w:rsid w:val="002D079B"/>
    <w:rsid w:val="002D0E38"/>
    <w:rsid w:val="002D1794"/>
    <w:rsid w:val="002D1B91"/>
    <w:rsid w:val="002D1BFD"/>
    <w:rsid w:val="002D1E78"/>
    <w:rsid w:val="002D2363"/>
    <w:rsid w:val="002D2913"/>
    <w:rsid w:val="002D29C9"/>
    <w:rsid w:val="002D2C09"/>
    <w:rsid w:val="002D2FB6"/>
    <w:rsid w:val="002D33BD"/>
    <w:rsid w:val="002D3703"/>
    <w:rsid w:val="002D37D7"/>
    <w:rsid w:val="002D482D"/>
    <w:rsid w:val="002D4866"/>
    <w:rsid w:val="002D4D82"/>
    <w:rsid w:val="002D5002"/>
    <w:rsid w:val="002D5178"/>
    <w:rsid w:val="002D5A35"/>
    <w:rsid w:val="002D5FD0"/>
    <w:rsid w:val="002D626D"/>
    <w:rsid w:val="002D64A5"/>
    <w:rsid w:val="002D64F8"/>
    <w:rsid w:val="002D67D9"/>
    <w:rsid w:val="002D6B73"/>
    <w:rsid w:val="002D6E78"/>
    <w:rsid w:val="002D73D1"/>
    <w:rsid w:val="002D73F1"/>
    <w:rsid w:val="002D7780"/>
    <w:rsid w:val="002D7AE1"/>
    <w:rsid w:val="002D7BD5"/>
    <w:rsid w:val="002D7E38"/>
    <w:rsid w:val="002E0637"/>
    <w:rsid w:val="002E0F10"/>
    <w:rsid w:val="002E0F36"/>
    <w:rsid w:val="002E11D2"/>
    <w:rsid w:val="002E15C6"/>
    <w:rsid w:val="002E1FF6"/>
    <w:rsid w:val="002E216A"/>
    <w:rsid w:val="002E2CF5"/>
    <w:rsid w:val="002E36C1"/>
    <w:rsid w:val="002E3859"/>
    <w:rsid w:val="002E39B8"/>
    <w:rsid w:val="002E42C7"/>
    <w:rsid w:val="002E50B9"/>
    <w:rsid w:val="002E54F6"/>
    <w:rsid w:val="002E5724"/>
    <w:rsid w:val="002E5945"/>
    <w:rsid w:val="002E5A70"/>
    <w:rsid w:val="002E6439"/>
    <w:rsid w:val="002E6569"/>
    <w:rsid w:val="002E6BA6"/>
    <w:rsid w:val="002E701D"/>
    <w:rsid w:val="002E7E27"/>
    <w:rsid w:val="002F0989"/>
    <w:rsid w:val="002F1C23"/>
    <w:rsid w:val="002F1C3B"/>
    <w:rsid w:val="002F29A8"/>
    <w:rsid w:val="002F2FD3"/>
    <w:rsid w:val="002F3171"/>
    <w:rsid w:val="002F3320"/>
    <w:rsid w:val="002F3D41"/>
    <w:rsid w:val="002F480A"/>
    <w:rsid w:val="002F69FE"/>
    <w:rsid w:val="002F6BC3"/>
    <w:rsid w:val="002F6D7E"/>
    <w:rsid w:val="0030024B"/>
    <w:rsid w:val="00300EE2"/>
    <w:rsid w:val="0030100F"/>
    <w:rsid w:val="00301211"/>
    <w:rsid w:val="0030242A"/>
    <w:rsid w:val="003025B3"/>
    <w:rsid w:val="003026DF"/>
    <w:rsid w:val="00302B73"/>
    <w:rsid w:val="003030D3"/>
    <w:rsid w:val="003030F7"/>
    <w:rsid w:val="00304314"/>
    <w:rsid w:val="00304AD6"/>
    <w:rsid w:val="00306B74"/>
    <w:rsid w:val="00306D72"/>
    <w:rsid w:val="00307663"/>
    <w:rsid w:val="00307809"/>
    <w:rsid w:val="0031006B"/>
    <w:rsid w:val="003100A3"/>
    <w:rsid w:val="0031010A"/>
    <w:rsid w:val="0031083E"/>
    <w:rsid w:val="00310900"/>
    <w:rsid w:val="003109A4"/>
    <w:rsid w:val="00310FB9"/>
    <w:rsid w:val="00311025"/>
    <w:rsid w:val="00311296"/>
    <w:rsid w:val="00311777"/>
    <w:rsid w:val="0031226D"/>
    <w:rsid w:val="003122F7"/>
    <w:rsid w:val="00313354"/>
    <w:rsid w:val="00313A98"/>
    <w:rsid w:val="00313F06"/>
    <w:rsid w:val="003141FD"/>
    <w:rsid w:val="003146CE"/>
    <w:rsid w:val="003146EF"/>
    <w:rsid w:val="00314CEA"/>
    <w:rsid w:val="00314D39"/>
    <w:rsid w:val="00314FC7"/>
    <w:rsid w:val="00315101"/>
    <w:rsid w:val="00315964"/>
    <w:rsid w:val="00315C8C"/>
    <w:rsid w:val="00316017"/>
    <w:rsid w:val="00316032"/>
    <w:rsid w:val="00316359"/>
    <w:rsid w:val="00316BE9"/>
    <w:rsid w:val="00317036"/>
    <w:rsid w:val="003178B1"/>
    <w:rsid w:val="00317D68"/>
    <w:rsid w:val="00320135"/>
    <w:rsid w:val="0032061B"/>
    <w:rsid w:val="003210D5"/>
    <w:rsid w:val="003214AA"/>
    <w:rsid w:val="00321EE7"/>
    <w:rsid w:val="00322412"/>
    <w:rsid w:val="00322841"/>
    <w:rsid w:val="0032372F"/>
    <w:rsid w:val="003237E9"/>
    <w:rsid w:val="00323BBB"/>
    <w:rsid w:val="0032468F"/>
    <w:rsid w:val="0032471A"/>
    <w:rsid w:val="0032494F"/>
    <w:rsid w:val="00325C7B"/>
    <w:rsid w:val="00326D96"/>
    <w:rsid w:val="00327127"/>
    <w:rsid w:val="00330B87"/>
    <w:rsid w:val="00330EBF"/>
    <w:rsid w:val="00331245"/>
    <w:rsid w:val="00331486"/>
    <w:rsid w:val="00331EA0"/>
    <w:rsid w:val="003323F5"/>
    <w:rsid w:val="003326E3"/>
    <w:rsid w:val="003332A5"/>
    <w:rsid w:val="00333317"/>
    <w:rsid w:val="003334A7"/>
    <w:rsid w:val="003334E8"/>
    <w:rsid w:val="0033367C"/>
    <w:rsid w:val="00333724"/>
    <w:rsid w:val="00333848"/>
    <w:rsid w:val="003339B4"/>
    <w:rsid w:val="003341D4"/>
    <w:rsid w:val="003342D4"/>
    <w:rsid w:val="00334300"/>
    <w:rsid w:val="003343BB"/>
    <w:rsid w:val="00334696"/>
    <w:rsid w:val="00334A71"/>
    <w:rsid w:val="003354DC"/>
    <w:rsid w:val="003360B6"/>
    <w:rsid w:val="003362A4"/>
    <w:rsid w:val="0033739D"/>
    <w:rsid w:val="00337C8A"/>
    <w:rsid w:val="003402BD"/>
    <w:rsid w:val="00340477"/>
    <w:rsid w:val="003404C5"/>
    <w:rsid w:val="00340B23"/>
    <w:rsid w:val="00340D9C"/>
    <w:rsid w:val="00340FE9"/>
    <w:rsid w:val="00341340"/>
    <w:rsid w:val="0034224C"/>
    <w:rsid w:val="00342745"/>
    <w:rsid w:val="003427EB"/>
    <w:rsid w:val="00342B3D"/>
    <w:rsid w:val="0034385B"/>
    <w:rsid w:val="00343CF8"/>
    <w:rsid w:val="00343E37"/>
    <w:rsid w:val="00344300"/>
    <w:rsid w:val="003448B2"/>
    <w:rsid w:val="00345246"/>
    <w:rsid w:val="00345754"/>
    <w:rsid w:val="00345884"/>
    <w:rsid w:val="00345FD7"/>
    <w:rsid w:val="00346538"/>
    <w:rsid w:val="00347666"/>
    <w:rsid w:val="00347C81"/>
    <w:rsid w:val="00350658"/>
    <w:rsid w:val="0035089D"/>
    <w:rsid w:val="00350973"/>
    <w:rsid w:val="00350D54"/>
    <w:rsid w:val="0035231C"/>
    <w:rsid w:val="003528E3"/>
    <w:rsid w:val="003536C3"/>
    <w:rsid w:val="003536D1"/>
    <w:rsid w:val="003542DB"/>
    <w:rsid w:val="003543E9"/>
    <w:rsid w:val="00354D34"/>
    <w:rsid w:val="00354E06"/>
    <w:rsid w:val="00354EBA"/>
    <w:rsid w:val="00354F03"/>
    <w:rsid w:val="0035523B"/>
    <w:rsid w:val="00355421"/>
    <w:rsid w:val="00355500"/>
    <w:rsid w:val="00355A4D"/>
    <w:rsid w:val="00355B96"/>
    <w:rsid w:val="0035604B"/>
    <w:rsid w:val="00356CFB"/>
    <w:rsid w:val="0035716A"/>
    <w:rsid w:val="00357653"/>
    <w:rsid w:val="003576CC"/>
    <w:rsid w:val="0035787B"/>
    <w:rsid w:val="0035799E"/>
    <w:rsid w:val="00357FD6"/>
    <w:rsid w:val="003608F9"/>
    <w:rsid w:val="00360A4A"/>
    <w:rsid w:val="003612F6"/>
    <w:rsid w:val="00362C9E"/>
    <w:rsid w:val="0036307C"/>
    <w:rsid w:val="003631BB"/>
    <w:rsid w:val="0036361E"/>
    <w:rsid w:val="00363B2F"/>
    <w:rsid w:val="00364770"/>
    <w:rsid w:val="00364B40"/>
    <w:rsid w:val="00364BDD"/>
    <w:rsid w:val="00365CCA"/>
    <w:rsid w:val="0036648D"/>
    <w:rsid w:val="0036667C"/>
    <w:rsid w:val="00366DDE"/>
    <w:rsid w:val="003701CD"/>
    <w:rsid w:val="00370427"/>
    <w:rsid w:val="00370688"/>
    <w:rsid w:val="00370877"/>
    <w:rsid w:val="00370D27"/>
    <w:rsid w:val="003716B1"/>
    <w:rsid w:val="00371A7E"/>
    <w:rsid w:val="00372319"/>
    <w:rsid w:val="00372350"/>
    <w:rsid w:val="003723B7"/>
    <w:rsid w:val="00372E9A"/>
    <w:rsid w:val="003732EA"/>
    <w:rsid w:val="003739E6"/>
    <w:rsid w:val="0037460F"/>
    <w:rsid w:val="00374A05"/>
    <w:rsid w:val="00374AD6"/>
    <w:rsid w:val="0037506B"/>
    <w:rsid w:val="00375179"/>
    <w:rsid w:val="0037517C"/>
    <w:rsid w:val="0037554B"/>
    <w:rsid w:val="00376418"/>
    <w:rsid w:val="00377CB1"/>
    <w:rsid w:val="00380788"/>
    <w:rsid w:val="00381603"/>
    <w:rsid w:val="00382BA0"/>
    <w:rsid w:val="00382EB1"/>
    <w:rsid w:val="003832C8"/>
    <w:rsid w:val="003834DE"/>
    <w:rsid w:val="0038372E"/>
    <w:rsid w:val="00383A0F"/>
    <w:rsid w:val="00383C8D"/>
    <w:rsid w:val="003843EA"/>
    <w:rsid w:val="0038447E"/>
    <w:rsid w:val="003845E8"/>
    <w:rsid w:val="003846E2"/>
    <w:rsid w:val="00384FAA"/>
    <w:rsid w:val="003857D4"/>
    <w:rsid w:val="00385BC4"/>
    <w:rsid w:val="003863AF"/>
    <w:rsid w:val="00386C0F"/>
    <w:rsid w:val="00386D06"/>
    <w:rsid w:val="00391333"/>
    <w:rsid w:val="00393398"/>
    <w:rsid w:val="003947C6"/>
    <w:rsid w:val="00394E17"/>
    <w:rsid w:val="00394F4A"/>
    <w:rsid w:val="003950FF"/>
    <w:rsid w:val="00395DCF"/>
    <w:rsid w:val="00395E06"/>
    <w:rsid w:val="00395E15"/>
    <w:rsid w:val="003963BA"/>
    <w:rsid w:val="003967C4"/>
    <w:rsid w:val="00396E8C"/>
    <w:rsid w:val="003971F6"/>
    <w:rsid w:val="003972C0"/>
    <w:rsid w:val="0039768F"/>
    <w:rsid w:val="0039795A"/>
    <w:rsid w:val="00397BAD"/>
    <w:rsid w:val="003A0348"/>
    <w:rsid w:val="003A0653"/>
    <w:rsid w:val="003A087D"/>
    <w:rsid w:val="003A18AD"/>
    <w:rsid w:val="003A21AE"/>
    <w:rsid w:val="003A2AEA"/>
    <w:rsid w:val="003A354D"/>
    <w:rsid w:val="003A368F"/>
    <w:rsid w:val="003A3EE5"/>
    <w:rsid w:val="003A5304"/>
    <w:rsid w:val="003A61B4"/>
    <w:rsid w:val="003A63DE"/>
    <w:rsid w:val="003A690A"/>
    <w:rsid w:val="003A733C"/>
    <w:rsid w:val="003A74B4"/>
    <w:rsid w:val="003A7AA3"/>
    <w:rsid w:val="003A7B50"/>
    <w:rsid w:val="003A7FDD"/>
    <w:rsid w:val="003B0159"/>
    <w:rsid w:val="003B08A0"/>
    <w:rsid w:val="003B099D"/>
    <w:rsid w:val="003B0F76"/>
    <w:rsid w:val="003B191B"/>
    <w:rsid w:val="003B1AF6"/>
    <w:rsid w:val="003B2348"/>
    <w:rsid w:val="003B3003"/>
    <w:rsid w:val="003B371D"/>
    <w:rsid w:val="003B399E"/>
    <w:rsid w:val="003B3B05"/>
    <w:rsid w:val="003B3D08"/>
    <w:rsid w:val="003B3D5A"/>
    <w:rsid w:val="003B3EE0"/>
    <w:rsid w:val="003B4757"/>
    <w:rsid w:val="003B4CBD"/>
    <w:rsid w:val="003B4D34"/>
    <w:rsid w:val="003B5C91"/>
    <w:rsid w:val="003B5E89"/>
    <w:rsid w:val="003B77BF"/>
    <w:rsid w:val="003B78CD"/>
    <w:rsid w:val="003B7B70"/>
    <w:rsid w:val="003C0778"/>
    <w:rsid w:val="003C084F"/>
    <w:rsid w:val="003C0C6F"/>
    <w:rsid w:val="003C0D0F"/>
    <w:rsid w:val="003C1342"/>
    <w:rsid w:val="003C1379"/>
    <w:rsid w:val="003C14E0"/>
    <w:rsid w:val="003C1696"/>
    <w:rsid w:val="003C18B1"/>
    <w:rsid w:val="003C2635"/>
    <w:rsid w:val="003C2EB9"/>
    <w:rsid w:val="003C330F"/>
    <w:rsid w:val="003C3D2A"/>
    <w:rsid w:val="003C3FA1"/>
    <w:rsid w:val="003C4554"/>
    <w:rsid w:val="003C5033"/>
    <w:rsid w:val="003C5589"/>
    <w:rsid w:val="003C55D7"/>
    <w:rsid w:val="003C56A2"/>
    <w:rsid w:val="003C5725"/>
    <w:rsid w:val="003C59FC"/>
    <w:rsid w:val="003C62B5"/>
    <w:rsid w:val="003C6441"/>
    <w:rsid w:val="003C67E1"/>
    <w:rsid w:val="003C72D7"/>
    <w:rsid w:val="003C7568"/>
    <w:rsid w:val="003D0877"/>
    <w:rsid w:val="003D0DD5"/>
    <w:rsid w:val="003D0E00"/>
    <w:rsid w:val="003D1167"/>
    <w:rsid w:val="003D116C"/>
    <w:rsid w:val="003D1328"/>
    <w:rsid w:val="003D1919"/>
    <w:rsid w:val="003D24D6"/>
    <w:rsid w:val="003D2F7D"/>
    <w:rsid w:val="003D306E"/>
    <w:rsid w:val="003D3125"/>
    <w:rsid w:val="003D3663"/>
    <w:rsid w:val="003D38CA"/>
    <w:rsid w:val="003D43AE"/>
    <w:rsid w:val="003D4B33"/>
    <w:rsid w:val="003D5034"/>
    <w:rsid w:val="003D55AA"/>
    <w:rsid w:val="003D5B32"/>
    <w:rsid w:val="003D5F2A"/>
    <w:rsid w:val="003D60DB"/>
    <w:rsid w:val="003D66C9"/>
    <w:rsid w:val="003D6B7E"/>
    <w:rsid w:val="003D6E95"/>
    <w:rsid w:val="003D7CFF"/>
    <w:rsid w:val="003E0425"/>
    <w:rsid w:val="003E0555"/>
    <w:rsid w:val="003E0739"/>
    <w:rsid w:val="003E083E"/>
    <w:rsid w:val="003E08D8"/>
    <w:rsid w:val="003E11F7"/>
    <w:rsid w:val="003E17CB"/>
    <w:rsid w:val="003E18DC"/>
    <w:rsid w:val="003E245F"/>
    <w:rsid w:val="003E2579"/>
    <w:rsid w:val="003E2969"/>
    <w:rsid w:val="003E3920"/>
    <w:rsid w:val="003E3BFF"/>
    <w:rsid w:val="003E3D33"/>
    <w:rsid w:val="003E4324"/>
    <w:rsid w:val="003E462C"/>
    <w:rsid w:val="003E4710"/>
    <w:rsid w:val="003E4E31"/>
    <w:rsid w:val="003E54B2"/>
    <w:rsid w:val="003E575E"/>
    <w:rsid w:val="003E6787"/>
    <w:rsid w:val="003E6FB0"/>
    <w:rsid w:val="003E7268"/>
    <w:rsid w:val="003E728D"/>
    <w:rsid w:val="003E74DA"/>
    <w:rsid w:val="003E7ACC"/>
    <w:rsid w:val="003E7E4F"/>
    <w:rsid w:val="003E7E66"/>
    <w:rsid w:val="003F00A0"/>
    <w:rsid w:val="003F03A6"/>
    <w:rsid w:val="003F05DC"/>
    <w:rsid w:val="003F062E"/>
    <w:rsid w:val="003F0825"/>
    <w:rsid w:val="003F0C6A"/>
    <w:rsid w:val="003F0DC1"/>
    <w:rsid w:val="003F0DE1"/>
    <w:rsid w:val="003F0E3B"/>
    <w:rsid w:val="003F0E65"/>
    <w:rsid w:val="003F0FF4"/>
    <w:rsid w:val="003F1E81"/>
    <w:rsid w:val="003F223E"/>
    <w:rsid w:val="003F29D4"/>
    <w:rsid w:val="003F36B7"/>
    <w:rsid w:val="003F36C4"/>
    <w:rsid w:val="003F3C8C"/>
    <w:rsid w:val="003F417F"/>
    <w:rsid w:val="003F5513"/>
    <w:rsid w:val="003F5BB7"/>
    <w:rsid w:val="003F5D54"/>
    <w:rsid w:val="003F5DDD"/>
    <w:rsid w:val="003F5E09"/>
    <w:rsid w:val="003F64C3"/>
    <w:rsid w:val="003F67DB"/>
    <w:rsid w:val="003F6843"/>
    <w:rsid w:val="003F6883"/>
    <w:rsid w:val="004001B7"/>
    <w:rsid w:val="00400499"/>
    <w:rsid w:val="0040160E"/>
    <w:rsid w:val="00402331"/>
    <w:rsid w:val="00402434"/>
    <w:rsid w:val="00402635"/>
    <w:rsid w:val="004026EE"/>
    <w:rsid w:val="00402E32"/>
    <w:rsid w:val="004036DC"/>
    <w:rsid w:val="00403CB8"/>
    <w:rsid w:val="0040416E"/>
    <w:rsid w:val="00404BAD"/>
    <w:rsid w:val="00404D83"/>
    <w:rsid w:val="00405189"/>
    <w:rsid w:val="00405388"/>
    <w:rsid w:val="004054C9"/>
    <w:rsid w:val="004059B8"/>
    <w:rsid w:val="00405C95"/>
    <w:rsid w:val="00406156"/>
    <w:rsid w:val="00406F87"/>
    <w:rsid w:val="0040724A"/>
    <w:rsid w:val="004075B0"/>
    <w:rsid w:val="00407654"/>
    <w:rsid w:val="00407E06"/>
    <w:rsid w:val="00410A18"/>
    <w:rsid w:val="00410B0D"/>
    <w:rsid w:val="00410C2E"/>
    <w:rsid w:val="0041189E"/>
    <w:rsid w:val="00411E0F"/>
    <w:rsid w:val="004121FF"/>
    <w:rsid w:val="0041266A"/>
    <w:rsid w:val="00412671"/>
    <w:rsid w:val="00412DC2"/>
    <w:rsid w:val="004131F5"/>
    <w:rsid w:val="004132BA"/>
    <w:rsid w:val="00413849"/>
    <w:rsid w:val="00413B61"/>
    <w:rsid w:val="00414047"/>
    <w:rsid w:val="00414580"/>
    <w:rsid w:val="004146F2"/>
    <w:rsid w:val="004148F8"/>
    <w:rsid w:val="00414920"/>
    <w:rsid w:val="0041685B"/>
    <w:rsid w:val="00416EFD"/>
    <w:rsid w:val="004172A5"/>
    <w:rsid w:val="0041794E"/>
    <w:rsid w:val="00417994"/>
    <w:rsid w:val="00417EBA"/>
    <w:rsid w:val="00417F98"/>
    <w:rsid w:val="004204E6"/>
    <w:rsid w:val="00420770"/>
    <w:rsid w:val="00420F73"/>
    <w:rsid w:val="0042129F"/>
    <w:rsid w:val="00421531"/>
    <w:rsid w:val="00421558"/>
    <w:rsid w:val="00421898"/>
    <w:rsid w:val="00421A19"/>
    <w:rsid w:val="00422204"/>
    <w:rsid w:val="004233A8"/>
    <w:rsid w:val="00423BED"/>
    <w:rsid w:val="00423F5E"/>
    <w:rsid w:val="00424198"/>
    <w:rsid w:val="0042421D"/>
    <w:rsid w:val="00424F06"/>
    <w:rsid w:val="004253BE"/>
    <w:rsid w:val="004255EA"/>
    <w:rsid w:val="0042570B"/>
    <w:rsid w:val="004259C8"/>
    <w:rsid w:val="00425E79"/>
    <w:rsid w:val="00426354"/>
    <w:rsid w:val="0042643A"/>
    <w:rsid w:val="004264CB"/>
    <w:rsid w:val="004271AF"/>
    <w:rsid w:val="00427220"/>
    <w:rsid w:val="0042791A"/>
    <w:rsid w:val="004307C8"/>
    <w:rsid w:val="00430FCA"/>
    <w:rsid w:val="00431A5C"/>
    <w:rsid w:val="00431BD8"/>
    <w:rsid w:val="0043238C"/>
    <w:rsid w:val="0043266E"/>
    <w:rsid w:val="00432797"/>
    <w:rsid w:val="00432F18"/>
    <w:rsid w:val="004333B8"/>
    <w:rsid w:val="00433407"/>
    <w:rsid w:val="00433536"/>
    <w:rsid w:val="00433748"/>
    <w:rsid w:val="004339BC"/>
    <w:rsid w:val="00433EF3"/>
    <w:rsid w:val="004346B2"/>
    <w:rsid w:val="00434CCE"/>
    <w:rsid w:val="00434E71"/>
    <w:rsid w:val="00435307"/>
    <w:rsid w:val="00435384"/>
    <w:rsid w:val="00435B91"/>
    <w:rsid w:val="004367E4"/>
    <w:rsid w:val="004371D0"/>
    <w:rsid w:val="00437E68"/>
    <w:rsid w:val="004403ED"/>
    <w:rsid w:val="00440979"/>
    <w:rsid w:val="00440C17"/>
    <w:rsid w:val="00440F27"/>
    <w:rsid w:val="004417E9"/>
    <w:rsid w:val="00441B33"/>
    <w:rsid w:val="00441BE9"/>
    <w:rsid w:val="00441D56"/>
    <w:rsid w:val="00442123"/>
    <w:rsid w:val="00442F9A"/>
    <w:rsid w:val="004432E4"/>
    <w:rsid w:val="0044365D"/>
    <w:rsid w:val="004436F7"/>
    <w:rsid w:val="00443A47"/>
    <w:rsid w:val="00443B37"/>
    <w:rsid w:val="00443BAB"/>
    <w:rsid w:val="00443E59"/>
    <w:rsid w:val="00443F47"/>
    <w:rsid w:val="00443F83"/>
    <w:rsid w:val="0044489F"/>
    <w:rsid w:val="00444B0D"/>
    <w:rsid w:val="00445098"/>
    <w:rsid w:val="004458D2"/>
    <w:rsid w:val="00445B4E"/>
    <w:rsid w:val="00445C36"/>
    <w:rsid w:val="00445DC3"/>
    <w:rsid w:val="004463A4"/>
    <w:rsid w:val="00446554"/>
    <w:rsid w:val="00446608"/>
    <w:rsid w:val="004469F3"/>
    <w:rsid w:val="00447198"/>
    <w:rsid w:val="00447DEC"/>
    <w:rsid w:val="00450ECF"/>
    <w:rsid w:val="004517D2"/>
    <w:rsid w:val="00451B4E"/>
    <w:rsid w:val="0045259B"/>
    <w:rsid w:val="004529E5"/>
    <w:rsid w:val="00452B04"/>
    <w:rsid w:val="004533B8"/>
    <w:rsid w:val="0045497F"/>
    <w:rsid w:val="00454D21"/>
    <w:rsid w:val="00454F20"/>
    <w:rsid w:val="00454F95"/>
    <w:rsid w:val="00454FEA"/>
    <w:rsid w:val="0045577F"/>
    <w:rsid w:val="00455E5D"/>
    <w:rsid w:val="00456863"/>
    <w:rsid w:val="00456BC4"/>
    <w:rsid w:val="00456D09"/>
    <w:rsid w:val="00457CD0"/>
    <w:rsid w:val="00460602"/>
    <w:rsid w:val="00460DB0"/>
    <w:rsid w:val="00461ACA"/>
    <w:rsid w:val="00462ED1"/>
    <w:rsid w:val="00463548"/>
    <w:rsid w:val="0046491D"/>
    <w:rsid w:val="00464A30"/>
    <w:rsid w:val="00464D2C"/>
    <w:rsid w:val="00464E8C"/>
    <w:rsid w:val="004657E0"/>
    <w:rsid w:val="00465948"/>
    <w:rsid w:val="00465F86"/>
    <w:rsid w:val="004661F3"/>
    <w:rsid w:val="00466EFF"/>
    <w:rsid w:val="00466FB6"/>
    <w:rsid w:val="00466FCB"/>
    <w:rsid w:val="0046759C"/>
    <w:rsid w:val="00467CC7"/>
    <w:rsid w:val="00467DA8"/>
    <w:rsid w:val="00470095"/>
    <w:rsid w:val="00470DEC"/>
    <w:rsid w:val="0047107E"/>
    <w:rsid w:val="0047175C"/>
    <w:rsid w:val="0047229D"/>
    <w:rsid w:val="00472418"/>
    <w:rsid w:val="00472665"/>
    <w:rsid w:val="00472C66"/>
    <w:rsid w:val="004738AE"/>
    <w:rsid w:val="00473968"/>
    <w:rsid w:val="00473BE9"/>
    <w:rsid w:val="00474386"/>
    <w:rsid w:val="0047448F"/>
    <w:rsid w:val="0047466E"/>
    <w:rsid w:val="00474AD0"/>
    <w:rsid w:val="00475E83"/>
    <w:rsid w:val="00475F5C"/>
    <w:rsid w:val="0047674E"/>
    <w:rsid w:val="004770C6"/>
    <w:rsid w:val="00477760"/>
    <w:rsid w:val="00480270"/>
    <w:rsid w:val="004802FA"/>
    <w:rsid w:val="004810D5"/>
    <w:rsid w:val="0048161E"/>
    <w:rsid w:val="004822F8"/>
    <w:rsid w:val="00483083"/>
    <w:rsid w:val="0048340C"/>
    <w:rsid w:val="004834C9"/>
    <w:rsid w:val="00483A17"/>
    <w:rsid w:val="00483F7F"/>
    <w:rsid w:val="0048410C"/>
    <w:rsid w:val="00484123"/>
    <w:rsid w:val="00484191"/>
    <w:rsid w:val="004863D2"/>
    <w:rsid w:val="00486952"/>
    <w:rsid w:val="00486BA6"/>
    <w:rsid w:val="004878A1"/>
    <w:rsid w:val="004878C6"/>
    <w:rsid w:val="00487CDC"/>
    <w:rsid w:val="00487D18"/>
    <w:rsid w:val="00490984"/>
    <w:rsid w:val="00491336"/>
    <w:rsid w:val="00491400"/>
    <w:rsid w:val="0049153D"/>
    <w:rsid w:val="0049175B"/>
    <w:rsid w:val="00491B93"/>
    <w:rsid w:val="004925E2"/>
    <w:rsid w:val="00493343"/>
    <w:rsid w:val="0049386F"/>
    <w:rsid w:val="00493910"/>
    <w:rsid w:val="00493A28"/>
    <w:rsid w:val="004945CE"/>
    <w:rsid w:val="004945F0"/>
    <w:rsid w:val="00495016"/>
    <w:rsid w:val="00495438"/>
    <w:rsid w:val="00495A05"/>
    <w:rsid w:val="00496144"/>
    <w:rsid w:val="00496211"/>
    <w:rsid w:val="0049654F"/>
    <w:rsid w:val="00496599"/>
    <w:rsid w:val="004970BE"/>
    <w:rsid w:val="0049771C"/>
    <w:rsid w:val="00497810"/>
    <w:rsid w:val="004A0912"/>
    <w:rsid w:val="004A0D58"/>
    <w:rsid w:val="004A0F57"/>
    <w:rsid w:val="004A1960"/>
    <w:rsid w:val="004A25BD"/>
    <w:rsid w:val="004A2F9A"/>
    <w:rsid w:val="004A32C1"/>
    <w:rsid w:val="004A3FBF"/>
    <w:rsid w:val="004A4FC7"/>
    <w:rsid w:val="004A51C4"/>
    <w:rsid w:val="004A53A0"/>
    <w:rsid w:val="004A5A6F"/>
    <w:rsid w:val="004A5CCF"/>
    <w:rsid w:val="004A5D8F"/>
    <w:rsid w:val="004A615A"/>
    <w:rsid w:val="004A6605"/>
    <w:rsid w:val="004A782F"/>
    <w:rsid w:val="004A791B"/>
    <w:rsid w:val="004B05C7"/>
    <w:rsid w:val="004B06BE"/>
    <w:rsid w:val="004B0D6B"/>
    <w:rsid w:val="004B104D"/>
    <w:rsid w:val="004B12EC"/>
    <w:rsid w:val="004B1751"/>
    <w:rsid w:val="004B1BD6"/>
    <w:rsid w:val="004B3718"/>
    <w:rsid w:val="004B3DA9"/>
    <w:rsid w:val="004B46F8"/>
    <w:rsid w:val="004B4EBD"/>
    <w:rsid w:val="004B59B8"/>
    <w:rsid w:val="004B64C3"/>
    <w:rsid w:val="004B64F3"/>
    <w:rsid w:val="004B665D"/>
    <w:rsid w:val="004B668E"/>
    <w:rsid w:val="004B6AA2"/>
    <w:rsid w:val="004B6C76"/>
    <w:rsid w:val="004B72F3"/>
    <w:rsid w:val="004B7B42"/>
    <w:rsid w:val="004C03A3"/>
    <w:rsid w:val="004C15AC"/>
    <w:rsid w:val="004C1900"/>
    <w:rsid w:val="004C1B2A"/>
    <w:rsid w:val="004C2E62"/>
    <w:rsid w:val="004C349B"/>
    <w:rsid w:val="004C439E"/>
    <w:rsid w:val="004C4E00"/>
    <w:rsid w:val="004C4E36"/>
    <w:rsid w:val="004C4E38"/>
    <w:rsid w:val="004C5FCB"/>
    <w:rsid w:val="004C5FFF"/>
    <w:rsid w:val="004C6196"/>
    <w:rsid w:val="004C63B0"/>
    <w:rsid w:val="004C63CC"/>
    <w:rsid w:val="004C65CB"/>
    <w:rsid w:val="004C696D"/>
    <w:rsid w:val="004C6AF7"/>
    <w:rsid w:val="004C6D64"/>
    <w:rsid w:val="004C6E1D"/>
    <w:rsid w:val="004C7A0A"/>
    <w:rsid w:val="004C7F20"/>
    <w:rsid w:val="004D07B7"/>
    <w:rsid w:val="004D141C"/>
    <w:rsid w:val="004D1C02"/>
    <w:rsid w:val="004D32F8"/>
    <w:rsid w:val="004D3A7D"/>
    <w:rsid w:val="004D479C"/>
    <w:rsid w:val="004D4F02"/>
    <w:rsid w:val="004D549E"/>
    <w:rsid w:val="004D5A70"/>
    <w:rsid w:val="004D5E64"/>
    <w:rsid w:val="004D60CA"/>
    <w:rsid w:val="004D6390"/>
    <w:rsid w:val="004D63E0"/>
    <w:rsid w:val="004D66B2"/>
    <w:rsid w:val="004D73E8"/>
    <w:rsid w:val="004E03B6"/>
    <w:rsid w:val="004E0C2A"/>
    <w:rsid w:val="004E0CF3"/>
    <w:rsid w:val="004E2204"/>
    <w:rsid w:val="004E2C12"/>
    <w:rsid w:val="004E2ED5"/>
    <w:rsid w:val="004E32A7"/>
    <w:rsid w:val="004E3315"/>
    <w:rsid w:val="004E356C"/>
    <w:rsid w:val="004E384B"/>
    <w:rsid w:val="004E3894"/>
    <w:rsid w:val="004E38F0"/>
    <w:rsid w:val="004E399D"/>
    <w:rsid w:val="004E39D2"/>
    <w:rsid w:val="004E3EBF"/>
    <w:rsid w:val="004E422F"/>
    <w:rsid w:val="004E43EC"/>
    <w:rsid w:val="004E4572"/>
    <w:rsid w:val="004E47E8"/>
    <w:rsid w:val="004E4A8C"/>
    <w:rsid w:val="004E4C98"/>
    <w:rsid w:val="004E5165"/>
    <w:rsid w:val="004E52C1"/>
    <w:rsid w:val="004E5694"/>
    <w:rsid w:val="004E5987"/>
    <w:rsid w:val="004E6613"/>
    <w:rsid w:val="004E6944"/>
    <w:rsid w:val="004E756C"/>
    <w:rsid w:val="004E7CFC"/>
    <w:rsid w:val="004F0AB0"/>
    <w:rsid w:val="004F0C5F"/>
    <w:rsid w:val="004F0E20"/>
    <w:rsid w:val="004F1BCE"/>
    <w:rsid w:val="004F1BD5"/>
    <w:rsid w:val="004F1E82"/>
    <w:rsid w:val="004F1FBF"/>
    <w:rsid w:val="004F1FCC"/>
    <w:rsid w:val="004F237E"/>
    <w:rsid w:val="004F2451"/>
    <w:rsid w:val="004F27ED"/>
    <w:rsid w:val="004F2AF4"/>
    <w:rsid w:val="004F2C65"/>
    <w:rsid w:val="004F2ECD"/>
    <w:rsid w:val="004F32D4"/>
    <w:rsid w:val="004F3B93"/>
    <w:rsid w:val="004F3C69"/>
    <w:rsid w:val="004F3EA1"/>
    <w:rsid w:val="004F453F"/>
    <w:rsid w:val="004F4623"/>
    <w:rsid w:val="004F485F"/>
    <w:rsid w:val="004F4A9F"/>
    <w:rsid w:val="004F4DC0"/>
    <w:rsid w:val="004F6C26"/>
    <w:rsid w:val="004F717C"/>
    <w:rsid w:val="004F7862"/>
    <w:rsid w:val="004F7EE6"/>
    <w:rsid w:val="005003C8"/>
    <w:rsid w:val="0050093F"/>
    <w:rsid w:val="00500ABA"/>
    <w:rsid w:val="00500BA8"/>
    <w:rsid w:val="00500E13"/>
    <w:rsid w:val="00500F0D"/>
    <w:rsid w:val="00501763"/>
    <w:rsid w:val="00501EC5"/>
    <w:rsid w:val="0050212C"/>
    <w:rsid w:val="00502832"/>
    <w:rsid w:val="0050284D"/>
    <w:rsid w:val="005030E7"/>
    <w:rsid w:val="005030EB"/>
    <w:rsid w:val="0050338E"/>
    <w:rsid w:val="00504BFF"/>
    <w:rsid w:val="00504F0C"/>
    <w:rsid w:val="0050584E"/>
    <w:rsid w:val="005058F1"/>
    <w:rsid w:val="00505E98"/>
    <w:rsid w:val="00505EE2"/>
    <w:rsid w:val="00505F31"/>
    <w:rsid w:val="0050607E"/>
    <w:rsid w:val="00506325"/>
    <w:rsid w:val="00506522"/>
    <w:rsid w:val="00506A07"/>
    <w:rsid w:val="005072CA"/>
    <w:rsid w:val="00507515"/>
    <w:rsid w:val="00510281"/>
    <w:rsid w:val="00511628"/>
    <w:rsid w:val="005117E5"/>
    <w:rsid w:val="00511D4D"/>
    <w:rsid w:val="00512059"/>
    <w:rsid w:val="00512686"/>
    <w:rsid w:val="005126C9"/>
    <w:rsid w:val="00512AC6"/>
    <w:rsid w:val="00512BB5"/>
    <w:rsid w:val="005153D1"/>
    <w:rsid w:val="00515871"/>
    <w:rsid w:val="00515C0A"/>
    <w:rsid w:val="0051663D"/>
    <w:rsid w:val="005167D9"/>
    <w:rsid w:val="00516AED"/>
    <w:rsid w:val="005179A3"/>
    <w:rsid w:val="00521103"/>
    <w:rsid w:val="005213BD"/>
    <w:rsid w:val="005215C8"/>
    <w:rsid w:val="00523738"/>
    <w:rsid w:val="005237A3"/>
    <w:rsid w:val="00523849"/>
    <w:rsid w:val="00524130"/>
    <w:rsid w:val="0052464C"/>
    <w:rsid w:val="0052479E"/>
    <w:rsid w:val="00524AA6"/>
    <w:rsid w:val="00525158"/>
    <w:rsid w:val="005259E6"/>
    <w:rsid w:val="005264B4"/>
    <w:rsid w:val="00526564"/>
    <w:rsid w:val="00526572"/>
    <w:rsid w:val="00526A9C"/>
    <w:rsid w:val="00527281"/>
    <w:rsid w:val="00527766"/>
    <w:rsid w:val="005277A6"/>
    <w:rsid w:val="0052786C"/>
    <w:rsid w:val="00527936"/>
    <w:rsid w:val="00530194"/>
    <w:rsid w:val="00530298"/>
    <w:rsid w:val="005304E8"/>
    <w:rsid w:val="00530651"/>
    <w:rsid w:val="00530DE4"/>
    <w:rsid w:val="00531085"/>
    <w:rsid w:val="005317C7"/>
    <w:rsid w:val="00531F11"/>
    <w:rsid w:val="00532BBE"/>
    <w:rsid w:val="00534FB4"/>
    <w:rsid w:val="005356D4"/>
    <w:rsid w:val="00535854"/>
    <w:rsid w:val="00535B26"/>
    <w:rsid w:val="00535C9D"/>
    <w:rsid w:val="00536097"/>
    <w:rsid w:val="005363DC"/>
    <w:rsid w:val="0053670D"/>
    <w:rsid w:val="00536C13"/>
    <w:rsid w:val="00537252"/>
    <w:rsid w:val="0053732E"/>
    <w:rsid w:val="00537FF1"/>
    <w:rsid w:val="00540509"/>
    <w:rsid w:val="0054062F"/>
    <w:rsid w:val="00540857"/>
    <w:rsid w:val="0054096B"/>
    <w:rsid w:val="00540D59"/>
    <w:rsid w:val="00541917"/>
    <w:rsid w:val="005419BC"/>
    <w:rsid w:val="0054222F"/>
    <w:rsid w:val="005422EE"/>
    <w:rsid w:val="00542C14"/>
    <w:rsid w:val="00542CEF"/>
    <w:rsid w:val="0054379B"/>
    <w:rsid w:val="00543DE2"/>
    <w:rsid w:val="00544036"/>
    <w:rsid w:val="00544805"/>
    <w:rsid w:val="00544D42"/>
    <w:rsid w:val="0054511A"/>
    <w:rsid w:val="00545362"/>
    <w:rsid w:val="00545BC2"/>
    <w:rsid w:val="00545D63"/>
    <w:rsid w:val="00545E1B"/>
    <w:rsid w:val="00546AB4"/>
    <w:rsid w:val="005476EA"/>
    <w:rsid w:val="00547866"/>
    <w:rsid w:val="00547BB3"/>
    <w:rsid w:val="0055050A"/>
    <w:rsid w:val="00550774"/>
    <w:rsid w:val="00551243"/>
    <w:rsid w:val="00551710"/>
    <w:rsid w:val="00551E83"/>
    <w:rsid w:val="00551FBC"/>
    <w:rsid w:val="00552038"/>
    <w:rsid w:val="00552306"/>
    <w:rsid w:val="00552917"/>
    <w:rsid w:val="00552C92"/>
    <w:rsid w:val="00553290"/>
    <w:rsid w:val="00553626"/>
    <w:rsid w:val="0055413B"/>
    <w:rsid w:val="00554515"/>
    <w:rsid w:val="0055462A"/>
    <w:rsid w:val="00554C63"/>
    <w:rsid w:val="0055561D"/>
    <w:rsid w:val="00555DE1"/>
    <w:rsid w:val="005566F0"/>
    <w:rsid w:val="0055678B"/>
    <w:rsid w:val="00556A80"/>
    <w:rsid w:val="005573DE"/>
    <w:rsid w:val="005579E2"/>
    <w:rsid w:val="0056009F"/>
    <w:rsid w:val="00560771"/>
    <w:rsid w:val="00560B9F"/>
    <w:rsid w:val="00561206"/>
    <w:rsid w:val="005618C1"/>
    <w:rsid w:val="00561D09"/>
    <w:rsid w:val="00562362"/>
    <w:rsid w:val="0056353C"/>
    <w:rsid w:val="00563BEF"/>
    <w:rsid w:val="005640FA"/>
    <w:rsid w:val="005646B5"/>
    <w:rsid w:val="005649B5"/>
    <w:rsid w:val="00564BDA"/>
    <w:rsid w:val="00564F2C"/>
    <w:rsid w:val="005655FA"/>
    <w:rsid w:val="00565D95"/>
    <w:rsid w:val="00566252"/>
    <w:rsid w:val="00566415"/>
    <w:rsid w:val="00566EF3"/>
    <w:rsid w:val="005671F0"/>
    <w:rsid w:val="00567345"/>
    <w:rsid w:val="00567708"/>
    <w:rsid w:val="00567BBC"/>
    <w:rsid w:val="00567D1E"/>
    <w:rsid w:val="00570276"/>
    <w:rsid w:val="0057038A"/>
    <w:rsid w:val="005706C2"/>
    <w:rsid w:val="00570A7A"/>
    <w:rsid w:val="005720F4"/>
    <w:rsid w:val="00572EF1"/>
    <w:rsid w:val="00572F04"/>
    <w:rsid w:val="00573292"/>
    <w:rsid w:val="005736E6"/>
    <w:rsid w:val="005747D2"/>
    <w:rsid w:val="00574804"/>
    <w:rsid w:val="005748C0"/>
    <w:rsid w:val="00574C6C"/>
    <w:rsid w:val="00574CA3"/>
    <w:rsid w:val="00574EB9"/>
    <w:rsid w:val="00574ED0"/>
    <w:rsid w:val="005755B2"/>
    <w:rsid w:val="00575B9F"/>
    <w:rsid w:val="00575C9F"/>
    <w:rsid w:val="00575D6C"/>
    <w:rsid w:val="00576673"/>
    <w:rsid w:val="00576742"/>
    <w:rsid w:val="00577844"/>
    <w:rsid w:val="00577883"/>
    <w:rsid w:val="005779F9"/>
    <w:rsid w:val="00577E47"/>
    <w:rsid w:val="00577FD5"/>
    <w:rsid w:val="00580751"/>
    <w:rsid w:val="0058105A"/>
    <w:rsid w:val="005811A6"/>
    <w:rsid w:val="00581258"/>
    <w:rsid w:val="005816EB"/>
    <w:rsid w:val="0058225D"/>
    <w:rsid w:val="00582BC3"/>
    <w:rsid w:val="00582ED7"/>
    <w:rsid w:val="00584700"/>
    <w:rsid w:val="005851DD"/>
    <w:rsid w:val="005852AA"/>
    <w:rsid w:val="00585879"/>
    <w:rsid w:val="00585BA5"/>
    <w:rsid w:val="005862DC"/>
    <w:rsid w:val="005868E2"/>
    <w:rsid w:val="00586D7E"/>
    <w:rsid w:val="00587A69"/>
    <w:rsid w:val="00587B42"/>
    <w:rsid w:val="00587C71"/>
    <w:rsid w:val="00587FA7"/>
    <w:rsid w:val="00590286"/>
    <w:rsid w:val="0059066B"/>
    <w:rsid w:val="00591217"/>
    <w:rsid w:val="00591D5D"/>
    <w:rsid w:val="00592130"/>
    <w:rsid w:val="0059225F"/>
    <w:rsid w:val="005928F4"/>
    <w:rsid w:val="00592C02"/>
    <w:rsid w:val="00593B1F"/>
    <w:rsid w:val="00593D29"/>
    <w:rsid w:val="0059425B"/>
    <w:rsid w:val="0059470F"/>
    <w:rsid w:val="005947D6"/>
    <w:rsid w:val="00594917"/>
    <w:rsid w:val="00594DA8"/>
    <w:rsid w:val="0059538C"/>
    <w:rsid w:val="005958B6"/>
    <w:rsid w:val="005958E5"/>
    <w:rsid w:val="00595978"/>
    <w:rsid w:val="00595C8E"/>
    <w:rsid w:val="005962AF"/>
    <w:rsid w:val="0059674B"/>
    <w:rsid w:val="00597300"/>
    <w:rsid w:val="00597B0A"/>
    <w:rsid w:val="00597E57"/>
    <w:rsid w:val="005A003E"/>
    <w:rsid w:val="005A0084"/>
    <w:rsid w:val="005A07F2"/>
    <w:rsid w:val="005A084A"/>
    <w:rsid w:val="005A123D"/>
    <w:rsid w:val="005A128A"/>
    <w:rsid w:val="005A1BC7"/>
    <w:rsid w:val="005A1C72"/>
    <w:rsid w:val="005A2077"/>
    <w:rsid w:val="005A2166"/>
    <w:rsid w:val="005A276C"/>
    <w:rsid w:val="005A2830"/>
    <w:rsid w:val="005A2C27"/>
    <w:rsid w:val="005A2F76"/>
    <w:rsid w:val="005A5806"/>
    <w:rsid w:val="005A59A0"/>
    <w:rsid w:val="005A5B1A"/>
    <w:rsid w:val="005A6A63"/>
    <w:rsid w:val="005A6A75"/>
    <w:rsid w:val="005A6B8C"/>
    <w:rsid w:val="005A6CC1"/>
    <w:rsid w:val="005A6EA1"/>
    <w:rsid w:val="005A73A8"/>
    <w:rsid w:val="005A75A3"/>
    <w:rsid w:val="005A78C6"/>
    <w:rsid w:val="005A7DFB"/>
    <w:rsid w:val="005B0211"/>
    <w:rsid w:val="005B071B"/>
    <w:rsid w:val="005B0B6E"/>
    <w:rsid w:val="005B1313"/>
    <w:rsid w:val="005B1782"/>
    <w:rsid w:val="005B1B46"/>
    <w:rsid w:val="005B1E65"/>
    <w:rsid w:val="005B2170"/>
    <w:rsid w:val="005B2229"/>
    <w:rsid w:val="005B22EF"/>
    <w:rsid w:val="005B261E"/>
    <w:rsid w:val="005B2B5F"/>
    <w:rsid w:val="005B2E8B"/>
    <w:rsid w:val="005B2EBC"/>
    <w:rsid w:val="005B330E"/>
    <w:rsid w:val="005B331A"/>
    <w:rsid w:val="005B3C08"/>
    <w:rsid w:val="005B400C"/>
    <w:rsid w:val="005B426F"/>
    <w:rsid w:val="005B4435"/>
    <w:rsid w:val="005B446D"/>
    <w:rsid w:val="005B475D"/>
    <w:rsid w:val="005B570B"/>
    <w:rsid w:val="005B626D"/>
    <w:rsid w:val="005B63CD"/>
    <w:rsid w:val="005B7C28"/>
    <w:rsid w:val="005B7CC6"/>
    <w:rsid w:val="005B7DED"/>
    <w:rsid w:val="005C00D7"/>
    <w:rsid w:val="005C00FE"/>
    <w:rsid w:val="005C01DC"/>
    <w:rsid w:val="005C0EDA"/>
    <w:rsid w:val="005C192F"/>
    <w:rsid w:val="005C1AA8"/>
    <w:rsid w:val="005C25AA"/>
    <w:rsid w:val="005C26A3"/>
    <w:rsid w:val="005C287E"/>
    <w:rsid w:val="005C2C49"/>
    <w:rsid w:val="005C3E81"/>
    <w:rsid w:val="005C4066"/>
    <w:rsid w:val="005C452F"/>
    <w:rsid w:val="005C4A9C"/>
    <w:rsid w:val="005C4B9E"/>
    <w:rsid w:val="005C4F00"/>
    <w:rsid w:val="005C5A5B"/>
    <w:rsid w:val="005C6257"/>
    <w:rsid w:val="005C6402"/>
    <w:rsid w:val="005C69D1"/>
    <w:rsid w:val="005C6A95"/>
    <w:rsid w:val="005C6E5D"/>
    <w:rsid w:val="005C79BA"/>
    <w:rsid w:val="005C7E97"/>
    <w:rsid w:val="005D0429"/>
    <w:rsid w:val="005D05B2"/>
    <w:rsid w:val="005D0A86"/>
    <w:rsid w:val="005D0F2E"/>
    <w:rsid w:val="005D10D2"/>
    <w:rsid w:val="005D1222"/>
    <w:rsid w:val="005D16A6"/>
    <w:rsid w:val="005D1882"/>
    <w:rsid w:val="005D1B24"/>
    <w:rsid w:val="005D1C68"/>
    <w:rsid w:val="005D1D81"/>
    <w:rsid w:val="005D2A13"/>
    <w:rsid w:val="005D2C30"/>
    <w:rsid w:val="005D2CB5"/>
    <w:rsid w:val="005D30CF"/>
    <w:rsid w:val="005D3D71"/>
    <w:rsid w:val="005D3D80"/>
    <w:rsid w:val="005D4216"/>
    <w:rsid w:val="005D42FA"/>
    <w:rsid w:val="005D4344"/>
    <w:rsid w:val="005D462B"/>
    <w:rsid w:val="005D4954"/>
    <w:rsid w:val="005D49E0"/>
    <w:rsid w:val="005D5122"/>
    <w:rsid w:val="005D558E"/>
    <w:rsid w:val="005D57E4"/>
    <w:rsid w:val="005D5AC8"/>
    <w:rsid w:val="005D5AD7"/>
    <w:rsid w:val="005D65ED"/>
    <w:rsid w:val="005D6A00"/>
    <w:rsid w:val="005D72AA"/>
    <w:rsid w:val="005E01EA"/>
    <w:rsid w:val="005E03A1"/>
    <w:rsid w:val="005E03E9"/>
    <w:rsid w:val="005E12B8"/>
    <w:rsid w:val="005E189E"/>
    <w:rsid w:val="005E1999"/>
    <w:rsid w:val="005E1D8D"/>
    <w:rsid w:val="005E2512"/>
    <w:rsid w:val="005E2D8B"/>
    <w:rsid w:val="005E39D4"/>
    <w:rsid w:val="005E4BFF"/>
    <w:rsid w:val="005E4E90"/>
    <w:rsid w:val="005E5567"/>
    <w:rsid w:val="005E5C86"/>
    <w:rsid w:val="005E5FEB"/>
    <w:rsid w:val="005E66DC"/>
    <w:rsid w:val="005E6CB7"/>
    <w:rsid w:val="005E71FD"/>
    <w:rsid w:val="005F067C"/>
    <w:rsid w:val="005F067E"/>
    <w:rsid w:val="005F14D3"/>
    <w:rsid w:val="005F1AE0"/>
    <w:rsid w:val="005F24D3"/>
    <w:rsid w:val="005F2521"/>
    <w:rsid w:val="005F2C1A"/>
    <w:rsid w:val="005F31FA"/>
    <w:rsid w:val="005F3A40"/>
    <w:rsid w:val="005F3DD8"/>
    <w:rsid w:val="005F3E52"/>
    <w:rsid w:val="005F3EE6"/>
    <w:rsid w:val="005F4004"/>
    <w:rsid w:val="005F460F"/>
    <w:rsid w:val="005F52B6"/>
    <w:rsid w:val="005F5F65"/>
    <w:rsid w:val="005F61DD"/>
    <w:rsid w:val="005F64DA"/>
    <w:rsid w:val="005F6989"/>
    <w:rsid w:val="005F6AA8"/>
    <w:rsid w:val="005F6D1A"/>
    <w:rsid w:val="005F78F5"/>
    <w:rsid w:val="006006E6"/>
    <w:rsid w:val="0060084D"/>
    <w:rsid w:val="00600993"/>
    <w:rsid w:val="00600D0C"/>
    <w:rsid w:val="00600EA8"/>
    <w:rsid w:val="00601027"/>
    <w:rsid w:val="00601061"/>
    <w:rsid w:val="0060149C"/>
    <w:rsid w:val="006018C7"/>
    <w:rsid w:val="00601C53"/>
    <w:rsid w:val="00601DB9"/>
    <w:rsid w:val="00601EAA"/>
    <w:rsid w:val="00602267"/>
    <w:rsid w:val="00602E3F"/>
    <w:rsid w:val="006032B2"/>
    <w:rsid w:val="00603494"/>
    <w:rsid w:val="00603C1D"/>
    <w:rsid w:val="00603FCC"/>
    <w:rsid w:val="00604359"/>
    <w:rsid w:val="006043F0"/>
    <w:rsid w:val="006048B0"/>
    <w:rsid w:val="00604E82"/>
    <w:rsid w:val="0060563D"/>
    <w:rsid w:val="0060598F"/>
    <w:rsid w:val="00605BF3"/>
    <w:rsid w:val="00606192"/>
    <w:rsid w:val="00606282"/>
    <w:rsid w:val="00606847"/>
    <w:rsid w:val="0060743D"/>
    <w:rsid w:val="0061024B"/>
    <w:rsid w:val="00610372"/>
    <w:rsid w:val="0061061A"/>
    <w:rsid w:val="0061065E"/>
    <w:rsid w:val="006110F9"/>
    <w:rsid w:val="00611189"/>
    <w:rsid w:val="006112B7"/>
    <w:rsid w:val="00612061"/>
    <w:rsid w:val="0061299E"/>
    <w:rsid w:val="00613219"/>
    <w:rsid w:val="006138ED"/>
    <w:rsid w:val="00614EE0"/>
    <w:rsid w:val="00614FA5"/>
    <w:rsid w:val="00615519"/>
    <w:rsid w:val="00615614"/>
    <w:rsid w:val="00615754"/>
    <w:rsid w:val="006157EC"/>
    <w:rsid w:val="006166F0"/>
    <w:rsid w:val="00616AE0"/>
    <w:rsid w:val="00616AF5"/>
    <w:rsid w:val="00617458"/>
    <w:rsid w:val="00617F97"/>
    <w:rsid w:val="006202D5"/>
    <w:rsid w:val="00620D4E"/>
    <w:rsid w:val="00621191"/>
    <w:rsid w:val="00621E7A"/>
    <w:rsid w:val="00622946"/>
    <w:rsid w:val="00622AFE"/>
    <w:rsid w:val="00623687"/>
    <w:rsid w:val="006237A2"/>
    <w:rsid w:val="00623B28"/>
    <w:rsid w:val="00624589"/>
    <w:rsid w:val="00624DD1"/>
    <w:rsid w:val="0062570A"/>
    <w:rsid w:val="00625F01"/>
    <w:rsid w:val="00626504"/>
    <w:rsid w:val="00626708"/>
    <w:rsid w:val="00630733"/>
    <w:rsid w:val="00631005"/>
    <w:rsid w:val="00631314"/>
    <w:rsid w:val="00631F71"/>
    <w:rsid w:val="00632316"/>
    <w:rsid w:val="00632432"/>
    <w:rsid w:val="00632494"/>
    <w:rsid w:val="0063279B"/>
    <w:rsid w:val="00632951"/>
    <w:rsid w:val="00633721"/>
    <w:rsid w:val="006338CE"/>
    <w:rsid w:val="00633961"/>
    <w:rsid w:val="00633B0C"/>
    <w:rsid w:val="00633C2D"/>
    <w:rsid w:val="006343EC"/>
    <w:rsid w:val="006344CF"/>
    <w:rsid w:val="00634A2D"/>
    <w:rsid w:val="00634CF2"/>
    <w:rsid w:val="00634DF4"/>
    <w:rsid w:val="0063513D"/>
    <w:rsid w:val="00635379"/>
    <w:rsid w:val="006353BC"/>
    <w:rsid w:val="0063575F"/>
    <w:rsid w:val="0063585C"/>
    <w:rsid w:val="00636C39"/>
    <w:rsid w:val="00636CC0"/>
    <w:rsid w:val="00636E05"/>
    <w:rsid w:val="00637273"/>
    <w:rsid w:val="0063730C"/>
    <w:rsid w:val="006373A5"/>
    <w:rsid w:val="00637F26"/>
    <w:rsid w:val="00640915"/>
    <w:rsid w:val="00640C19"/>
    <w:rsid w:val="00640D0B"/>
    <w:rsid w:val="006412F3"/>
    <w:rsid w:val="006419AC"/>
    <w:rsid w:val="00641CCF"/>
    <w:rsid w:val="00641FF5"/>
    <w:rsid w:val="006426AB"/>
    <w:rsid w:val="00642B5D"/>
    <w:rsid w:val="00643689"/>
    <w:rsid w:val="006438AC"/>
    <w:rsid w:val="00643C80"/>
    <w:rsid w:val="00644979"/>
    <w:rsid w:val="00644AD0"/>
    <w:rsid w:val="00644E4F"/>
    <w:rsid w:val="00645163"/>
    <w:rsid w:val="00645379"/>
    <w:rsid w:val="00646056"/>
    <w:rsid w:val="006463BB"/>
    <w:rsid w:val="00646CAA"/>
    <w:rsid w:val="006473AD"/>
    <w:rsid w:val="006476BB"/>
    <w:rsid w:val="006479BB"/>
    <w:rsid w:val="00647BEA"/>
    <w:rsid w:val="006500FE"/>
    <w:rsid w:val="006503E5"/>
    <w:rsid w:val="00650E7F"/>
    <w:rsid w:val="00651390"/>
    <w:rsid w:val="00651566"/>
    <w:rsid w:val="00651B2F"/>
    <w:rsid w:val="00651B9B"/>
    <w:rsid w:val="00651FC7"/>
    <w:rsid w:val="00652326"/>
    <w:rsid w:val="006526F7"/>
    <w:rsid w:val="00652702"/>
    <w:rsid w:val="00652928"/>
    <w:rsid w:val="0065317A"/>
    <w:rsid w:val="006536C1"/>
    <w:rsid w:val="006538DB"/>
    <w:rsid w:val="00653E39"/>
    <w:rsid w:val="006540F6"/>
    <w:rsid w:val="00654813"/>
    <w:rsid w:val="00655059"/>
    <w:rsid w:val="00657DBF"/>
    <w:rsid w:val="00660089"/>
    <w:rsid w:val="00660385"/>
    <w:rsid w:val="006608BA"/>
    <w:rsid w:val="00661105"/>
    <w:rsid w:val="0066117C"/>
    <w:rsid w:val="00661973"/>
    <w:rsid w:val="00661C51"/>
    <w:rsid w:val="00661E36"/>
    <w:rsid w:val="00661F67"/>
    <w:rsid w:val="00662627"/>
    <w:rsid w:val="00662F59"/>
    <w:rsid w:val="00662FBE"/>
    <w:rsid w:val="00663241"/>
    <w:rsid w:val="00663374"/>
    <w:rsid w:val="00663FB1"/>
    <w:rsid w:val="006647AB"/>
    <w:rsid w:val="00665020"/>
    <w:rsid w:val="006658AA"/>
    <w:rsid w:val="006662F0"/>
    <w:rsid w:val="006668BA"/>
    <w:rsid w:val="00666C0D"/>
    <w:rsid w:val="00666C27"/>
    <w:rsid w:val="00666FA5"/>
    <w:rsid w:val="006674E4"/>
    <w:rsid w:val="006678AD"/>
    <w:rsid w:val="00667BF2"/>
    <w:rsid w:val="00667D33"/>
    <w:rsid w:val="00667D6D"/>
    <w:rsid w:val="00667FA7"/>
    <w:rsid w:val="00670A17"/>
    <w:rsid w:val="00670B31"/>
    <w:rsid w:val="00671C63"/>
    <w:rsid w:val="0067211A"/>
    <w:rsid w:val="006725C7"/>
    <w:rsid w:val="00672CF8"/>
    <w:rsid w:val="00674ADC"/>
    <w:rsid w:val="00674E45"/>
    <w:rsid w:val="00675669"/>
    <w:rsid w:val="0067762E"/>
    <w:rsid w:val="00677A49"/>
    <w:rsid w:val="0068019E"/>
    <w:rsid w:val="0068032E"/>
    <w:rsid w:val="00680446"/>
    <w:rsid w:val="00680A47"/>
    <w:rsid w:val="006818D1"/>
    <w:rsid w:val="00681B15"/>
    <w:rsid w:val="00681F56"/>
    <w:rsid w:val="006822C0"/>
    <w:rsid w:val="00682742"/>
    <w:rsid w:val="00682DC8"/>
    <w:rsid w:val="00682DE9"/>
    <w:rsid w:val="006831C9"/>
    <w:rsid w:val="006836C6"/>
    <w:rsid w:val="006836D7"/>
    <w:rsid w:val="00683B2D"/>
    <w:rsid w:val="00683EA0"/>
    <w:rsid w:val="0068426E"/>
    <w:rsid w:val="00685039"/>
    <w:rsid w:val="00685A52"/>
    <w:rsid w:val="0068608A"/>
    <w:rsid w:val="006861CE"/>
    <w:rsid w:val="00686363"/>
    <w:rsid w:val="00686A7F"/>
    <w:rsid w:val="00686B18"/>
    <w:rsid w:val="006875C5"/>
    <w:rsid w:val="006900F0"/>
    <w:rsid w:val="006903BF"/>
    <w:rsid w:val="0069090B"/>
    <w:rsid w:val="00691065"/>
    <w:rsid w:val="006911BE"/>
    <w:rsid w:val="00691961"/>
    <w:rsid w:val="006919C5"/>
    <w:rsid w:val="00691F0D"/>
    <w:rsid w:val="00692D18"/>
    <w:rsid w:val="006931AC"/>
    <w:rsid w:val="00693C58"/>
    <w:rsid w:val="00694416"/>
    <w:rsid w:val="00695513"/>
    <w:rsid w:val="006960E8"/>
    <w:rsid w:val="0069634B"/>
    <w:rsid w:val="00696508"/>
    <w:rsid w:val="00696DE7"/>
    <w:rsid w:val="00697366"/>
    <w:rsid w:val="00697BA6"/>
    <w:rsid w:val="00697C02"/>
    <w:rsid w:val="00697FE7"/>
    <w:rsid w:val="006A0790"/>
    <w:rsid w:val="006A0D84"/>
    <w:rsid w:val="006A0E1F"/>
    <w:rsid w:val="006A11E1"/>
    <w:rsid w:val="006A1561"/>
    <w:rsid w:val="006A2E5D"/>
    <w:rsid w:val="006A3473"/>
    <w:rsid w:val="006A3EF9"/>
    <w:rsid w:val="006A4844"/>
    <w:rsid w:val="006A4DE1"/>
    <w:rsid w:val="006A4ED1"/>
    <w:rsid w:val="006A5290"/>
    <w:rsid w:val="006A5388"/>
    <w:rsid w:val="006A5683"/>
    <w:rsid w:val="006A58E1"/>
    <w:rsid w:val="006A5D51"/>
    <w:rsid w:val="006A5ECE"/>
    <w:rsid w:val="006A6635"/>
    <w:rsid w:val="006A6BF0"/>
    <w:rsid w:val="006A73CD"/>
    <w:rsid w:val="006A7BCB"/>
    <w:rsid w:val="006A7C74"/>
    <w:rsid w:val="006B09F9"/>
    <w:rsid w:val="006B0D12"/>
    <w:rsid w:val="006B0E0B"/>
    <w:rsid w:val="006B106A"/>
    <w:rsid w:val="006B10C2"/>
    <w:rsid w:val="006B1294"/>
    <w:rsid w:val="006B15E7"/>
    <w:rsid w:val="006B1C41"/>
    <w:rsid w:val="006B2569"/>
    <w:rsid w:val="006B27CD"/>
    <w:rsid w:val="006B2E37"/>
    <w:rsid w:val="006B3378"/>
    <w:rsid w:val="006B3696"/>
    <w:rsid w:val="006B4709"/>
    <w:rsid w:val="006B517E"/>
    <w:rsid w:val="006B5273"/>
    <w:rsid w:val="006B5600"/>
    <w:rsid w:val="006B5DDF"/>
    <w:rsid w:val="006B632D"/>
    <w:rsid w:val="006B655C"/>
    <w:rsid w:val="006B72D4"/>
    <w:rsid w:val="006B7474"/>
    <w:rsid w:val="006B7E15"/>
    <w:rsid w:val="006B7F3C"/>
    <w:rsid w:val="006C02D3"/>
    <w:rsid w:val="006C0526"/>
    <w:rsid w:val="006C09B4"/>
    <w:rsid w:val="006C1094"/>
    <w:rsid w:val="006C1255"/>
    <w:rsid w:val="006C145F"/>
    <w:rsid w:val="006C1B52"/>
    <w:rsid w:val="006C20DB"/>
    <w:rsid w:val="006C2A21"/>
    <w:rsid w:val="006C3691"/>
    <w:rsid w:val="006C411D"/>
    <w:rsid w:val="006C4988"/>
    <w:rsid w:val="006C50E4"/>
    <w:rsid w:val="006C5142"/>
    <w:rsid w:val="006C5183"/>
    <w:rsid w:val="006C51F8"/>
    <w:rsid w:val="006C56FF"/>
    <w:rsid w:val="006C57C9"/>
    <w:rsid w:val="006C621C"/>
    <w:rsid w:val="006C65EC"/>
    <w:rsid w:val="006C670B"/>
    <w:rsid w:val="006C6D34"/>
    <w:rsid w:val="006C77B1"/>
    <w:rsid w:val="006D01E4"/>
    <w:rsid w:val="006D0C03"/>
    <w:rsid w:val="006D0D29"/>
    <w:rsid w:val="006D0DD8"/>
    <w:rsid w:val="006D17D9"/>
    <w:rsid w:val="006D1A4B"/>
    <w:rsid w:val="006D225E"/>
    <w:rsid w:val="006D263F"/>
    <w:rsid w:val="006D2AE6"/>
    <w:rsid w:val="006D2BF6"/>
    <w:rsid w:val="006D2D18"/>
    <w:rsid w:val="006D2E93"/>
    <w:rsid w:val="006D3096"/>
    <w:rsid w:val="006D30BE"/>
    <w:rsid w:val="006D3682"/>
    <w:rsid w:val="006D4C7F"/>
    <w:rsid w:val="006D4F27"/>
    <w:rsid w:val="006D5091"/>
    <w:rsid w:val="006D548E"/>
    <w:rsid w:val="006D600E"/>
    <w:rsid w:val="006D60C6"/>
    <w:rsid w:val="006E0095"/>
    <w:rsid w:val="006E0858"/>
    <w:rsid w:val="006E09FB"/>
    <w:rsid w:val="006E0B58"/>
    <w:rsid w:val="006E1269"/>
    <w:rsid w:val="006E18CB"/>
    <w:rsid w:val="006E27AF"/>
    <w:rsid w:val="006E2BD8"/>
    <w:rsid w:val="006E3472"/>
    <w:rsid w:val="006E368F"/>
    <w:rsid w:val="006E3F01"/>
    <w:rsid w:val="006E43C3"/>
    <w:rsid w:val="006E48D3"/>
    <w:rsid w:val="006E4CE3"/>
    <w:rsid w:val="006E4D55"/>
    <w:rsid w:val="006E4DD4"/>
    <w:rsid w:val="006E52CA"/>
    <w:rsid w:val="006E5BBE"/>
    <w:rsid w:val="006E5D93"/>
    <w:rsid w:val="006E5DF5"/>
    <w:rsid w:val="006E6561"/>
    <w:rsid w:val="006E6571"/>
    <w:rsid w:val="006E7029"/>
    <w:rsid w:val="006E7CD3"/>
    <w:rsid w:val="006F00AF"/>
    <w:rsid w:val="006F052B"/>
    <w:rsid w:val="006F0E17"/>
    <w:rsid w:val="006F0F92"/>
    <w:rsid w:val="006F1050"/>
    <w:rsid w:val="006F129C"/>
    <w:rsid w:val="006F16AB"/>
    <w:rsid w:val="006F2266"/>
    <w:rsid w:val="006F22CB"/>
    <w:rsid w:val="006F2C03"/>
    <w:rsid w:val="006F36F5"/>
    <w:rsid w:val="006F4435"/>
    <w:rsid w:val="006F4722"/>
    <w:rsid w:val="006F4D49"/>
    <w:rsid w:val="006F4D7C"/>
    <w:rsid w:val="006F527D"/>
    <w:rsid w:val="006F5729"/>
    <w:rsid w:val="006F5A5E"/>
    <w:rsid w:val="006F5BF6"/>
    <w:rsid w:val="006F62A9"/>
    <w:rsid w:val="006F6BA8"/>
    <w:rsid w:val="006F6C96"/>
    <w:rsid w:val="006F74D3"/>
    <w:rsid w:val="006F75F0"/>
    <w:rsid w:val="006F77C1"/>
    <w:rsid w:val="006F7CB3"/>
    <w:rsid w:val="006F7CEC"/>
    <w:rsid w:val="006F7E98"/>
    <w:rsid w:val="00700DB9"/>
    <w:rsid w:val="0070186E"/>
    <w:rsid w:val="007023EC"/>
    <w:rsid w:val="00702486"/>
    <w:rsid w:val="00702902"/>
    <w:rsid w:val="00702C5C"/>
    <w:rsid w:val="00702CE4"/>
    <w:rsid w:val="00702D0D"/>
    <w:rsid w:val="00702E2C"/>
    <w:rsid w:val="00703660"/>
    <w:rsid w:val="00703D23"/>
    <w:rsid w:val="00704712"/>
    <w:rsid w:val="00705029"/>
    <w:rsid w:val="007057E5"/>
    <w:rsid w:val="00705F7C"/>
    <w:rsid w:val="007064CA"/>
    <w:rsid w:val="0070655F"/>
    <w:rsid w:val="00706DB9"/>
    <w:rsid w:val="00707108"/>
    <w:rsid w:val="007073AF"/>
    <w:rsid w:val="00707EDE"/>
    <w:rsid w:val="00707FD0"/>
    <w:rsid w:val="00710826"/>
    <w:rsid w:val="00710C4D"/>
    <w:rsid w:val="00710E8A"/>
    <w:rsid w:val="0071148E"/>
    <w:rsid w:val="00711603"/>
    <w:rsid w:val="0071161B"/>
    <w:rsid w:val="00711823"/>
    <w:rsid w:val="00711911"/>
    <w:rsid w:val="007135AE"/>
    <w:rsid w:val="0071384A"/>
    <w:rsid w:val="00713FA9"/>
    <w:rsid w:val="007147B8"/>
    <w:rsid w:val="00714B7C"/>
    <w:rsid w:val="00714F65"/>
    <w:rsid w:val="007151BF"/>
    <w:rsid w:val="00715294"/>
    <w:rsid w:val="00715657"/>
    <w:rsid w:val="00716A3A"/>
    <w:rsid w:val="00717003"/>
    <w:rsid w:val="0071728A"/>
    <w:rsid w:val="007176B0"/>
    <w:rsid w:val="0071770A"/>
    <w:rsid w:val="00717ECA"/>
    <w:rsid w:val="00717F36"/>
    <w:rsid w:val="00720469"/>
    <w:rsid w:val="00720C82"/>
    <w:rsid w:val="007211D0"/>
    <w:rsid w:val="00721398"/>
    <w:rsid w:val="007214A7"/>
    <w:rsid w:val="007215A3"/>
    <w:rsid w:val="0072201B"/>
    <w:rsid w:val="007225D0"/>
    <w:rsid w:val="00722A9F"/>
    <w:rsid w:val="00723590"/>
    <w:rsid w:val="0072375D"/>
    <w:rsid w:val="00723D3F"/>
    <w:rsid w:val="00723D90"/>
    <w:rsid w:val="007242D8"/>
    <w:rsid w:val="00724388"/>
    <w:rsid w:val="007245E4"/>
    <w:rsid w:val="00724612"/>
    <w:rsid w:val="00724AFB"/>
    <w:rsid w:val="00724BD9"/>
    <w:rsid w:val="00724ECF"/>
    <w:rsid w:val="007251C5"/>
    <w:rsid w:val="007257E2"/>
    <w:rsid w:val="00725B87"/>
    <w:rsid w:val="00726398"/>
    <w:rsid w:val="007270BC"/>
    <w:rsid w:val="0072774A"/>
    <w:rsid w:val="007278A8"/>
    <w:rsid w:val="00727E8D"/>
    <w:rsid w:val="00727FBC"/>
    <w:rsid w:val="007301E3"/>
    <w:rsid w:val="00730BA5"/>
    <w:rsid w:val="00730DC9"/>
    <w:rsid w:val="00730E6D"/>
    <w:rsid w:val="007313A7"/>
    <w:rsid w:val="00731A00"/>
    <w:rsid w:val="00731B29"/>
    <w:rsid w:val="00731CAB"/>
    <w:rsid w:val="00731EF6"/>
    <w:rsid w:val="00731FB4"/>
    <w:rsid w:val="007323A2"/>
    <w:rsid w:val="007326ED"/>
    <w:rsid w:val="00732FC5"/>
    <w:rsid w:val="00734202"/>
    <w:rsid w:val="00734247"/>
    <w:rsid w:val="0073427E"/>
    <w:rsid w:val="00734295"/>
    <w:rsid w:val="00734EC7"/>
    <w:rsid w:val="00735338"/>
    <w:rsid w:val="00735373"/>
    <w:rsid w:val="00735859"/>
    <w:rsid w:val="00735B0D"/>
    <w:rsid w:val="007360D9"/>
    <w:rsid w:val="007364AC"/>
    <w:rsid w:val="0073650B"/>
    <w:rsid w:val="00736FC0"/>
    <w:rsid w:val="00737164"/>
    <w:rsid w:val="007371FB"/>
    <w:rsid w:val="00737643"/>
    <w:rsid w:val="0074078E"/>
    <w:rsid w:val="007411AA"/>
    <w:rsid w:val="007418F9"/>
    <w:rsid w:val="00742F71"/>
    <w:rsid w:val="007441CB"/>
    <w:rsid w:val="00744E2C"/>
    <w:rsid w:val="00745081"/>
    <w:rsid w:val="007456FF"/>
    <w:rsid w:val="0074587E"/>
    <w:rsid w:val="00745A79"/>
    <w:rsid w:val="007460C3"/>
    <w:rsid w:val="007466E7"/>
    <w:rsid w:val="00746B96"/>
    <w:rsid w:val="007471EC"/>
    <w:rsid w:val="00747287"/>
    <w:rsid w:val="007477CF"/>
    <w:rsid w:val="00750015"/>
    <w:rsid w:val="00750274"/>
    <w:rsid w:val="0075039A"/>
    <w:rsid w:val="00750B8D"/>
    <w:rsid w:val="00750BCC"/>
    <w:rsid w:val="00750D7E"/>
    <w:rsid w:val="00750ED5"/>
    <w:rsid w:val="007519B3"/>
    <w:rsid w:val="00751D17"/>
    <w:rsid w:val="00751FB6"/>
    <w:rsid w:val="007522DD"/>
    <w:rsid w:val="00752713"/>
    <w:rsid w:val="00752E69"/>
    <w:rsid w:val="00752F88"/>
    <w:rsid w:val="007534C1"/>
    <w:rsid w:val="00753513"/>
    <w:rsid w:val="00753AC2"/>
    <w:rsid w:val="00754092"/>
    <w:rsid w:val="007541B4"/>
    <w:rsid w:val="00754450"/>
    <w:rsid w:val="00754878"/>
    <w:rsid w:val="00754B05"/>
    <w:rsid w:val="0075500C"/>
    <w:rsid w:val="00755E53"/>
    <w:rsid w:val="00755E75"/>
    <w:rsid w:val="007569B2"/>
    <w:rsid w:val="00757434"/>
    <w:rsid w:val="00757582"/>
    <w:rsid w:val="0075790E"/>
    <w:rsid w:val="0076042F"/>
    <w:rsid w:val="007609E5"/>
    <w:rsid w:val="00760BA0"/>
    <w:rsid w:val="00760F3E"/>
    <w:rsid w:val="00761762"/>
    <w:rsid w:val="00761D11"/>
    <w:rsid w:val="00761D90"/>
    <w:rsid w:val="007625FD"/>
    <w:rsid w:val="007628A5"/>
    <w:rsid w:val="007628D4"/>
    <w:rsid w:val="00762C1E"/>
    <w:rsid w:val="00763188"/>
    <w:rsid w:val="007636B4"/>
    <w:rsid w:val="007639AC"/>
    <w:rsid w:val="00763C32"/>
    <w:rsid w:val="00763F59"/>
    <w:rsid w:val="00763FB0"/>
    <w:rsid w:val="007647D3"/>
    <w:rsid w:val="0076484C"/>
    <w:rsid w:val="00764F26"/>
    <w:rsid w:val="007650B8"/>
    <w:rsid w:val="0076517A"/>
    <w:rsid w:val="00765270"/>
    <w:rsid w:val="007658C2"/>
    <w:rsid w:val="00765D92"/>
    <w:rsid w:val="00766963"/>
    <w:rsid w:val="00767472"/>
    <w:rsid w:val="007675C6"/>
    <w:rsid w:val="007677C9"/>
    <w:rsid w:val="00767CF3"/>
    <w:rsid w:val="007707FF"/>
    <w:rsid w:val="00771D29"/>
    <w:rsid w:val="00772169"/>
    <w:rsid w:val="007723C8"/>
    <w:rsid w:val="00772499"/>
    <w:rsid w:val="007725AD"/>
    <w:rsid w:val="00772862"/>
    <w:rsid w:val="00772A4E"/>
    <w:rsid w:val="00772B1D"/>
    <w:rsid w:val="00772BD5"/>
    <w:rsid w:val="00773395"/>
    <w:rsid w:val="0077386E"/>
    <w:rsid w:val="00773CF1"/>
    <w:rsid w:val="007745A4"/>
    <w:rsid w:val="00774789"/>
    <w:rsid w:val="00774896"/>
    <w:rsid w:val="00774D75"/>
    <w:rsid w:val="00775802"/>
    <w:rsid w:val="007759CB"/>
    <w:rsid w:val="00775C25"/>
    <w:rsid w:val="00775CDB"/>
    <w:rsid w:val="00776563"/>
    <w:rsid w:val="00776894"/>
    <w:rsid w:val="0077738F"/>
    <w:rsid w:val="00777B61"/>
    <w:rsid w:val="00777C0E"/>
    <w:rsid w:val="00777C5A"/>
    <w:rsid w:val="00777CBD"/>
    <w:rsid w:val="007800D4"/>
    <w:rsid w:val="007804E9"/>
    <w:rsid w:val="00780986"/>
    <w:rsid w:val="0078130C"/>
    <w:rsid w:val="007814EC"/>
    <w:rsid w:val="00781EB7"/>
    <w:rsid w:val="00782DC6"/>
    <w:rsid w:val="0078392F"/>
    <w:rsid w:val="00783F34"/>
    <w:rsid w:val="00784AC5"/>
    <w:rsid w:val="00784AE1"/>
    <w:rsid w:val="007851F9"/>
    <w:rsid w:val="00785701"/>
    <w:rsid w:val="007858B3"/>
    <w:rsid w:val="00785AB2"/>
    <w:rsid w:val="00785F2C"/>
    <w:rsid w:val="00786221"/>
    <w:rsid w:val="0078671F"/>
    <w:rsid w:val="00786908"/>
    <w:rsid w:val="00787078"/>
    <w:rsid w:val="007870D5"/>
    <w:rsid w:val="007871B8"/>
    <w:rsid w:val="00787954"/>
    <w:rsid w:val="00790668"/>
    <w:rsid w:val="00790D76"/>
    <w:rsid w:val="00790F50"/>
    <w:rsid w:val="00791959"/>
    <w:rsid w:val="0079270A"/>
    <w:rsid w:val="007929EC"/>
    <w:rsid w:val="0079381A"/>
    <w:rsid w:val="00794543"/>
    <w:rsid w:val="007945C2"/>
    <w:rsid w:val="00794633"/>
    <w:rsid w:val="00794A7D"/>
    <w:rsid w:val="00794C92"/>
    <w:rsid w:val="0079588F"/>
    <w:rsid w:val="00795E4E"/>
    <w:rsid w:val="00795F70"/>
    <w:rsid w:val="00796211"/>
    <w:rsid w:val="007967DB"/>
    <w:rsid w:val="00797507"/>
    <w:rsid w:val="00797745"/>
    <w:rsid w:val="007977F8"/>
    <w:rsid w:val="00797973"/>
    <w:rsid w:val="00797BD2"/>
    <w:rsid w:val="00797FEB"/>
    <w:rsid w:val="007A0225"/>
    <w:rsid w:val="007A0606"/>
    <w:rsid w:val="007A0923"/>
    <w:rsid w:val="007A141E"/>
    <w:rsid w:val="007A14D7"/>
    <w:rsid w:val="007A16E7"/>
    <w:rsid w:val="007A1D44"/>
    <w:rsid w:val="007A1E2A"/>
    <w:rsid w:val="007A25FB"/>
    <w:rsid w:val="007A38C5"/>
    <w:rsid w:val="007A40E6"/>
    <w:rsid w:val="007A4344"/>
    <w:rsid w:val="007A4593"/>
    <w:rsid w:val="007A45AE"/>
    <w:rsid w:val="007A46F9"/>
    <w:rsid w:val="007A5078"/>
    <w:rsid w:val="007A50EF"/>
    <w:rsid w:val="007A5157"/>
    <w:rsid w:val="007A5A94"/>
    <w:rsid w:val="007A5E0F"/>
    <w:rsid w:val="007A5FD5"/>
    <w:rsid w:val="007A6343"/>
    <w:rsid w:val="007A69AA"/>
    <w:rsid w:val="007A6CDB"/>
    <w:rsid w:val="007A6D01"/>
    <w:rsid w:val="007A6E3A"/>
    <w:rsid w:val="007A755B"/>
    <w:rsid w:val="007A7736"/>
    <w:rsid w:val="007A79AC"/>
    <w:rsid w:val="007A7BE0"/>
    <w:rsid w:val="007B0694"/>
    <w:rsid w:val="007B0776"/>
    <w:rsid w:val="007B0BF1"/>
    <w:rsid w:val="007B0C74"/>
    <w:rsid w:val="007B19FF"/>
    <w:rsid w:val="007B1CB9"/>
    <w:rsid w:val="007B21E3"/>
    <w:rsid w:val="007B2696"/>
    <w:rsid w:val="007B3E22"/>
    <w:rsid w:val="007B4008"/>
    <w:rsid w:val="007B43CD"/>
    <w:rsid w:val="007B450E"/>
    <w:rsid w:val="007B4711"/>
    <w:rsid w:val="007B47C3"/>
    <w:rsid w:val="007B48EC"/>
    <w:rsid w:val="007B4A7B"/>
    <w:rsid w:val="007B52FE"/>
    <w:rsid w:val="007B5598"/>
    <w:rsid w:val="007B5F33"/>
    <w:rsid w:val="007B61F6"/>
    <w:rsid w:val="007B628E"/>
    <w:rsid w:val="007B6344"/>
    <w:rsid w:val="007B647D"/>
    <w:rsid w:val="007B677F"/>
    <w:rsid w:val="007B6DBE"/>
    <w:rsid w:val="007B7273"/>
    <w:rsid w:val="007B72E6"/>
    <w:rsid w:val="007B7FFB"/>
    <w:rsid w:val="007C0D0D"/>
    <w:rsid w:val="007C0E31"/>
    <w:rsid w:val="007C1195"/>
    <w:rsid w:val="007C12F6"/>
    <w:rsid w:val="007C22BD"/>
    <w:rsid w:val="007C2E4F"/>
    <w:rsid w:val="007C34DC"/>
    <w:rsid w:val="007C40C1"/>
    <w:rsid w:val="007C4160"/>
    <w:rsid w:val="007C459B"/>
    <w:rsid w:val="007C45C3"/>
    <w:rsid w:val="007C4943"/>
    <w:rsid w:val="007C4B97"/>
    <w:rsid w:val="007C5BBD"/>
    <w:rsid w:val="007C5EAE"/>
    <w:rsid w:val="007C67C6"/>
    <w:rsid w:val="007C68CB"/>
    <w:rsid w:val="007C6AC8"/>
    <w:rsid w:val="007C6B71"/>
    <w:rsid w:val="007C7557"/>
    <w:rsid w:val="007D0763"/>
    <w:rsid w:val="007D0AD2"/>
    <w:rsid w:val="007D0E86"/>
    <w:rsid w:val="007D1140"/>
    <w:rsid w:val="007D11CE"/>
    <w:rsid w:val="007D184A"/>
    <w:rsid w:val="007D1DE5"/>
    <w:rsid w:val="007D227A"/>
    <w:rsid w:val="007D314C"/>
    <w:rsid w:val="007D3384"/>
    <w:rsid w:val="007D3D51"/>
    <w:rsid w:val="007D4798"/>
    <w:rsid w:val="007D4F40"/>
    <w:rsid w:val="007D5087"/>
    <w:rsid w:val="007D5119"/>
    <w:rsid w:val="007D5333"/>
    <w:rsid w:val="007D58A9"/>
    <w:rsid w:val="007D5CA6"/>
    <w:rsid w:val="007D66D9"/>
    <w:rsid w:val="007D6784"/>
    <w:rsid w:val="007D683D"/>
    <w:rsid w:val="007D73BB"/>
    <w:rsid w:val="007D77BF"/>
    <w:rsid w:val="007D7C51"/>
    <w:rsid w:val="007E0019"/>
    <w:rsid w:val="007E0ADA"/>
    <w:rsid w:val="007E1094"/>
    <w:rsid w:val="007E1FA4"/>
    <w:rsid w:val="007E2391"/>
    <w:rsid w:val="007E3629"/>
    <w:rsid w:val="007E38DC"/>
    <w:rsid w:val="007E4989"/>
    <w:rsid w:val="007E590A"/>
    <w:rsid w:val="007E5AE9"/>
    <w:rsid w:val="007E5E11"/>
    <w:rsid w:val="007E5E99"/>
    <w:rsid w:val="007E5FE2"/>
    <w:rsid w:val="007E6074"/>
    <w:rsid w:val="007E64C1"/>
    <w:rsid w:val="007E6EA5"/>
    <w:rsid w:val="007E7375"/>
    <w:rsid w:val="007E749E"/>
    <w:rsid w:val="007E7F0A"/>
    <w:rsid w:val="007F0164"/>
    <w:rsid w:val="007F01CB"/>
    <w:rsid w:val="007F037C"/>
    <w:rsid w:val="007F069E"/>
    <w:rsid w:val="007F076F"/>
    <w:rsid w:val="007F16A9"/>
    <w:rsid w:val="007F16F5"/>
    <w:rsid w:val="007F3129"/>
    <w:rsid w:val="007F3C49"/>
    <w:rsid w:val="007F4367"/>
    <w:rsid w:val="007F53C5"/>
    <w:rsid w:val="007F557C"/>
    <w:rsid w:val="007F5946"/>
    <w:rsid w:val="007F64B8"/>
    <w:rsid w:val="007F6D94"/>
    <w:rsid w:val="007F7084"/>
    <w:rsid w:val="007F79FE"/>
    <w:rsid w:val="007F7C80"/>
    <w:rsid w:val="008002BD"/>
    <w:rsid w:val="0080071C"/>
    <w:rsid w:val="008009A7"/>
    <w:rsid w:val="00800A9A"/>
    <w:rsid w:val="00801036"/>
    <w:rsid w:val="008011A0"/>
    <w:rsid w:val="0080153B"/>
    <w:rsid w:val="008015A2"/>
    <w:rsid w:val="008016CC"/>
    <w:rsid w:val="00801B8B"/>
    <w:rsid w:val="00801E2F"/>
    <w:rsid w:val="00801E87"/>
    <w:rsid w:val="00803084"/>
    <w:rsid w:val="008040EF"/>
    <w:rsid w:val="00804D6F"/>
    <w:rsid w:val="00804E34"/>
    <w:rsid w:val="0080555E"/>
    <w:rsid w:val="008056A5"/>
    <w:rsid w:val="00805AA8"/>
    <w:rsid w:val="00806083"/>
    <w:rsid w:val="0080637B"/>
    <w:rsid w:val="00806E9A"/>
    <w:rsid w:val="00806EC1"/>
    <w:rsid w:val="008071B4"/>
    <w:rsid w:val="0080720B"/>
    <w:rsid w:val="00807445"/>
    <w:rsid w:val="00807553"/>
    <w:rsid w:val="00807933"/>
    <w:rsid w:val="00807F60"/>
    <w:rsid w:val="008102B6"/>
    <w:rsid w:val="00811FA6"/>
    <w:rsid w:val="008123BF"/>
    <w:rsid w:val="008128D2"/>
    <w:rsid w:val="00814001"/>
    <w:rsid w:val="0081452A"/>
    <w:rsid w:val="008151C2"/>
    <w:rsid w:val="008157FE"/>
    <w:rsid w:val="008167B2"/>
    <w:rsid w:val="00816BB5"/>
    <w:rsid w:val="00817668"/>
    <w:rsid w:val="00817C3E"/>
    <w:rsid w:val="00821096"/>
    <w:rsid w:val="008215C6"/>
    <w:rsid w:val="008215E0"/>
    <w:rsid w:val="008217B5"/>
    <w:rsid w:val="00821DDB"/>
    <w:rsid w:val="008222A6"/>
    <w:rsid w:val="00822782"/>
    <w:rsid w:val="00823523"/>
    <w:rsid w:val="0082383B"/>
    <w:rsid w:val="00824503"/>
    <w:rsid w:val="008247AE"/>
    <w:rsid w:val="00824806"/>
    <w:rsid w:val="00824D6B"/>
    <w:rsid w:val="00824EEA"/>
    <w:rsid w:val="00824F1F"/>
    <w:rsid w:val="008254D0"/>
    <w:rsid w:val="00825AE8"/>
    <w:rsid w:val="00825C87"/>
    <w:rsid w:val="00825DB6"/>
    <w:rsid w:val="00826094"/>
    <w:rsid w:val="00826513"/>
    <w:rsid w:val="00826CCE"/>
    <w:rsid w:val="00826E93"/>
    <w:rsid w:val="00827052"/>
    <w:rsid w:val="0082756B"/>
    <w:rsid w:val="00827761"/>
    <w:rsid w:val="00830304"/>
    <w:rsid w:val="00830DCC"/>
    <w:rsid w:val="00831057"/>
    <w:rsid w:val="0083125B"/>
    <w:rsid w:val="00831727"/>
    <w:rsid w:val="00831B3A"/>
    <w:rsid w:val="00832616"/>
    <w:rsid w:val="00832C62"/>
    <w:rsid w:val="00832E4C"/>
    <w:rsid w:val="008336F6"/>
    <w:rsid w:val="0083497E"/>
    <w:rsid w:val="008354F9"/>
    <w:rsid w:val="00840043"/>
    <w:rsid w:val="00840288"/>
    <w:rsid w:val="00840313"/>
    <w:rsid w:val="0084058A"/>
    <w:rsid w:val="00840714"/>
    <w:rsid w:val="008407B8"/>
    <w:rsid w:val="00840B76"/>
    <w:rsid w:val="00841C4F"/>
    <w:rsid w:val="00841E14"/>
    <w:rsid w:val="00842089"/>
    <w:rsid w:val="008426B5"/>
    <w:rsid w:val="00842AD6"/>
    <w:rsid w:val="00842C3E"/>
    <w:rsid w:val="0084366E"/>
    <w:rsid w:val="00843A13"/>
    <w:rsid w:val="00843AA9"/>
    <w:rsid w:val="00843F23"/>
    <w:rsid w:val="00843FE6"/>
    <w:rsid w:val="00844071"/>
    <w:rsid w:val="00844263"/>
    <w:rsid w:val="00844704"/>
    <w:rsid w:val="008449DB"/>
    <w:rsid w:val="00844C43"/>
    <w:rsid w:val="00844D86"/>
    <w:rsid w:val="00844F16"/>
    <w:rsid w:val="00844FB7"/>
    <w:rsid w:val="00845BB9"/>
    <w:rsid w:val="008461E4"/>
    <w:rsid w:val="008466CA"/>
    <w:rsid w:val="00846A82"/>
    <w:rsid w:val="00846BC1"/>
    <w:rsid w:val="00846C19"/>
    <w:rsid w:val="00846E68"/>
    <w:rsid w:val="00847083"/>
    <w:rsid w:val="008473D5"/>
    <w:rsid w:val="00847A81"/>
    <w:rsid w:val="00850140"/>
    <w:rsid w:val="00850327"/>
    <w:rsid w:val="00850A01"/>
    <w:rsid w:val="00850B5D"/>
    <w:rsid w:val="00851128"/>
    <w:rsid w:val="008517CF"/>
    <w:rsid w:val="00851E63"/>
    <w:rsid w:val="008525DE"/>
    <w:rsid w:val="00852741"/>
    <w:rsid w:val="008531E3"/>
    <w:rsid w:val="00853256"/>
    <w:rsid w:val="008539B4"/>
    <w:rsid w:val="00853E2C"/>
    <w:rsid w:val="00855235"/>
    <w:rsid w:val="008554C9"/>
    <w:rsid w:val="00855A66"/>
    <w:rsid w:val="00855B96"/>
    <w:rsid w:val="00856D8D"/>
    <w:rsid w:val="00856DE8"/>
    <w:rsid w:val="0085700D"/>
    <w:rsid w:val="00857AF6"/>
    <w:rsid w:val="00857B43"/>
    <w:rsid w:val="00857B67"/>
    <w:rsid w:val="00857D20"/>
    <w:rsid w:val="008607ED"/>
    <w:rsid w:val="0086098E"/>
    <w:rsid w:val="00860B3D"/>
    <w:rsid w:val="00860F1B"/>
    <w:rsid w:val="00861E39"/>
    <w:rsid w:val="008627FA"/>
    <w:rsid w:val="00862DA6"/>
    <w:rsid w:val="008631F8"/>
    <w:rsid w:val="008633F1"/>
    <w:rsid w:val="00863943"/>
    <w:rsid w:val="008639AD"/>
    <w:rsid w:val="00863BB3"/>
    <w:rsid w:val="00863FBD"/>
    <w:rsid w:val="0086470A"/>
    <w:rsid w:val="00864F04"/>
    <w:rsid w:val="00865E80"/>
    <w:rsid w:val="00866212"/>
    <w:rsid w:val="00866BB4"/>
    <w:rsid w:val="00866E14"/>
    <w:rsid w:val="00867626"/>
    <w:rsid w:val="00867967"/>
    <w:rsid w:val="0086798D"/>
    <w:rsid w:val="00867BFD"/>
    <w:rsid w:val="00870442"/>
    <w:rsid w:val="00870E4C"/>
    <w:rsid w:val="008712B5"/>
    <w:rsid w:val="00871A59"/>
    <w:rsid w:val="00871E67"/>
    <w:rsid w:val="00871FBD"/>
    <w:rsid w:val="0087217F"/>
    <w:rsid w:val="008722D3"/>
    <w:rsid w:val="008722F1"/>
    <w:rsid w:val="0087285E"/>
    <w:rsid w:val="00872D69"/>
    <w:rsid w:val="008736C8"/>
    <w:rsid w:val="00873EA8"/>
    <w:rsid w:val="0087417F"/>
    <w:rsid w:val="00874658"/>
    <w:rsid w:val="00875846"/>
    <w:rsid w:val="0087589F"/>
    <w:rsid w:val="008766CB"/>
    <w:rsid w:val="00876C5D"/>
    <w:rsid w:val="00880043"/>
    <w:rsid w:val="00880102"/>
    <w:rsid w:val="00880111"/>
    <w:rsid w:val="00880C2E"/>
    <w:rsid w:val="00880ED3"/>
    <w:rsid w:val="0088114E"/>
    <w:rsid w:val="00881A32"/>
    <w:rsid w:val="00881DA9"/>
    <w:rsid w:val="008824FD"/>
    <w:rsid w:val="00884755"/>
    <w:rsid w:val="00884AEA"/>
    <w:rsid w:val="00884B40"/>
    <w:rsid w:val="00884DE7"/>
    <w:rsid w:val="0088522E"/>
    <w:rsid w:val="008867BB"/>
    <w:rsid w:val="00886996"/>
    <w:rsid w:val="00886D11"/>
    <w:rsid w:val="00886EF1"/>
    <w:rsid w:val="0089031F"/>
    <w:rsid w:val="00891000"/>
    <w:rsid w:val="00892049"/>
    <w:rsid w:val="00892250"/>
    <w:rsid w:val="00892360"/>
    <w:rsid w:val="00892508"/>
    <w:rsid w:val="00892C9F"/>
    <w:rsid w:val="00893DB0"/>
    <w:rsid w:val="00894161"/>
    <w:rsid w:val="00894FB0"/>
    <w:rsid w:val="00895026"/>
    <w:rsid w:val="00895572"/>
    <w:rsid w:val="008961E1"/>
    <w:rsid w:val="00896894"/>
    <w:rsid w:val="00896C4C"/>
    <w:rsid w:val="0089744F"/>
    <w:rsid w:val="00897E2F"/>
    <w:rsid w:val="00897EB3"/>
    <w:rsid w:val="008A0883"/>
    <w:rsid w:val="008A0B5E"/>
    <w:rsid w:val="008A1A3D"/>
    <w:rsid w:val="008A2035"/>
    <w:rsid w:val="008A2167"/>
    <w:rsid w:val="008A257C"/>
    <w:rsid w:val="008A25CF"/>
    <w:rsid w:val="008A2954"/>
    <w:rsid w:val="008A2C23"/>
    <w:rsid w:val="008A2C96"/>
    <w:rsid w:val="008A3144"/>
    <w:rsid w:val="008A3456"/>
    <w:rsid w:val="008A34A2"/>
    <w:rsid w:val="008A3580"/>
    <w:rsid w:val="008A3AC7"/>
    <w:rsid w:val="008A3B4D"/>
    <w:rsid w:val="008A3EAA"/>
    <w:rsid w:val="008A4529"/>
    <w:rsid w:val="008A56B1"/>
    <w:rsid w:val="008A599E"/>
    <w:rsid w:val="008A5A5E"/>
    <w:rsid w:val="008A6275"/>
    <w:rsid w:val="008A627B"/>
    <w:rsid w:val="008A672F"/>
    <w:rsid w:val="008A6A95"/>
    <w:rsid w:val="008A6CBF"/>
    <w:rsid w:val="008A6E00"/>
    <w:rsid w:val="008A6E21"/>
    <w:rsid w:val="008A6E55"/>
    <w:rsid w:val="008A71D6"/>
    <w:rsid w:val="008A7740"/>
    <w:rsid w:val="008A79E7"/>
    <w:rsid w:val="008A7BB6"/>
    <w:rsid w:val="008B0270"/>
    <w:rsid w:val="008B02BE"/>
    <w:rsid w:val="008B1516"/>
    <w:rsid w:val="008B19BA"/>
    <w:rsid w:val="008B1AC0"/>
    <w:rsid w:val="008B1B37"/>
    <w:rsid w:val="008B1C2D"/>
    <w:rsid w:val="008B300B"/>
    <w:rsid w:val="008B38B6"/>
    <w:rsid w:val="008B39A2"/>
    <w:rsid w:val="008B5135"/>
    <w:rsid w:val="008B53C0"/>
    <w:rsid w:val="008B5949"/>
    <w:rsid w:val="008B5A90"/>
    <w:rsid w:val="008B6167"/>
    <w:rsid w:val="008B688D"/>
    <w:rsid w:val="008B6D6C"/>
    <w:rsid w:val="008B6FD2"/>
    <w:rsid w:val="008B71E9"/>
    <w:rsid w:val="008B73E1"/>
    <w:rsid w:val="008B75EA"/>
    <w:rsid w:val="008B7BA6"/>
    <w:rsid w:val="008C0785"/>
    <w:rsid w:val="008C0BA4"/>
    <w:rsid w:val="008C0C13"/>
    <w:rsid w:val="008C0C45"/>
    <w:rsid w:val="008C16CF"/>
    <w:rsid w:val="008C2286"/>
    <w:rsid w:val="008C24FE"/>
    <w:rsid w:val="008C320F"/>
    <w:rsid w:val="008C3BA9"/>
    <w:rsid w:val="008C40F5"/>
    <w:rsid w:val="008C48A9"/>
    <w:rsid w:val="008C53D0"/>
    <w:rsid w:val="008C5ABC"/>
    <w:rsid w:val="008C5FCE"/>
    <w:rsid w:val="008C7200"/>
    <w:rsid w:val="008C7464"/>
    <w:rsid w:val="008C74CA"/>
    <w:rsid w:val="008C756D"/>
    <w:rsid w:val="008C7657"/>
    <w:rsid w:val="008C7897"/>
    <w:rsid w:val="008C79F2"/>
    <w:rsid w:val="008D0881"/>
    <w:rsid w:val="008D0CD8"/>
    <w:rsid w:val="008D0D4D"/>
    <w:rsid w:val="008D128D"/>
    <w:rsid w:val="008D19D1"/>
    <w:rsid w:val="008D245B"/>
    <w:rsid w:val="008D28F9"/>
    <w:rsid w:val="008D33C5"/>
    <w:rsid w:val="008D3811"/>
    <w:rsid w:val="008D3ABB"/>
    <w:rsid w:val="008D44EC"/>
    <w:rsid w:val="008D4565"/>
    <w:rsid w:val="008D49AB"/>
    <w:rsid w:val="008D4A69"/>
    <w:rsid w:val="008D4F10"/>
    <w:rsid w:val="008D5630"/>
    <w:rsid w:val="008D56ED"/>
    <w:rsid w:val="008D594C"/>
    <w:rsid w:val="008D5BAE"/>
    <w:rsid w:val="008D5E9D"/>
    <w:rsid w:val="008D5F4F"/>
    <w:rsid w:val="008D61DF"/>
    <w:rsid w:val="008D6255"/>
    <w:rsid w:val="008D64A5"/>
    <w:rsid w:val="008D6553"/>
    <w:rsid w:val="008D6C5A"/>
    <w:rsid w:val="008D733E"/>
    <w:rsid w:val="008D7A34"/>
    <w:rsid w:val="008D7EDA"/>
    <w:rsid w:val="008E05B2"/>
    <w:rsid w:val="008E1000"/>
    <w:rsid w:val="008E106B"/>
    <w:rsid w:val="008E1C4B"/>
    <w:rsid w:val="008E257E"/>
    <w:rsid w:val="008E28FD"/>
    <w:rsid w:val="008E3058"/>
    <w:rsid w:val="008E3215"/>
    <w:rsid w:val="008E381C"/>
    <w:rsid w:val="008E3BE2"/>
    <w:rsid w:val="008E3C25"/>
    <w:rsid w:val="008E498A"/>
    <w:rsid w:val="008E4D1C"/>
    <w:rsid w:val="008E51E5"/>
    <w:rsid w:val="008E521A"/>
    <w:rsid w:val="008E55D9"/>
    <w:rsid w:val="008E58E9"/>
    <w:rsid w:val="008E5FC9"/>
    <w:rsid w:val="008E603B"/>
    <w:rsid w:val="008E6464"/>
    <w:rsid w:val="008E682C"/>
    <w:rsid w:val="008E6CB6"/>
    <w:rsid w:val="008E7554"/>
    <w:rsid w:val="008E7CD9"/>
    <w:rsid w:val="008E7E27"/>
    <w:rsid w:val="008F05F4"/>
    <w:rsid w:val="008F07AB"/>
    <w:rsid w:val="008F141A"/>
    <w:rsid w:val="008F1742"/>
    <w:rsid w:val="008F17DF"/>
    <w:rsid w:val="008F1AF7"/>
    <w:rsid w:val="008F2766"/>
    <w:rsid w:val="008F2A61"/>
    <w:rsid w:val="008F2AF5"/>
    <w:rsid w:val="008F3309"/>
    <w:rsid w:val="008F3742"/>
    <w:rsid w:val="008F391D"/>
    <w:rsid w:val="008F3EC5"/>
    <w:rsid w:val="008F406B"/>
    <w:rsid w:val="008F4995"/>
    <w:rsid w:val="008F4A49"/>
    <w:rsid w:val="008F51E7"/>
    <w:rsid w:val="008F5245"/>
    <w:rsid w:val="008F5502"/>
    <w:rsid w:val="008F5564"/>
    <w:rsid w:val="008F5658"/>
    <w:rsid w:val="008F601F"/>
    <w:rsid w:val="008F6316"/>
    <w:rsid w:val="008F6440"/>
    <w:rsid w:val="008F6A61"/>
    <w:rsid w:val="008F6E3E"/>
    <w:rsid w:val="008F71B1"/>
    <w:rsid w:val="008F7FE8"/>
    <w:rsid w:val="00900608"/>
    <w:rsid w:val="00900854"/>
    <w:rsid w:val="00900A12"/>
    <w:rsid w:val="009016F1"/>
    <w:rsid w:val="009022B3"/>
    <w:rsid w:val="009022B8"/>
    <w:rsid w:val="009023C1"/>
    <w:rsid w:val="009029CC"/>
    <w:rsid w:val="00903602"/>
    <w:rsid w:val="00903E2A"/>
    <w:rsid w:val="00904391"/>
    <w:rsid w:val="00904557"/>
    <w:rsid w:val="00904661"/>
    <w:rsid w:val="00904D3B"/>
    <w:rsid w:val="00905089"/>
    <w:rsid w:val="00905C34"/>
    <w:rsid w:val="009067D4"/>
    <w:rsid w:val="009068DD"/>
    <w:rsid w:val="00906972"/>
    <w:rsid w:val="00906D5F"/>
    <w:rsid w:val="0090752B"/>
    <w:rsid w:val="00907C63"/>
    <w:rsid w:val="00907F26"/>
    <w:rsid w:val="009101E4"/>
    <w:rsid w:val="00910C35"/>
    <w:rsid w:val="009110D8"/>
    <w:rsid w:val="00911381"/>
    <w:rsid w:val="00911CA4"/>
    <w:rsid w:val="00911F69"/>
    <w:rsid w:val="00912587"/>
    <w:rsid w:val="00912985"/>
    <w:rsid w:val="00912AC3"/>
    <w:rsid w:val="00913506"/>
    <w:rsid w:val="00913D76"/>
    <w:rsid w:val="009142AC"/>
    <w:rsid w:val="0091442C"/>
    <w:rsid w:val="00914720"/>
    <w:rsid w:val="00915769"/>
    <w:rsid w:val="00915983"/>
    <w:rsid w:val="00915E23"/>
    <w:rsid w:val="0091643A"/>
    <w:rsid w:val="0091699D"/>
    <w:rsid w:val="00916E06"/>
    <w:rsid w:val="0091742D"/>
    <w:rsid w:val="009174CB"/>
    <w:rsid w:val="00917BAB"/>
    <w:rsid w:val="00917BEA"/>
    <w:rsid w:val="00917E4C"/>
    <w:rsid w:val="00917FFC"/>
    <w:rsid w:val="0092015A"/>
    <w:rsid w:val="0092066A"/>
    <w:rsid w:val="009208DD"/>
    <w:rsid w:val="0092099F"/>
    <w:rsid w:val="00920B43"/>
    <w:rsid w:val="0092100B"/>
    <w:rsid w:val="009213F9"/>
    <w:rsid w:val="009214C1"/>
    <w:rsid w:val="009214FC"/>
    <w:rsid w:val="009217C3"/>
    <w:rsid w:val="0092189E"/>
    <w:rsid w:val="009218C8"/>
    <w:rsid w:val="009221DB"/>
    <w:rsid w:val="009228EA"/>
    <w:rsid w:val="00922ABA"/>
    <w:rsid w:val="009232D0"/>
    <w:rsid w:val="009234D1"/>
    <w:rsid w:val="0092376C"/>
    <w:rsid w:val="00923886"/>
    <w:rsid w:val="009239A7"/>
    <w:rsid w:val="00923C6E"/>
    <w:rsid w:val="00924B1C"/>
    <w:rsid w:val="00924CA2"/>
    <w:rsid w:val="00925097"/>
    <w:rsid w:val="00925669"/>
    <w:rsid w:val="00925766"/>
    <w:rsid w:val="009259C1"/>
    <w:rsid w:val="00925A08"/>
    <w:rsid w:val="00925FA1"/>
    <w:rsid w:val="009260B7"/>
    <w:rsid w:val="00926676"/>
    <w:rsid w:val="009270D4"/>
    <w:rsid w:val="00927175"/>
    <w:rsid w:val="009271CC"/>
    <w:rsid w:val="00927430"/>
    <w:rsid w:val="009274FD"/>
    <w:rsid w:val="00927660"/>
    <w:rsid w:val="00927BF5"/>
    <w:rsid w:val="00927CDC"/>
    <w:rsid w:val="0093020C"/>
    <w:rsid w:val="00930585"/>
    <w:rsid w:val="00930B9E"/>
    <w:rsid w:val="0093121E"/>
    <w:rsid w:val="00931DEA"/>
    <w:rsid w:val="00932F44"/>
    <w:rsid w:val="00933463"/>
    <w:rsid w:val="00933A6E"/>
    <w:rsid w:val="00933C8D"/>
    <w:rsid w:val="00934D54"/>
    <w:rsid w:val="00935229"/>
    <w:rsid w:val="009358AF"/>
    <w:rsid w:val="009364F6"/>
    <w:rsid w:val="00936AED"/>
    <w:rsid w:val="00936C1E"/>
    <w:rsid w:val="00936E7E"/>
    <w:rsid w:val="00936EE1"/>
    <w:rsid w:val="00937326"/>
    <w:rsid w:val="00937382"/>
    <w:rsid w:val="00937813"/>
    <w:rsid w:val="0094100F"/>
    <w:rsid w:val="009410A4"/>
    <w:rsid w:val="0094139C"/>
    <w:rsid w:val="00941893"/>
    <w:rsid w:val="009419A6"/>
    <w:rsid w:val="00941A18"/>
    <w:rsid w:val="00941B2B"/>
    <w:rsid w:val="00941B4A"/>
    <w:rsid w:val="00942179"/>
    <w:rsid w:val="00942361"/>
    <w:rsid w:val="00942DA7"/>
    <w:rsid w:val="00942F21"/>
    <w:rsid w:val="009431EB"/>
    <w:rsid w:val="00943F68"/>
    <w:rsid w:val="009448AE"/>
    <w:rsid w:val="009448D9"/>
    <w:rsid w:val="00945970"/>
    <w:rsid w:val="00946191"/>
    <w:rsid w:val="009464A5"/>
    <w:rsid w:val="00946DC4"/>
    <w:rsid w:val="009471A9"/>
    <w:rsid w:val="00947380"/>
    <w:rsid w:val="00950154"/>
    <w:rsid w:val="009503E0"/>
    <w:rsid w:val="00950A4E"/>
    <w:rsid w:val="00950D4A"/>
    <w:rsid w:val="00951047"/>
    <w:rsid w:val="00951128"/>
    <w:rsid w:val="0095114C"/>
    <w:rsid w:val="00951C08"/>
    <w:rsid w:val="00951E22"/>
    <w:rsid w:val="00951E64"/>
    <w:rsid w:val="00952638"/>
    <w:rsid w:val="009526E3"/>
    <w:rsid w:val="0095298C"/>
    <w:rsid w:val="00952AF4"/>
    <w:rsid w:val="00952E9C"/>
    <w:rsid w:val="00953303"/>
    <w:rsid w:val="00953387"/>
    <w:rsid w:val="0095347F"/>
    <w:rsid w:val="009538C9"/>
    <w:rsid w:val="00954097"/>
    <w:rsid w:val="009540BB"/>
    <w:rsid w:val="00954201"/>
    <w:rsid w:val="009543A0"/>
    <w:rsid w:val="009544E0"/>
    <w:rsid w:val="00954586"/>
    <w:rsid w:val="00954674"/>
    <w:rsid w:val="00954AFF"/>
    <w:rsid w:val="00954BC0"/>
    <w:rsid w:val="00954CC1"/>
    <w:rsid w:val="00955CAD"/>
    <w:rsid w:val="009560DD"/>
    <w:rsid w:val="009562E7"/>
    <w:rsid w:val="00956B4A"/>
    <w:rsid w:val="009572DC"/>
    <w:rsid w:val="00957325"/>
    <w:rsid w:val="0095770F"/>
    <w:rsid w:val="009600A9"/>
    <w:rsid w:val="00960452"/>
    <w:rsid w:val="00960737"/>
    <w:rsid w:val="0096074C"/>
    <w:rsid w:val="00960C38"/>
    <w:rsid w:val="00960EEB"/>
    <w:rsid w:val="00961154"/>
    <w:rsid w:val="009615C3"/>
    <w:rsid w:val="00961767"/>
    <w:rsid w:val="0096250A"/>
    <w:rsid w:val="00962AD1"/>
    <w:rsid w:val="00962BDF"/>
    <w:rsid w:val="00962C78"/>
    <w:rsid w:val="0096345C"/>
    <w:rsid w:val="0096363E"/>
    <w:rsid w:val="0096364A"/>
    <w:rsid w:val="00963A08"/>
    <w:rsid w:val="00963B49"/>
    <w:rsid w:val="009653D7"/>
    <w:rsid w:val="009658AA"/>
    <w:rsid w:val="00967A7E"/>
    <w:rsid w:val="00970527"/>
    <w:rsid w:val="00970BA3"/>
    <w:rsid w:val="00970C59"/>
    <w:rsid w:val="00970FA8"/>
    <w:rsid w:val="00971CD8"/>
    <w:rsid w:val="00971DB4"/>
    <w:rsid w:val="00971E96"/>
    <w:rsid w:val="00972709"/>
    <w:rsid w:val="00973615"/>
    <w:rsid w:val="0097393D"/>
    <w:rsid w:val="00973D31"/>
    <w:rsid w:val="0097439D"/>
    <w:rsid w:val="00974AAA"/>
    <w:rsid w:val="00974D25"/>
    <w:rsid w:val="009751A5"/>
    <w:rsid w:val="0097543A"/>
    <w:rsid w:val="00975929"/>
    <w:rsid w:val="009770F8"/>
    <w:rsid w:val="009772D1"/>
    <w:rsid w:val="00977411"/>
    <w:rsid w:val="009802D1"/>
    <w:rsid w:val="00980AB6"/>
    <w:rsid w:val="00980F6D"/>
    <w:rsid w:val="009822DC"/>
    <w:rsid w:val="009824D9"/>
    <w:rsid w:val="009825F6"/>
    <w:rsid w:val="00983252"/>
    <w:rsid w:val="00983492"/>
    <w:rsid w:val="0098367E"/>
    <w:rsid w:val="00983708"/>
    <w:rsid w:val="009837C5"/>
    <w:rsid w:val="009839AB"/>
    <w:rsid w:val="00983A73"/>
    <w:rsid w:val="00983AC9"/>
    <w:rsid w:val="00983D83"/>
    <w:rsid w:val="00983D97"/>
    <w:rsid w:val="00983DD5"/>
    <w:rsid w:val="009840E2"/>
    <w:rsid w:val="00984AE3"/>
    <w:rsid w:val="00984DD4"/>
    <w:rsid w:val="00984FAE"/>
    <w:rsid w:val="0098530F"/>
    <w:rsid w:val="009854BC"/>
    <w:rsid w:val="00985B78"/>
    <w:rsid w:val="00985D45"/>
    <w:rsid w:val="00985D48"/>
    <w:rsid w:val="00986371"/>
    <w:rsid w:val="00986A70"/>
    <w:rsid w:val="00986ACF"/>
    <w:rsid w:val="00987314"/>
    <w:rsid w:val="00990061"/>
    <w:rsid w:val="009900FC"/>
    <w:rsid w:val="00990721"/>
    <w:rsid w:val="0099108B"/>
    <w:rsid w:val="009911B1"/>
    <w:rsid w:val="009915AF"/>
    <w:rsid w:val="009919FC"/>
    <w:rsid w:val="00992142"/>
    <w:rsid w:val="009936EF"/>
    <w:rsid w:val="00993CCD"/>
    <w:rsid w:val="009946C5"/>
    <w:rsid w:val="00994789"/>
    <w:rsid w:val="00994CA4"/>
    <w:rsid w:val="009951C0"/>
    <w:rsid w:val="00995424"/>
    <w:rsid w:val="00995D85"/>
    <w:rsid w:val="009963A2"/>
    <w:rsid w:val="0099715C"/>
    <w:rsid w:val="0099776F"/>
    <w:rsid w:val="00997D3F"/>
    <w:rsid w:val="00997E58"/>
    <w:rsid w:val="009A034C"/>
    <w:rsid w:val="009A0A29"/>
    <w:rsid w:val="009A18C9"/>
    <w:rsid w:val="009A2537"/>
    <w:rsid w:val="009A2AAB"/>
    <w:rsid w:val="009A3034"/>
    <w:rsid w:val="009A3518"/>
    <w:rsid w:val="009A39D9"/>
    <w:rsid w:val="009A428B"/>
    <w:rsid w:val="009A4392"/>
    <w:rsid w:val="009A46A7"/>
    <w:rsid w:val="009A54E9"/>
    <w:rsid w:val="009A5906"/>
    <w:rsid w:val="009A599F"/>
    <w:rsid w:val="009A6671"/>
    <w:rsid w:val="009A6905"/>
    <w:rsid w:val="009A6A57"/>
    <w:rsid w:val="009A6B0E"/>
    <w:rsid w:val="009A7719"/>
    <w:rsid w:val="009B01BD"/>
    <w:rsid w:val="009B020A"/>
    <w:rsid w:val="009B04EE"/>
    <w:rsid w:val="009B1414"/>
    <w:rsid w:val="009B1FE2"/>
    <w:rsid w:val="009B3336"/>
    <w:rsid w:val="009B3A43"/>
    <w:rsid w:val="009B3C1E"/>
    <w:rsid w:val="009B3F07"/>
    <w:rsid w:val="009B4A8B"/>
    <w:rsid w:val="009B4F4A"/>
    <w:rsid w:val="009B64F4"/>
    <w:rsid w:val="009B66A4"/>
    <w:rsid w:val="009B706D"/>
    <w:rsid w:val="009B7289"/>
    <w:rsid w:val="009C0693"/>
    <w:rsid w:val="009C0C2E"/>
    <w:rsid w:val="009C115B"/>
    <w:rsid w:val="009C11D0"/>
    <w:rsid w:val="009C1209"/>
    <w:rsid w:val="009C1808"/>
    <w:rsid w:val="009C1AAE"/>
    <w:rsid w:val="009C1B59"/>
    <w:rsid w:val="009C1D8D"/>
    <w:rsid w:val="009C22E5"/>
    <w:rsid w:val="009C249E"/>
    <w:rsid w:val="009C291C"/>
    <w:rsid w:val="009C3528"/>
    <w:rsid w:val="009C4628"/>
    <w:rsid w:val="009C491E"/>
    <w:rsid w:val="009C4FE0"/>
    <w:rsid w:val="009C50C4"/>
    <w:rsid w:val="009C511E"/>
    <w:rsid w:val="009C633F"/>
    <w:rsid w:val="009C6BA9"/>
    <w:rsid w:val="009C74CA"/>
    <w:rsid w:val="009C7FAD"/>
    <w:rsid w:val="009D017D"/>
    <w:rsid w:val="009D0A56"/>
    <w:rsid w:val="009D1A52"/>
    <w:rsid w:val="009D20D3"/>
    <w:rsid w:val="009D215A"/>
    <w:rsid w:val="009D2516"/>
    <w:rsid w:val="009D27E5"/>
    <w:rsid w:val="009D2956"/>
    <w:rsid w:val="009D2FF4"/>
    <w:rsid w:val="009D309C"/>
    <w:rsid w:val="009D3193"/>
    <w:rsid w:val="009D38DD"/>
    <w:rsid w:val="009D42D1"/>
    <w:rsid w:val="009D4360"/>
    <w:rsid w:val="009D4BD0"/>
    <w:rsid w:val="009D4F68"/>
    <w:rsid w:val="009D5357"/>
    <w:rsid w:val="009D5495"/>
    <w:rsid w:val="009D550A"/>
    <w:rsid w:val="009D575D"/>
    <w:rsid w:val="009D5A40"/>
    <w:rsid w:val="009D5C63"/>
    <w:rsid w:val="009D6D70"/>
    <w:rsid w:val="009D70B0"/>
    <w:rsid w:val="009D79C2"/>
    <w:rsid w:val="009D7A33"/>
    <w:rsid w:val="009E02D5"/>
    <w:rsid w:val="009E1166"/>
    <w:rsid w:val="009E1437"/>
    <w:rsid w:val="009E1688"/>
    <w:rsid w:val="009E1BC5"/>
    <w:rsid w:val="009E22EB"/>
    <w:rsid w:val="009E23F5"/>
    <w:rsid w:val="009E251F"/>
    <w:rsid w:val="009E2635"/>
    <w:rsid w:val="009E2A32"/>
    <w:rsid w:val="009E2A4B"/>
    <w:rsid w:val="009E2CA1"/>
    <w:rsid w:val="009E3DF3"/>
    <w:rsid w:val="009E3EFC"/>
    <w:rsid w:val="009E3F6A"/>
    <w:rsid w:val="009E408C"/>
    <w:rsid w:val="009E4445"/>
    <w:rsid w:val="009E49A1"/>
    <w:rsid w:val="009E5618"/>
    <w:rsid w:val="009E5A80"/>
    <w:rsid w:val="009E5E07"/>
    <w:rsid w:val="009E6287"/>
    <w:rsid w:val="009E6451"/>
    <w:rsid w:val="009E75EC"/>
    <w:rsid w:val="009E7735"/>
    <w:rsid w:val="009E7F3D"/>
    <w:rsid w:val="009E7F93"/>
    <w:rsid w:val="009F0562"/>
    <w:rsid w:val="009F0619"/>
    <w:rsid w:val="009F07A8"/>
    <w:rsid w:val="009F08FD"/>
    <w:rsid w:val="009F0E99"/>
    <w:rsid w:val="009F1364"/>
    <w:rsid w:val="009F19C6"/>
    <w:rsid w:val="009F1BC7"/>
    <w:rsid w:val="009F28DC"/>
    <w:rsid w:val="009F3273"/>
    <w:rsid w:val="009F3F0E"/>
    <w:rsid w:val="009F44E0"/>
    <w:rsid w:val="009F4528"/>
    <w:rsid w:val="009F4B0C"/>
    <w:rsid w:val="009F5196"/>
    <w:rsid w:val="009F58E0"/>
    <w:rsid w:val="009F5F1A"/>
    <w:rsid w:val="009F6467"/>
    <w:rsid w:val="009F67A7"/>
    <w:rsid w:val="009F6B4A"/>
    <w:rsid w:val="009F6F06"/>
    <w:rsid w:val="009F7069"/>
    <w:rsid w:val="009F7628"/>
    <w:rsid w:val="009F78D8"/>
    <w:rsid w:val="009F7DA6"/>
    <w:rsid w:val="00A00407"/>
    <w:rsid w:val="00A00E1C"/>
    <w:rsid w:val="00A0193D"/>
    <w:rsid w:val="00A01AF4"/>
    <w:rsid w:val="00A02187"/>
    <w:rsid w:val="00A024D9"/>
    <w:rsid w:val="00A026E8"/>
    <w:rsid w:val="00A026EF"/>
    <w:rsid w:val="00A02BC4"/>
    <w:rsid w:val="00A02EDE"/>
    <w:rsid w:val="00A036E1"/>
    <w:rsid w:val="00A037E1"/>
    <w:rsid w:val="00A03BB7"/>
    <w:rsid w:val="00A03C92"/>
    <w:rsid w:val="00A04978"/>
    <w:rsid w:val="00A04B1E"/>
    <w:rsid w:val="00A04C2B"/>
    <w:rsid w:val="00A052AA"/>
    <w:rsid w:val="00A05737"/>
    <w:rsid w:val="00A06107"/>
    <w:rsid w:val="00A062B6"/>
    <w:rsid w:val="00A062D0"/>
    <w:rsid w:val="00A0687A"/>
    <w:rsid w:val="00A06C6A"/>
    <w:rsid w:val="00A06D31"/>
    <w:rsid w:val="00A06DA1"/>
    <w:rsid w:val="00A06FF8"/>
    <w:rsid w:val="00A0707B"/>
    <w:rsid w:val="00A07DC6"/>
    <w:rsid w:val="00A10247"/>
    <w:rsid w:val="00A105FA"/>
    <w:rsid w:val="00A1062D"/>
    <w:rsid w:val="00A108C9"/>
    <w:rsid w:val="00A10B3E"/>
    <w:rsid w:val="00A10FCF"/>
    <w:rsid w:val="00A116EB"/>
    <w:rsid w:val="00A11ED0"/>
    <w:rsid w:val="00A120D0"/>
    <w:rsid w:val="00A12354"/>
    <w:rsid w:val="00A128CA"/>
    <w:rsid w:val="00A12CD5"/>
    <w:rsid w:val="00A13AFA"/>
    <w:rsid w:val="00A143D7"/>
    <w:rsid w:val="00A148E9"/>
    <w:rsid w:val="00A1518D"/>
    <w:rsid w:val="00A1585E"/>
    <w:rsid w:val="00A1621F"/>
    <w:rsid w:val="00A16C82"/>
    <w:rsid w:val="00A17854"/>
    <w:rsid w:val="00A178C2"/>
    <w:rsid w:val="00A2018D"/>
    <w:rsid w:val="00A201E7"/>
    <w:rsid w:val="00A201EC"/>
    <w:rsid w:val="00A20C4D"/>
    <w:rsid w:val="00A20D2A"/>
    <w:rsid w:val="00A21CFA"/>
    <w:rsid w:val="00A21D07"/>
    <w:rsid w:val="00A22095"/>
    <w:rsid w:val="00A229D5"/>
    <w:rsid w:val="00A237EE"/>
    <w:rsid w:val="00A24457"/>
    <w:rsid w:val="00A24726"/>
    <w:rsid w:val="00A24817"/>
    <w:rsid w:val="00A249E7"/>
    <w:rsid w:val="00A24C34"/>
    <w:rsid w:val="00A24C69"/>
    <w:rsid w:val="00A25034"/>
    <w:rsid w:val="00A25A21"/>
    <w:rsid w:val="00A25FA8"/>
    <w:rsid w:val="00A26956"/>
    <w:rsid w:val="00A26B7F"/>
    <w:rsid w:val="00A27064"/>
    <w:rsid w:val="00A270C1"/>
    <w:rsid w:val="00A2754A"/>
    <w:rsid w:val="00A27A4D"/>
    <w:rsid w:val="00A302DE"/>
    <w:rsid w:val="00A3031C"/>
    <w:rsid w:val="00A303A9"/>
    <w:rsid w:val="00A308D8"/>
    <w:rsid w:val="00A309BB"/>
    <w:rsid w:val="00A31625"/>
    <w:rsid w:val="00A31756"/>
    <w:rsid w:val="00A319FC"/>
    <w:rsid w:val="00A31F88"/>
    <w:rsid w:val="00A3249E"/>
    <w:rsid w:val="00A32A82"/>
    <w:rsid w:val="00A336D0"/>
    <w:rsid w:val="00A3399D"/>
    <w:rsid w:val="00A3508B"/>
    <w:rsid w:val="00A35DC9"/>
    <w:rsid w:val="00A361AE"/>
    <w:rsid w:val="00A3634F"/>
    <w:rsid w:val="00A3663B"/>
    <w:rsid w:val="00A36939"/>
    <w:rsid w:val="00A37161"/>
    <w:rsid w:val="00A375AD"/>
    <w:rsid w:val="00A37E04"/>
    <w:rsid w:val="00A40D94"/>
    <w:rsid w:val="00A41710"/>
    <w:rsid w:val="00A41797"/>
    <w:rsid w:val="00A41BE0"/>
    <w:rsid w:val="00A422AA"/>
    <w:rsid w:val="00A426C7"/>
    <w:rsid w:val="00A42726"/>
    <w:rsid w:val="00A43184"/>
    <w:rsid w:val="00A43A2B"/>
    <w:rsid w:val="00A44256"/>
    <w:rsid w:val="00A44665"/>
    <w:rsid w:val="00A449EE"/>
    <w:rsid w:val="00A4545B"/>
    <w:rsid w:val="00A45684"/>
    <w:rsid w:val="00A4589F"/>
    <w:rsid w:val="00A45B41"/>
    <w:rsid w:val="00A45CBC"/>
    <w:rsid w:val="00A46050"/>
    <w:rsid w:val="00A46131"/>
    <w:rsid w:val="00A46D74"/>
    <w:rsid w:val="00A46DF7"/>
    <w:rsid w:val="00A47B80"/>
    <w:rsid w:val="00A503D5"/>
    <w:rsid w:val="00A506F9"/>
    <w:rsid w:val="00A5084E"/>
    <w:rsid w:val="00A50A65"/>
    <w:rsid w:val="00A50B94"/>
    <w:rsid w:val="00A51005"/>
    <w:rsid w:val="00A51572"/>
    <w:rsid w:val="00A51B57"/>
    <w:rsid w:val="00A52521"/>
    <w:rsid w:val="00A528A1"/>
    <w:rsid w:val="00A538C3"/>
    <w:rsid w:val="00A54B01"/>
    <w:rsid w:val="00A54CE2"/>
    <w:rsid w:val="00A555CD"/>
    <w:rsid w:val="00A556A5"/>
    <w:rsid w:val="00A569F9"/>
    <w:rsid w:val="00A56EDD"/>
    <w:rsid w:val="00A5704C"/>
    <w:rsid w:val="00A57CBC"/>
    <w:rsid w:val="00A57CBF"/>
    <w:rsid w:val="00A60280"/>
    <w:rsid w:val="00A6035F"/>
    <w:rsid w:val="00A60ADB"/>
    <w:rsid w:val="00A60B8A"/>
    <w:rsid w:val="00A60E33"/>
    <w:rsid w:val="00A60F1C"/>
    <w:rsid w:val="00A62EB7"/>
    <w:rsid w:val="00A62F40"/>
    <w:rsid w:val="00A63278"/>
    <w:rsid w:val="00A634EF"/>
    <w:rsid w:val="00A643BC"/>
    <w:rsid w:val="00A646D6"/>
    <w:rsid w:val="00A64F93"/>
    <w:rsid w:val="00A662D9"/>
    <w:rsid w:val="00A664CC"/>
    <w:rsid w:val="00A666E8"/>
    <w:rsid w:val="00A67A5A"/>
    <w:rsid w:val="00A67DF6"/>
    <w:rsid w:val="00A67EC5"/>
    <w:rsid w:val="00A700EB"/>
    <w:rsid w:val="00A70430"/>
    <w:rsid w:val="00A70B24"/>
    <w:rsid w:val="00A70C2C"/>
    <w:rsid w:val="00A713CD"/>
    <w:rsid w:val="00A71AAC"/>
    <w:rsid w:val="00A71F5D"/>
    <w:rsid w:val="00A727E0"/>
    <w:rsid w:val="00A72FBE"/>
    <w:rsid w:val="00A738DF"/>
    <w:rsid w:val="00A74317"/>
    <w:rsid w:val="00A74FD9"/>
    <w:rsid w:val="00A75220"/>
    <w:rsid w:val="00A75787"/>
    <w:rsid w:val="00A7617F"/>
    <w:rsid w:val="00A76D63"/>
    <w:rsid w:val="00A771C7"/>
    <w:rsid w:val="00A7738D"/>
    <w:rsid w:val="00A777BD"/>
    <w:rsid w:val="00A7797F"/>
    <w:rsid w:val="00A77D1E"/>
    <w:rsid w:val="00A77E92"/>
    <w:rsid w:val="00A80837"/>
    <w:rsid w:val="00A80EF7"/>
    <w:rsid w:val="00A81688"/>
    <w:rsid w:val="00A818FB"/>
    <w:rsid w:val="00A827CD"/>
    <w:rsid w:val="00A827D0"/>
    <w:rsid w:val="00A83482"/>
    <w:rsid w:val="00A83DA5"/>
    <w:rsid w:val="00A83EEC"/>
    <w:rsid w:val="00A843EA"/>
    <w:rsid w:val="00A84847"/>
    <w:rsid w:val="00A849B2"/>
    <w:rsid w:val="00A849E3"/>
    <w:rsid w:val="00A84E28"/>
    <w:rsid w:val="00A850D9"/>
    <w:rsid w:val="00A85311"/>
    <w:rsid w:val="00A85D6F"/>
    <w:rsid w:val="00A85F15"/>
    <w:rsid w:val="00A86BD7"/>
    <w:rsid w:val="00A86DD1"/>
    <w:rsid w:val="00A87583"/>
    <w:rsid w:val="00A902C1"/>
    <w:rsid w:val="00A90762"/>
    <w:rsid w:val="00A90DAC"/>
    <w:rsid w:val="00A90ECF"/>
    <w:rsid w:val="00A911A0"/>
    <w:rsid w:val="00A913D4"/>
    <w:rsid w:val="00A91661"/>
    <w:rsid w:val="00A91BC1"/>
    <w:rsid w:val="00A920AC"/>
    <w:rsid w:val="00A928FF"/>
    <w:rsid w:val="00A92DB0"/>
    <w:rsid w:val="00A93735"/>
    <w:rsid w:val="00A93A98"/>
    <w:rsid w:val="00A9405B"/>
    <w:rsid w:val="00A941F0"/>
    <w:rsid w:val="00A942B8"/>
    <w:rsid w:val="00A94367"/>
    <w:rsid w:val="00A94379"/>
    <w:rsid w:val="00A9503D"/>
    <w:rsid w:val="00A959D5"/>
    <w:rsid w:val="00A95C99"/>
    <w:rsid w:val="00A95D52"/>
    <w:rsid w:val="00A9659C"/>
    <w:rsid w:val="00A965C0"/>
    <w:rsid w:val="00A96C0F"/>
    <w:rsid w:val="00A9710E"/>
    <w:rsid w:val="00A971BC"/>
    <w:rsid w:val="00A97653"/>
    <w:rsid w:val="00A97DB2"/>
    <w:rsid w:val="00AA00C9"/>
    <w:rsid w:val="00AA1232"/>
    <w:rsid w:val="00AA1CDB"/>
    <w:rsid w:val="00AA1E27"/>
    <w:rsid w:val="00AA1EAA"/>
    <w:rsid w:val="00AA2607"/>
    <w:rsid w:val="00AA282A"/>
    <w:rsid w:val="00AA28DA"/>
    <w:rsid w:val="00AA292A"/>
    <w:rsid w:val="00AA360F"/>
    <w:rsid w:val="00AA386B"/>
    <w:rsid w:val="00AA55FC"/>
    <w:rsid w:val="00AA57BE"/>
    <w:rsid w:val="00AA5EE4"/>
    <w:rsid w:val="00AA63E7"/>
    <w:rsid w:val="00AA6919"/>
    <w:rsid w:val="00AA6AAD"/>
    <w:rsid w:val="00AA6AB4"/>
    <w:rsid w:val="00AA6E25"/>
    <w:rsid w:val="00AA725F"/>
    <w:rsid w:val="00AA732E"/>
    <w:rsid w:val="00AA769A"/>
    <w:rsid w:val="00AA77D3"/>
    <w:rsid w:val="00AA787F"/>
    <w:rsid w:val="00AA7F6B"/>
    <w:rsid w:val="00AB055A"/>
    <w:rsid w:val="00AB11D1"/>
    <w:rsid w:val="00AB1FAE"/>
    <w:rsid w:val="00AB21FD"/>
    <w:rsid w:val="00AB2A27"/>
    <w:rsid w:val="00AB3665"/>
    <w:rsid w:val="00AB38D6"/>
    <w:rsid w:val="00AB49CD"/>
    <w:rsid w:val="00AB4C73"/>
    <w:rsid w:val="00AB4FBC"/>
    <w:rsid w:val="00AB5125"/>
    <w:rsid w:val="00AB537C"/>
    <w:rsid w:val="00AB660C"/>
    <w:rsid w:val="00AB6864"/>
    <w:rsid w:val="00AB6D93"/>
    <w:rsid w:val="00AC0042"/>
    <w:rsid w:val="00AC025F"/>
    <w:rsid w:val="00AC1805"/>
    <w:rsid w:val="00AC19C3"/>
    <w:rsid w:val="00AC239B"/>
    <w:rsid w:val="00AC2B2C"/>
    <w:rsid w:val="00AC30FD"/>
    <w:rsid w:val="00AC3504"/>
    <w:rsid w:val="00AC3C0E"/>
    <w:rsid w:val="00AC45E8"/>
    <w:rsid w:val="00AC4D29"/>
    <w:rsid w:val="00AC4EE6"/>
    <w:rsid w:val="00AC552C"/>
    <w:rsid w:val="00AC5C30"/>
    <w:rsid w:val="00AC64E4"/>
    <w:rsid w:val="00AC6767"/>
    <w:rsid w:val="00AC69D6"/>
    <w:rsid w:val="00AC788C"/>
    <w:rsid w:val="00AD04AF"/>
    <w:rsid w:val="00AD06E1"/>
    <w:rsid w:val="00AD0810"/>
    <w:rsid w:val="00AD0ABC"/>
    <w:rsid w:val="00AD0C1D"/>
    <w:rsid w:val="00AD11E6"/>
    <w:rsid w:val="00AD1249"/>
    <w:rsid w:val="00AD19C1"/>
    <w:rsid w:val="00AD204A"/>
    <w:rsid w:val="00AD2140"/>
    <w:rsid w:val="00AD239F"/>
    <w:rsid w:val="00AD258F"/>
    <w:rsid w:val="00AD296D"/>
    <w:rsid w:val="00AD29CB"/>
    <w:rsid w:val="00AD37A6"/>
    <w:rsid w:val="00AD3E70"/>
    <w:rsid w:val="00AD42D1"/>
    <w:rsid w:val="00AD44CE"/>
    <w:rsid w:val="00AD4C18"/>
    <w:rsid w:val="00AD4C37"/>
    <w:rsid w:val="00AD4C87"/>
    <w:rsid w:val="00AD4CEF"/>
    <w:rsid w:val="00AD5F80"/>
    <w:rsid w:val="00AD610E"/>
    <w:rsid w:val="00AD654C"/>
    <w:rsid w:val="00AD687F"/>
    <w:rsid w:val="00AD6CB2"/>
    <w:rsid w:val="00AD6F25"/>
    <w:rsid w:val="00AD7268"/>
    <w:rsid w:val="00AD76D7"/>
    <w:rsid w:val="00AD7D50"/>
    <w:rsid w:val="00AE01B3"/>
    <w:rsid w:val="00AE0367"/>
    <w:rsid w:val="00AE05AF"/>
    <w:rsid w:val="00AE0620"/>
    <w:rsid w:val="00AE078B"/>
    <w:rsid w:val="00AE0B88"/>
    <w:rsid w:val="00AE0C03"/>
    <w:rsid w:val="00AE0CC4"/>
    <w:rsid w:val="00AE0EE5"/>
    <w:rsid w:val="00AE1182"/>
    <w:rsid w:val="00AE19FB"/>
    <w:rsid w:val="00AE2381"/>
    <w:rsid w:val="00AE2789"/>
    <w:rsid w:val="00AE3612"/>
    <w:rsid w:val="00AE38A1"/>
    <w:rsid w:val="00AE4245"/>
    <w:rsid w:val="00AE43A5"/>
    <w:rsid w:val="00AE4A26"/>
    <w:rsid w:val="00AE58D4"/>
    <w:rsid w:val="00AE5DFB"/>
    <w:rsid w:val="00AE5F0B"/>
    <w:rsid w:val="00AE6414"/>
    <w:rsid w:val="00AE649F"/>
    <w:rsid w:val="00AE6D23"/>
    <w:rsid w:val="00AE6D95"/>
    <w:rsid w:val="00AE6FA4"/>
    <w:rsid w:val="00AE6FB7"/>
    <w:rsid w:val="00AF010F"/>
    <w:rsid w:val="00AF0239"/>
    <w:rsid w:val="00AF07CB"/>
    <w:rsid w:val="00AF1273"/>
    <w:rsid w:val="00AF1E7D"/>
    <w:rsid w:val="00AF2044"/>
    <w:rsid w:val="00AF2085"/>
    <w:rsid w:val="00AF20EF"/>
    <w:rsid w:val="00AF2591"/>
    <w:rsid w:val="00AF2974"/>
    <w:rsid w:val="00AF2E34"/>
    <w:rsid w:val="00AF2EBE"/>
    <w:rsid w:val="00AF3252"/>
    <w:rsid w:val="00AF3B37"/>
    <w:rsid w:val="00AF3F00"/>
    <w:rsid w:val="00AF3F79"/>
    <w:rsid w:val="00AF5233"/>
    <w:rsid w:val="00AF56E5"/>
    <w:rsid w:val="00AF5904"/>
    <w:rsid w:val="00AF5922"/>
    <w:rsid w:val="00AF7284"/>
    <w:rsid w:val="00AF7707"/>
    <w:rsid w:val="00AF7BB0"/>
    <w:rsid w:val="00AF7F46"/>
    <w:rsid w:val="00B002A2"/>
    <w:rsid w:val="00B00534"/>
    <w:rsid w:val="00B01C03"/>
    <w:rsid w:val="00B01D33"/>
    <w:rsid w:val="00B02047"/>
    <w:rsid w:val="00B02119"/>
    <w:rsid w:val="00B021BC"/>
    <w:rsid w:val="00B02773"/>
    <w:rsid w:val="00B02F30"/>
    <w:rsid w:val="00B0326A"/>
    <w:rsid w:val="00B03446"/>
    <w:rsid w:val="00B03B27"/>
    <w:rsid w:val="00B04300"/>
    <w:rsid w:val="00B04380"/>
    <w:rsid w:val="00B04895"/>
    <w:rsid w:val="00B0491E"/>
    <w:rsid w:val="00B04936"/>
    <w:rsid w:val="00B04E51"/>
    <w:rsid w:val="00B04F37"/>
    <w:rsid w:val="00B059FE"/>
    <w:rsid w:val="00B05BF2"/>
    <w:rsid w:val="00B05E16"/>
    <w:rsid w:val="00B05EC5"/>
    <w:rsid w:val="00B066B0"/>
    <w:rsid w:val="00B0753D"/>
    <w:rsid w:val="00B0754E"/>
    <w:rsid w:val="00B078EC"/>
    <w:rsid w:val="00B07A3F"/>
    <w:rsid w:val="00B07C61"/>
    <w:rsid w:val="00B1027E"/>
    <w:rsid w:val="00B11190"/>
    <w:rsid w:val="00B1136E"/>
    <w:rsid w:val="00B115A9"/>
    <w:rsid w:val="00B118FE"/>
    <w:rsid w:val="00B119A0"/>
    <w:rsid w:val="00B12283"/>
    <w:rsid w:val="00B126C0"/>
    <w:rsid w:val="00B13AF5"/>
    <w:rsid w:val="00B13CB7"/>
    <w:rsid w:val="00B14107"/>
    <w:rsid w:val="00B145AA"/>
    <w:rsid w:val="00B146F0"/>
    <w:rsid w:val="00B147FF"/>
    <w:rsid w:val="00B14B21"/>
    <w:rsid w:val="00B14B80"/>
    <w:rsid w:val="00B15896"/>
    <w:rsid w:val="00B159C8"/>
    <w:rsid w:val="00B15B9E"/>
    <w:rsid w:val="00B1606B"/>
    <w:rsid w:val="00B165A1"/>
    <w:rsid w:val="00B16C07"/>
    <w:rsid w:val="00B16E34"/>
    <w:rsid w:val="00B16F92"/>
    <w:rsid w:val="00B173E4"/>
    <w:rsid w:val="00B17462"/>
    <w:rsid w:val="00B20230"/>
    <w:rsid w:val="00B206FD"/>
    <w:rsid w:val="00B208BC"/>
    <w:rsid w:val="00B20C7B"/>
    <w:rsid w:val="00B20FCD"/>
    <w:rsid w:val="00B211C1"/>
    <w:rsid w:val="00B2149C"/>
    <w:rsid w:val="00B21B6D"/>
    <w:rsid w:val="00B2284D"/>
    <w:rsid w:val="00B22B1A"/>
    <w:rsid w:val="00B22D13"/>
    <w:rsid w:val="00B230BC"/>
    <w:rsid w:val="00B231B4"/>
    <w:rsid w:val="00B2355D"/>
    <w:rsid w:val="00B23690"/>
    <w:rsid w:val="00B23DEA"/>
    <w:rsid w:val="00B23F56"/>
    <w:rsid w:val="00B244EB"/>
    <w:rsid w:val="00B2468B"/>
    <w:rsid w:val="00B24AD2"/>
    <w:rsid w:val="00B2562C"/>
    <w:rsid w:val="00B25782"/>
    <w:rsid w:val="00B26352"/>
    <w:rsid w:val="00B274AF"/>
    <w:rsid w:val="00B27F48"/>
    <w:rsid w:val="00B30723"/>
    <w:rsid w:val="00B30CFC"/>
    <w:rsid w:val="00B3238D"/>
    <w:rsid w:val="00B326D2"/>
    <w:rsid w:val="00B32A66"/>
    <w:rsid w:val="00B32C14"/>
    <w:rsid w:val="00B32DD7"/>
    <w:rsid w:val="00B337AC"/>
    <w:rsid w:val="00B33BBA"/>
    <w:rsid w:val="00B33EB6"/>
    <w:rsid w:val="00B34157"/>
    <w:rsid w:val="00B3435F"/>
    <w:rsid w:val="00B34A8E"/>
    <w:rsid w:val="00B34AAD"/>
    <w:rsid w:val="00B34FA4"/>
    <w:rsid w:val="00B351DD"/>
    <w:rsid w:val="00B355AA"/>
    <w:rsid w:val="00B35CF1"/>
    <w:rsid w:val="00B35DE1"/>
    <w:rsid w:val="00B360BB"/>
    <w:rsid w:val="00B362D7"/>
    <w:rsid w:val="00B36356"/>
    <w:rsid w:val="00B36621"/>
    <w:rsid w:val="00B36CC1"/>
    <w:rsid w:val="00B37221"/>
    <w:rsid w:val="00B37A2E"/>
    <w:rsid w:val="00B37FFE"/>
    <w:rsid w:val="00B40020"/>
    <w:rsid w:val="00B400D3"/>
    <w:rsid w:val="00B41055"/>
    <w:rsid w:val="00B41860"/>
    <w:rsid w:val="00B41D5B"/>
    <w:rsid w:val="00B424A1"/>
    <w:rsid w:val="00B42A68"/>
    <w:rsid w:val="00B42CB2"/>
    <w:rsid w:val="00B42D67"/>
    <w:rsid w:val="00B43134"/>
    <w:rsid w:val="00B43367"/>
    <w:rsid w:val="00B433CA"/>
    <w:rsid w:val="00B4399A"/>
    <w:rsid w:val="00B445E8"/>
    <w:rsid w:val="00B44AB8"/>
    <w:rsid w:val="00B44CFD"/>
    <w:rsid w:val="00B4581C"/>
    <w:rsid w:val="00B45D10"/>
    <w:rsid w:val="00B464FC"/>
    <w:rsid w:val="00B47751"/>
    <w:rsid w:val="00B47FA1"/>
    <w:rsid w:val="00B50F71"/>
    <w:rsid w:val="00B5125C"/>
    <w:rsid w:val="00B51C46"/>
    <w:rsid w:val="00B51CCC"/>
    <w:rsid w:val="00B52055"/>
    <w:rsid w:val="00B520A8"/>
    <w:rsid w:val="00B546D6"/>
    <w:rsid w:val="00B54BE2"/>
    <w:rsid w:val="00B54D90"/>
    <w:rsid w:val="00B550B4"/>
    <w:rsid w:val="00B558A9"/>
    <w:rsid w:val="00B55AF1"/>
    <w:rsid w:val="00B56B1F"/>
    <w:rsid w:val="00B5761C"/>
    <w:rsid w:val="00B5783E"/>
    <w:rsid w:val="00B5798A"/>
    <w:rsid w:val="00B57A8A"/>
    <w:rsid w:val="00B57ADD"/>
    <w:rsid w:val="00B604C9"/>
    <w:rsid w:val="00B60B1C"/>
    <w:rsid w:val="00B6106A"/>
    <w:rsid w:val="00B613A5"/>
    <w:rsid w:val="00B61A61"/>
    <w:rsid w:val="00B61AA0"/>
    <w:rsid w:val="00B61C5D"/>
    <w:rsid w:val="00B6221F"/>
    <w:rsid w:val="00B627C9"/>
    <w:rsid w:val="00B62D9A"/>
    <w:rsid w:val="00B637BC"/>
    <w:rsid w:val="00B6410F"/>
    <w:rsid w:val="00B6417B"/>
    <w:rsid w:val="00B644AF"/>
    <w:rsid w:val="00B64523"/>
    <w:rsid w:val="00B65C7F"/>
    <w:rsid w:val="00B662E2"/>
    <w:rsid w:val="00B66CFE"/>
    <w:rsid w:val="00B66F0A"/>
    <w:rsid w:val="00B66F9B"/>
    <w:rsid w:val="00B671F2"/>
    <w:rsid w:val="00B67D8B"/>
    <w:rsid w:val="00B71727"/>
    <w:rsid w:val="00B72010"/>
    <w:rsid w:val="00B720FE"/>
    <w:rsid w:val="00B7233B"/>
    <w:rsid w:val="00B72B1D"/>
    <w:rsid w:val="00B732E3"/>
    <w:rsid w:val="00B73B97"/>
    <w:rsid w:val="00B73BF1"/>
    <w:rsid w:val="00B745DF"/>
    <w:rsid w:val="00B74979"/>
    <w:rsid w:val="00B74C3F"/>
    <w:rsid w:val="00B7558D"/>
    <w:rsid w:val="00B75BBC"/>
    <w:rsid w:val="00B76069"/>
    <w:rsid w:val="00B76C7D"/>
    <w:rsid w:val="00B778CF"/>
    <w:rsid w:val="00B77CA9"/>
    <w:rsid w:val="00B77E3E"/>
    <w:rsid w:val="00B77F8E"/>
    <w:rsid w:val="00B77FEB"/>
    <w:rsid w:val="00B81F1F"/>
    <w:rsid w:val="00B82372"/>
    <w:rsid w:val="00B82693"/>
    <w:rsid w:val="00B8278A"/>
    <w:rsid w:val="00B8357F"/>
    <w:rsid w:val="00B83D23"/>
    <w:rsid w:val="00B84342"/>
    <w:rsid w:val="00B846DA"/>
    <w:rsid w:val="00B847A3"/>
    <w:rsid w:val="00B84D18"/>
    <w:rsid w:val="00B859D9"/>
    <w:rsid w:val="00B85DAD"/>
    <w:rsid w:val="00B85FAB"/>
    <w:rsid w:val="00B86D15"/>
    <w:rsid w:val="00B87327"/>
    <w:rsid w:val="00B874CC"/>
    <w:rsid w:val="00B87EAB"/>
    <w:rsid w:val="00B90066"/>
    <w:rsid w:val="00B9037B"/>
    <w:rsid w:val="00B908A5"/>
    <w:rsid w:val="00B90EAE"/>
    <w:rsid w:val="00B9104C"/>
    <w:rsid w:val="00B914CA"/>
    <w:rsid w:val="00B9185B"/>
    <w:rsid w:val="00B91A3F"/>
    <w:rsid w:val="00B91AC0"/>
    <w:rsid w:val="00B91AF2"/>
    <w:rsid w:val="00B91B70"/>
    <w:rsid w:val="00B921E5"/>
    <w:rsid w:val="00B92D0C"/>
    <w:rsid w:val="00B93F3B"/>
    <w:rsid w:val="00B943A3"/>
    <w:rsid w:val="00B945CD"/>
    <w:rsid w:val="00B947AE"/>
    <w:rsid w:val="00B94AF2"/>
    <w:rsid w:val="00B95291"/>
    <w:rsid w:val="00B9545F"/>
    <w:rsid w:val="00B962CC"/>
    <w:rsid w:val="00B96F8B"/>
    <w:rsid w:val="00B97AAB"/>
    <w:rsid w:val="00BA0411"/>
    <w:rsid w:val="00BA04B6"/>
    <w:rsid w:val="00BA0C1C"/>
    <w:rsid w:val="00BA0C97"/>
    <w:rsid w:val="00BA0D57"/>
    <w:rsid w:val="00BA0EEB"/>
    <w:rsid w:val="00BA13C3"/>
    <w:rsid w:val="00BA1749"/>
    <w:rsid w:val="00BA1F64"/>
    <w:rsid w:val="00BA2078"/>
    <w:rsid w:val="00BA2311"/>
    <w:rsid w:val="00BA2552"/>
    <w:rsid w:val="00BA4ADA"/>
    <w:rsid w:val="00BA4B13"/>
    <w:rsid w:val="00BA5869"/>
    <w:rsid w:val="00BA757F"/>
    <w:rsid w:val="00BA76E0"/>
    <w:rsid w:val="00BA7BFE"/>
    <w:rsid w:val="00BA7DC0"/>
    <w:rsid w:val="00BA7F57"/>
    <w:rsid w:val="00BB0072"/>
    <w:rsid w:val="00BB073E"/>
    <w:rsid w:val="00BB0953"/>
    <w:rsid w:val="00BB1184"/>
    <w:rsid w:val="00BB1792"/>
    <w:rsid w:val="00BB1A21"/>
    <w:rsid w:val="00BB1EE7"/>
    <w:rsid w:val="00BB1F7F"/>
    <w:rsid w:val="00BB2472"/>
    <w:rsid w:val="00BB280F"/>
    <w:rsid w:val="00BB2F27"/>
    <w:rsid w:val="00BB3CAC"/>
    <w:rsid w:val="00BB42F9"/>
    <w:rsid w:val="00BB44C4"/>
    <w:rsid w:val="00BB45C8"/>
    <w:rsid w:val="00BB4F05"/>
    <w:rsid w:val="00BB59CA"/>
    <w:rsid w:val="00BB5D3A"/>
    <w:rsid w:val="00BB60DC"/>
    <w:rsid w:val="00BB6392"/>
    <w:rsid w:val="00BB70DB"/>
    <w:rsid w:val="00BB75E8"/>
    <w:rsid w:val="00BB7B42"/>
    <w:rsid w:val="00BB7F26"/>
    <w:rsid w:val="00BC0424"/>
    <w:rsid w:val="00BC0A35"/>
    <w:rsid w:val="00BC0BF1"/>
    <w:rsid w:val="00BC16C7"/>
    <w:rsid w:val="00BC1F45"/>
    <w:rsid w:val="00BC2070"/>
    <w:rsid w:val="00BC3490"/>
    <w:rsid w:val="00BC373B"/>
    <w:rsid w:val="00BC3899"/>
    <w:rsid w:val="00BC39C2"/>
    <w:rsid w:val="00BC3A3F"/>
    <w:rsid w:val="00BC3B5B"/>
    <w:rsid w:val="00BC3DA0"/>
    <w:rsid w:val="00BC420D"/>
    <w:rsid w:val="00BC4571"/>
    <w:rsid w:val="00BC457B"/>
    <w:rsid w:val="00BC4904"/>
    <w:rsid w:val="00BC4A75"/>
    <w:rsid w:val="00BC524F"/>
    <w:rsid w:val="00BC5321"/>
    <w:rsid w:val="00BC5605"/>
    <w:rsid w:val="00BC5E36"/>
    <w:rsid w:val="00BC6D92"/>
    <w:rsid w:val="00BC70DF"/>
    <w:rsid w:val="00BC7128"/>
    <w:rsid w:val="00BC72B2"/>
    <w:rsid w:val="00BC753B"/>
    <w:rsid w:val="00BC7822"/>
    <w:rsid w:val="00BC786B"/>
    <w:rsid w:val="00BD0035"/>
    <w:rsid w:val="00BD0415"/>
    <w:rsid w:val="00BD049C"/>
    <w:rsid w:val="00BD0573"/>
    <w:rsid w:val="00BD0842"/>
    <w:rsid w:val="00BD1247"/>
    <w:rsid w:val="00BD1BFE"/>
    <w:rsid w:val="00BD220C"/>
    <w:rsid w:val="00BD25FF"/>
    <w:rsid w:val="00BD3790"/>
    <w:rsid w:val="00BD3F44"/>
    <w:rsid w:val="00BD50D9"/>
    <w:rsid w:val="00BD53B3"/>
    <w:rsid w:val="00BD54FB"/>
    <w:rsid w:val="00BD5ABD"/>
    <w:rsid w:val="00BD627F"/>
    <w:rsid w:val="00BD6B32"/>
    <w:rsid w:val="00BD7898"/>
    <w:rsid w:val="00BD7B5D"/>
    <w:rsid w:val="00BE08D0"/>
    <w:rsid w:val="00BE0D7E"/>
    <w:rsid w:val="00BE1665"/>
    <w:rsid w:val="00BE1772"/>
    <w:rsid w:val="00BE17E4"/>
    <w:rsid w:val="00BE183D"/>
    <w:rsid w:val="00BE1896"/>
    <w:rsid w:val="00BE25CE"/>
    <w:rsid w:val="00BE2A9F"/>
    <w:rsid w:val="00BE3621"/>
    <w:rsid w:val="00BE3705"/>
    <w:rsid w:val="00BE390B"/>
    <w:rsid w:val="00BE3C5C"/>
    <w:rsid w:val="00BE3E02"/>
    <w:rsid w:val="00BE3E17"/>
    <w:rsid w:val="00BE4CED"/>
    <w:rsid w:val="00BE4FD4"/>
    <w:rsid w:val="00BE58F7"/>
    <w:rsid w:val="00BE5E93"/>
    <w:rsid w:val="00BE61BE"/>
    <w:rsid w:val="00BE7217"/>
    <w:rsid w:val="00BE725F"/>
    <w:rsid w:val="00BE7304"/>
    <w:rsid w:val="00BE75A4"/>
    <w:rsid w:val="00BE7709"/>
    <w:rsid w:val="00BE7FE4"/>
    <w:rsid w:val="00BF0124"/>
    <w:rsid w:val="00BF013E"/>
    <w:rsid w:val="00BF07ED"/>
    <w:rsid w:val="00BF0F5D"/>
    <w:rsid w:val="00BF1ABF"/>
    <w:rsid w:val="00BF1DEE"/>
    <w:rsid w:val="00BF3120"/>
    <w:rsid w:val="00BF3494"/>
    <w:rsid w:val="00BF366B"/>
    <w:rsid w:val="00BF3694"/>
    <w:rsid w:val="00BF388A"/>
    <w:rsid w:val="00BF3AB1"/>
    <w:rsid w:val="00BF3C26"/>
    <w:rsid w:val="00BF3CD9"/>
    <w:rsid w:val="00BF4660"/>
    <w:rsid w:val="00BF46A1"/>
    <w:rsid w:val="00BF49C3"/>
    <w:rsid w:val="00BF4E02"/>
    <w:rsid w:val="00BF4FCE"/>
    <w:rsid w:val="00BF5A25"/>
    <w:rsid w:val="00BF60F1"/>
    <w:rsid w:val="00BF6701"/>
    <w:rsid w:val="00BF6980"/>
    <w:rsid w:val="00BF7947"/>
    <w:rsid w:val="00BF7FD3"/>
    <w:rsid w:val="00C007CC"/>
    <w:rsid w:val="00C024DF"/>
    <w:rsid w:val="00C0276C"/>
    <w:rsid w:val="00C0286D"/>
    <w:rsid w:val="00C03069"/>
    <w:rsid w:val="00C030D9"/>
    <w:rsid w:val="00C04417"/>
    <w:rsid w:val="00C04806"/>
    <w:rsid w:val="00C05928"/>
    <w:rsid w:val="00C079ED"/>
    <w:rsid w:val="00C07CB5"/>
    <w:rsid w:val="00C1021C"/>
    <w:rsid w:val="00C10739"/>
    <w:rsid w:val="00C107B6"/>
    <w:rsid w:val="00C11003"/>
    <w:rsid w:val="00C111E9"/>
    <w:rsid w:val="00C11251"/>
    <w:rsid w:val="00C12578"/>
    <w:rsid w:val="00C1340A"/>
    <w:rsid w:val="00C13514"/>
    <w:rsid w:val="00C13A17"/>
    <w:rsid w:val="00C13B8E"/>
    <w:rsid w:val="00C13CD5"/>
    <w:rsid w:val="00C13F3C"/>
    <w:rsid w:val="00C13FA9"/>
    <w:rsid w:val="00C14EEA"/>
    <w:rsid w:val="00C14F1C"/>
    <w:rsid w:val="00C16253"/>
    <w:rsid w:val="00C166AD"/>
    <w:rsid w:val="00C16C9C"/>
    <w:rsid w:val="00C16EC8"/>
    <w:rsid w:val="00C17316"/>
    <w:rsid w:val="00C2006A"/>
    <w:rsid w:val="00C20BD8"/>
    <w:rsid w:val="00C20BF0"/>
    <w:rsid w:val="00C20EDC"/>
    <w:rsid w:val="00C21794"/>
    <w:rsid w:val="00C2284B"/>
    <w:rsid w:val="00C22874"/>
    <w:rsid w:val="00C229D2"/>
    <w:rsid w:val="00C22DF8"/>
    <w:rsid w:val="00C22F2F"/>
    <w:rsid w:val="00C234B4"/>
    <w:rsid w:val="00C235E2"/>
    <w:rsid w:val="00C23DA5"/>
    <w:rsid w:val="00C23E1D"/>
    <w:rsid w:val="00C240DA"/>
    <w:rsid w:val="00C242FF"/>
    <w:rsid w:val="00C24330"/>
    <w:rsid w:val="00C2480B"/>
    <w:rsid w:val="00C249E5"/>
    <w:rsid w:val="00C25631"/>
    <w:rsid w:val="00C25A4F"/>
    <w:rsid w:val="00C25F76"/>
    <w:rsid w:val="00C26450"/>
    <w:rsid w:val="00C26F21"/>
    <w:rsid w:val="00C274AD"/>
    <w:rsid w:val="00C30236"/>
    <w:rsid w:val="00C309A5"/>
    <w:rsid w:val="00C30A1B"/>
    <w:rsid w:val="00C310AC"/>
    <w:rsid w:val="00C31842"/>
    <w:rsid w:val="00C31904"/>
    <w:rsid w:val="00C31C94"/>
    <w:rsid w:val="00C31CDD"/>
    <w:rsid w:val="00C31F9A"/>
    <w:rsid w:val="00C321AA"/>
    <w:rsid w:val="00C322CB"/>
    <w:rsid w:val="00C327A5"/>
    <w:rsid w:val="00C32E5C"/>
    <w:rsid w:val="00C33077"/>
    <w:rsid w:val="00C334CB"/>
    <w:rsid w:val="00C33D11"/>
    <w:rsid w:val="00C348D5"/>
    <w:rsid w:val="00C34B49"/>
    <w:rsid w:val="00C34DEC"/>
    <w:rsid w:val="00C34FBC"/>
    <w:rsid w:val="00C352DB"/>
    <w:rsid w:val="00C3546A"/>
    <w:rsid w:val="00C35C11"/>
    <w:rsid w:val="00C36650"/>
    <w:rsid w:val="00C402F2"/>
    <w:rsid w:val="00C40A05"/>
    <w:rsid w:val="00C40A1C"/>
    <w:rsid w:val="00C4150F"/>
    <w:rsid w:val="00C418F0"/>
    <w:rsid w:val="00C4211B"/>
    <w:rsid w:val="00C421B8"/>
    <w:rsid w:val="00C428DB"/>
    <w:rsid w:val="00C43E9B"/>
    <w:rsid w:val="00C43ED0"/>
    <w:rsid w:val="00C44049"/>
    <w:rsid w:val="00C44111"/>
    <w:rsid w:val="00C44AB2"/>
    <w:rsid w:val="00C4506D"/>
    <w:rsid w:val="00C450A8"/>
    <w:rsid w:val="00C45CE9"/>
    <w:rsid w:val="00C466F8"/>
    <w:rsid w:val="00C46FA4"/>
    <w:rsid w:val="00C46FE3"/>
    <w:rsid w:val="00C47092"/>
    <w:rsid w:val="00C47E12"/>
    <w:rsid w:val="00C50BD6"/>
    <w:rsid w:val="00C51F96"/>
    <w:rsid w:val="00C52257"/>
    <w:rsid w:val="00C52322"/>
    <w:rsid w:val="00C52538"/>
    <w:rsid w:val="00C525F5"/>
    <w:rsid w:val="00C52A2B"/>
    <w:rsid w:val="00C52E8F"/>
    <w:rsid w:val="00C52F08"/>
    <w:rsid w:val="00C5379F"/>
    <w:rsid w:val="00C54309"/>
    <w:rsid w:val="00C5517B"/>
    <w:rsid w:val="00C553AB"/>
    <w:rsid w:val="00C553B9"/>
    <w:rsid w:val="00C55401"/>
    <w:rsid w:val="00C5557C"/>
    <w:rsid w:val="00C557E1"/>
    <w:rsid w:val="00C55924"/>
    <w:rsid w:val="00C561E5"/>
    <w:rsid w:val="00C56263"/>
    <w:rsid w:val="00C56A29"/>
    <w:rsid w:val="00C56B3A"/>
    <w:rsid w:val="00C57104"/>
    <w:rsid w:val="00C5792C"/>
    <w:rsid w:val="00C60E61"/>
    <w:rsid w:val="00C612B6"/>
    <w:rsid w:val="00C6171A"/>
    <w:rsid w:val="00C6175D"/>
    <w:rsid w:val="00C61BF9"/>
    <w:rsid w:val="00C61DFD"/>
    <w:rsid w:val="00C6215F"/>
    <w:rsid w:val="00C62561"/>
    <w:rsid w:val="00C62AB2"/>
    <w:rsid w:val="00C62C5D"/>
    <w:rsid w:val="00C62DB3"/>
    <w:rsid w:val="00C635B7"/>
    <w:rsid w:val="00C64205"/>
    <w:rsid w:val="00C64A1B"/>
    <w:rsid w:val="00C652E8"/>
    <w:rsid w:val="00C65479"/>
    <w:rsid w:val="00C659E3"/>
    <w:rsid w:val="00C65A05"/>
    <w:rsid w:val="00C65BF6"/>
    <w:rsid w:val="00C66064"/>
    <w:rsid w:val="00C66591"/>
    <w:rsid w:val="00C66A2C"/>
    <w:rsid w:val="00C672F7"/>
    <w:rsid w:val="00C675F6"/>
    <w:rsid w:val="00C701C1"/>
    <w:rsid w:val="00C70659"/>
    <w:rsid w:val="00C70CCD"/>
    <w:rsid w:val="00C72A62"/>
    <w:rsid w:val="00C72F3F"/>
    <w:rsid w:val="00C7315D"/>
    <w:rsid w:val="00C73172"/>
    <w:rsid w:val="00C738CB"/>
    <w:rsid w:val="00C73F6E"/>
    <w:rsid w:val="00C74103"/>
    <w:rsid w:val="00C74672"/>
    <w:rsid w:val="00C753D5"/>
    <w:rsid w:val="00C75C52"/>
    <w:rsid w:val="00C765E8"/>
    <w:rsid w:val="00C77892"/>
    <w:rsid w:val="00C80790"/>
    <w:rsid w:val="00C809C9"/>
    <w:rsid w:val="00C80ABF"/>
    <w:rsid w:val="00C8151C"/>
    <w:rsid w:val="00C81E91"/>
    <w:rsid w:val="00C8228B"/>
    <w:rsid w:val="00C82485"/>
    <w:rsid w:val="00C83589"/>
    <w:rsid w:val="00C839EE"/>
    <w:rsid w:val="00C839FD"/>
    <w:rsid w:val="00C83C93"/>
    <w:rsid w:val="00C83EDA"/>
    <w:rsid w:val="00C84B12"/>
    <w:rsid w:val="00C84C82"/>
    <w:rsid w:val="00C84FA8"/>
    <w:rsid w:val="00C8506C"/>
    <w:rsid w:val="00C85164"/>
    <w:rsid w:val="00C851E2"/>
    <w:rsid w:val="00C85230"/>
    <w:rsid w:val="00C854AB"/>
    <w:rsid w:val="00C858E1"/>
    <w:rsid w:val="00C8615F"/>
    <w:rsid w:val="00C864F1"/>
    <w:rsid w:val="00C867F7"/>
    <w:rsid w:val="00C86F78"/>
    <w:rsid w:val="00C86FA7"/>
    <w:rsid w:val="00C87007"/>
    <w:rsid w:val="00C878BB"/>
    <w:rsid w:val="00C87B3F"/>
    <w:rsid w:val="00C901CF"/>
    <w:rsid w:val="00C90794"/>
    <w:rsid w:val="00C90BC4"/>
    <w:rsid w:val="00C90BEB"/>
    <w:rsid w:val="00C90D99"/>
    <w:rsid w:val="00C91631"/>
    <w:rsid w:val="00C9195D"/>
    <w:rsid w:val="00C91DD8"/>
    <w:rsid w:val="00C923CC"/>
    <w:rsid w:val="00C9259B"/>
    <w:rsid w:val="00C9271D"/>
    <w:rsid w:val="00C92C4F"/>
    <w:rsid w:val="00C9301C"/>
    <w:rsid w:val="00C930B7"/>
    <w:rsid w:val="00C932D7"/>
    <w:rsid w:val="00C93520"/>
    <w:rsid w:val="00C936BC"/>
    <w:rsid w:val="00C937FC"/>
    <w:rsid w:val="00C93883"/>
    <w:rsid w:val="00C940DB"/>
    <w:rsid w:val="00C9483C"/>
    <w:rsid w:val="00C94F55"/>
    <w:rsid w:val="00C95720"/>
    <w:rsid w:val="00C95BEE"/>
    <w:rsid w:val="00C95F2B"/>
    <w:rsid w:val="00C96197"/>
    <w:rsid w:val="00C96A99"/>
    <w:rsid w:val="00C96C23"/>
    <w:rsid w:val="00C97024"/>
    <w:rsid w:val="00C97CB9"/>
    <w:rsid w:val="00CA0A6D"/>
    <w:rsid w:val="00CA13AF"/>
    <w:rsid w:val="00CA17C9"/>
    <w:rsid w:val="00CA1DA8"/>
    <w:rsid w:val="00CA1EF2"/>
    <w:rsid w:val="00CA21FA"/>
    <w:rsid w:val="00CA2947"/>
    <w:rsid w:val="00CA2B94"/>
    <w:rsid w:val="00CA2FD6"/>
    <w:rsid w:val="00CA3083"/>
    <w:rsid w:val="00CA313B"/>
    <w:rsid w:val="00CA332B"/>
    <w:rsid w:val="00CA36A4"/>
    <w:rsid w:val="00CA4849"/>
    <w:rsid w:val="00CA4BD7"/>
    <w:rsid w:val="00CA5375"/>
    <w:rsid w:val="00CA59CC"/>
    <w:rsid w:val="00CA5FD7"/>
    <w:rsid w:val="00CA6560"/>
    <w:rsid w:val="00CA6D1E"/>
    <w:rsid w:val="00CA6E46"/>
    <w:rsid w:val="00CA705C"/>
    <w:rsid w:val="00CA71F7"/>
    <w:rsid w:val="00CA780E"/>
    <w:rsid w:val="00CB066A"/>
    <w:rsid w:val="00CB068B"/>
    <w:rsid w:val="00CB0731"/>
    <w:rsid w:val="00CB0C42"/>
    <w:rsid w:val="00CB0F5B"/>
    <w:rsid w:val="00CB1200"/>
    <w:rsid w:val="00CB1748"/>
    <w:rsid w:val="00CB1B23"/>
    <w:rsid w:val="00CB1BB4"/>
    <w:rsid w:val="00CB2A1A"/>
    <w:rsid w:val="00CB2D78"/>
    <w:rsid w:val="00CB3033"/>
    <w:rsid w:val="00CB3464"/>
    <w:rsid w:val="00CB3B32"/>
    <w:rsid w:val="00CB3CA6"/>
    <w:rsid w:val="00CB3DC7"/>
    <w:rsid w:val="00CB4161"/>
    <w:rsid w:val="00CB43F6"/>
    <w:rsid w:val="00CB4530"/>
    <w:rsid w:val="00CB47DF"/>
    <w:rsid w:val="00CB49BD"/>
    <w:rsid w:val="00CB4B7F"/>
    <w:rsid w:val="00CB4C37"/>
    <w:rsid w:val="00CB55C7"/>
    <w:rsid w:val="00CB5826"/>
    <w:rsid w:val="00CB590D"/>
    <w:rsid w:val="00CB59F9"/>
    <w:rsid w:val="00CB5DA0"/>
    <w:rsid w:val="00CB62D2"/>
    <w:rsid w:val="00CB646E"/>
    <w:rsid w:val="00CB68EF"/>
    <w:rsid w:val="00CB73EB"/>
    <w:rsid w:val="00CB7B59"/>
    <w:rsid w:val="00CB7D33"/>
    <w:rsid w:val="00CB7EC8"/>
    <w:rsid w:val="00CC0200"/>
    <w:rsid w:val="00CC038C"/>
    <w:rsid w:val="00CC0992"/>
    <w:rsid w:val="00CC0DEB"/>
    <w:rsid w:val="00CC1A9A"/>
    <w:rsid w:val="00CC219F"/>
    <w:rsid w:val="00CC2333"/>
    <w:rsid w:val="00CC2A23"/>
    <w:rsid w:val="00CC2BD6"/>
    <w:rsid w:val="00CC2CAD"/>
    <w:rsid w:val="00CC2DC9"/>
    <w:rsid w:val="00CC2E19"/>
    <w:rsid w:val="00CC310C"/>
    <w:rsid w:val="00CC3B21"/>
    <w:rsid w:val="00CC41CF"/>
    <w:rsid w:val="00CC438D"/>
    <w:rsid w:val="00CC465E"/>
    <w:rsid w:val="00CC49F8"/>
    <w:rsid w:val="00CC52E4"/>
    <w:rsid w:val="00CC5CAC"/>
    <w:rsid w:val="00CC5E57"/>
    <w:rsid w:val="00CC6158"/>
    <w:rsid w:val="00CC61D9"/>
    <w:rsid w:val="00CC63A3"/>
    <w:rsid w:val="00CC68C2"/>
    <w:rsid w:val="00CC6976"/>
    <w:rsid w:val="00CC7891"/>
    <w:rsid w:val="00CC791F"/>
    <w:rsid w:val="00CC7C7E"/>
    <w:rsid w:val="00CD00A6"/>
    <w:rsid w:val="00CD02D9"/>
    <w:rsid w:val="00CD09B9"/>
    <w:rsid w:val="00CD0D7B"/>
    <w:rsid w:val="00CD0F84"/>
    <w:rsid w:val="00CD14E7"/>
    <w:rsid w:val="00CD1854"/>
    <w:rsid w:val="00CD2931"/>
    <w:rsid w:val="00CD2AA1"/>
    <w:rsid w:val="00CD2D91"/>
    <w:rsid w:val="00CD2F37"/>
    <w:rsid w:val="00CD3401"/>
    <w:rsid w:val="00CD340C"/>
    <w:rsid w:val="00CD3A90"/>
    <w:rsid w:val="00CD407D"/>
    <w:rsid w:val="00CD4416"/>
    <w:rsid w:val="00CD44E9"/>
    <w:rsid w:val="00CD466A"/>
    <w:rsid w:val="00CD4F8D"/>
    <w:rsid w:val="00CD5694"/>
    <w:rsid w:val="00CD5B00"/>
    <w:rsid w:val="00CD5D4A"/>
    <w:rsid w:val="00CD652D"/>
    <w:rsid w:val="00CD7D2A"/>
    <w:rsid w:val="00CD7D57"/>
    <w:rsid w:val="00CD7DDF"/>
    <w:rsid w:val="00CD7E64"/>
    <w:rsid w:val="00CE018B"/>
    <w:rsid w:val="00CE065C"/>
    <w:rsid w:val="00CE07B9"/>
    <w:rsid w:val="00CE0CCB"/>
    <w:rsid w:val="00CE1146"/>
    <w:rsid w:val="00CE19B6"/>
    <w:rsid w:val="00CE1A86"/>
    <w:rsid w:val="00CE2672"/>
    <w:rsid w:val="00CE2EC2"/>
    <w:rsid w:val="00CE3227"/>
    <w:rsid w:val="00CE37C1"/>
    <w:rsid w:val="00CE4178"/>
    <w:rsid w:val="00CE45A2"/>
    <w:rsid w:val="00CE4DB4"/>
    <w:rsid w:val="00CE5479"/>
    <w:rsid w:val="00CE55AA"/>
    <w:rsid w:val="00CE65BA"/>
    <w:rsid w:val="00CE7096"/>
    <w:rsid w:val="00CE70A3"/>
    <w:rsid w:val="00CE73F3"/>
    <w:rsid w:val="00CE78DF"/>
    <w:rsid w:val="00CF0177"/>
    <w:rsid w:val="00CF0AB9"/>
    <w:rsid w:val="00CF0D6B"/>
    <w:rsid w:val="00CF10A2"/>
    <w:rsid w:val="00CF12CE"/>
    <w:rsid w:val="00CF1310"/>
    <w:rsid w:val="00CF15A5"/>
    <w:rsid w:val="00CF1C59"/>
    <w:rsid w:val="00CF1E8A"/>
    <w:rsid w:val="00CF2283"/>
    <w:rsid w:val="00CF3B06"/>
    <w:rsid w:val="00CF3D99"/>
    <w:rsid w:val="00CF408B"/>
    <w:rsid w:val="00CF4834"/>
    <w:rsid w:val="00CF4AE7"/>
    <w:rsid w:val="00CF5479"/>
    <w:rsid w:val="00CF55C6"/>
    <w:rsid w:val="00CF55DC"/>
    <w:rsid w:val="00CF56CC"/>
    <w:rsid w:val="00CF5938"/>
    <w:rsid w:val="00CF644E"/>
    <w:rsid w:val="00CF6D0C"/>
    <w:rsid w:val="00CF75EE"/>
    <w:rsid w:val="00CF76EB"/>
    <w:rsid w:val="00CF7B03"/>
    <w:rsid w:val="00CF7C93"/>
    <w:rsid w:val="00CF7F73"/>
    <w:rsid w:val="00D00151"/>
    <w:rsid w:val="00D008A6"/>
    <w:rsid w:val="00D011DE"/>
    <w:rsid w:val="00D012E7"/>
    <w:rsid w:val="00D02FF9"/>
    <w:rsid w:val="00D03671"/>
    <w:rsid w:val="00D039E6"/>
    <w:rsid w:val="00D03D87"/>
    <w:rsid w:val="00D03E7A"/>
    <w:rsid w:val="00D03F3A"/>
    <w:rsid w:val="00D0443E"/>
    <w:rsid w:val="00D045F0"/>
    <w:rsid w:val="00D04615"/>
    <w:rsid w:val="00D04ADE"/>
    <w:rsid w:val="00D0515C"/>
    <w:rsid w:val="00D0588A"/>
    <w:rsid w:val="00D06174"/>
    <w:rsid w:val="00D0656C"/>
    <w:rsid w:val="00D0696E"/>
    <w:rsid w:val="00D06EF3"/>
    <w:rsid w:val="00D07AC3"/>
    <w:rsid w:val="00D102F6"/>
    <w:rsid w:val="00D10C2C"/>
    <w:rsid w:val="00D10C81"/>
    <w:rsid w:val="00D11707"/>
    <w:rsid w:val="00D1189D"/>
    <w:rsid w:val="00D11F65"/>
    <w:rsid w:val="00D12598"/>
    <w:rsid w:val="00D126C4"/>
    <w:rsid w:val="00D12E0C"/>
    <w:rsid w:val="00D13AE1"/>
    <w:rsid w:val="00D13CA4"/>
    <w:rsid w:val="00D145E0"/>
    <w:rsid w:val="00D14728"/>
    <w:rsid w:val="00D14FDF"/>
    <w:rsid w:val="00D1519F"/>
    <w:rsid w:val="00D152DB"/>
    <w:rsid w:val="00D15E43"/>
    <w:rsid w:val="00D16166"/>
    <w:rsid w:val="00D1660C"/>
    <w:rsid w:val="00D16DDF"/>
    <w:rsid w:val="00D1781D"/>
    <w:rsid w:val="00D200AE"/>
    <w:rsid w:val="00D20898"/>
    <w:rsid w:val="00D2093B"/>
    <w:rsid w:val="00D20BC9"/>
    <w:rsid w:val="00D20E34"/>
    <w:rsid w:val="00D21520"/>
    <w:rsid w:val="00D217EA"/>
    <w:rsid w:val="00D221A1"/>
    <w:rsid w:val="00D22724"/>
    <w:rsid w:val="00D232CB"/>
    <w:rsid w:val="00D234A7"/>
    <w:rsid w:val="00D24554"/>
    <w:rsid w:val="00D2549D"/>
    <w:rsid w:val="00D25B34"/>
    <w:rsid w:val="00D25B7A"/>
    <w:rsid w:val="00D2674D"/>
    <w:rsid w:val="00D27066"/>
    <w:rsid w:val="00D27A3D"/>
    <w:rsid w:val="00D30697"/>
    <w:rsid w:val="00D306F8"/>
    <w:rsid w:val="00D30ABD"/>
    <w:rsid w:val="00D31662"/>
    <w:rsid w:val="00D31846"/>
    <w:rsid w:val="00D31A56"/>
    <w:rsid w:val="00D31B73"/>
    <w:rsid w:val="00D3228B"/>
    <w:rsid w:val="00D32439"/>
    <w:rsid w:val="00D3267D"/>
    <w:rsid w:val="00D32EC9"/>
    <w:rsid w:val="00D32F84"/>
    <w:rsid w:val="00D3384C"/>
    <w:rsid w:val="00D33AAE"/>
    <w:rsid w:val="00D3422D"/>
    <w:rsid w:val="00D34E39"/>
    <w:rsid w:val="00D353C5"/>
    <w:rsid w:val="00D35B05"/>
    <w:rsid w:val="00D35C41"/>
    <w:rsid w:val="00D36495"/>
    <w:rsid w:val="00D36C8C"/>
    <w:rsid w:val="00D37167"/>
    <w:rsid w:val="00D37349"/>
    <w:rsid w:val="00D37867"/>
    <w:rsid w:val="00D402DE"/>
    <w:rsid w:val="00D40482"/>
    <w:rsid w:val="00D40624"/>
    <w:rsid w:val="00D4132F"/>
    <w:rsid w:val="00D414D7"/>
    <w:rsid w:val="00D41B09"/>
    <w:rsid w:val="00D42084"/>
    <w:rsid w:val="00D42089"/>
    <w:rsid w:val="00D429A1"/>
    <w:rsid w:val="00D429E3"/>
    <w:rsid w:val="00D4305A"/>
    <w:rsid w:val="00D43CB0"/>
    <w:rsid w:val="00D43CD3"/>
    <w:rsid w:val="00D448F7"/>
    <w:rsid w:val="00D44B16"/>
    <w:rsid w:val="00D44BCC"/>
    <w:rsid w:val="00D44F80"/>
    <w:rsid w:val="00D4531C"/>
    <w:rsid w:val="00D45371"/>
    <w:rsid w:val="00D4612D"/>
    <w:rsid w:val="00D4613C"/>
    <w:rsid w:val="00D46968"/>
    <w:rsid w:val="00D46E16"/>
    <w:rsid w:val="00D470E6"/>
    <w:rsid w:val="00D47307"/>
    <w:rsid w:val="00D47BEA"/>
    <w:rsid w:val="00D47FD8"/>
    <w:rsid w:val="00D50389"/>
    <w:rsid w:val="00D519F5"/>
    <w:rsid w:val="00D51AA2"/>
    <w:rsid w:val="00D51C6F"/>
    <w:rsid w:val="00D52205"/>
    <w:rsid w:val="00D526D9"/>
    <w:rsid w:val="00D52720"/>
    <w:rsid w:val="00D53320"/>
    <w:rsid w:val="00D537FA"/>
    <w:rsid w:val="00D53852"/>
    <w:rsid w:val="00D541E5"/>
    <w:rsid w:val="00D5423A"/>
    <w:rsid w:val="00D550A1"/>
    <w:rsid w:val="00D550A9"/>
    <w:rsid w:val="00D55139"/>
    <w:rsid w:val="00D55DBB"/>
    <w:rsid w:val="00D55ED7"/>
    <w:rsid w:val="00D568D1"/>
    <w:rsid w:val="00D56F9B"/>
    <w:rsid w:val="00D5713B"/>
    <w:rsid w:val="00D6030E"/>
    <w:rsid w:val="00D6073A"/>
    <w:rsid w:val="00D60A46"/>
    <w:rsid w:val="00D617B3"/>
    <w:rsid w:val="00D6188F"/>
    <w:rsid w:val="00D62E15"/>
    <w:rsid w:val="00D6338E"/>
    <w:rsid w:val="00D636F0"/>
    <w:rsid w:val="00D639D6"/>
    <w:rsid w:val="00D640F2"/>
    <w:rsid w:val="00D646F2"/>
    <w:rsid w:val="00D64A6F"/>
    <w:rsid w:val="00D64E99"/>
    <w:rsid w:val="00D65351"/>
    <w:rsid w:val="00D65B87"/>
    <w:rsid w:val="00D65BB2"/>
    <w:rsid w:val="00D65CDF"/>
    <w:rsid w:val="00D6636C"/>
    <w:rsid w:val="00D66634"/>
    <w:rsid w:val="00D666DD"/>
    <w:rsid w:val="00D6764F"/>
    <w:rsid w:val="00D70769"/>
    <w:rsid w:val="00D71122"/>
    <w:rsid w:val="00D71155"/>
    <w:rsid w:val="00D7134C"/>
    <w:rsid w:val="00D717E9"/>
    <w:rsid w:val="00D71C1C"/>
    <w:rsid w:val="00D71E27"/>
    <w:rsid w:val="00D71FC0"/>
    <w:rsid w:val="00D7219F"/>
    <w:rsid w:val="00D72422"/>
    <w:rsid w:val="00D72ADD"/>
    <w:rsid w:val="00D730CF"/>
    <w:rsid w:val="00D734B9"/>
    <w:rsid w:val="00D73B5B"/>
    <w:rsid w:val="00D73F53"/>
    <w:rsid w:val="00D748DC"/>
    <w:rsid w:val="00D74ABC"/>
    <w:rsid w:val="00D74BC9"/>
    <w:rsid w:val="00D74C6E"/>
    <w:rsid w:val="00D75A00"/>
    <w:rsid w:val="00D76174"/>
    <w:rsid w:val="00D76625"/>
    <w:rsid w:val="00D76AC2"/>
    <w:rsid w:val="00D7706F"/>
    <w:rsid w:val="00D7719E"/>
    <w:rsid w:val="00D777E2"/>
    <w:rsid w:val="00D77A63"/>
    <w:rsid w:val="00D77EE3"/>
    <w:rsid w:val="00D8076F"/>
    <w:rsid w:val="00D807E5"/>
    <w:rsid w:val="00D80C47"/>
    <w:rsid w:val="00D8108C"/>
    <w:rsid w:val="00D81316"/>
    <w:rsid w:val="00D81DF8"/>
    <w:rsid w:val="00D837D7"/>
    <w:rsid w:val="00D83E40"/>
    <w:rsid w:val="00D84586"/>
    <w:rsid w:val="00D84759"/>
    <w:rsid w:val="00D84978"/>
    <w:rsid w:val="00D85144"/>
    <w:rsid w:val="00D8587A"/>
    <w:rsid w:val="00D8589A"/>
    <w:rsid w:val="00D859DC"/>
    <w:rsid w:val="00D85BCB"/>
    <w:rsid w:val="00D860F2"/>
    <w:rsid w:val="00D9013A"/>
    <w:rsid w:val="00D90209"/>
    <w:rsid w:val="00D906E9"/>
    <w:rsid w:val="00D91298"/>
    <w:rsid w:val="00D91308"/>
    <w:rsid w:val="00D91488"/>
    <w:rsid w:val="00D91F2E"/>
    <w:rsid w:val="00D921C7"/>
    <w:rsid w:val="00D92D87"/>
    <w:rsid w:val="00D92E09"/>
    <w:rsid w:val="00D92E99"/>
    <w:rsid w:val="00D94BB6"/>
    <w:rsid w:val="00D95342"/>
    <w:rsid w:val="00D9535C"/>
    <w:rsid w:val="00D95B47"/>
    <w:rsid w:val="00D95BB2"/>
    <w:rsid w:val="00D95DE5"/>
    <w:rsid w:val="00D97545"/>
    <w:rsid w:val="00D977A8"/>
    <w:rsid w:val="00D97B02"/>
    <w:rsid w:val="00DA013F"/>
    <w:rsid w:val="00DA0FB6"/>
    <w:rsid w:val="00DA0FDF"/>
    <w:rsid w:val="00DA0FED"/>
    <w:rsid w:val="00DA1023"/>
    <w:rsid w:val="00DA11AB"/>
    <w:rsid w:val="00DA11DA"/>
    <w:rsid w:val="00DA142F"/>
    <w:rsid w:val="00DA1A85"/>
    <w:rsid w:val="00DA1BAD"/>
    <w:rsid w:val="00DA1BB8"/>
    <w:rsid w:val="00DA1D9D"/>
    <w:rsid w:val="00DA2EFC"/>
    <w:rsid w:val="00DA31A9"/>
    <w:rsid w:val="00DA31F7"/>
    <w:rsid w:val="00DA36B3"/>
    <w:rsid w:val="00DA3926"/>
    <w:rsid w:val="00DA39B1"/>
    <w:rsid w:val="00DA4214"/>
    <w:rsid w:val="00DA43C5"/>
    <w:rsid w:val="00DA48C3"/>
    <w:rsid w:val="00DA4B4C"/>
    <w:rsid w:val="00DA4C59"/>
    <w:rsid w:val="00DA506A"/>
    <w:rsid w:val="00DA508A"/>
    <w:rsid w:val="00DA5944"/>
    <w:rsid w:val="00DA5B99"/>
    <w:rsid w:val="00DA5D83"/>
    <w:rsid w:val="00DA6562"/>
    <w:rsid w:val="00DA6574"/>
    <w:rsid w:val="00DA6F10"/>
    <w:rsid w:val="00DA74D0"/>
    <w:rsid w:val="00DB0057"/>
    <w:rsid w:val="00DB00CA"/>
    <w:rsid w:val="00DB011B"/>
    <w:rsid w:val="00DB08AD"/>
    <w:rsid w:val="00DB0B88"/>
    <w:rsid w:val="00DB0F73"/>
    <w:rsid w:val="00DB0F8F"/>
    <w:rsid w:val="00DB16CA"/>
    <w:rsid w:val="00DB179E"/>
    <w:rsid w:val="00DB1ABE"/>
    <w:rsid w:val="00DB1BF7"/>
    <w:rsid w:val="00DB1D44"/>
    <w:rsid w:val="00DB34C2"/>
    <w:rsid w:val="00DB3544"/>
    <w:rsid w:val="00DB3716"/>
    <w:rsid w:val="00DB4B84"/>
    <w:rsid w:val="00DB4CBB"/>
    <w:rsid w:val="00DB504A"/>
    <w:rsid w:val="00DB569D"/>
    <w:rsid w:val="00DB5ED8"/>
    <w:rsid w:val="00DB62D1"/>
    <w:rsid w:val="00DB64E1"/>
    <w:rsid w:val="00DB6CC3"/>
    <w:rsid w:val="00DB7855"/>
    <w:rsid w:val="00DC06F0"/>
    <w:rsid w:val="00DC09F5"/>
    <w:rsid w:val="00DC0F56"/>
    <w:rsid w:val="00DC110E"/>
    <w:rsid w:val="00DC1210"/>
    <w:rsid w:val="00DC14F4"/>
    <w:rsid w:val="00DC1ADE"/>
    <w:rsid w:val="00DC36FA"/>
    <w:rsid w:val="00DC3993"/>
    <w:rsid w:val="00DC3D70"/>
    <w:rsid w:val="00DC4FF4"/>
    <w:rsid w:val="00DC6745"/>
    <w:rsid w:val="00DC67FA"/>
    <w:rsid w:val="00DC690D"/>
    <w:rsid w:val="00DC7478"/>
    <w:rsid w:val="00DC783D"/>
    <w:rsid w:val="00DC7A06"/>
    <w:rsid w:val="00DD0572"/>
    <w:rsid w:val="00DD09F2"/>
    <w:rsid w:val="00DD1BB0"/>
    <w:rsid w:val="00DD27E2"/>
    <w:rsid w:val="00DD2BD1"/>
    <w:rsid w:val="00DD3061"/>
    <w:rsid w:val="00DD34C6"/>
    <w:rsid w:val="00DD350B"/>
    <w:rsid w:val="00DD3691"/>
    <w:rsid w:val="00DD4E1C"/>
    <w:rsid w:val="00DD54C3"/>
    <w:rsid w:val="00DD54CA"/>
    <w:rsid w:val="00DD572F"/>
    <w:rsid w:val="00DD5E14"/>
    <w:rsid w:val="00DD6D2E"/>
    <w:rsid w:val="00DD6E87"/>
    <w:rsid w:val="00DD7084"/>
    <w:rsid w:val="00DD73D3"/>
    <w:rsid w:val="00DD7F39"/>
    <w:rsid w:val="00DD7FC6"/>
    <w:rsid w:val="00DE08D4"/>
    <w:rsid w:val="00DE0D83"/>
    <w:rsid w:val="00DE1193"/>
    <w:rsid w:val="00DE121D"/>
    <w:rsid w:val="00DE1223"/>
    <w:rsid w:val="00DE16CA"/>
    <w:rsid w:val="00DE1AC4"/>
    <w:rsid w:val="00DE1E2F"/>
    <w:rsid w:val="00DE1E8B"/>
    <w:rsid w:val="00DE21D9"/>
    <w:rsid w:val="00DE2450"/>
    <w:rsid w:val="00DE2860"/>
    <w:rsid w:val="00DE2E6F"/>
    <w:rsid w:val="00DE415C"/>
    <w:rsid w:val="00DE4F59"/>
    <w:rsid w:val="00DE60D2"/>
    <w:rsid w:val="00DE6365"/>
    <w:rsid w:val="00DE6646"/>
    <w:rsid w:val="00DE6B09"/>
    <w:rsid w:val="00DE6BD9"/>
    <w:rsid w:val="00DE7537"/>
    <w:rsid w:val="00DE796A"/>
    <w:rsid w:val="00DE7982"/>
    <w:rsid w:val="00DE7EF5"/>
    <w:rsid w:val="00DF0A80"/>
    <w:rsid w:val="00DF126F"/>
    <w:rsid w:val="00DF1582"/>
    <w:rsid w:val="00DF1B4F"/>
    <w:rsid w:val="00DF1C11"/>
    <w:rsid w:val="00DF1EC8"/>
    <w:rsid w:val="00DF20DA"/>
    <w:rsid w:val="00DF24BF"/>
    <w:rsid w:val="00DF2801"/>
    <w:rsid w:val="00DF2E6A"/>
    <w:rsid w:val="00DF39F3"/>
    <w:rsid w:val="00DF44C5"/>
    <w:rsid w:val="00DF4C9F"/>
    <w:rsid w:val="00DF4EC8"/>
    <w:rsid w:val="00DF50AF"/>
    <w:rsid w:val="00DF52B5"/>
    <w:rsid w:val="00DF530A"/>
    <w:rsid w:val="00DF5344"/>
    <w:rsid w:val="00DF53AD"/>
    <w:rsid w:val="00DF56DD"/>
    <w:rsid w:val="00DF5CA1"/>
    <w:rsid w:val="00DF652B"/>
    <w:rsid w:val="00DF6670"/>
    <w:rsid w:val="00DF7059"/>
    <w:rsid w:val="00DF72D3"/>
    <w:rsid w:val="00E00625"/>
    <w:rsid w:val="00E00780"/>
    <w:rsid w:val="00E00BC1"/>
    <w:rsid w:val="00E00C72"/>
    <w:rsid w:val="00E00D0A"/>
    <w:rsid w:val="00E019C2"/>
    <w:rsid w:val="00E01C20"/>
    <w:rsid w:val="00E023F7"/>
    <w:rsid w:val="00E028A6"/>
    <w:rsid w:val="00E032D8"/>
    <w:rsid w:val="00E03744"/>
    <w:rsid w:val="00E03B2D"/>
    <w:rsid w:val="00E04329"/>
    <w:rsid w:val="00E04AE7"/>
    <w:rsid w:val="00E04C2F"/>
    <w:rsid w:val="00E04C95"/>
    <w:rsid w:val="00E0520D"/>
    <w:rsid w:val="00E060EC"/>
    <w:rsid w:val="00E068BB"/>
    <w:rsid w:val="00E0725D"/>
    <w:rsid w:val="00E07B9F"/>
    <w:rsid w:val="00E1001D"/>
    <w:rsid w:val="00E102D0"/>
    <w:rsid w:val="00E10578"/>
    <w:rsid w:val="00E10E0F"/>
    <w:rsid w:val="00E10E64"/>
    <w:rsid w:val="00E11B45"/>
    <w:rsid w:val="00E11ED2"/>
    <w:rsid w:val="00E1230D"/>
    <w:rsid w:val="00E12CDC"/>
    <w:rsid w:val="00E12CFF"/>
    <w:rsid w:val="00E13F29"/>
    <w:rsid w:val="00E14A45"/>
    <w:rsid w:val="00E1505A"/>
    <w:rsid w:val="00E15828"/>
    <w:rsid w:val="00E15955"/>
    <w:rsid w:val="00E15B8B"/>
    <w:rsid w:val="00E1617D"/>
    <w:rsid w:val="00E16A58"/>
    <w:rsid w:val="00E16B2E"/>
    <w:rsid w:val="00E16B85"/>
    <w:rsid w:val="00E173E7"/>
    <w:rsid w:val="00E17954"/>
    <w:rsid w:val="00E1799F"/>
    <w:rsid w:val="00E17D4A"/>
    <w:rsid w:val="00E17E35"/>
    <w:rsid w:val="00E17FC2"/>
    <w:rsid w:val="00E203A9"/>
    <w:rsid w:val="00E2072A"/>
    <w:rsid w:val="00E21364"/>
    <w:rsid w:val="00E218F5"/>
    <w:rsid w:val="00E227A2"/>
    <w:rsid w:val="00E229BB"/>
    <w:rsid w:val="00E23133"/>
    <w:rsid w:val="00E234E5"/>
    <w:rsid w:val="00E23C4B"/>
    <w:rsid w:val="00E23FA8"/>
    <w:rsid w:val="00E249CF"/>
    <w:rsid w:val="00E24E84"/>
    <w:rsid w:val="00E25CBA"/>
    <w:rsid w:val="00E25DEE"/>
    <w:rsid w:val="00E26338"/>
    <w:rsid w:val="00E26D63"/>
    <w:rsid w:val="00E2735B"/>
    <w:rsid w:val="00E278A4"/>
    <w:rsid w:val="00E27A49"/>
    <w:rsid w:val="00E27CD8"/>
    <w:rsid w:val="00E27F02"/>
    <w:rsid w:val="00E301E5"/>
    <w:rsid w:val="00E30291"/>
    <w:rsid w:val="00E30641"/>
    <w:rsid w:val="00E31154"/>
    <w:rsid w:val="00E3119F"/>
    <w:rsid w:val="00E3125C"/>
    <w:rsid w:val="00E3142F"/>
    <w:rsid w:val="00E315B1"/>
    <w:rsid w:val="00E319E5"/>
    <w:rsid w:val="00E31D62"/>
    <w:rsid w:val="00E321A5"/>
    <w:rsid w:val="00E32938"/>
    <w:rsid w:val="00E32AED"/>
    <w:rsid w:val="00E32E96"/>
    <w:rsid w:val="00E32F1B"/>
    <w:rsid w:val="00E332E0"/>
    <w:rsid w:val="00E3363F"/>
    <w:rsid w:val="00E342F5"/>
    <w:rsid w:val="00E347CA"/>
    <w:rsid w:val="00E34969"/>
    <w:rsid w:val="00E34BE6"/>
    <w:rsid w:val="00E34D80"/>
    <w:rsid w:val="00E34F0B"/>
    <w:rsid w:val="00E3593C"/>
    <w:rsid w:val="00E35EB4"/>
    <w:rsid w:val="00E35F4F"/>
    <w:rsid w:val="00E36693"/>
    <w:rsid w:val="00E36B8C"/>
    <w:rsid w:val="00E36F0D"/>
    <w:rsid w:val="00E376C9"/>
    <w:rsid w:val="00E377AE"/>
    <w:rsid w:val="00E37FEB"/>
    <w:rsid w:val="00E40093"/>
    <w:rsid w:val="00E40280"/>
    <w:rsid w:val="00E40C4E"/>
    <w:rsid w:val="00E40D03"/>
    <w:rsid w:val="00E411DD"/>
    <w:rsid w:val="00E415EF"/>
    <w:rsid w:val="00E41857"/>
    <w:rsid w:val="00E41FA5"/>
    <w:rsid w:val="00E4260E"/>
    <w:rsid w:val="00E4263E"/>
    <w:rsid w:val="00E42987"/>
    <w:rsid w:val="00E43027"/>
    <w:rsid w:val="00E431C5"/>
    <w:rsid w:val="00E431E3"/>
    <w:rsid w:val="00E43486"/>
    <w:rsid w:val="00E43566"/>
    <w:rsid w:val="00E43794"/>
    <w:rsid w:val="00E43B71"/>
    <w:rsid w:val="00E43C51"/>
    <w:rsid w:val="00E44360"/>
    <w:rsid w:val="00E44A8D"/>
    <w:rsid w:val="00E44A9F"/>
    <w:rsid w:val="00E44B04"/>
    <w:rsid w:val="00E4533D"/>
    <w:rsid w:val="00E4539B"/>
    <w:rsid w:val="00E45E33"/>
    <w:rsid w:val="00E464D3"/>
    <w:rsid w:val="00E46A86"/>
    <w:rsid w:val="00E46B29"/>
    <w:rsid w:val="00E473DE"/>
    <w:rsid w:val="00E476DD"/>
    <w:rsid w:val="00E47FE4"/>
    <w:rsid w:val="00E5030D"/>
    <w:rsid w:val="00E50346"/>
    <w:rsid w:val="00E503B6"/>
    <w:rsid w:val="00E504EB"/>
    <w:rsid w:val="00E5180F"/>
    <w:rsid w:val="00E5194E"/>
    <w:rsid w:val="00E51B0B"/>
    <w:rsid w:val="00E51D2E"/>
    <w:rsid w:val="00E52603"/>
    <w:rsid w:val="00E52FC2"/>
    <w:rsid w:val="00E53722"/>
    <w:rsid w:val="00E53A21"/>
    <w:rsid w:val="00E53AC5"/>
    <w:rsid w:val="00E540BD"/>
    <w:rsid w:val="00E542B3"/>
    <w:rsid w:val="00E548F6"/>
    <w:rsid w:val="00E54B08"/>
    <w:rsid w:val="00E55409"/>
    <w:rsid w:val="00E5543E"/>
    <w:rsid w:val="00E5549D"/>
    <w:rsid w:val="00E55C99"/>
    <w:rsid w:val="00E56409"/>
    <w:rsid w:val="00E566A5"/>
    <w:rsid w:val="00E56806"/>
    <w:rsid w:val="00E56D72"/>
    <w:rsid w:val="00E57D42"/>
    <w:rsid w:val="00E60177"/>
    <w:rsid w:val="00E602B7"/>
    <w:rsid w:val="00E60669"/>
    <w:rsid w:val="00E60B35"/>
    <w:rsid w:val="00E60D2A"/>
    <w:rsid w:val="00E6177D"/>
    <w:rsid w:val="00E61F9A"/>
    <w:rsid w:val="00E61FF8"/>
    <w:rsid w:val="00E62049"/>
    <w:rsid w:val="00E620E4"/>
    <w:rsid w:val="00E63447"/>
    <w:rsid w:val="00E636B7"/>
    <w:rsid w:val="00E63738"/>
    <w:rsid w:val="00E63C49"/>
    <w:rsid w:val="00E64748"/>
    <w:rsid w:val="00E64F0D"/>
    <w:rsid w:val="00E65275"/>
    <w:rsid w:val="00E65EAD"/>
    <w:rsid w:val="00E660AD"/>
    <w:rsid w:val="00E66485"/>
    <w:rsid w:val="00E66E6A"/>
    <w:rsid w:val="00E70172"/>
    <w:rsid w:val="00E709F5"/>
    <w:rsid w:val="00E70CE2"/>
    <w:rsid w:val="00E71564"/>
    <w:rsid w:val="00E71B45"/>
    <w:rsid w:val="00E725FC"/>
    <w:rsid w:val="00E7267F"/>
    <w:rsid w:val="00E72779"/>
    <w:rsid w:val="00E745EC"/>
    <w:rsid w:val="00E748FA"/>
    <w:rsid w:val="00E749D4"/>
    <w:rsid w:val="00E74BAF"/>
    <w:rsid w:val="00E750A3"/>
    <w:rsid w:val="00E75243"/>
    <w:rsid w:val="00E7546D"/>
    <w:rsid w:val="00E759D7"/>
    <w:rsid w:val="00E76E71"/>
    <w:rsid w:val="00E77281"/>
    <w:rsid w:val="00E77663"/>
    <w:rsid w:val="00E776D2"/>
    <w:rsid w:val="00E77C07"/>
    <w:rsid w:val="00E80024"/>
    <w:rsid w:val="00E803B5"/>
    <w:rsid w:val="00E8066E"/>
    <w:rsid w:val="00E80962"/>
    <w:rsid w:val="00E81389"/>
    <w:rsid w:val="00E815ED"/>
    <w:rsid w:val="00E81B3F"/>
    <w:rsid w:val="00E81C6E"/>
    <w:rsid w:val="00E82845"/>
    <w:rsid w:val="00E82CD9"/>
    <w:rsid w:val="00E834B9"/>
    <w:rsid w:val="00E83955"/>
    <w:rsid w:val="00E83AAF"/>
    <w:rsid w:val="00E83C59"/>
    <w:rsid w:val="00E83E64"/>
    <w:rsid w:val="00E845A6"/>
    <w:rsid w:val="00E846D5"/>
    <w:rsid w:val="00E84886"/>
    <w:rsid w:val="00E85044"/>
    <w:rsid w:val="00E85070"/>
    <w:rsid w:val="00E85199"/>
    <w:rsid w:val="00E851A3"/>
    <w:rsid w:val="00E85352"/>
    <w:rsid w:val="00E85B2A"/>
    <w:rsid w:val="00E86150"/>
    <w:rsid w:val="00E867D7"/>
    <w:rsid w:val="00E86CE6"/>
    <w:rsid w:val="00E90290"/>
    <w:rsid w:val="00E904E4"/>
    <w:rsid w:val="00E90A7A"/>
    <w:rsid w:val="00E90AB1"/>
    <w:rsid w:val="00E90ED1"/>
    <w:rsid w:val="00E91171"/>
    <w:rsid w:val="00E914F0"/>
    <w:rsid w:val="00E916A6"/>
    <w:rsid w:val="00E91E48"/>
    <w:rsid w:val="00E91FEE"/>
    <w:rsid w:val="00E92180"/>
    <w:rsid w:val="00E924F5"/>
    <w:rsid w:val="00E9291A"/>
    <w:rsid w:val="00E92B01"/>
    <w:rsid w:val="00E92CE8"/>
    <w:rsid w:val="00E935FA"/>
    <w:rsid w:val="00E93C78"/>
    <w:rsid w:val="00E9458E"/>
    <w:rsid w:val="00E94B14"/>
    <w:rsid w:val="00E95B8F"/>
    <w:rsid w:val="00E96284"/>
    <w:rsid w:val="00E9683D"/>
    <w:rsid w:val="00E968E3"/>
    <w:rsid w:val="00E96B47"/>
    <w:rsid w:val="00E96C89"/>
    <w:rsid w:val="00E97864"/>
    <w:rsid w:val="00E97A38"/>
    <w:rsid w:val="00EA0729"/>
    <w:rsid w:val="00EA0F63"/>
    <w:rsid w:val="00EA166B"/>
    <w:rsid w:val="00EA196A"/>
    <w:rsid w:val="00EA20D8"/>
    <w:rsid w:val="00EA266D"/>
    <w:rsid w:val="00EA29DC"/>
    <w:rsid w:val="00EA2C52"/>
    <w:rsid w:val="00EA2E0A"/>
    <w:rsid w:val="00EA3763"/>
    <w:rsid w:val="00EA3D71"/>
    <w:rsid w:val="00EA44ED"/>
    <w:rsid w:val="00EA4821"/>
    <w:rsid w:val="00EA5044"/>
    <w:rsid w:val="00EA523C"/>
    <w:rsid w:val="00EA5334"/>
    <w:rsid w:val="00EA5490"/>
    <w:rsid w:val="00EA5783"/>
    <w:rsid w:val="00EA5984"/>
    <w:rsid w:val="00EA59F7"/>
    <w:rsid w:val="00EA5BE1"/>
    <w:rsid w:val="00EA6552"/>
    <w:rsid w:val="00EA6586"/>
    <w:rsid w:val="00EA6A41"/>
    <w:rsid w:val="00EA6D7A"/>
    <w:rsid w:val="00EA726B"/>
    <w:rsid w:val="00EA79A9"/>
    <w:rsid w:val="00EA7ADF"/>
    <w:rsid w:val="00EA7C2C"/>
    <w:rsid w:val="00EB00AD"/>
    <w:rsid w:val="00EB0331"/>
    <w:rsid w:val="00EB05B7"/>
    <w:rsid w:val="00EB0733"/>
    <w:rsid w:val="00EB0A0D"/>
    <w:rsid w:val="00EB0B68"/>
    <w:rsid w:val="00EB0F5D"/>
    <w:rsid w:val="00EB0FFA"/>
    <w:rsid w:val="00EB12AD"/>
    <w:rsid w:val="00EB1AD2"/>
    <w:rsid w:val="00EB1FCF"/>
    <w:rsid w:val="00EB27C5"/>
    <w:rsid w:val="00EB333C"/>
    <w:rsid w:val="00EB3DA9"/>
    <w:rsid w:val="00EB3F99"/>
    <w:rsid w:val="00EB4504"/>
    <w:rsid w:val="00EB4D95"/>
    <w:rsid w:val="00EB53E0"/>
    <w:rsid w:val="00EB573A"/>
    <w:rsid w:val="00EB5EF0"/>
    <w:rsid w:val="00EB6334"/>
    <w:rsid w:val="00EB6413"/>
    <w:rsid w:val="00EB661F"/>
    <w:rsid w:val="00EB681F"/>
    <w:rsid w:val="00EB696B"/>
    <w:rsid w:val="00EB6B6C"/>
    <w:rsid w:val="00EB6C35"/>
    <w:rsid w:val="00EB7130"/>
    <w:rsid w:val="00EB7255"/>
    <w:rsid w:val="00EB7427"/>
    <w:rsid w:val="00EB7631"/>
    <w:rsid w:val="00EB77D4"/>
    <w:rsid w:val="00EC070D"/>
    <w:rsid w:val="00EC1B6B"/>
    <w:rsid w:val="00EC24DE"/>
    <w:rsid w:val="00EC278C"/>
    <w:rsid w:val="00EC27C6"/>
    <w:rsid w:val="00EC28F3"/>
    <w:rsid w:val="00EC2946"/>
    <w:rsid w:val="00EC2958"/>
    <w:rsid w:val="00EC31FF"/>
    <w:rsid w:val="00EC403B"/>
    <w:rsid w:val="00EC5432"/>
    <w:rsid w:val="00EC58E4"/>
    <w:rsid w:val="00EC59D2"/>
    <w:rsid w:val="00EC5CF4"/>
    <w:rsid w:val="00EC5F06"/>
    <w:rsid w:val="00EC613F"/>
    <w:rsid w:val="00EC63BF"/>
    <w:rsid w:val="00EC6AC7"/>
    <w:rsid w:val="00EC6CEF"/>
    <w:rsid w:val="00EC7414"/>
    <w:rsid w:val="00ED007D"/>
    <w:rsid w:val="00ED00D2"/>
    <w:rsid w:val="00ED08D5"/>
    <w:rsid w:val="00ED098A"/>
    <w:rsid w:val="00ED09EF"/>
    <w:rsid w:val="00ED0D97"/>
    <w:rsid w:val="00ED0DD7"/>
    <w:rsid w:val="00ED1099"/>
    <w:rsid w:val="00ED1AF3"/>
    <w:rsid w:val="00ED2251"/>
    <w:rsid w:val="00ED22F3"/>
    <w:rsid w:val="00ED2A7E"/>
    <w:rsid w:val="00ED2F6D"/>
    <w:rsid w:val="00ED3296"/>
    <w:rsid w:val="00ED32C1"/>
    <w:rsid w:val="00ED32DB"/>
    <w:rsid w:val="00ED3C2B"/>
    <w:rsid w:val="00ED3DFD"/>
    <w:rsid w:val="00ED3F8A"/>
    <w:rsid w:val="00ED4009"/>
    <w:rsid w:val="00ED44E4"/>
    <w:rsid w:val="00ED45DF"/>
    <w:rsid w:val="00ED4FED"/>
    <w:rsid w:val="00ED5A0B"/>
    <w:rsid w:val="00ED6048"/>
    <w:rsid w:val="00ED6516"/>
    <w:rsid w:val="00ED661E"/>
    <w:rsid w:val="00ED6FD2"/>
    <w:rsid w:val="00ED715C"/>
    <w:rsid w:val="00ED7A0F"/>
    <w:rsid w:val="00ED7E48"/>
    <w:rsid w:val="00EE18EC"/>
    <w:rsid w:val="00EE1E39"/>
    <w:rsid w:val="00EE2313"/>
    <w:rsid w:val="00EE246C"/>
    <w:rsid w:val="00EE3616"/>
    <w:rsid w:val="00EE3654"/>
    <w:rsid w:val="00EE36C8"/>
    <w:rsid w:val="00EE4478"/>
    <w:rsid w:val="00EE5134"/>
    <w:rsid w:val="00EE5189"/>
    <w:rsid w:val="00EE59CF"/>
    <w:rsid w:val="00EE5DCC"/>
    <w:rsid w:val="00EE6475"/>
    <w:rsid w:val="00EE6539"/>
    <w:rsid w:val="00EE69AF"/>
    <w:rsid w:val="00EE6C6C"/>
    <w:rsid w:val="00EE6D63"/>
    <w:rsid w:val="00EF000F"/>
    <w:rsid w:val="00EF015E"/>
    <w:rsid w:val="00EF081F"/>
    <w:rsid w:val="00EF0D2E"/>
    <w:rsid w:val="00EF0EBE"/>
    <w:rsid w:val="00EF13AC"/>
    <w:rsid w:val="00EF20BB"/>
    <w:rsid w:val="00EF20FA"/>
    <w:rsid w:val="00EF2114"/>
    <w:rsid w:val="00EF268B"/>
    <w:rsid w:val="00EF2850"/>
    <w:rsid w:val="00EF2D44"/>
    <w:rsid w:val="00EF313F"/>
    <w:rsid w:val="00EF40E2"/>
    <w:rsid w:val="00EF40EB"/>
    <w:rsid w:val="00EF4478"/>
    <w:rsid w:val="00EF448F"/>
    <w:rsid w:val="00EF47D3"/>
    <w:rsid w:val="00EF4836"/>
    <w:rsid w:val="00EF594F"/>
    <w:rsid w:val="00EF5C36"/>
    <w:rsid w:val="00EF5D69"/>
    <w:rsid w:val="00EF5FFE"/>
    <w:rsid w:val="00EF602D"/>
    <w:rsid w:val="00EF6DEF"/>
    <w:rsid w:val="00EF71E6"/>
    <w:rsid w:val="00EF7A93"/>
    <w:rsid w:val="00EF7B11"/>
    <w:rsid w:val="00EF7CFB"/>
    <w:rsid w:val="00F0033B"/>
    <w:rsid w:val="00F011A6"/>
    <w:rsid w:val="00F01580"/>
    <w:rsid w:val="00F018C6"/>
    <w:rsid w:val="00F01AB5"/>
    <w:rsid w:val="00F01ACD"/>
    <w:rsid w:val="00F0245D"/>
    <w:rsid w:val="00F03D04"/>
    <w:rsid w:val="00F03FBD"/>
    <w:rsid w:val="00F04B35"/>
    <w:rsid w:val="00F056E6"/>
    <w:rsid w:val="00F05A55"/>
    <w:rsid w:val="00F05C40"/>
    <w:rsid w:val="00F0611F"/>
    <w:rsid w:val="00F06200"/>
    <w:rsid w:val="00F06B52"/>
    <w:rsid w:val="00F07157"/>
    <w:rsid w:val="00F07769"/>
    <w:rsid w:val="00F078B2"/>
    <w:rsid w:val="00F07B6B"/>
    <w:rsid w:val="00F07CB8"/>
    <w:rsid w:val="00F105BC"/>
    <w:rsid w:val="00F11C21"/>
    <w:rsid w:val="00F12B10"/>
    <w:rsid w:val="00F12D15"/>
    <w:rsid w:val="00F12E23"/>
    <w:rsid w:val="00F1350A"/>
    <w:rsid w:val="00F13523"/>
    <w:rsid w:val="00F13B2A"/>
    <w:rsid w:val="00F13C8E"/>
    <w:rsid w:val="00F14D94"/>
    <w:rsid w:val="00F1583B"/>
    <w:rsid w:val="00F1598B"/>
    <w:rsid w:val="00F15D99"/>
    <w:rsid w:val="00F16069"/>
    <w:rsid w:val="00F164D7"/>
    <w:rsid w:val="00F16BC0"/>
    <w:rsid w:val="00F16D46"/>
    <w:rsid w:val="00F17508"/>
    <w:rsid w:val="00F179DD"/>
    <w:rsid w:val="00F17ADC"/>
    <w:rsid w:val="00F200E0"/>
    <w:rsid w:val="00F20149"/>
    <w:rsid w:val="00F20699"/>
    <w:rsid w:val="00F21AAB"/>
    <w:rsid w:val="00F21AD2"/>
    <w:rsid w:val="00F21EF8"/>
    <w:rsid w:val="00F223DC"/>
    <w:rsid w:val="00F223F6"/>
    <w:rsid w:val="00F2265B"/>
    <w:rsid w:val="00F227BE"/>
    <w:rsid w:val="00F22901"/>
    <w:rsid w:val="00F22A2D"/>
    <w:rsid w:val="00F22D18"/>
    <w:rsid w:val="00F2349E"/>
    <w:rsid w:val="00F23540"/>
    <w:rsid w:val="00F23E20"/>
    <w:rsid w:val="00F23EE3"/>
    <w:rsid w:val="00F24181"/>
    <w:rsid w:val="00F24190"/>
    <w:rsid w:val="00F242B2"/>
    <w:rsid w:val="00F24316"/>
    <w:rsid w:val="00F24430"/>
    <w:rsid w:val="00F246CD"/>
    <w:rsid w:val="00F24C21"/>
    <w:rsid w:val="00F24CFD"/>
    <w:rsid w:val="00F25C0A"/>
    <w:rsid w:val="00F262AD"/>
    <w:rsid w:val="00F26467"/>
    <w:rsid w:val="00F265A3"/>
    <w:rsid w:val="00F26684"/>
    <w:rsid w:val="00F26738"/>
    <w:rsid w:val="00F26A81"/>
    <w:rsid w:val="00F26ED7"/>
    <w:rsid w:val="00F26FA2"/>
    <w:rsid w:val="00F2776D"/>
    <w:rsid w:val="00F27A6B"/>
    <w:rsid w:val="00F30120"/>
    <w:rsid w:val="00F30204"/>
    <w:rsid w:val="00F3020B"/>
    <w:rsid w:val="00F305F8"/>
    <w:rsid w:val="00F307FA"/>
    <w:rsid w:val="00F30EB8"/>
    <w:rsid w:val="00F312DD"/>
    <w:rsid w:val="00F31737"/>
    <w:rsid w:val="00F324AA"/>
    <w:rsid w:val="00F32871"/>
    <w:rsid w:val="00F33BF4"/>
    <w:rsid w:val="00F33D2D"/>
    <w:rsid w:val="00F34594"/>
    <w:rsid w:val="00F345DC"/>
    <w:rsid w:val="00F34E9C"/>
    <w:rsid w:val="00F34F01"/>
    <w:rsid w:val="00F35B1A"/>
    <w:rsid w:val="00F35DF7"/>
    <w:rsid w:val="00F364B5"/>
    <w:rsid w:val="00F36B87"/>
    <w:rsid w:val="00F3709C"/>
    <w:rsid w:val="00F3741E"/>
    <w:rsid w:val="00F37540"/>
    <w:rsid w:val="00F37596"/>
    <w:rsid w:val="00F37839"/>
    <w:rsid w:val="00F40094"/>
    <w:rsid w:val="00F4024E"/>
    <w:rsid w:val="00F4032A"/>
    <w:rsid w:val="00F403C0"/>
    <w:rsid w:val="00F404F2"/>
    <w:rsid w:val="00F40565"/>
    <w:rsid w:val="00F4079B"/>
    <w:rsid w:val="00F4087E"/>
    <w:rsid w:val="00F40978"/>
    <w:rsid w:val="00F40A2E"/>
    <w:rsid w:val="00F40C09"/>
    <w:rsid w:val="00F40D6C"/>
    <w:rsid w:val="00F41362"/>
    <w:rsid w:val="00F41715"/>
    <w:rsid w:val="00F417DC"/>
    <w:rsid w:val="00F41F0E"/>
    <w:rsid w:val="00F422AF"/>
    <w:rsid w:val="00F425D2"/>
    <w:rsid w:val="00F426DB"/>
    <w:rsid w:val="00F43485"/>
    <w:rsid w:val="00F43496"/>
    <w:rsid w:val="00F43587"/>
    <w:rsid w:val="00F435AE"/>
    <w:rsid w:val="00F44309"/>
    <w:rsid w:val="00F449EA"/>
    <w:rsid w:val="00F45277"/>
    <w:rsid w:val="00F452B7"/>
    <w:rsid w:val="00F454E9"/>
    <w:rsid w:val="00F45504"/>
    <w:rsid w:val="00F4582D"/>
    <w:rsid w:val="00F45D81"/>
    <w:rsid w:val="00F45E28"/>
    <w:rsid w:val="00F46180"/>
    <w:rsid w:val="00F46692"/>
    <w:rsid w:val="00F4712F"/>
    <w:rsid w:val="00F47C14"/>
    <w:rsid w:val="00F50255"/>
    <w:rsid w:val="00F502E2"/>
    <w:rsid w:val="00F5096A"/>
    <w:rsid w:val="00F50E0B"/>
    <w:rsid w:val="00F51638"/>
    <w:rsid w:val="00F51A3E"/>
    <w:rsid w:val="00F5218B"/>
    <w:rsid w:val="00F52B5A"/>
    <w:rsid w:val="00F52C09"/>
    <w:rsid w:val="00F5325F"/>
    <w:rsid w:val="00F53D84"/>
    <w:rsid w:val="00F540CE"/>
    <w:rsid w:val="00F5485F"/>
    <w:rsid w:val="00F54A42"/>
    <w:rsid w:val="00F54FB6"/>
    <w:rsid w:val="00F5580D"/>
    <w:rsid w:val="00F55BEC"/>
    <w:rsid w:val="00F55D72"/>
    <w:rsid w:val="00F56291"/>
    <w:rsid w:val="00F563E4"/>
    <w:rsid w:val="00F56698"/>
    <w:rsid w:val="00F568F5"/>
    <w:rsid w:val="00F573CA"/>
    <w:rsid w:val="00F57DE7"/>
    <w:rsid w:val="00F601FA"/>
    <w:rsid w:val="00F602BD"/>
    <w:rsid w:val="00F602CA"/>
    <w:rsid w:val="00F606FF"/>
    <w:rsid w:val="00F61652"/>
    <w:rsid w:val="00F61FC5"/>
    <w:rsid w:val="00F621AA"/>
    <w:rsid w:val="00F62FF2"/>
    <w:rsid w:val="00F6311E"/>
    <w:rsid w:val="00F63BA6"/>
    <w:rsid w:val="00F63C54"/>
    <w:rsid w:val="00F63EEC"/>
    <w:rsid w:val="00F64AC2"/>
    <w:rsid w:val="00F64DD1"/>
    <w:rsid w:val="00F65283"/>
    <w:rsid w:val="00F66182"/>
    <w:rsid w:val="00F6634E"/>
    <w:rsid w:val="00F66B7B"/>
    <w:rsid w:val="00F66D4F"/>
    <w:rsid w:val="00F6781E"/>
    <w:rsid w:val="00F70B71"/>
    <w:rsid w:val="00F70C00"/>
    <w:rsid w:val="00F70D7E"/>
    <w:rsid w:val="00F7108A"/>
    <w:rsid w:val="00F715C0"/>
    <w:rsid w:val="00F723E4"/>
    <w:rsid w:val="00F728A8"/>
    <w:rsid w:val="00F728DB"/>
    <w:rsid w:val="00F7423E"/>
    <w:rsid w:val="00F74AEE"/>
    <w:rsid w:val="00F74C9F"/>
    <w:rsid w:val="00F74FEC"/>
    <w:rsid w:val="00F751F4"/>
    <w:rsid w:val="00F754CD"/>
    <w:rsid w:val="00F75529"/>
    <w:rsid w:val="00F7562A"/>
    <w:rsid w:val="00F75CEC"/>
    <w:rsid w:val="00F76143"/>
    <w:rsid w:val="00F76269"/>
    <w:rsid w:val="00F76378"/>
    <w:rsid w:val="00F768E7"/>
    <w:rsid w:val="00F76B15"/>
    <w:rsid w:val="00F77357"/>
    <w:rsid w:val="00F80620"/>
    <w:rsid w:val="00F80CA8"/>
    <w:rsid w:val="00F811D7"/>
    <w:rsid w:val="00F817DF"/>
    <w:rsid w:val="00F819FC"/>
    <w:rsid w:val="00F81AA1"/>
    <w:rsid w:val="00F822FF"/>
    <w:rsid w:val="00F8242C"/>
    <w:rsid w:val="00F825CA"/>
    <w:rsid w:val="00F82B4F"/>
    <w:rsid w:val="00F82CD3"/>
    <w:rsid w:val="00F82DA0"/>
    <w:rsid w:val="00F82EF0"/>
    <w:rsid w:val="00F833AA"/>
    <w:rsid w:val="00F8384E"/>
    <w:rsid w:val="00F84300"/>
    <w:rsid w:val="00F853E9"/>
    <w:rsid w:val="00F85453"/>
    <w:rsid w:val="00F859B0"/>
    <w:rsid w:val="00F86CF7"/>
    <w:rsid w:val="00F86DC9"/>
    <w:rsid w:val="00F87879"/>
    <w:rsid w:val="00F90C02"/>
    <w:rsid w:val="00F90CFC"/>
    <w:rsid w:val="00F9112A"/>
    <w:rsid w:val="00F91931"/>
    <w:rsid w:val="00F91F93"/>
    <w:rsid w:val="00F922DE"/>
    <w:rsid w:val="00F929CC"/>
    <w:rsid w:val="00F933F2"/>
    <w:rsid w:val="00F935B0"/>
    <w:rsid w:val="00F93C2B"/>
    <w:rsid w:val="00F93C98"/>
    <w:rsid w:val="00F93E5E"/>
    <w:rsid w:val="00F93F48"/>
    <w:rsid w:val="00F93F59"/>
    <w:rsid w:val="00F94240"/>
    <w:rsid w:val="00F94D31"/>
    <w:rsid w:val="00F952F0"/>
    <w:rsid w:val="00F9593B"/>
    <w:rsid w:val="00F95ACC"/>
    <w:rsid w:val="00F962D9"/>
    <w:rsid w:val="00F9658C"/>
    <w:rsid w:val="00F96644"/>
    <w:rsid w:val="00F96A31"/>
    <w:rsid w:val="00F9729C"/>
    <w:rsid w:val="00F9731E"/>
    <w:rsid w:val="00F97350"/>
    <w:rsid w:val="00F97580"/>
    <w:rsid w:val="00F97EF2"/>
    <w:rsid w:val="00FA09CB"/>
    <w:rsid w:val="00FA09E1"/>
    <w:rsid w:val="00FA0CC1"/>
    <w:rsid w:val="00FA1354"/>
    <w:rsid w:val="00FA1943"/>
    <w:rsid w:val="00FA4572"/>
    <w:rsid w:val="00FA50F1"/>
    <w:rsid w:val="00FA598D"/>
    <w:rsid w:val="00FA6184"/>
    <w:rsid w:val="00FA6226"/>
    <w:rsid w:val="00FA631B"/>
    <w:rsid w:val="00FA690F"/>
    <w:rsid w:val="00FA69BD"/>
    <w:rsid w:val="00FA6ACE"/>
    <w:rsid w:val="00FA6D21"/>
    <w:rsid w:val="00FA6F6F"/>
    <w:rsid w:val="00FA7202"/>
    <w:rsid w:val="00FA7579"/>
    <w:rsid w:val="00FA7792"/>
    <w:rsid w:val="00FA77B5"/>
    <w:rsid w:val="00FA77CC"/>
    <w:rsid w:val="00FA7B65"/>
    <w:rsid w:val="00FB00D3"/>
    <w:rsid w:val="00FB0848"/>
    <w:rsid w:val="00FB0DA8"/>
    <w:rsid w:val="00FB11EE"/>
    <w:rsid w:val="00FB1924"/>
    <w:rsid w:val="00FB1D4E"/>
    <w:rsid w:val="00FB256B"/>
    <w:rsid w:val="00FB27B6"/>
    <w:rsid w:val="00FB30D4"/>
    <w:rsid w:val="00FB3453"/>
    <w:rsid w:val="00FB362C"/>
    <w:rsid w:val="00FB3708"/>
    <w:rsid w:val="00FB37EF"/>
    <w:rsid w:val="00FB3F9D"/>
    <w:rsid w:val="00FB5D20"/>
    <w:rsid w:val="00FB6CB7"/>
    <w:rsid w:val="00FB6EAC"/>
    <w:rsid w:val="00FB72DB"/>
    <w:rsid w:val="00FB7A54"/>
    <w:rsid w:val="00FC07C7"/>
    <w:rsid w:val="00FC08CD"/>
    <w:rsid w:val="00FC0B92"/>
    <w:rsid w:val="00FC0D7E"/>
    <w:rsid w:val="00FC113A"/>
    <w:rsid w:val="00FC1275"/>
    <w:rsid w:val="00FC19FC"/>
    <w:rsid w:val="00FC1EA6"/>
    <w:rsid w:val="00FC2252"/>
    <w:rsid w:val="00FC272A"/>
    <w:rsid w:val="00FC2758"/>
    <w:rsid w:val="00FC3495"/>
    <w:rsid w:val="00FC382F"/>
    <w:rsid w:val="00FC3C79"/>
    <w:rsid w:val="00FC415C"/>
    <w:rsid w:val="00FC4269"/>
    <w:rsid w:val="00FC4B1A"/>
    <w:rsid w:val="00FC5AB9"/>
    <w:rsid w:val="00FC5B2F"/>
    <w:rsid w:val="00FC6845"/>
    <w:rsid w:val="00FC6ED4"/>
    <w:rsid w:val="00FC706C"/>
    <w:rsid w:val="00FC758B"/>
    <w:rsid w:val="00FC7749"/>
    <w:rsid w:val="00FC7E4D"/>
    <w:rsid w:val="00FD003D"/>
    <w:rsid w:val="00FD03BE"/>
    <w:rsid w:val="00FD052B"/>
    <w:rsid w:val="00FD105F"/>
    <w:rsid w:val="00FD1434"/>
    <w:rsid w:val="00FD158E"/>
    <w:rsid w:val="00FD1D60"/>
    <w:rsid w:val="00FD1E9F"/>
    <w:rsid w:val="00FD1F5C"/>
    <w:rsid w:val="00FD2388"/>
    <w:rsid w:val="00FD2B51"/>
    <w:rsid w:val="00FD2C95"/>
    <w:rsid w:val="00FD337E"/>
    <w:rsid w:val="00FD33D8"/>
    <w:rsid w:val="00FD3B66"/>
    <w:rsid w:val="00FD3DB1"/>
    <w:rsid w:val="00FD3DF6"/>
    <w:rsid w:val="00FD406C"/>
    <w:rsid w:val="00FD4600"/>
    <w:rsid w:val="00FD50A0"/>
    <w:rsid w:val="00FD59BF"/>
    <w:rsid w:val="00FD61C5"/>
    <w:rsid w:val="00FD6659"/>
    <w:rsid w:val="00FD73CF"/>
    <w:rsid w:val="00FD7557"/>
    <w:rsid w:val="00FD7D22"/>
    <w:rsid w:val="00FE043D"/>
    <w:rsid w:val="00FE0C67"/>
    <w:rsid w:val="00FE1458"/>
    <w:rsid w:val="00FE1A21"/>
    <w:rsid w:val="00FE1A4C"/>
    <w:rsid w:val="00FE2198"/>
    <w:rsid w:val="00FE2820"/>
    <w:rsid w:val="00FE29E7"/>
    <w:rsid w:val="00FE2A3F"/>
    <w:rsid w:val="00FE2C2D"/>
    <w:rsid w:val="00FE2FC0"/>
    <w:rsid w:val="00FE3918"/>
    <w:rsid w:val="00FE3B51"/>
    <w:rsid w:val="00FE3B54"/>
    <w:rsid w:val="00FE3F1C"/>
    <w:rsid w:val="00FE4483"/>
    <w:rsid w:val="00FE4BF2"/>
    <w:rsid w:val="00FE60B2"/>
    <w:rsid w:val="00FE6243"/>
    <w:rsid w:val="00FE6AB3"/>
    <w:rsid w:val="00FE6FEA"/>
    <w:rsid w:val="00FE73DC"/>
    <w:rsid w:val="00FE7DD1"/>
    <w:rsid w:val="00FE7F14"/>
    <w:rsid w:val="00FF0ED0"/>
    <w:rsid w:val="00FF1867"/>
    <w:rsid w:val="00FF20E5"/>
    <w:rsid w:val="00FF2168"/>
    <w:rsid w:val="00FF24CA"/>
    <w:rsid w:val="00FF2D6F"/>
    <w:rsid w:val="00FF308B"/>
    <w:rsid w:val="00FF3398"/>
    <w:rsid w:val="00FF3729"/>
    <w:rsid w:val="00FF3D89"/>
    <w:rsid w:val="00FF4582"/>
    <w:rsid w:val="00FF4915"/>
    <w:rsid w:val="00FF49AF"/>
    <w:rsid w:val="00FF51E1"/>
    <w:rsid w:val="00FF5721"/>
    <w:rsid w:val="00FF587C"/>
    <w:rsid w:val="00FF5D69"/>
    <w:rsid w:val="00FF5DB0"/>
    <w:rsid w:val="00FF6231"/>
    <w:rsid w:val="00FF641B"/>
    <w:rsid w:val="00FF6485"/>
    <w:rsid w:val="00FF73EE"/>
    <w:rsid w:val="00FF7982"/>
    <w:rsid w:val="00FF7F19"/>
    <w:rsid w:val="00FF7F61"/>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A6FEEBD"/>
  <w15:docId w15:val="{FC07A3FB-85F5-4FF3-BB36-B740494CC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qFormat="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E36C8"/>
    <w:pPr>
      <w:jc w:val="both"/>
    </w:pPr>
    <w:rPr>
      <w:rFonts w:eastAsia="Calibri" w:cs="Times New Roman"/>
    </w:rPr>
  </w:style>
  <w:style w:type="paragraph" w:styleId="Balk1">
    <w:name w:val="heading 1"/>
    <w:basedOn w:val="Normal"/>
    <w:next w:val="Normal"/>
    <w:link w:val="Balk1Char"/>
    <w:uiPriority w:val="9"/>
    <w:qFormat/>
    <w:rsid w:val="004367E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4367E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4367E4"/>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unhideWhenUsed/>
    <w:qFormat/>
    <w:rsid w:val="006861CE"/>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unhideWhenUsed/>
    <w:qFormat/>
    <w:rsid w:val="006725C7"/>
    <w:pPr>
      <w:keepNext/>
      <w:keepLines/>
      <w:spacing w:before="200" w:after="0"/>
      <w:outlineLvl w:val="4"/>
    </w:pPr>
    <w:rPr>
      <w:rFonts w:asciiTheme="majorHAnsi" w:eastAsiaTheme="majorEastAsia" w:hAnsiTheme="majorHAnsi" w:cstheme="majorBidi"/>
      <w:color w:val="243F60" w:themeColor="accent1" w:themeShade="7F"/>
    </w:rPr>
  </w:style>
  <w:style w:type="paragraph" w:styleId="Balk8">
    <w:name w:val="heading 8"/>
    <w:basedOn w:val="Normal"/>
    <w:next w:val="Normal"/>
    <w:link w:val="Balk8Char"/>
    <w:uiPriority w:val="9"/>
    <w:unhideWhenUsed/>
    <w:qFormat/>
    <w:rsid w:val="00603C1D"/>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Balk9">
    <w:name w:val="heading 9"/>
    <w:basedOn w:val="Normal"/>
    <w:next w:val="Normal"/>
    <w:link w:val="Balk9Char"/>
    <w:uiPriority w:val="9"/>
    <w:semiHidden/>
    <w:unhideWhenUsed/>
    <w:qFormat/>
    <w:rsid w:val="00903602"/>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4367E4"/>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4367E4"/>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4367E4"/>
    <w:rPr>
      <w:rFonts w:asciiTheme="majorHAnsi" w:eastAsiaTheme="majorEastAsia" w:hAnsiTheme="majorHAnsi" w:cstheme="majorBidi"/>
      <w:b/>
      <w:bCs/>
      <w:color w:val="4F81BD" w:themeColor="accent1"/>
    </w:rPr>
  </w:style>
  <w:style w:type="character" w:customStyle="1" w:styleId="Balk4Char">
    <w:name w:val="Başlık 4 Char"/>
    <w:basedOn w:val="VarsaylanParagrafYazTipi"/>
    <w:link w:val="Balk4"/>
    <w:uiPriority w:val="9"/>
    <w:rsid w:val="006861CE"/>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rsid w:val="006725C7"/>
    <w:rPr>
      <w:rFonts w:asciiTheme="majorHAnsi" w:eastAsiaTheme="majorEastAsia" w:hAnsiTheme="majorHAnsi" w:cstheme="majorBidi"/>
      <w:color w:val="243F60" w:themeColor="accent1" w:themeShade="7F"/>
    </w:rPr>
  </w:style>
  <w:style w:type="character" w:customStyle="1" w:styleId="Balk8Char">
    <w:name w:val="Başlık 8 Char"/>
    <w:basedOn w:val="VarsaylanParagrafYazTipi"/>
    <w:link w:val="Balk8"/>
    <w:uiPriority w:val="9"/>
    <w:rsid w:val="00603C1D"/>
    <w:rPr>
      <w:rFonts w:asciiTheme="majorHAnsi" w:eastAsiaTheme="majorEastAsia" w:hAnsiTheme="majorHAnsi" w:cstheme="majorBidi"/>
      <w:color w:val="272727" w:themeColor="text1" w:themeTint="D8"/>
      <w:sz w:val="21"/>
      <w:szCs w:val="21"/>
    </w:rPr>
  </w:style>
  <w:style w:type="character" w:customStyle="1" w:styleId="Balk9Char">
    <w:name w:val="Başlık 9 Char"/>
    <w:basedOn w:val="VarsaylanParagrafYazTipi"/>
    <w:link w:val="Balk9"/>
    <w:uiPriority w:val="9"/>
    <w:semiHidden/>
    <w:rsid w:val="00903602"/>
    <w:rPr>
      <w:rFonts w:asciiTheme="majorHAnsi" w:eastAsiaTheme="majorEastAsia" w:hAnsiTheme="majorHAnsi" w:cstheme="majorBidi"/>
      <w:i/>
      <w:iCs/>
      <w:color w:val="404040" w:themeColor="text1" w:themeTint="BF"/>
      <w:sz w:val="20"/>
      <w:szCs w:val="20"/>
    </w:rPr>
  </w:style>
  <w:style w:type="paragraph" w:styleId="AralkYok">
    <w:name w:val="No Spacing"/>
    <w:link w:val="AralkYokChar"/>
    <w:uiPriority w:val="1"/>
    <w:qFormat/>
    <w:rsid w:val="004367E4"/>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4367E4"/>
    <w:rPr>
      <w:rFonts w:eastAsiaTheme="minorEastAsia"/>
      <w:lang w:eastAsia="tr-TR"/>
    </w:rPr>
  </w:style>
  <w:style w:type="paragraph" w:styleId="BalonMetni">
    <w:name w:val="Balloon Text"/>
    <w:basedOn w:val="Normal"/>
    <w:link w:val="BalonMetniChar"/>
    <w:uiPriority w:val="99"/>
    <w:semiHidden/>
    <w:unhideWhenUsed/>
    <w:rsid w:val="004367E4"/>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367E4"/>
    <w:rPr>
      <w:rFonts w:ascii="Tahoma" w:hAnsi="Tahoma" w:cs="Tahoma"/>
      <w:sz w:val="16"/>
      <w:szCs w:val="16"/>
    </w:rPr>
  </w:style>
  <w:style w:type="character" w:styleId="KitapBal">
    <w:name w:val="Book Title"/>
    <w:basedOn w:val="VarsaylanParagrafYazTipi"/>
    <w:uiPriority w:val="33"/>
    <w:qFormat/>
    <w:rsid w:val="004367E4"/>
    <w:rPr>
      <w:b/>
      <w:bCs/>
      <w:smallCaps/>
      <w:spacing w:val="5"/>
    </w:rPr>
  </w:style>
  <w:style w:type="paragraph" w:styleId="ListeParagraf">
    <w:name w:val="List Paragraph"/>
    <w:aliases w:val="1.1.1. Turkish MERCADOS,UEDAŞ Bullet,abc siralı,List Paragraph,List Paragraph_0"/>
    <w:basedOn w:val="Normal"/>
    <w:link w:val="ListeParagrafChar"/>
    <w:uiPriority w:val="34"/>
    <w:qFormat/>
    <w:rsid w:val="004367E4"/>
    <w:pPr>
      <w:ind w:left="720"/>
      <w:contextualSpacing/>
    </w:pPr>
  </w:style>
  <w:style w:type="character" w:customStyle="1" w:styleId="ListeParagrafChar">
    <w:name w:val="Liste Paragraf Char"/>
    <w:aliases w:val="1.1.1. Turkish MERCADOS Char,UEDAŞ Bullet Char,abc siralı Char,List Paragraph Char,List Paragraph_0 Char"/>
    <w:link w:val="ListeParagraf"/>
    <w:uiPriority w:val="34"/>
    <w:locked/>
    <w:rsid w:val="00615519"/>
    <w:rPr>
      <w:rFonts w:eastAsia="Calibri" w:cs="Times New Roman"/>
    </w:rPr>
  </w:style>
  <w:style w:type="paragraph" w:styleId="ResimYazs">
    <w:name w:val="caption"/>
    <w:basedOn w:val="Normal"/>
    <w:next w:val="Normal"/>
    <w:uiPriority w:val="99"/>
    <w:qFormat/>
    <w:rsid w:val="004367E4"/>
    <w:pPr>
      <w:spacing w:line="240" w:lineRule="auto"/>
    </w:pPr>
    <w:rPr>
      <w:rFonts w:eastAsia="Times New Roman"/>
      <w:b/>
      <w:bCs/>
      <w:color w:val="4F81BD"/>
      <w:sz w:val="18"/>
      <w:szCs w:val="18"/>
      <w:lang w:eastAsia="tr-TR"/>
    </w:rPr>
  </w:style>
  <w:style w:type="table" w:styleId="TabloKlavuzu">
    <w:name w:val="Table Grid"/>
    <w:basedOn w:val="NormalTablo"/>
    <w:rsid w:val="00297F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aliases w:val="Üstbilgi Char Char Char Char,Üstbilgi Char Char Char Char Char Char Char,Üstbilgi2 Char,Üstbilgi Char Char Char Char Char Char Char Char Char Char,Üstbilgi Char Char Char Char Char Char Char Char Char C Char"/>
    <w:basedOn w:val="Normal"/>
    <w:link w:val="stBilgiChar"/>
    <w:uiPriority w:val="99"/>
    <w:unhideWhenUsed/>
    <w:qFormat/>
    <w:rsid w:val="00297FE1"/>
    <w:pPr>
      <w:tabs>
        <w:tab w:val="center" w:pos="4536"/>
        <w:tab w:val="right" w:pos="9072"/>
      </w:tabs>
      <w:spacing w:after="0" w:line="240" w:lineRule="auto"/>
    </w:pPr>
  </w:style>
  <w:style w:type="character" w:customStyle="1" w:styleId="stBilgiChar">
    <w:name w:val="Üst Bilgi Char"/>
    <w:aliases w:val="Üstbilgi Char Char Char Char Char,Üstbilgi Char Char Char Char Char Char Char Char,Üstbilgi2 Char Char,Üstbilgi Char Char Char Char Char Char Char Char Char Char Char,Üstbilgi Char Char Char Char Char Char Char Char Char C Char Char"/>
    <w:basedOn w:val="VarsaylanParagrafYazTipi"/>
    <w:link w:val="stBilgi"/>
    <w:uiPriority w:val="99"/>
    <w:rsid w:val="00297FE1"/>
    <w:rPr>
      <w:rFonts w:ascii="Calibri" w:eastAsia="Calibri" w:hAnsi="Calibri" w:cs="Times New Roman"/>
    </w:rPr>
  </w:style>
  <w:style w:type="paragraph" w:styleId="AltBilgi">
    <w:name w:val="footer"/>
    <w:basedOn w:val="Normal"/>
    <w:link w:val="AltBilgiChar"/>
    <w:uiPriority w:val="99"/>
    <w:unhideWhenUsed/>
    <w:rsid w:val="00297FE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297FE1"/>
    <w:rPr>
      <w:rFonts w:ascii="Calibri" w:eastAsia="Calibri" w:hAnsi="Calibri" w:cs="Times New Roman"/>
    </w:rPr>
  </w:style>
  <w:style w:type="character" w:styleId="AklamaBavurusu">
    <w:name w:val="annotation reference"/>
    <w:semiHidden/>
    <w:rsid w:val="00DC7478"/>
    <w:rPr>
      <w:sz w:val="16"/>
      <w:szCs w:val="16"/>
    </w:rPr>
  </w:style>
  <w:style w:type="paragraph" w:styleId="AklamaMetni">
    <w:name w:val="annotation text"/>
    <w:basedOn w:val="Normal"/>
    <w:link w:val="AklamaMetniChar"/>
    <w:semiHidden/>
    <w:rsid w:val="00DC7478"/>
    <w:rPr>
      <w:sz w:val="20"/>
      <w:szCs w:val="20"/>
    </w:rPr>
  </w:style>
  <w:style w:type="character" w:customStyle="1" w:styleId="AklamaMetniChar">
    <w:name w:val="Açıklama Metni Char"/>
    <w:basedOn w:val="VarsaylanParagrafYazTipi"/>
    <w:link w:val="AklamaMetni"/>
    <w:semiHidden/>
    <w:rsid w:val="00DC7478"/>
    <w:rPr>
      <w:rFonts w:ascii="Calibri" w:eastAsia="Calibri" w:hAnsi="Calibri" w:cs="Times New Roman"/>
      <w:sz w:val="20"/>
      <w:szCs w:val="20"/>
    </w:rPr>
  </w:style>
  <w:style w:type="paragraph" w:styleId="AklamaKonusu">
    <w:name w:val="annotation subject"/>
    <w:basedOn w:val="AklamaMetni"/>
    <w:next w:val="AklamaMetni"/>
    <w:link w:val="AklamaKonusuChar"/>
    <w:uiPriority w:val="99"/>
    <w:semiHidden/>
    <w:unhideWhenUsed/>
    <w:rsid w:val="00DC7478"/>
    <w:pPr>
      <w:spacing w:line="240" w:lineRule="auto"/>
    </w:pPr>
    <w:rPr>
      <w:b/>
      <w:bCs/>
    </w:rPr>
  </w:style>
  <w:style w:type="character" w:customStyle="1" w:styleId="AklamaKonusuChar">
    <w:name w:val="Açıklama Konusu Char"/>
    <w:basedOn w:val="AklamaMetniChar"/>
    <w:link w:val="AklamaKonusu"/>
    <w:uiPriority w:val="99"/>
    <w:semiHidden/>
    <w:rsid w:val="00DC7478"/>
    <w:rPr>
      <w:rFonts w:ascii="Calibri" w:eastAsia="Calibri" w:hAnsi="Calibri" w:cs="Times New Roman"/>
      <w:b/>
      <w:bCs/>
      <w:sz w:val="20"/>
      <w:szCs w:val="20"/>
    </w:rPr>
  </w:style>
  <w:style w:type="paragraph" w:styleId="T1">
    <w:name w:val="toc 1"/>
    <w:basedOn w:val="Normal"/>
    <w:next w:val="Normal"/>
    <w:autoRedefine/>
    <w:uiPriority w:val="39"/>
    <w:unhideWhenUsed/>
    <w:rsid w:val="009F08FD"/>
    <w:pPr>
      <w:tabs>
        <w:tab w:val="right" w:leader="dot" w:pos="9060"/>
      </w:tabs>
      <w:spacing w:after="0"/>
    </w:pPr>
    <w:rPr>
      <w:b/>
    </w:rPr>
  </w:style>
  <w:style w:type="paragraph" w:styleId="T2">
    <w:name w:val="toc 2"/>
    <w:basedOn w:val="Normal"/>
    <w:next w:val="Normal"/>
    <w:autoRedefine/>
    <w:uiPriority w:val="39"/>
    <w:unhideWhenUsed/>
    <w:rsid w:val="009D3193"/>
    <w:pPr>
      <w:tabs>
        <w:tab w:val="left" w:pos="851"/>
        <w:tab w:val="right" w:leader="dot" w:pos="9060"/>
      </w:tabs>
      <w:spacing w:after="0"/>
      <w:ind w:left="220"/>
    </w:pPr>
    <w:rPr>
      <w:rFonts w:eastAsia="Times New Roman"/>
      <w:bCs/>
      <w:noProof/>
    </w:rPr>
  </w:style>
  <w:style w:type="paragraph" w:styleId="T3">
    <w:name w:val="toc 3"/>
    <w:basedOn w:val="Normal"/>
    <w:next w:val="Normal"/>
    <w:autoRedefine/>
    <w:uiPriority w:val="39"/>
    <w:unhideWhenUsed/>
    <w:rsid w:val="00B400D3"/>
    <w:pPr>
      <w:tabs>
        <w:tab w:val="left" w:pos="1320"/>
        <w:tab w:val="right" w:leader="dot" w:pos="9072"/>
      </w:tabs>
      <w:spacing w:after="0" w:line="23" w:lineRule="atLeast"/>
    </w:pPr>
  </w:style>
  <w:style w:type="paragraph" w:styleId="T4">
    <w:name w:val="toc 4"/>
    <w:basedOn w:val="Normal"/>
    <w:next w:val="Normal"/>
    <w:autoRedefine/>
    <w:uiPriority w:val="39"/>
    <w:unhideWhenUsed/>
    <w:rsid w:val="007675C6"/>
    <w:pPr>
      <w:spacing w:after="100"/>
      <w:ind w:left="660"/>
    </w:pPr>
  </w:style>
  <w:style w:type="paragraph" w:styleId="KonuBal">
    <w:name w:val="Title"/>
    <w:basedOn w:val="Normal"/>
    <w:next w:val="Normal"/>
    <w:link w:val="KonuBalChar"/>
    <w:uiPriority w:val="10"/>
    <w:qFormat/>
    <w:rsid w:val="007675C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7675C6"/>
    <w:rPr>
      <w:rFonts w:asciiTheme="majorHAnsi" w:eastAsiaTheme="majorEastAsia" w:hAnsiTheme="majorHAnsi" w:cstheme="majorBidi"/>
      <w:color w:val="17365D" w:themeColor="text2" w:themeShade="BF"/>
      <w:spacing w:val="5"/>
      <w:kern w:val="28"/>
      <w:sz w:val="52"/>
      <w:szCs w:val="52"/>
    </w:rPr>
  </w:style>
  <w:style w:type="character" w:styleId="Kpr">
    <w:name w:val="Hyperlink"/>
    <w:basedOn w:val="VarsaylanParagrafYazTipi"/>
    <w:uiPriority w:val="99"/>
    <w:unhideWhenUsed/>
    <w:rsid w:val="007675C6"/>
    <w:rPr>
      <w:color w:val="0000FF" w:themeColor="hyperlink"/>
      <w:u w:val="single"/>
    </w:rPr>
  </w:style>
  <w:style w:type="paragraph" w:styleId="T5">
    <w:name w:val="toc 5"/>
    <w:basedOn w:val="Normal"/>
    <w:next w:val="Normal"/>
    <w:autoRedefine/>
    <w:uiPriority w:val="39"/>
    <w:unhideWhenUsed/>
    <w:rsid w:val="00F56291"/>
    <w:pPr>
      <w:spacing w:after="100"/>
      <w:ind w:left="880"/>
    </w:pPr>
    <w:rPr>
      <w:rFonts w:eastAsiaTheme="minorEastAsia" w:cstheme="minorBidi"/>
      <w:lang w:eastAsia="tr-TR"/>
    </w:rPr>
  </w:style>
  <w:style w:type="paragraph" w:styleId="T6">
    <w:name w:val="toc 6"/>
    <w:basedOn w:val="Normal"/>
    <w:next w:val="Normal"/>
    <w:autoRedefine/>
    <w:uiPriority w:val="39"/>
    <w:unhideWhenUsed/>
    <w:rsid w:val="00F56291"/>
    <w:pPr>
      <w:spacing w:after="100"/>
      <w:ind w:left="1100"/>
    </w:pPr>
    <w:rPr>
      <w:rFonts w:eastAsiaTheme="minorEastAsia" w:cstheme="minorBidi"/>
      <w:lang w:eastAsia="tr-TR"/>
    </w:rPr>
  </w:style>
  <w:style w:type="paragraph" w:styleId="T7">
    <w:name w:val="toc 7"/>
    <w:basedOn w:val="Normal"/>
    <w:next w:val="Normal"/>
    <w:autoRedefine/>
    <w:uiPriority w:val="39"/>
    <w:unhideWhenUsed/>
    <w:rsid w:val="00F56291"/>
    <w:pPr>
      <w:spacing w:after="100"/>
      <w:ind w:left="1320"/>
    </w:pPr>
    <w:rPr>
      <w:rFonts w:eastAsiaTheme="minorEastAsia" w:cstheme="minorBidi"/>
      <w:lang w:eastAsia="tr-TR"/>
    </w:rPr>
  </w:style>
  <w:style w:type="paragraph" w:styleId="T8">
    <w:name w:val="toc 8"/>
    <w:basedOn w:val="Normal"/>
    <w:next w:val="Normal"/>
    <w:autoRedefine/>
    <w:uiPriority w:val="39"/>
    <w:unhideWhenUsed/>
    <w:rsid w:val="00F56291"/>
    <w:pPr>
      <w:spacing w:after="100"/>
      <w:ind w:left="1540"/>
    </w:pPr>
    <w:rPr>
      <w:rFonts w:eastAsiaTheme="minorEastAsia" w:cstheme="minorBidi"/>
      <w:lang w:eastAsia="tr-TR"/>
    </w:rPr>
  </w:style>
  <w:style w:type="paragraph" w:styleId="T9">
    <w:name w:val="toc 9"/>
    <w:basedOn w:val="Normal"/>
    <w:next w:val="Normal"/>
    <w:autoRedefine/>
    <w:uiPriority w:val="39"/>
    <w:unhideWhenUsed/>
    <w:rsid w:val="00F56291"/>
    <w:pPr>
      <w:spacing w:after="100"/>
      <w:ind w:left="1760"/>
    </w:pPr>
    <w:rPr>
      <w:rFonts w:eastAsiaTheme="minorEastAsia" w:cstheme="minorBidi"/>
      <w:lang w:eastAsia="tr-TR"/>
    </w:rPr>
  </w:style>
  <w:style w:type="paragraph" w:styleId="Dzeltme">
    <w:name w:val="Revision"/>
    <w:hidden/>
    <w:uiPriority w:val="99"/>
    <w:semiHidden/>
    <w:rsid w:val="008E3058"/>
    <w:pPr>
      <w:spacing w:after="0" w:line="240" w:lineRule="auto"/>
    </w:pPr>
    <w:rPr>
      <w:rFonts w:ascii="Calibri" w:eastAsia="Calibri" w:hAnsi="Calibri" w:cs="Times New Roman"/>
    </w:rPr>
  </w:style>
  <w:style w:type="paragraph" w:customStyle="1" w:styleId="baslk">
    <w:name w:val="baslk"/>
    <w:basedOn w:val="Normal"/>
    <w:rsid w:val="005F64DA"/>
    <w:pPr>
      <w:spacing w:after="0" w:line="240" w:lineRule="auto"/>
    </w:pPr>
    <w:rPr>
      <w:rFonts w:ascii="New York" w:eastAsia="Times New Roman" w:hAnsi="New York"/>
      <w:b/>
      <w:bCs/>
      <w:sz w:val="24"/>
      <w:szCs w:val="24"/>
      <w:lang w:eastAsia="tr-TR"/>
    </w:rPr>
  </w:style>
  <w:style w:type="paragraph" w:styleId="NormalWeb">
    <w:name w:val="Normal (Web)"/>
    <w:aliases w:val="Normal (Web) Char Char,Normal (Web) Char Char Char Char,Normal (Web) Char Char Char,Char Char Char Char Char Char,Char"/>
    <w:basedOn w:val="Normal"/>
    <w:link w:val="NormalWebChar"/>
    <w:uiPriority w:val="99"/>
    <w:unhideWhenUsed/>
    <w:rsid w:val="00C75C52"/>
    <w:pPr>
      <w:spacing w:before="100" w:beforeAutospacing="1" w:after="100" w:afterAutospacing="1" w:line="240" w:lineRule="auto"/>
    </w:pPr>
    <w:rPr>
      <w:rFonts w:ascii="Times New Roman" w:eastAsia="Times New Roman" w:hAnsi="Times New Roman"/>
      <w:sz w:val="24"/>
      <w:szCs w:val="24"/>
      <w:lang w:eastAsia="tr-TR"/>
    </w:rPr>
  </w:style>
  <w:style w:type="character" w:customStyle="1" w:styleId="NormalWebChar">
    <w:name w:val="Normal (Web) Char"/>
    <w:aliases w:val="Normal (Web) Char Char Char1,Normal (Web) Char Char Char Char Char,Normal (Web) Char Char Char Char1,Char Char Char Char Char Char Char,Char Char"/>
    <w:link w:val="NormalWeb"/>
    <w:uiPriority w:val="99"/>
    <w:locked/>
    <w:rsid w:val="00603C1D"/>
    <w:rPr>
      <w:rFonts w:ascii="Times New Roman" w:eastAsia="Times New Roman" w:hAnsi="Times New Roman" w:cs="Times New Roman"/>
      <w:sz w:val="24"/>
      <w:szCs w:val="24"/>
      <w:lang w:eastAsia="tr-TR"/>
    </w:rPr>
  </w:style>
  <w:style w:type="paragraph" w:styleId="DipnotMetni">
    <w:name w:val="footnote text"/>
    <w:basedOn w:val="Normal"/>
    <w:link w:val="DipnotMetniChar"/>
    <w:uiPriority w:val="99"/>
    <w:semiHidden/>
    <w:unhideWhenUsed/>
    <w:rsid w:val="001F55A3"/>
    <w:pPr>
      <w:spacing w:after="0" w:line="240" w:lineRule="auto"/>
    </w:pPr>
    <w:rPr>
      <w:sz w:val="20"/>
      <w:szCs w:val="20"/>
    </w:rPr>
  </w:style>
  <w:style w:type="character" w:customStyle="1" w:styleId="DipnotMetniChar">
    <w:name w:val="Dipnot Metni Char"/>
    <w:basedOn w:val="VarsaylanParagrafYazTipi"/>
    <w:link w:val="DipnotMetni"/>
    <w:uiPriority w:val="99"/>
    <w:semiHidden/>
    <w:rsid w:val="001F55A3"/>
    <w:rPr>
      <w:rFonts w:ascii="Calibri" w:eastAsia="Calibri" w:hAnsi="Calibri" w:cs="Times New Roman"/>
      <w:sz w:val="20"/>
      <w:szCs w:val="20"/>
    </w:rPr>
  </w:style>
  <w:style w:type="character" w:styleId="DipnotBavurusu">
    <w:name w:val="footnote reference"/>
    <w:basedOn w:val="VarsaylanParagrafYazTipi"/>
    <w:uiPriority w:val="99"/>
    <w:semiHidden/>
    <w:unhideWhenUsed/>
    <w:rsid w:val="001F55A3"/>
    <w:rPr>
      <w:vertAlign w:val="superscript"/>
    </w:rPr>
  </w:style>
  <w:style w:type="character" w:customStyle="1" w:styleId="grame">
    <w:name w:val="grame"/>
    <w:basedOn w:val="VarsaylanParagrafYazTipi"/>
    <w:rsid w:val="007C22BD"/>
  </w:style>
  <w:style w:type="character" w:customStyle="1" w:styleId="spelle">
    <w:name w:val="spelle"/>
    <w:basedOn w:val="VarsaylanParagrafYazTipi"/>
    <w:rsid w:val="00663374"/>
  </w:style>
  <w:style w:type="paragraph" w:customStyle="1" w:styleId="Style3">
    <w:name w:val="Style3"/>
    <w:basedOn w:val="Normal"/>
    <w:uiPriority w:val="99"/>
    <w:rsid w:val="00663374"/>
    <w:pPr>
      <w:widowControl w:val="0"/>
      <w:autoSpaceDE w:val="0"/>
      <w:autoSpaceDN w:val="0"/>
      <w:adjustRightInd w:val="0"/>
      <w:spacing w:after="0" w:line="274" w:lineRule="exact"/>
      <w:ind w:firstLine="710"/>
    </w:pPr>
    <w:rPr>
      <w:rFonts w:ascii="Times New Roman" w:eastAsia="Times New Roman" w:hAnsi="Times New Roman"/>
      <w:sz w:val="24"/>
      <w:szCs w:val="24"/>
      <w:lang w:eastAsia="tr-TR"/>
    </w:rPr>
  </w:style>
  <w:style w:type="character" w:customStyle="1" w:styleId="FontStyle12">
    <w:name w:val="Font Style12"/>
    <w:basedOn w:val="VarsaylanParagrafYazTipi"/>
    <w:uiPriority w:val="99"/>
    <w:rsid w:val="009448D9"/>
    <w:rPr>
      <w:rFonts w:ascii="Arial" w:hAnsi="Arial" w:cs="Arial"/>
      <w:sz w:val="22"/>
      <w:szCs w:val="22"/>
    </w:rPr>
  </w:style>
  <w:style w:type="character" w:customStyle="1" w:styleId="FontStyle21">
    <w:name w:val="Font Style21"/>
    <w:uiPriority w:val="99"/>
    <w:rsid w:val="00AB6864"/>
    <w:rPr>
      <w:rFonts w:ascii="Times New Roman" w:hAnsi="Times New Roman" w:cs="Times New Roman"/>
      <w:color w:val="000000"/>
      <w:sz w:val="22"/>
      <w:szCs w:val="22"/>
    </w:rPr>
  </w:style>
  <w:style w:type="paragraph" w:customStyle="1" w:styleId="3-NormalYaz">
    <w:name w:val="3-Normal Yazı"/>
    <w:rsid w:val="00BD50D9"/>
    <w:pPr>
      <w:tabs>
        <w:tab w:val="left" w:pos="566"/>
      </w:tabs>
      <w:spacing w:after="0" w:line="240" w:lineRule="auto"/>
      <w:jc w:val="both"/>
    </w:pPr>
    <w:rPr>
      <w:rFonts w:ascii="Times New Roman" w:eastAsia="ヒラギノ明朝 Pro W3" w:hAnsi="Times" w:cs="Times New Roman"/>
      <w:sz w:val="19"/>
      <w:szCs w:val="20"/>
    </w:rPr>
  </w:style>
  <w:style w:type="character" w:customStyle="1" w:styleId="apple-converted-space">
    <w:name w:val="apple-converted-space"/>
    <w:rsid w:val="00BD50D9"/>
  </w:style>
  <w:style w:type="character" w:styleId="Gl">
    <w:name w:val="Strong"/>
    <w:basedOn w:val="VarsaylanParagrafYazTipi"/>
    <w:uiPriority w:val="22"/>
    <w:qFormat/>
    <w:rsid w:val="000A1FA3"/>
    <w:rPr>
      <w:rFonts w:asciiTheme="minorHAnsi" w:hAnsiTheme="minorHAnsi"/>
      <w:b/>
      <w:bCs/>
      <w:sz w:val="22"/>
    </w:rPr>
  </w:style>
  <w:style w:type="character" w:customStyle="1" w:styleId="hilite">
    <w:name w:val="hilite"/>
    <w:basedOn w:val="VarsaylanParagrafYazTipi"/>
    <w:rsid w:val="00D617B3"/>
  </w:style>
  <w:style w:type="paragraph" w:customStyle="1" w:styleId="Varsaylan">
    <w:name w:val="Varsayılan"/>
    <w:rsid w:val="00D860F2"/>
    <w:pPr>
      <w:tabs>
        <w:tab w:val="left" w:pos="708"/>
      </w:tabs>
      <w:suppressAutoHyphens/>
    </w:pPr>
    <w:rPr>
      <w:rFonts w:ascii="Times New Roman" w:eastAsia="Times New Roman" w:hAnsi="Times New Roman" w:cs="Times New Roman"/>
      <w:sz w:val="24"/>
      <w:szCs w:val="24"/>
      <w:lang w:eastAsia="zh-CN"/>
    </w:rPr>
  </w:style>
  <w:style w:type="paragraph" w:customStyle="1" w:styleId="3-normalyaz0">
    <w:name w:val="3-normalyaz"/>
    <w:basedOn w:val="Normal"/>
    <w:rsid w:val="00F621AA"/>
    <w:pPr>
      <w:spacing w:before="100" w:beforeAutospacing="1" w:after="100" w:afterAutospacing="1" w:line="240" w:lineRule="auto"/>
    </w:pPr>
    <w:rPr>
      <w:rFonts w:ascii="Times New Roman" w:eastAsia="Times New Roman" w:hAnsi="Times New Roman"/>
      <w:sz w:val="24"/>
      <w:szCs w:val="24"/>
      <w:lang w:eastAsia="tr-TR"/>
    </w:rPr>
  </w:style>
  <w:style w:type="table" w:customStyle="1" w:styleId="TabloKlavuzu1">
    <w:name w:val="Tablo Kılavuzu1"/>
    <w:basedOn w:val="NormalTablo"/>
    <w:next w:val="TabloKlavuzu"/>
    <w:rsid w:val="00E3125C"/>
    <w:pPr>
      <w:spacing w:after="0" w:line="240" w:lineRule="auto"/>
    </w:pPr>
    <w:rPr>
      <w:rFonts w:ascii="Symbol" w:eastAsia="Times New Roman" w:hAnsi="Symbol"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Klavuz-Vurgu6">
    <w:name w:val="Light Grid Accent 6"/>
    <w:basedOn w:val="NormalTablo"/>
    <w:uiPriority w:val="62"/>
    <w:rsid w:val="004F485F"/>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paragraph" w:styleId="BelgeBalantlar">
    <w:name w:val="Document Map"/>
    <w:basedOn w:val="Normal"/>
    <w:link w:val="BelgeBalantlarChar"/>
    <w:uiPriority w:val="99"/>
    <w:semiHidden/>
    <w:unhideWhenUsed/>
    <w:rsid w:val="001D5FC1"/>
    <w:pPr>
      <w:spacing w:after="0" w:line="240" w:lineRule="auto"/>
    </w:pPr>
    <w:rPr>
      <w:rFonts w:ascii="Tahoma" w:hAnsi="Tahoma" w:cs="Tahoma"/>
      <w:sz w:val="16"/>
      <w:szCs w:val="16"/>
    </w:rPr>
  </w:style>
  <w:style w:type="character" w:customStyle="1" w:styleId="BelgeBalantlarChar">
    <w:name w:val="Belge Bağlantıları Char"/>
    <w:basedOn w:val="VarsaylanParagrafYazTipi"/>
    <w:link w:val="BelgeBalantlar"/>
    <w:uiPriority w:val="99"/>
    <w:semiHidden/>
    <w:rsid w:val="001D5FC1"/>
    <w:rPr>
      <w:rFonts w:ascii="Tahoma" w:eastAsia="Calibri" w:hAnsi="Tahoma" w:cs="Tahoma"/>
      <w:sz w:val="16"/>
      <w:szCs w:val="16"/>
    </w:rPr>
  </w:style>
  <w:style w:type="paragraph" w:styleId="ekillerTablosu">
    <w:name w:val="table of figures"/>
    <w:basedOn w:val="Normal"/>
    <w:next w:val="Normal"/>
    <w:uiPriority w:val="99"/>
    <w:unhideWhenUsed/>
    <w:rsid w:val="00F4087E"/>
    <w:pPr>
      <w:spacing w:after="0"/>
    </w:pPr>
  </w:style>
  <w:style w:type="character" w:styleId="Vurgu">
    <w:name w:val="Emphasis"/>
    <w:basedOn w:val="VarsaylanParagrafYazTipi"/>
    <w:uiPriority w:val="20"/>
    <w:qFormat/>
    <w:rsid w:val="005C0EDA"/>
    <w:rPr>
      <w:i/>
      <w:iCs/>
    </w:rPr>
  </w:style>
  <w:style w:type="paragraph" w:styleId="Alnt">
    <w:name w:val="Quote"/>
    <w:basedOn w:val="Normal"/>
    <w:next w:val="Normal"/>
    <w:link w:val="AlntChar"/>
    <w:uiPriority w:val="29"/>
    <w:qFormat/>
    <w:rsid w:val="005C0EDA"/>
    <w:rPr>
      <w:i/>
      <w:iCs/>
      <w:color w:val="000000" w:themeColor="text1"/>
    </w:rPr>
  </w:style>
  <w:style w:type="character" w:customStyle="1" w:styleId="AlntChar">
    <w:name w:val="Alıntı Char"/>
    <w:basedOn w:val="VarsaylanParagrafYazTipi"/>
    <w:link w:val="Alnt"/>
    <w:uiPriority w:val="29"/>
    <w:rsid w:val="005C0EDA"/>
    <w:rPr>
      <w:rFonts w:ascii="Calibri" w:eastAsia="Calibri" w:hAnsi="Calibri" w:cs="Times New Roman"/>
      <w:i/>
      <w:iCs/>
      <w:color w:val="000000" w:themeColor="text1"/>
    </w:rPr>
  </w:style>
  <w:style w:type="paragraph" w:styleId="GlAlnt">
    <w:name w:val="Intense Quote"/>
    <w:basedOn w:val="Normal"/>
    <w:next w:val="Normal"/>
    <w:link w:val="GlAlntChar"/>
    <w:uiPriority w:val="30"/>
    <w:qFormat/>
    <w:rsid w:val="005C0EDA"/>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5C0EDA"/>
    <w:rPr>
      <w:rFonts w:ascii="Calibri" w:eastAsia="Calibri" w:hAnsi="Calibri" w:cs="Times New Roman"/>
      <w:b/>
      <w:bCs/>
      <w:i/>
      <w:iCs/>
      <w:color w:val="4F81BD" w:themeColor="accent1"/>
    </w:rPr>
  </w:style>
  <w:style w:type="paragraph" w:customStyle="1" w:styleId="Metin">
    <w:name w:val="Metin"/>
    <w:rsid w:val="00661E36"/>
    <w:pPr>
      <w:tabs>
        <w:tab w:val="left" w:pos="566"/>
      </w:tabs>
      <w:spacing w:after="0" w:line="240" w:lineRule="auto"/>
      <w:ind w:firstLine="566"/>
      <w:jc w:val="both"/>
    </w:pPr>
    <w:rPr>
      <w:rFonts w:ascii="Times New Roman" w:eastAsia="Times New Roman" w:hAnsi="Times New Roman" w:cs="Times New Roman"/>
      <w:sz w:val="19"/>
      <w:szCs w:val="20"/>
      <w:lang w:eastAsia="tr-TR"/>
    </w:rPr>
  </w:style>
  <w:style w:type="paragraph" w:customStyle="1" w:styleId="nor">
    <w:name w:val="nor"/>
    <w:basedOn w:val="Normal"/>
    <w:rsid w:val="009A2537"/>
    <w:pPr>
      <w:spacing w:after="0" w:line="240" w:lineRule="auto"/>
    </w:pPr>
    <w:rPr>
      <w:rFonts w:ascii="New York" w:eastAsia="Times New Roman" w:hAnsi="New York"/>
      <w:sz w:val="18"/>
      <w:szCs w:val="18"/>
      <w:lang w:eastAsia="tr-TR"/>
    </w:rPr>
  </w:style>
  <w:style w:type="paragraph" w:customStyle="1" w:styleId="Default">
    <w:name w:val="Default"/>
    <w:rsid w:val="000276C9"/>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Gvdemetni5talikdeil">
    <w:name w:val="Gövde metni (5) + İtalik değil"/>
    <w:basedOn w:val="VarsaylanParagrafYazTipi"/>
    <w:rsid w:val="005A07F2"/>
    <w:rPr>
      <w:rFonts w:ascii="Times New Roman" w:eastAsia="Times New Roman" w:hAnsi="Times New Roman" w:cs="Times New Roman" w:hint="default"/>
      <w:b w:val="0"/>
      <w:bCs w:val="0"/>
      <w:i/>
      <w:iCs/>
      <w:smallCaps w:val="0"/>
      <w:strike w:val="0"/>
      <w:dstrike w:val="0"/>
      <w:color w:val="000000"/>
      <w:spacing w:val="0"/>
      <w:w w:val="100"/>
      <w:position w:val="0"/>
      <w:sz w:val="18"/>
      <w:szCs w:val="18"/>
      <w:u w:val="none"/>
      <w:effect w:val="none"/>
      <w:lang w:val="tr-TR" w:eastAsia="tr-TR" w:bidi="tr-TR"/>
    </w:rPr>
  </w:style>
  <w:style w:type="paragraph" w:styleId="SonNotMetni">
    <w:name w:val="endnote text"/>
    <w:basedOn w:val="Normal"/>
    <w:link w:val="SonNotMetniChar"/>
    <w:uiPriority w:val="99"/>
    <w:semiHidden/>
    <w:unhideWhenUsed/>
    <w:rsid w:val="005E03A1"/>
    <w:pPr>
      <w:spacing w:after="0" w:line="240" w:lineRule="auto"/>
    </w:pPr>
    <w:rPr>
      <w:sz w:val="20"/>
      <w:szCs w:val="20"/>
    </w:rPr>
  </w:style>
  <w:style w:type="character" w:customStyle="1" w:styleId="SonNotMetniChar">
    <w:name w:val="Son Not Metni Char"/>
    <w:basedOn w:val="VarsaylanParagrafYazTipi"/>
    <w:link w:val="SonNotMetni"/>
    <w:uiPriority w:val="99"/>
    <w:semiHidden/>
    <w:rsid w:val="005E03A1"/>
    <w:rPr>
      <w:rFonts w:ascii="Calibri" w:eastAsia="Calibri" w:hAnsi="Calibri" w:cs="Times New Roman"/>
      <w:sz w:val="20"/>
      <w:szCs w:val="20"/>
    </w:rPr>
  </w:style>
  <w:style w:type="character" w:styleId="SonNotBavurusu">
    <w:name w:val="endnote reference"/>
    <w:basedOn w:val="VarsaylanParagrafYazTipi"/>
    <w:uiPriority w:val="99"/>
    <w:semiHidden/>
    <w:unhideWhenUsed/>
    <w:rsid w:val="005E03A1"/>
    <w:rPr>
      <w:vertAlign w:val="superscript"/>
    </w:rPr>
  </w:style>
  <w:style w:type="paragraph" w:styleId="GvdeMetni">
    <w:name w:val="Body Text"/>
    <w:basedOn w:val="Normal"/>
    <w:link w:val="GvdeMetniChar"/>
    <w:uiPriority w:val="1"/>
    <w:qFormat/>
    <w:rsid w:val="00BC3B5B"/>
    <w:pPr>
      <w:widowControl w:val="0"/>
      <w:spacing w:before="1" w:after="0" w:line="240" w:lineRule="auto"/>
      <w:ind w:left="123"/>
    </w:pPr>
    <w:rPr>
      <w:rFonts w:ascii="Times New Roman" w:eastAsia="Times New Roman" w:hAnsi="Times New Roman" w:cstheme="minorBidi"/>
      <w:sz w:val="19"/>
      <w:szCs w:val="19"/>
      <w:lang w:val="en-US"/>
    </w:rPr>
  </w:style>
  <w:style w:type="character" w:customStyle="1" w:styleId="GvdeMetniChar">
    <w:name w:val="Gövde Metni Char"/>
    <w:basedOn w:val="VarsaylanParagrafYazTipi"/>
    <w:link w:val="GvdeMetni"/>
    <w:uiPriority w:val="1"/>
    <w:rsid w:val="00BC3B5B"/>
    <w:rPr>
      <w:rFonts w:ascii="Times New Roman" w:eastAsia="Times New Roman" w:hAnsi="Times New Roman"/>
      <w:sz w:val="19"/>
      <w:szCs w:val="19"/>
      <w:lang w:val="en-US"/>
    </w:rPr>
  </w:style>
  <w:style w:type="paragraph" w:customStyle="1" w:styleId="2">
    <w:name w:val="2"/>
    <w:basedOn w:val="Normal"/>
    <w:next w:val="Normal"/>
    <w:qFormat/>
    <w:rsid w:val="006F00AF"/>
    <w:pPr>
      <w:spacing w:after="60" w:line="240" w:lineRule="auto"/>
      <w:jc w:val="center"/>
      <w:outlineLvl w:val="1"/>
    </w:pPr>
    <w:rPr>
      <w:rFonts w:ascii="Calibri Light" w:eastAsia="Times New Roman" w:hAnsi="Calibri Light"/>
      <w:sz w:val="24"/>
      <w:szCs w:val="24"/>
      <w:lang w:eastAsia="tr-TR"/>
    </w:rPr>
  </w:style>
  <w:style w:type="character" w:customStyle="1" w:styleId="AltyazChar">
    <w:name w:val="Altyazı Char"/>
    <w:link w:val="Altyaz"/>
    <w:rsid w:val="006F00AF"/>
    <w:rPr>
      <w:rFonts w:ascii="Calibri Light" w:eastAsia="Times New Roman" w:hAnsi="Calibri Light" w:cs="Times New Roman"/>
      <w:sz w:val="24"/>
      <w:szCs w:val="24"/>
    </w:rPr>
  </w:style>
  <w:style w:type="paragraph" w:styleId="Altyaz">
    <w:name w:val="Subtitle"/>
    <w:basedOn w:val="Normal"/>
    <w:next w:val="Normal"/>
    <w:link w:val="AltyazChar"/>
    <w:qFormat/>
    <w:rsid w:val="006F00AF"/>
    <w:pPr>
      <w:numPr>
        <w:ilvl w:val="1"/>
      </w:numPr>
    </w:pPr>
    <w:rPr>
      <w:rFonts w:ascii="Calibri Light" w:eastAsia="Times New Roman" w:hAnsi="Calibri Light"/>
      <w:sz w:val="24"/>
      <w:szCs w:val="24"/>
    </w:rPr>
  </w:style>
  <w:style w:type="character" w:customStyle="1" w:styleId="AltKonuBalChar">
    <w:name w:val="Alt Konu Başlığı Char"/>
    <w:basedOn w:val="VarsaylanParagrafYazTipi"/>
    <w:uiPriority w:val="11"/>
    <w:rsid w:val="006F00AF"/>
    <w:rPr>
      <w:rFonts w:asciiTheme="majorHAnsi" w:eastAsiaTheme="majorEastAsia" w:hAnsiTheme="majorHAnsi" w:cstheme="majorBidi"/>
      <w:i/>
      <w:iCs/>
      <w:color w:val="4F81BD" w:themeColor="accent1"/>
      <w:spacing w:val="15"/>
      <w:sz w:val="24"/>
      <w:szCs w:val="24"/>
    </w:rPr>
  </w:style>
  <w:style w:type="paragraph" w:customStyle="1" w:styleId="metin0">
    <w:name w:val="metin"/>
    <w:basedOn w:val="Normal"/>
    <w:rsid w:val="00D95DE5"/>
    <w:pPr>
      <w:spacing w:before="100" w:beforeAutospacing="1" w:after="100" w:afterAutospacing="1" w:line="240" w:lineRule="auto"/>
    </w:pPr>
    <w:rPr>
      <w:rFonts w:ascii="Times New Roman" w:eastAsia="Times New Roman" w:hAnsi="Times New Roman"/>
      <w:sz w:val="24"/>
      <w:szCs w:val="24"/>
      <w:lang w:eastAsia="tr-TR"/>
    </w:rPr>
  </w:style>
  <w:style w:type="table" w:customStyle="1" w:styleId="TabloKlavuzu2">
    <w:name w:val="Tablo Kılavuzu2"/>
    <w:basedOn w:val="NormalTablo"/>
    <w:next w:val="TabloKlavuzu"/>
    <w:uiPriority w:val="59"/>
    <w:rsid w:val="00140D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ltyazChar1">
    <w:name w:val="Altyazı Char1"/>
    <w:basedOn w:val="VarsaylanParagrafYazTipi"/>
    <w:uiPriority w:val="11"/>
    <w:rsid w:val="00AE0C03"/>
    <w:rPr>
      <w:rFonts w:eastAsiaTheme="minorEastAsia"/>
      <w:color w:val="5A5A5A" w:themeColor="text1" w:themeTint="A5"/>
      <w:spacing w:val="15"/>
    </w:rPr>
  </w:style>
  <w:style w:type="paragraph" w:customStyle="1" w:styleId="ortabalkbold">
    <w:name w:val="ortabalkbold"/>
    <w:basedOn w:val="Normal"/>
    <w:rsid w:val="00E21364"/>
    <w:pPr>
      <w:spacing w:before="100" w:beforeAutospacing="1" w:after="100" w:afterAutospacing="1" w:line="240" w:lineRule="auto"/>
    </w:pPr>
    <w:rPr>
      <w:rFonts w:ascii="Times New Roman" w:eastAsia="Times New Roman" w:hAnsi="Times New Roman"/>
      <w:sz w:val="24"/>
      <w:szCs w:val="24"/>
      <w:lang w:eastAsia="tr-TR"/>
    </w:rPr>
  </w:style>
  <w:style w:type="character" w:customStyle="1" w:styleId="normal1">
    <w:name w:val="normal1"/>
    <w:rsid w:val="009D309C"/>
    <w:rPr>
      <w:rFonts w:ascii="TR Arial" w:hAnsi="TR Arial" w:hint="default"/>
    </w:rPr>
  </w:style>
  <w:style w:type="character" w:customStyle="1" w:styleId="Normal10">
    <w:name w:val="Normal1"/>
    <w:rsid w:val="009D309C"/>
    <w:rPr>
      <w:rFonts w:ascii="Times New Roman" w:eastAsia="Times New Roman" w:hAnsi="Times New Roman" w:cs="Times New Roman" w:hint="default"/>
      <w:noProof w:val="0"/>
      <w:sz w:val="24"/>
      <w:lang w:val="en-GB"/>
    </w:rPr>
  </w:style>
  <w:style w:type="paragraph" w:customStyle="1" w:styleId="SectionText">
    <w:name w:val="Section Text"/>
    <w:basedOn w:val="Normal"/>
    <w:uiPriority w:val="99"/>
    <w:rsid w:val="00E30641"/>
    <w:pPr>
      <w:numPr>
        <w:ilvl w:val="3"/>
        <w:numId w:val="16"/>
      </w:numPr>
      <w:spacing w:before="120" w:after="480" w:line="240" w:lineRule="auto"/>
      <w:jc w:val="center"/>
    </w:pPr>
    <w:rPr>
      <w:rFonts w:ascii="Times New Roman" w:eastAsia="Times New Roman" w:hAnsi="Times New Roman"/>
      <w:b/>
      <w:w w:val="105"/>
      <w:sz w:val="28"/>
      <w:szCs w:val="24"/>
      <w:lang w:eastAsia="tr-TR"/>
    </w:rPr>
  </w:style>
  <w:style w:type="paragraph" w:customStyle="1" w:styleId="parheading">
    <w:name w:val="par heading"/>
    <w:basedOn w:val="Normal"/>
    <w:uiPriority w:val="99"/>
    <w:rsid w:val="00E30641"/>
    <w:pPr>
      <w:keepNext/>
      <w:numPr>
        <w:ilvl w:val="4"/>
        <w:numId w:val="16"/>
      </w:numPr>
      <w:tabs>
        <w:tab w:val="left" w:pos="720"/>
      </w:tabs>
      <w:spacing w:before="240" w:after="60" w:line="240" w:lineRule="auto"/>
    </w:pPr>
    <w:rPr>
      <w:rFonts w:ascii="Times New Roman" w:eastAsia="Times New Roman" w:hAnsi="Times New Roman"/>
      <w:b/>
      <w:w w:val="105"/>
      <w:sz w:val="24"/>
      <w:szCs w:val="24"/>
      <w:lang w:eastAsia="tr-TR"/>
    </w:rPr>
  </w:style>
  <w:style w:type="paragraph" w:customStyle="1" w:styleId="ChapterText">
    <w:name w:val="Chapter Text"/>
    <w:basedOn w:val="partext"/>
    <w:uiPriority w:val="99"/>
    <w:rsid w:val="00E30641"/>
    <w:pPr>
      <w:numPr>
        <w:ilvl w:val="1"/>
      </w:numPr>
      <w:tabs>
        <w:tab w:val="clear" w:pos="1985"/>
        <w:tab w:val="clear" w:pos="2880"/>
      </w:tabs>
      <w:spacing w:before="240" w:after="240"/>
      <w:ind w:left="1650" w:hanging="360"/>
      <w:jc w:val="center"/>
    </w:pPr>
    <w:rPr>
      <w:b/>
      <w:sz w:val="28"/>
    </w:rPr>
  </w:style>
  <w:style w:type="paragraph" w:customStyle="1" w:styleId="partext">
    <w:name w:val="par text"/>
    <w:basedOn w:val="DzMetin"/>
    <w:rsid w:val="00E30641"/>
    <w:pPr>
      <w:tabs>
        <w:tab w:val="left" w:pos="1440"/>
        <w:tab w:val="left" w:pos="1985"/>
        <w:tab w:val="left" w:pos="2880"/>
      </w:tabs>
      <w:spacing w:before="120" w:after="120"/>
      <w:ind w:left="4530" w:hanging="180"/>
    </w:pPr>
    <w:rPr>
      <w:rFonts w:ascii="Times New Roman" w:eastAsia="Times New Roman" w:hAnsi="Times New Roman" w:cs="Times New Roman"/>
      <w:w w:val="105"/>
      <w:sz w:val="24"/>
      <w:szCs w:val="20"/>
      <w:lang w:val="x-none" w:eastAsia="x-none"/>
    </w:rPr>
  </w:style>
  <w:style w:type="paragraph" w:styleId="DzMetin">
    <w:name w:val="Plain Text"/>
    <w:basedOn w:val="Normal"/>
    <w:link w:val="DzMetinChar"/>
    <w:uiPriority w:val="99"/>
    <w:unhideWhenUsed/>
    <w:rsid w:val="00E30641"/>
    <w:pPr>
      <w:spacing w:after="0" w:line="240" w:lineRule="auto"/>
    </w:pPr>
    <w:rPr>
      <w:rFonts w:ascii="Consolas" w:hAnsi="Consolas" w:cs="Consolas"/>
      <w:sz w:val="21"/>
      <w:szCs w:val="21"/>
    </w:rPr>
  </w:style>
  <w:style w:type="character" w:customStyle="1" w:styleId="DzMetinChar">
    <w:name w:val="Düz Metin Char"/>
    <w:basedOn w:val="VarsaylanParagrafYazTipi"/>
    <w:link w:val="DzMetin"/>
    <w:uiPriority w:val="99"/>
    <w:rsid w:val="00E30641"/>
    <w:rPr>
      <w:rFonts w:ascii="Consolas" w:eastAsia="Calibri" w:hAnsi="Consolas" w:cs="Consolas"/>
      <w:sz w:val="21"/>
      <w:szCs w:val="21"/>
    </w:rPr>
  </w:style>
  <w:style w:type="paragraph" w:customStyle="1" w:styleId="SectionHeading">
    <w:name w:val="Section Heading"/>
    <w:basedOn w:val="SectionText"/>
    <w:uiPriority w:val="99"/>
    <w:rsid w:val="00E30641"/>
    <w:pPr>
      <w:keepNext/>
      <w:numPr>
        <w:ilvl w:val="0"/>
        <w:numId w:val="0"/>
      </w:numPr>
      <w:spacing w:after="240"/>
    </w:pPr>
  </w:style>
  <w:style w:type="paragraph" w:customStyle="1" w:styleId="Subpartext">
    <w:name w:val="Sub par text"/>
    <w:basedOn w:val="partext"/>
    <w:uiPriority w:val="99"/>
    <w:rsid w:val="00E30641"/>
    <w:pPr>
      <w:numPr>
        <w:ilvl w:val="6"/>
      </w:numPr>
      <w:tabs>
        <w:tab w:val="clear" w:pos="1985"/>
        <w:tab w:val="clear" w:pos="2880"/>
        <w:tab w:val="left" w:pos="720"/>
      </w:tabs>
      <w:ind w:left="5250" w:hanging="360"/>
    </w:pPr>
  </w:style>
  <w:style w:type="paragraph" w:customStyle="1" w:styleId="1">
    <w:name w:val="1"/>
    <w:basedOn w:val="Normal"/>
    <w:next w:val="AltBilgi"/>
    <w:link w:val="AltbilgiChar0"/>
    <w:uiPriority w:val="99"/>
    <w:rsid w:val="00535B26"/>
    <w:pPr>
      <w:tabs>
        <w:tab w:val="center" w:pos="4536"/>
        <w:tab w:val="right" w:pos="9072"/>
      </w:tabs>
      <w:spacing w:after="0" w:line="240" w:lineRule="auto"/>
    </w:pPr>
    <w:rPr>
      <w:rFonts w:ascii="Times New Roman" w:eastAsia="Times New Roman" w:hAnsi="Times New Roman"/>
      <w:sz w:val="24"/>
      <w:szCs w:val="24"/>
      <w:lang w:eastAsia="tr-TR"/>
    </w:rPr>
  </w:style>
  <w:style w:type="character" w:customStyle="1" w:styleId="AltbilgiChar0">
    <w:name w:val="Altbilgi Char"/>
    <w:link w:val="1"/>
    <w:uiPriority w:val="99"/>
    <w:rsid w:val="00535B26"/>
    <w:rPr>
      <w:rFonts w:ascii="Times New Roman" w:eastAsia="Times New Roman" w:hAnsi="Times New Roman" w:cs="Times New Roman"/>
      <w:sz w:val="24"/>
      <w:szCs w:val="24"/>
      <w:lang w:eastAsia="tr-TR"/>
    </w:rPr>
  </w:style>
  <w:style w:type="paragraph" w:customStyle="1" w:styleId="Madde">
    <w:name w:val="Madde"/>
    <w:basedOn w:val="Normal"/>
    <w:rsid w:val="00CB62D2"/>
    <w:pPr>
      <w:tabs>
        <w:tab w:val="left" w:pos="369"/>
      </w:tabs>
      <w:spacing w:before="360" w:after="0" w:line="240" w:lineRule="auto"/>
      <w:ind w:firstLine="720"/>
    </w:pPr>
    <w:rPr>
      <w:rFonts w:ascii="Times New Roman" w:eastAsia="Times New Roman" w:hAnsi="Times New Roman"/>
      <w:b/>
      <w:bCs/>
      <w:color w:val="000000"/>
      <w:sz w:val="24"/>
      <w:szCs w:val="24"/>
    </w:rPr>
  </w:style>
  <w:style w:type="character" w:customStyle="1" w:styleId="komperdodano">
    <w:name w:val="komperdodano"/>
    <w:basedOn w:val="VarsaylanParagrafYazTipi"/>
    <w:rsid w:val="00173986"/>
  </w:style>
  <w:style w:type="character" w:customStyle="1" w:styleId="komperzbrisano">
    <w:name w:val="komperzbrisano"/>
    <w:basedOn w:val="VarsaylanParagrafYazTipi"/>
    <w:rsid w:val="00BE183D"/>
  </w:style>
  <w:style w:type="paragraph" w:customStyle="1" w:styleId="article-paragraph">
    <w:name w:val="article-paragraph"/>
    <w:basedOn w:val="Normal"/>
    <w:rsid w:val="00F922DE"/>
    <w:pPr>
      <w:spacing w:before="100" w:beforeAutospacing="1" w:after="100" w:afterAutospacing="1" w:line="240" w:lineRule="auto"/>
      <w:jc w:val="left"/>
    </w:pPr>
    <w:rPr>
      <w:rFonts w:ascii="Times New Roman" w:eastAsia="Times New Roman" w:hAnsi="Times New Roman"/>
      <w:sz w:val="24"/>
      <w:szCs w:val="24"/>
      <w:lang w:eastAsia="tr-TR"/>
    </w:rPr>
  </w:style>
  <w:style w:type="character" w:customStyle="1" w:styleId="highlighted">
    <w:name w:val="highlighted"/>
    <w:basedOn w:val="VarsaylanParagrafYazTipi"/>
    <w:rsid w:val="007B72E6"/>
  </w:style>
  <w:style w:type="paragraph" w:customStyle="1" w:styleId="article-alinea">
    <w:name w:val="article-alinea"/>
    <w:basedOn w:val="Normal"/>
    <w:rsid w:val="007B72E6"/>
    <w:pPr>
      <w:spacing w:before="100" w:beforeAutospacing="1" w:after="100" w:afterAutospacing="1" w:line="240" w:lineRule="auto"/>
      <w:jc w:val="left"/>
    </w:pPr>
    <w:rPr>
      <w:rFonts w:ascii="Times New Roman" w:eastAsia="Times New Roman" w:hAnsi="Times New Roman"/>
      <w:sz w:val="24"/>
      <w:szCs w:val="24"/>
      <w:lang w:eastAsia="tr-TR"/>
    </w:rPr>
  </w:style>
  <w:style w:type="table" w:customStyle="1" w:styleId="TableNormal">
    <w:name w:val="Table Normal"/>
    <w:uiPriority w:val="2"/>
    <w:semiHidden/>
    <w:unhideWhenUsed/>
    <w:qFormat/>
    <w:rsid w:val="002C3099"/>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C3099"/>
    <w:pPr>
      <w:widowControl w:val="0"/>
      <w:spacing w:after="0" w:line="240" w:lineRule="auto"/>
      <w:jc w:val="left"/>
    </w:pPr>
    <w:rPr>
      <w:rFonts w:eastAsiaTheme="minorHAnsi" w:cstheme="minorBidi"/>
      <w:lang w:val="en-US"/>
    </w:rPr>
  </w:style>
  <w:style w:type="table" w:customStyle="1" w:styleId="TableNormal2">
    <w:name w:val="Table Normal2"/>
    <w:uiPriority w:val="2"/>
    <w:semiHidden/>
    <w:unhideWhenUsed/>
    <w:qFormat/>
    <w:rsid w:val="002C3099"/>
    <w:pPr>
      <w:widowControl w:val="0"/>
      <w:spacing w:after="0" w:line="240" w:lineRule="auto"/>
    </w:pPr>
    <w:rPr>
      <w:lang w:val="en-US"/>
    </w:rPr>
    <w:tblPr>
      <w:tblInd w:w="0" w:type="dxa"/>
      <w:tblCellMar>
        <w:top w:w="0" w:type="dxa"/>
        <w:left w:w="0" w:type="dxa"/>
        <w:bottom w:w="0" w:type="dxa"/>
        <w:right w:w="0" w:type="dxa"/>
      </w:tblCellMar>
    </w:tblPr>
  </w:style>
  <w:style w:type="character" w:customStyle="1" w:styleId="zmlenmeyenBahsetme1">
    <w:name w:val="Çözümlenmeyen Bahsetme1"/>
    <w:basedOn w:val="VarsaylanParagrafYazTipi"/>
    <w:uiPriority w:val="99"/>
    <w:semiHidden/>
    <w:unhideWhenUsed/>
    <w:rsid w:val="00DB1D44"/>
    <w:rPr>
      <w:color w:val="605E5C"/>
      <w:shd w:val="clear" w:color="auto" w:fill="E1DFDD"/>
    </w:rPr>
  </w:style>
  <w:style w:type="character" w:customStyle="1" w:styleId="zmlenmeyenBahsetme2">
    <w:name w:val="Çözümlenmeyen Bahsetme2"/>
    <w:basedOn w:val="VarsaylanParagrafYazTipi"/>
    <w:uiPriority w:val="99"/>
    <w:semiHidden/>
    <w:unhideWhenUsed/>
    <w:rsid w:val="00850B5D"/>
    <w:rPr>
      <w:color w:val="605E5C"/>
      <w:shd w:val="clear" w:color="auto" w:fill="E1DFDD"/>
    </w:rPr>
  </w:style>
  <w:style w:type="table" w:customStyle="1" w:styleId="TabloKlavuzu3">
    <w:name w:val="Tablo Kılavuzu3"/>
    <w:basedOn w:val="NormalTablo"/>
    <w:next w:val="TabloKlavuzu"/>
    <w:uiPriority w:val="39"/>
    <w:rsid w:val="00D810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
    <w:name w:val="Tablo Kılavuzu4"/>
    <w:basedOn w:val="NormalTablo"/>
    <w:next w:val="TabloKlavuzu"/>
    <w:uiPriority w:val="39"/>
    <w:rsid w:val="00D810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1C2BBC"/>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7E7375"/>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oKlavuzu41">
    <w:name w:val="Tablo Kılavuzu41"/>
    <w:basedOn w:val="NormalTablo"/>
    <w:next w:val="TabloKlavuzu"/>
    <w:uiPriority w:val="39"/>
    <w:rsid w:val="00F57D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
    <w:name w:val="Tablo Kılavuzu31"/>
    <w:basedOn w:val="NormalTablo"/>
    <w:next w:val="TabloKlavuzu"/>
    <w:uiPriority w:val="39"/>
    <w:rsid w:val="00F57D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0">
    <w:name w:val="Tablo Kılavuzu120"/>
    <w:basedOn w:val="NormalTablo"/>
    <w:next w:val="TabloKlavuzu"/>
    <w:uiPriority w:val="59"/>
    <w:rsid w:val="00AE58D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mlenmeyenBahsetme3">
    <w:name w:val="Çözümlenmeyen Bahsetme3"/>
    <w:basedOn w:val="VarsaylanParagrafYazTipi"/>
    <w:uiPriority w:val="99"/>
    <w:semiHidden/>
    <w:unhideWhenUsed/>
    <w:rsid w:val="00A12CD5"/>
    <w:rPr>
      <w:color w:val="605E5C"/>
      <w:shd w:val="clear" w:color="auto" w:fill="E1DFDD"/>
    </w:rPr>
  </w:style>
  <w:style w:type="character" w:customStyle="1" w:styleId="zmlenmeyenBahsetme4">
    <w:name w:val="Çözümlenmeyen Bahsetme4"/>
    <w:basedOn w:val="VarsaylanParagrafYazTipi"/>
    <w:uiPriority w:val="99"/>
    <w:semiHidden/>
    <w:unhideWhenUsed/>
    <w:rsid w:val="00E15B8B"/>
    <w:rPr>
      <w:color w:val="605E5C"/>
      <w:shd w:val="clear" w:color="auto" w:fill="E1DFDD"/>
    </w:rPr>
  </w:style>
  <w:style w:type="character" w:styleId="zmlenmeyenBahsetme">
    <w:name w:val="Unresolved Mention"/>
    <w:basedOn w:val="VarsaylanParagrafYazTipi"/>
    <w:uiPriority w:val="99"/>
    <w:semiHidden/>
    <w:unhideWhenUsed/>
    <w:rsid w:val="00B35D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508">
      <w:bodyDiv w:val="1"/>
      <w:marLeft w:val="0"/>
      <w:marRight w:val="0"/>
      <w:marTop w:val="0"/>
      <w:marBottom w:val="0"/>
      <w:divBdr>
        <w:top w:val="none" w:sz="0" w:space="0" w:color="auto"/>
        <w:left w:val="none" w:sz="0" w:space="0" w:color="auto"/>
        <w:bottom w:val="none" w:sz="0" w:space="0" w:color="auto"/>
        <w:right w:val="none" w:sz="0" w:space="0" w:color="auto"/>
      </w:divBdr>
    </w:div>
    <w:div w:id="2979035">
      <w:bodyDiv w:val="1"/>
      <w:marLeft w:val="0"/>
      <w:marRight w:val="0"/>
      <w:marTop w:val="0"/>
      <w:marBottom w:val="0"/>
      <w:divBdr>
        <w:top w:val="none" w:sz="0" w:space="0" w:color="auto"/>
        <w:left w:val="none" w:sz="0" w:space="0" w:color="auto"/>
        <w:bottom w:val="none" w:sz="0" w:space="0" w:color="auto"/>
        <w:right w:val="none" w:sz="0" w:space="0" w:color="auto"/>
      </w:divBdr>
    </w:div>
    <w:div w:id="5909618">
      <w:bodyDiv w:val="1"/>
      <w:marLeft w:val="0"/>
      <w:marRight w:val="0"/>
      <w:marTop w:val="0"/>
      <w:marBottom w:val="0"/>
      <w:divBdr>
        <w:top w:val="none" w:sz="0" w:space="0" w:color="auto"/>
        <w:left w:val="none" w:sz="0" w:space="0" w:color="auto"/>
        <w:bottom w:val="none" w:sz="0" w:space="0" w:color="auto"/>
        <w:right w:val="none" w:sz="0" w:space="0" w:color="auto"/>
      </w:divBdr>
    </w:div>
    <w:div w:id="12463620">
      <w:bodyDiv w:val="1"/>
      <w:marLeft w:val="0"/>
      <w:marRight w:val="0"/>
      <w:marTop w:val="0"/>
      <w:marBottom w:val="0"/>
      <w:divBdr>
        <w:top w:val="none" w:sz="0" w:space="0" w:color="auto"/>
        <w:left w:val="none" w:sz="0" w:space="0" w:color="auto"/>
        <w:bottom w:val="none" w:sz="0" w:space="0" w:color="auto"/>
        <w:right w:val="none" w:sz="0" w:space="0" w:color="auto"/>
      </w:divBdr>
    </w:div>
    <w:div w:id="18707683">
      <w:bodyDiv w:val="1"/>
      <w:marLeft w:val="0"/>
      <w:marRight w:val="0"/>
      <w:marTop w:val="0"/>
      <w:marBottom w:val="0"/>
      <w:divBdr>
        <w:top w:val="none" w:sz="0" w:space="0" w:color="auto"/>
        <w:left w:val="none" w:sz="0" w:space="0" w:color="auto"/>
        <w:bottom w:val="none" w:sz="0" w:space="0" w:color="auto"/>
        <w:right w:val="none" w:sz="0" w:space="0" w:color="auto"/>
      </w:divBdr>
    </w:div>
    <w:div w:id="20059412">
      <w:bodyDiv w:val="1"/>
      <w:marLeft w:val="0"/>
      <w:marRight w:val="0"/>
      <w:marTop w:val="0"/>
      <w:marBottom w:val="0"/>
      <w:divBdr>
        <w:top w:val="none" w:sz="0" w:space="0" w:color="auto"/>
        <w:left w:val="none" w:sz="0" w:space="0" w:color="auto"/>
        <w:bottom w:val="none" w:sz="0" w:space="0" w:color="auto"/>
        <w:right w:val="none" w:sz="0" w:space="0" w:color="auto"/>
      </w:divBdr>
    </w:div>
    <w:div w:id="23142999">
      <w:bodyDiv w:val="1"/>
      <w:marLeft w:val="0"/>
      <w:marRight w:val="0"/>
      <w:marTop w:val="0"/>
      <w:marBottom w:val="0"/>
      <w:divBdr>
        <w:top w:val="none" w:sz="0" w:space="0" w:color="auto"/>
        <w:left w:val="none" w:sz="0" w:space="0" w:color="auto"/>
        <w:bottom w:val="none" w:sz="0" w:space="0" w:color="auto"/>
        <w:right w:val="none" w:sz="0" w:space="0" w:color="auto"/>
      </w:divBdr>
      <w:divsChild>
        <w:div w:id="457993327">
          <w:marLeft w:val="547"/>
          <w:marRight w:val="0"/>
          <w:marTop w:val="96"/>
          <w:marBottom w:val="0"/>
          <w:divBdr>
            <w:top w:val="none" w:sz="0" w:space="0" w:color="auto"/>
            <w:left w:val="none" w:sz="0" w:space="0" w:color="auto"/>
            <w:bottom w:val="none" w:sz="0" w:space="0" w:color="auto"/>
            <w:right w:val="none" w:sz="0" w:space="0" w:color="auto"/>
          </w:divBdr>
        </w:div>
      </w:divsChild>
    </w:div>
    <w:div w:id="27725066">
      <w:bodyDiv w:val="1"/>
      <w:marLeft w:val="0"/>
      <w:marRight w:val="0"/>
      <w:marTop w:val="0"/>
      <w:marBottom w:val="0"/>
      <w:divBdr>
        <w:top w:val="none" w:sz="0" w:space="0" w:color="auto"/>
        <w:left w:val="none" w:sz="0" w:space="0" w:color="auto"/>
        <w:bottom w:val="none" w:sz="0" w:space="0" w:color="auto"/>
        <w:right w:val="none" w:sz="0" w:space="0" w:color="auto"/>
      </w:divBdr>
    </w:div>
    <w:div w:id="29457766">
      <w:bodyDiv w:val="1"/>
      <w:marLeft w:val="0"/>
      <w:marRight w:val="0"/>
      <w:marTop w:val="0"/>
      <w:marBottom w:val="0"/>
      <w:divBdr>
        <w:top w:val="none" w:sz="0" w:space="0" w:color="auto"/>
        <w:left w:val="none" w:sz="0" w:space="0" w:color="auto"/>
        <w:bottom w:val="none" w:sz="0" w:space="0" w:color="auto"/>
        <w:right w:val="none" w:sz="0" w:space="0" w:color="auto"/>
      </w:divBdr>
      <w:divsChild>
        <w:div w:id="775565092">
          <w:marLeft w:val="0"/>
          <w:marRight w:val="0"/>
          <w:marTop w:val="0"/>
          <w:marBottom w:val="0"/>
          <w:divBdr>
            <w:top w:val="none" w:sz="0" w:space="0" w:color="auto"/>
            <w:left w:val="none" w:sz="0" w:space="0" w:color="auto"/>
            <w:bottom w:val="none" w:sz="0" w:space="0" w:color="auto"/>
            <w:right w:val="none" w:sz="0" w:space="0" w:color="auto"/>
          </w:divBdr>
        </w:div>
        <w:div w:id="326833954">
          <w:marLeft w:val="0"/>
          <w:marRight w:val="0"/>
          <w:marTop w:val="0"/>
          <w:marBottom w:val="0"/>
          <w:divBdr>
            <w:top w:val="none" w:sz="0" w:space="0" w:color="auto"/>
            <w:left w:val="none" w:sz="0" w:space="0" w:color="auto"/>
            <w:bottom w:val="none" w:sz="0" w:space="0" w:color="auto"/>
            <w:right w:val="none" w:sz="0" w:space="0" w:color="auto"/>
          </w:divBdr>
        </w:div>
        <w:div w:id="29696009">
          <w:marLeft w:val="0"/>
          <w:marRight w:val="0"/>
          <w:marTop w:val="0"/>
          <w:marBottom w:val="0"/>
          <w:divBdr>
            <w:top w:val="none" w:sz="0" w:space="0" w:color="auto"/>
            <w:left w:val="none" w:sz="0" w:space="0" w:color="auto"/>
            <w:bottom w:val="none" w:sz="0" w:space="0" w:color="auto"/>
            <w:right w:val="none" w:sz="0" w:space="0" w:color="auto"/>
          </w:divBdr>
        </w:div>
        <w:div w:id="217514604">
          <w:marLeft w:val="0"/>
          <w:marRight w:val="0"/>
          <w:marTop w:val="0"/>
          <w:marBottom w:val="0"/>
          <w:divBdr>
            <w:top w:val="none" w:sz="0" w:space="0" w:color="auto"/>
            <w:left w:val="none" w:sz="0" w:space="0" w:color="auto"/>
            <w:bottom w:val="none" w:sz="0" w:space="0" w:color="auto"/>
            <w:right w:val="none" w:sz="0" w:space="0" w:color="auto"/>
          </w:divBdr>
        </w:div>
        <w:div w:id="1597135349">
          <w:marLeft w:val="0"/>
          <w:marRight w:val="0"/>
          <w:marTop w:val="0"/>
          <w:marBottom w:val="0"/>
          <w:divBdr>
            <w:top w:val="none" w:sz="0" w:space="0" w:color="auto"/>
            <w:left w:val="none" w:sz="0" w:space="0" w:color="auto"/>
            <w:bottom w:val="none" w:sz="0" w:space="0" w:color="auto"/>
            <w:right w:val="none" w:sz="0" w:space="0" w:color="auto"/>
          </w:divBdr>
        </w:div>
        <w:div w:id="1080323742">
          <w:marLeft w:val="0"/>
          <w:marRight w:val="0"/>
          <w:marTop w:val="0"/>
          <w:marBottom w:val="0"/>
          <w:divBdr>
            <w:top w:val="none" w:sz="0" w:space="0" w:color="auto"/>
            <w:left w:val="none" w:sz="0" w:space="0" w:color="auto"/>
            <w:bottom w:val="none" w:sz="0" w:space="0" w:color="auto"/>
            <w:right w:val="none" w:sz="0" w:space="0" w:color="auto"/>
          </w:divBdr>
        </w:div>
      </w:divsChild>
    </w:div>
    <w:div w:id="30081600">
      <w:bodyDiv w:val="1"/>
      <w:marLeft w:val="0"/>
      <w:marRight w:val="0"/>
      <w:marTop w:val="0"/>
      <w:marBottom w:val="0"/>
      <w:divBdr>
        <w:top w:val="none" w:sz="0" w:space="0" w:color="auto"/>
        <w:left w:val="none" w:sz="0" w:space="0" w:color="auto"/>
        <w:bottom w:val="none" w:sz="0" w:space="0" w:color="auto"/>
        <w:right w:val="none" w:sz="0" w:space="0" w:color="auto"/>
      </w:divBdr>
    </w:div>
    <w:div w:id="32779621">
      <w:bodyDiv w:val="1"/>
      <w:marLeft w:val="0"/>
      <w:marRight w:val="0"/>
      <w:marTop w:val="0"/>
      <w:marBottom w:val="0"/>
      <w:divBdr>
        <w:top w:val="none" w:sz="0" w:space="0" w:color="auto"/>
        <w:left w:val="none" w:sz="0" w:space="0" w:color="auto"/>
        <w:bottom w:val="none" w:sz="0" w:space="0" w:color="auto"/>
        <w:right w:val="none" w:sz="0" w:space="0" w:color="auto"/>
      </w:divBdr>
      <w:divsChild>
        <w:div w:id="1041247635">
          <w:marLeft w:val="0"/>
          <w:marRight w:val="0"/>
          <w:marTop w:val="120"/>
          <w:marBottom w:val="120"/>
          <w:divBdr>
            <w:top w:val="none" w:sz="0" w:space="0" w:color="auto"/>
            <w:left w:val="none" w:sz="0" w:space="0" w:color="auto"/>
            <w:bottom w:val="none" w:sz="0" w:space="0" w:color="auto"/>
            <w:right w:val="none" w:sz="0" w:space="0" w:color="auto"/>
          </w:divBdr>
        </w:div>
      </w:divsChild>
    </w:div>
    <w:div w:id="43603126">
      <w:bodyDiv w:val="1"/>
      <w:marLeft w:val="0"/>
      <w:marRight w:val="0"/>
      <w:marTop w:val="0"/>
      <w:marBottom w:val="0"/>
      <w:divBdr>
        <w:top w:val="none" w:sz="0" w:space="0" w:color="auto"/>
        <w:left w:val="none" w:sz="0" w:space="0" w:color="auto"/>
        <w:bottom w:val="none" w:sz="0" w:space="0" w:color="auto"/>
        <w:right w:val="none" w:sz="0" w:space="0" w:color="auto"/>
      </w:divBdr>
    </w:div>
    <w:div w:id="44647851">
      <w:bodyDiv w:val="1"/>
      <w:marLeft w:val="0"/>
      <w:marRight w:val="0"/>
      <w:marTop w:val="0"/>
      <w:marBottom w:val="0"/>
      <w:divBdr>
        <w:top w:val="none" w:sz="0" w:space="0" w:color="auto"/>
        <w:left w:val="none" w:sz="0" w:space="0" w:color="auto"/>
        <w:bottom w:val="none" w:sz="0" w:space="0" w:color="auto"/>
        <w:right w:val="none" w:sz="0" w:space="0" w:color="auto"/>
      </w:divBdr>
      <w:divsChild>
        <w:div w:id="50156789">
          <w:marLeft w:val="-225"/>
          <w:marRight w:val="-225"/>
          <w:marTop w:val="0"/>
          <w:marBottom w:val="0"/>
          <w:divBdr>
            <w:top w:val="none" w:sz="0" w:space="0" w:color="auto"/>
            <w:left w:val="none" w:sz="0" w:space="0" w:color="auto"/>
            <w:bottom w:val="none" w:sz="0" w:space="0" w:color="auto"/>
            <w:right w:val="none" w:sz="0" w:space="0" w:color="auto"/>
          </w:divBdr>
        </w:div>
        <w:div w:id="453209655">
          <w:marLeft w:val="-225"/>
          <w:marRight w:val="-225"/>
          <w:marTop w:val="0"/>
          <w:marBottom w:val="0"/>
          <w:divBdr>
            <w:top w:val="none" w:sz="0" w:space="0" w:color="auto"/>
            <w:left w:val="none" w:sz="0" w:space="0" w:color="auto"/>
            <w:bottom w:val="none" w:sz="0" w:space="0" w:color="auto"/>
            <w:right w:val="none" w:sz="0" w:space="0" w:color="auto"/>
          </w:divBdr>
        </w:div>
        <w:div w:id="497623380">
          <w:marLeft w:val="-225"/>
          <w:marRight w:val="-225"/>
          <w:marTop w:val="0"/>
          <w:marBottom w:val="0"/>
          <w:divBdr>
            <w:top w:val="none" w:sz="0" w:space="0" w:color="auto"/>
            <w:left w:val="none" w:sz="0" w:space="0" w:color="auto"/>
            <w:bottom w:val="none" w:sz="0" w:space="0" w:color="auto"/>
            <w:right w:val="none" w:sz="0" w:space="0" w:color="auto"/>
          </w:divBdr>
        </w:div>
        <w:div w:id="924724278">
          <w:marLeft w:val="-225"/>
          <w:marRight w:val="-225"/>
          <w:marTop w:val="0"/>
          <w:marBottom w:val="0"/>
          <w:divBdr>
            <w:top w:val="none" w:sz="0" w:space="0" w:color="auto"/>
            <w:left w:val="none" w:sz="0" w:space="0" w:color="auto"/>
            <w:bottom w:val="none" w:sz="0" w:space="0" w:color="auto"/>
            <w:right w:val="none" w:sz="0" w:space="0" w:color="auto"/>
          </w:divBdr>
        </w:div>
        <w:div w:id="983924565">
          <w:marLeft w:val="-225"/>
          <w:marRight w:val="-225"/>
          <w:marTop w:val="0"/>
          <w:marBottom w:val="0"/>
          <w:divBdr>
            <w:top w:val="none" w:sz="0" w:space="0" w:color="auto"/>
            <w:left w:val="none" w:sz="0" w:space="0" w:color="auto"/>
            <w:bottom w:val="none" w:sz="0" w:space="0" w:color="auto"/>
            <w:right w:val="none" w:sz="0" w:space="0" w:color="auto"/>
          </w:divBdr>
        </w:div>
        <w:div w:id="1279607875">
          <w:marLeft w:val="-225"/>
          <w:marRight w:val="-225"/>
          <w:marTop w:val="0"/>
          <w:marBottom w:val="0"/>
          <w:divBdr>
            <w:top w:val="none" w:sz="0" w:space="0" w:color="auto"/>
            <w:left w:val="none" w:sz="0" w:space="0" w:color="auto"/>
            <w:bottom w:val="none" w:sz="0" w:space="0" w:color="auto"/>
            <w:right w:val="none" w:sz="0" w:space="0" w:color="auto"/>
          </w:divBdr>
        </w:div>
        <w:div w:id="1551915536">
          <w:marLeft w:val="-225"/>
          <w:marRight w:val="-225"/>
          <w:marTop w:val="0"/>
          <w:marBottom w:val="0"/>
          <w:divBdr>
            <w:top w:val="none" w:sz="0" w:space="0" w:color="auto"/>
            <w:left w:val="none" w:sz="0" w:space="0" w:color="auto"/>
            <w:bottom w:val="none" w:sz="0" w:space="0" w:color="auto"/>
            <w:right w:val="none" w:sz="0" w:space="0" w:color="auto"/>
          </w:divBdr>
        </w:div>
        <w:div w:id="1778672140">
          <w:marLeft w:val="-225"/>
          <w:marRight w:val="-225"/>
          <w:marTop w:val="0"/>
          <w:marBottom w:val="0"/>
          <w:divBdr>
            <w:top w:val="none" w:sz="0" w:space="0" w:color="auto"/>
            <w:left w:val="none" w:sz="0" w:space="0" w:color="auto"/>
            <w:bottom w:val="none" w:sz="0" w:space="0" w:color="auto"/>
            <w:right w:val="none" w:sz="0" w:space="0" w:color="auto"/>
          </w:divBdr>
        </w:div>
      </w:divsChild>
    </w:div>
    <w:div w:id="48725397">
      <w:bodyDiv w:val="1"/>
      <w:marLeft w:val="0"/>
      <w:marRight w:val="0"/>
      <w:marTop w:val="0"/>
      <w:marBottom w:val="0"/>
      <w:divBdr>
        <w:top w:val="none" w:sz="0" w:space="0" w:color="auto"/>
        <w:left w:val="none" w:sz="0" w:space="0" w:color="auto"/>
        <w:bottom w:val="none" w:sz="0" w:space="0" w:color="auto"/>
        <w:right w:val="none" w:sz="0" w:space="0" w:color="auto"/>
      </w:divBdr>
      <w:divsChild>
        <w:div w:id="17897012">
          <w:marLeft w:val="0"/>
          <w:marRight w:val="0"/>
          <w:marTop w:val="0"/>
          <w:marBottom w:val="0"/>
          <w:divBdr>
            <w:top w:val="none" w:sz="0" w:space="0" w:color="auto"/>
            <w:left w:val="none" w:sz="0" w:space="0" w:color="auto"/>
            <w:bottom w:val="none" w:sz="0" w:space="0" w:color="auto"/>
            <w:right w:val="none" w:sz="0" w:space="0" w:color="auto"/>
          </w:divBdr>
        </w:div>
        <w:div w:id="331954858">
          <w:marLeft w:val="0"/>
          <w:marRight w:val="0"/>
          <w:marTop w:val="0"/>
          <w:marBottom w:val="0"/>
          <w:divBdr>
            <w:top w:val="none" w:sz="0" w:space="0" w:color="auto"/>
            <w:left w:val="none" w:sz="0" w:space="0" w:color="auto"/>
            <w:bottom w:val="none" w:sz="0" w:space="0" w:color="auto"/>
            <w:right w:val="none" w:sz="0" w:space="0" w:color="auto"/>
          </w:divBdr>
        </w:div>
        <w:div w:id="522017464">
          <w:marLeft w:val="0"/>
          <w:marRight w:val="0"/>
          <w:marTop w:val="0"/>
          <w:marBottom w:val="0"/>
          <w:divBdr>
            <w:top w:val="none" w:sz="0" w:space="0" w:color="auto"/>
            <w:left w:val="none" w:sz="0" w:space="0" w:color="auto"/>
            <w:bottom w:val="none" w:sz="0" w:space="0" w:color="auto"/>
            <w:right w:val="none" w:sz="0" w:space="0" w:color="auto"/>
          </w:divBdr>
        </w:div>
        <w:div w:id="540098768">
          <w:marLeft w:val="0"/>
          <w:marRight w:val="0"/>
          <w:marTop w:val="0"/>
          <w:marBottom w:val="0"/>
          <w:divBdr>
            <w:top w:val="none" w:sz="0" w:space="0" w:color="auto"/>
            <w:left w:val="none" w:sz="0" w:space="0" w:color="auto"/>
            <w:bottom w:val="none" w:sz="0" w:space="0" w:color="auto"/>
            <w:right w:val="none" w:sz="0" w:space="0" w:color="auto"/>
          </w:divBdr>
        </w:div>
        <w:div w:id="626590287">
          <w:marLeft w:val="0"/>
          <w:marRight w:val="0"/>
          <w:marTop w:val="0"/>
          <w:marBottom w:val="0"/>
          <w:divBdr>
            <w:top w:val="none" w:sz="0" w:space="0" w:color="auto"/>
            <w:left w:val="none" w:sz="0" w:space="0" w:color="auto"/>
            <w:bottom w:val="none" w:sz="0" w:space="0" w:color="auto"/>
            <w:right w:val="none" w:sz="0" w:space="0" w:color="auto"/>
          </w:divBdr>
        </w:div>
        <w:div w:id="658117769">
          <w:marLeft w:val="0"/>
          <w:marRight w:val="0"/>
          <w:marTop w:val="0"/>
          <w:marBottom w:val="0"/>
          <w:divBdr>
            <w:top w:val="none" w:sz="0" w:space="0" w:color="auto"/>
            <w:left w:val="none" w:sz="0" w:space="0" w:color="auto"/>
            <w:bottom w:val="none" w:sz="0" w:space="0" w:color="auto"/>
            <w:right w:val="none" w:sz="0" w:space="0" w:color="auto"/>
          </w:divBdr>
        </w:div>
        <w:div w:id="678508136">
          <w:marLeft w:val="0"/>
          <w:marRight w:val="0"/>
          <w:marTop w:val="0"/>
          <w:marBottom w:val="0"/>
          <w:divBdr>
            <w:top w:val="none" w:sz="0" w:space="0" w:color="auto"/>
            <w:left w:val="none" w:sz="0" w:space="0" w:color="auto"/>
            <w:bottom w:val="none" w:sz="0" w:space="0" w:color="auto"/>
            <w:right w:val="none" w:sz="0" w:space="0" w:color="auto"/>
          </w:divBdr>
        </w:div>
        <w:div w:id="770709892">
          <w:marLeft w:val="0"/>
          <w:marRight w:val="0"/>
          <w:marTop w:val="0"/>
          <w:marBottom w:val="0"/>
          <w:divBdr>
            <w:top w:val="none" w:sz="0" w:space="0" w:color="auto"/>
            <w:left w:val="none" w:sz="0" w:space="0" w:color="auto"/>
            <w:bottom w:val="none" w:sz="0" w:space="0" w:color="auto"/>
            <w:right w:val="none" w:sz="0" w:space="0" w:color="auto"/>
          </w:divBdr>
        </w:div>
        <w:div w:id="929853830">
          <w:marLeft w:val="0"/>
          <w:marRight w:val="0"/>
          <w:marTop w:val="0"/>
          <w:marBottom w:val="0"/>
          <w:divBdr>
            <w:top w:val="none" w:sz="0" w:space="0" w:color="auto"/>
            <w:left w:val="none" w:sz="0" w:space="0" w:color="auto"/>
            <w:bottom w:val="none" w:sz="0" w:space="0" w:color="auto"/>
            <w:right w:val="none" w:sz="0" w:space="0" w:color="auto"/>
          </w:divBdr>
        </w:div>
        <w:div w:id="995911016">
          <w:marLeft w:val="0"/>
          <w:marRight w:val="0"/>
          <w:marTop w:val="0"/>
          <w:marBottom w:val="0"/>
          <w:divBdr>
            <w:top w:val="none" w:sz="0" w:space="0" w:color="auto"/>
            <w:left w:val="none" w:sz="0" w:space="0" w:color="auto"/>
            <w:bottom w:val="none" w:sz="0" w:space="0" w:color="auto"/>
            <w:right w:val="none" w:sz="0" w:space="0" w:color="auto"/>
          </w:divBdr>
        </w:div>
        <w:div w:id="1103066094">
          <w:marLeft w:val="0"/>
          <w:marRight w:val="0"/>
          <w:marTop w:val="0"/>
          <w:marBottom w:val="0"/>
          <w:divBdr>
            <w:top w:val="none" w:sz="0" w:space="0" w:color="auto"/>
            <w:left w:val="none" w:sz="0" w:space="0" w:color="auto"/>
            <w:bottom w:val="none" w:sz="0" w:space="0" w:color="auto"/>
            <w:right w:val="none" w:sz="0" w:space="0" w:color="auto"/>
          </w:divBdr>
        </w:div>
        <w:div w:id="1154298921">
          <w:marLeft w:val="0"/>
          <w:marRight w:val="0"/>
          <w:marTop w:val="0"/>
          <w:marBottom w:val="0"/>
          <w:divBdr>
            <w:top w:val="none" w:sz="0" w:space="0" w:color="auto"/>
            <w:left w:val="none" w:sz="0" w:space="0" w:color="auto"/>
            <w:bottom w:val="none" w:sz="0" w:space="0" w:color="auto"/>
            <w:right w:val="none" w:sz="0" w:space="0" w:color="auto"/>
          </w:divBdr>
        </w:div>
        <w:div w:id="1217863589">
          <w:marLeft w:val="0"/>
          <w:marRight w:val="0"/>
          <w:marTop w:val="0"/>
          <w:marBottom w:val="0"/>
          <w:divBdr>
            <w:top w:val="none" w:sz="0" w:space="0" w:color="auto"/>
            <w:left w:val="none" w:sz="0" w:space="0" w:color="auto"/>
            <w:bottom w:val="none" w:sz="0" w:space="0" w:color="auto"/>
            <w:right w:val="none" w:sz="0" w:space="0" w:color="auto"/>
          </w:divBdr>
        </w:div>
        <w:div w:id="1292860134">
          <w:marLeft w:val="0"/>
          <w:marRight w:val="0"/>
          <w:marTop w:val="0"/>
          <w:marBottom w:val="0"/>
          <w:divBdr>
            <w:top w:val="none" w:sz="0" w:space="0" w:color="auto"/>
            <w:left w:val="none" w:sz="0" w:space="0" w:color="auto"/>
            <w:bottom w:val="none" w:sz="0" w:space="0" w:color="auto"/>
            <w:right w:val="none" w:sz="0" w:space="0" w:color="auto"/>
          </w:divBdr>
        </w:div>
        <w:div w:id="1416895851">
          <w:marLeft w:val="0"/>
          <w:marRight w:val="0"/>
          <w:marTop w:val="0"/>
          <w:marBottom w:val="0"/>
          <w:divBdr>
            <w:top w:val="none" w:sz="0" w:space="0" w:color="auto"/>
            <w:left w:val="none" w:sz="0" w:space="0" w:color="auto"/>
            <w:bottom w:val="none" w:sz="0" w:space="0" w:color="auto"/>
            <w:right w:val="none" w:sz="0" w:space="0" w:color="auto"/>
          </w:divBdr>
        </w:div>
        <w:div w:id="1451585719">
          <w:marLeft w:val="0"/>
          <w:marRight w:val="0"/>
          <w:marTop w:val="0"/>
          <w:marBottom w:val="0"/>
          <w:divBdr>
            <w:top w:val="none" w:sz="0" w:space="0" w:color="auto"/>
            <w:left w:val="none" w:sz="0" w:space="0" w:color="auto"/>
            <w:bottom w:val="none" w:sz="0" w:space="0" w:color="auto"/>
            <w:right w:val="none" w:sz="0" w:space="0" w:color="auto"/>
          </w:divBdr>
        </w:div>
        <w:div w:id="1575505378">
          <w:marLeft w:val="0"/>
          <w:marRight w:val="0"/>
          <w:marTop w:val="0"/>
          <w:marBottom w:val="0"/>
          <w:divBdr>
            <w:top w:val="none" w:sz="0" w:space="0" w:color="auto"/>
            <w:left w:val="none" w:sz="0" w:space="0" w:color="auto"/>
            <w:bottom w:val="none" w:sz="0" w:space="0" w:color="auto"/>
            <w:right w:val="none" w:sz="0" w:space="0" w:color="auto"/>
          </w:divBdr>
        </w:div>
        <w:div w:id="1702125174">
          <w:marLeft w:val="0"/>
          <w:marRight w:val="0"/>
          <w:marTop w:val="0"/>
          <w:marBottom w:val="0"/>
          <w:divBdr>
            <w:top w:val="none" w:sz="0" w:space="0" w:color="auto"/>
            <w:left w:val="none" w:sz="0" w:space="0" w:color="auto"/>
            <w:bottom w:val="none" w:sz="0" w:space="0" w:color="auto"/>
            <w:right w:val="none" w:sz="0" w:space="0" w:color="auto"/>
          </w:divBdr>
        </w:div>
        <w:div w:id="1826168597">
          <w:marLeft w:val="0"/>
          <w:marRight w:val="0"/>
          <w:marTop w:val="0"/>
          <w:marBottom w:val="0"/>
          <w:divBdr>
            <w:top w:val="none" w:sz="0" w:space="0" w:color="auto"/>
            <w:left w:val="none" w:sz="0" w:space="0" w:color="auto"/>
            <w:bottom w:val="none" w:sz="0" w:space="0" w:color="auto"/>
            <w:right w:val="none" w:sz="0" w:space="0" w:color="auto"/>
          </w:divBdr>
        </w:div>
        <w:div w:id="1838644158">
          <w:marLeft w:val="0"/>
          <w:marRight w:val="0"/>
          <w:marTop w:val="0"/>
          <w:marBottom w:val="0"/>
          <w:divBdr>
            <w:top w:val="none" w:sz="0" w:space="0" w:color="auto"/>
            <w:left w:val="none" w:sz="0" w:space="0" w:color="auto"/>
            <w:bottom w:val="none" w:sz="0" w:space="0" w:color="auto"/>
            <w:right w:val="none" w:sz="0" w:space="0" w:color="auto"/>
          </w:divBdr>
        </w:div>
        <w:div w:id="1869291826">
          <w:marLeft w:val="0"/>
          <w:marRight w:val="0"/>
          <w:marTop w:val="0"/>
          <w:marBottom w:val="0"/>
          <w:divBdr>
            <w:top w:val="none" w:sz="0" w:space="0" w:color="auto"/>
            <w:left w:val="none" w:sz="0" w:space="0" w:color="auto"/>
            <w:bottom w:val="none" w:sz="0" w:space="0" w:color="auto"/>
            <w:right w:val="none" w:sz="0" w:space="0" w:color="auto"/>
          </w:divBdr>
        </w:div>
        <w:div w:id="1925994395">
          <w:marLeft w:val="0"/>
          <w:marRight w:val="0"/>
          <w:marTop w:val="0"/>
          <w:marBottom w:val="0"/>
          <w:divBdr>
            <w:top w:val="none" w:sz="0" w:space="0" w:color="auto"/>
            <w:left w:val="none" w:sz="0" w:space="0" w:color="auto"/>
            <w:bottom w:val="none" w:sz="0" w:space="0" w:color="auto"/>
            <w:right w:val="none" w:sz="0" w:space="0" w:color="auto"/>
          </w:divBdr>
        </w:div>
        <w:div w:id="1946384702">
          <w:marLeft w:val="0"/>
          <w:marRight w:val="0"/>
          <w:marTop w:val="0"/>
          <w:marBottom w:val="0"/>
          <w:divBdr>
            <w:top w:val="none" w:sz="0" w:space="0" w:color="auto"/>
            <w:left w:val="none" w:sz="0" w:space="0" w:color="auto"/>
            <w:bottom w:val="none" w:sz="0" w:space="0" w:color="auto"/>
            <w:right w:val="none" w:sz="0" w:space="0" w:color="auto"/>
          </w:divBdr>
        </w:div>
        <w:div w:id="1948076172">
          <w:marLeft w:val="0"/>
          <w:marRight w:val="0"/>
          <w:marTop w:val="0"/>
          <w:marBottom w:val="0"/>
          <w:divBdr>
            <w:top w:val="none" w:sz="0" w:space="0" w:color="auto"/>
            <w:left w:val="none" w:sz="0" w:space="0" w:color="auto"/>
            <w:bottom w:val="none" w:sz="0" w:space="0" w:color="auto"/>
            <w:right w:val="none" w:sz="0" w:space="0" w:color="auto"/>
          </w:divBdr>
        </w:div>
        <w:div w:id="1988431674">
          <w:marLeft w:val="0"/>
          <w:marRight w:val="0"/>
          <w:marTop w:val="0"/>
          <w:marBottom w:val="0"/>
          <w:divBdr>
            <w:top w:val="none" w:sz="0" w:space="0" w:color="auto"/>
            <w:left w:val="none" w:sz="0" w:space="0" w:color="auto"/>
            <w:bottom w:val="none" w:sz="0" w:space="0" w:color="auto"/>
            <w:right w:val="none" w:sz="0" w:space="0" w:color="auto"/>
          </w:divBdr>
        </w:div>
        <w:div w:id="2041201240">
          <w:marLeft w:val="0"/>
          <w:marRight w:val="0"/>
          <w:marTop w:val="0"/>
          <w:marBottom w:val="0"/>
          <w:divBdr>
            <w:top w:val="none" w:sz="0" w:space="0" w:color="auto"/>
            <w:left w:val="none" w:sz="0" w:space="0" w:color="auto"/>
            <w:bottom w:val="none" w:sz="0" w:space="0" w:color="auto"/>
            <w:right w:val="none" w:sz="0" w:space="0" w:color="auto"/>
          </w:divBdr>
        </w:div>
        <w:div w:id="2094156705">
          <w:marLeft w:val="0"/>
          <w:marRight w:val="0"/>
          <w:marTop w:val="0"/>
          <w:marBottom w:val="0"/>
          <w:divBdr>
            <w:top w:val="none" w:sz="0" w:space="0" w:color="auto"/>
            <w:left w:val="none" w:sz="0" w:space="0" w:color="auto"/>
            <w:bottom w:val="none" w:sz="0" w:space="0" w:color="auto"/>
            <w:right w:val="none" w:sz="0" w:space="0" w:color="auto"/>
          </w:divBdr>
        </w:div>
        <w:div w:id="2101902084">
          <w:marLeft w:val="0"/>
          <w:marRight w:val="0"/>
          <w:marTop w:val="0"/>
          <w:marBottom w:val="0"/>
          <w:divBdr>
            <w:top w:val="none" w:sz="0" w:space="0" w:color="auto"/>
            <w:left w:val="none" w:sz="0" w:space="0" w:color="auto"/>
            <w:bottom w:val="none" w:sz="0" w:space="0" w:color="auto"/>
            <w:right w:val="none" w:sz="0" w:space="0" w:color="auto"/>
          </w:divBdr>
        </w:div>
      </w:divsChild>
    </w:div>
    <w:div w:id="60913550">
      <w:bodyDiv w:val="1"/>
      <w:marLeft w:val="0"/>
      <w:marRight w:val="0"/>
      <w:marTop w:val="0"/>
      <w:marBottom w:val="0"/>
      <w:divBdr>
        <w:top w:val="none" w:sz="0" w:space="0" w:color="auto"/>
        <w:left w:val="none" w:sz="0" w:space="0" w:color="auto"/>
        <w:bottom w:val="none" w:sz="0" w:space="0" w:color="auto"/>
        <w:right w:val="none" w:sz="0" w:space="0" w:color="auto"/>
      </w:divBdr>
    </w:div>
    <w:div w:id="62721943">
      <w:bodyDiv w:val="1"/>
      <w:marLeft w:val="0"/>
      <w:marRight w:val="0"/>
      <w:marTop w:val="0"/>
      <w:marBottom w:val="0"/>
      <w:divBdr>
        <w:top w:val="none" w:sz="0" w:space="0" w:color="auto"/>
        <w:left w:val="none" w:sz="0" w:space="0" w:color="auto"/>
        <w:bottom w:val="none" w:sz="0" w:space="0" w:color="auto"/>
        <w:right w:val="none" w:sz="0" w:space="0" w:color="auto"/>
      </w:divBdr>
    </w:div>
    <w:div w:id="64186853">
      <w:bodyDiv w:val="1"/>
      <w:marLeft w:val="0"/>
      <w:marRight w:val="0"/>
      <w:marTop w:val="0"/>
      <w:marBottom w:val="0"/>
      <w:divBdr>
        <w:top w:val="none" w:sz="0" w:space="0" w:color="auto"/>
        <w:left w:val="none" w:sz="0" w:space="0" w:color="auto"/>
        <w:bottom w:val="none" w:sz="0" w:space="0" w:color="auto"/>
        <w:right w:val="none" w:sz="0" w:space="0" w:color="auto"/>
      </w:divBdr>
    </w:div>
    <w:div w:id="81683659">
      <w:bodyDiv w:val="1"/>
      <w:marLeft w:val="0"/>
      <w:marRight w:val="0"/>
      <w:marTop w:val="0"/>
      <w:marBottom w:val="0"/>
      <w:divBdr>
        <w:top w:val="none" w:sz="0" w:space="0" w:color="auto"/>
        <w:left w:val="none" w:sz="0" w:space="0" w:color="auto"/>
        <w:bottom w:val="none" w:sz="0" w:space="0" w:color="auto"/>
        <w:right w:val="none" w:sz="0" w:space="0" w:color="auto"/>
      </w:divBdr>
    </w:div>
    <w:div w:id="89745698">
      <w:bodyDiv w:val="1"/>
      <w:marLeft w:val="0"/>
      <w:marRight w:val="0"/>
      <w:marTop w:val="0"/>
      <w:marBottom w:val="0"/>
      <w:divBdr>
        <w:top w:val="none" w:sz="0" w:space="0" w:color="auto"/>
        <w:left w:val="none" w:sz="0" w:space="0" w:color="auto"/>
        <w:bottom w:val="none" w:sz="0" w:space="0" w:color="auto"/>
        <w:right w:val="none" w:sz="0" w:space="0" w:color="auto"/>
      </w:divBdr>
    </w:div>
    <w:div w:id="96994900">
      <w:bodyDiv w:val="1"/>
      <w:marLeft w:val="0"/>
      <w:marRight w:val="0"/>
      <w:marTop w:val="0"/>
      <w:marBottom w:val="0"/>
      <w:divBdr>
        <w:top w:val="none" w:sz="0" w:space="0" w:color="auto"/>
        <w:left w:val="none" w:sz="0" w:space="0" w:color="auto"/>
        <w:bottom w:val="none" w:sz="0" w:space="0" w:color="auto"/>
        <w:right w:val="none" w:sz="0" w:space="0" w:color="auto"/>
      </w:divBdr>
    </w:div>
    <w:div w:id="98262947">
      <w:bodyDiv w:val="1"/>
      <w:marLeft w:val="0"/>
      <w:marRight w:val="0"/>
      <w:marTop w:val="0"/>
      <w:marBottom w:val="0"/>
      <w:divBdr>
        <w:top w:val="none" w:sz="0" w:space="0" w:color="auto"/>
        <w:left w:val="none" w:sz="0" w:space="0" w:color="auto"/>
        <w:bottom w:val="none" w:sz="0" w:space="0" w:color="auto"/>
        <w:right w:val="none" w:sz="0" w:space="0" w:color="auto"/>
      </w:divBdr>
    </w:div>
    <w:div w:id="100036291">
      <w:bodyDiv w:val="1"/>
      <w:marLeft w:val="0"/>
      <w:marRight w:val="0"/>
      <w:marTop w:val="0"/>
      <w:marBottom w:val="0"/>
      <w:divBdr>
        <w:top w:val="none" w:sz="0" w:space="0" w:color="auto"/>
        <w:left w:val="none" w:sz="0" w:space="0" w:color="auto"/>
        <w:bottom w:val="none" w:sz="0" w:space="0" w:color="auto"/>
        <w:right w:val="none" w:sz="0" w:space="0" w:color="auto"/>
      </w:divBdr>
    </w:div>
    <w:div w:id="101998899">
      <w:bodyDiv w:val="1"/>
      <w:marLeft w:val="0"/>
      <w:marRight w:val="0"/>
      <w:marTop w:val="0"/>
      <w:marBottom w:val="0"/>
      <w:divBdr>
        <w:top w:val="none" w:sz="0" w:space="0" w:color="auto"/>
        <w:left w:val="none" w:sz="0" w:space="0" w:color="auto"/>
        <w:bottom w:val="none" w:sz="0" w:space="0" w:color="auto"/>
        <w:right w:val="none" w:sz="0" w:space="0" w:color="auto"/>
      </w:divBdr>
    </w:div>
    <w:div w:id="110784801">
      <w:bodyDiv w:val="1"/>
      <w:marLeft w:val="0"/>
      <w:marRight w:val="0"/>
      <w:marTop w:val="0"/>
      <w:marBottom w:val="0"/>
      <w:divBdr>
        <w:top w:val="none" w:sz="0" w:space="0" w:color="auto"/>
        <w:left w:val="none" w:sz="0" w:space="0" w:color="auto"/>
        <w:bottom w:val="none" w:sz="0" w:space="0" w:color="auto"/>
        <w:right w:val="none" w:sz="0" w:space="0" w:color="auto"/>
      </w:divBdr>
    </w:div>
    <w:div w:id="120390161">
      <w:bodyDiv w:val="1"/>
      <w:marLeft w:val="0"/>
      <w:marRight w:val="0"/>
      <w:marTop w:val="0"/>
      <w:marBottom w:val="0"/>
      <w:divBdr>
        <w:top w:val="none" w:sz="0" w:space="0" w:color="auto"/>
        <w:left w:val="none" w:sz="0" w:space="0" w:color="auto"/>
        <w:bottom w:val="none" w:sz="0" w:space="0" w:color="auto"/>
        <w:right w:val="none" w:sz="0" w:space="0" w:color="auto"/>
      </w:divBdr>
    </w:div>
    <w:div w:id="122311219">
      <w:bodyDiv w:val="1"/>
      <w:marLeft w:val="0"/>
      <w:marRight w:val="0"/>
      <w:marTop w:val="0"/>
      <w:marBottom w:val="0"/>
      <w:divBdr>
        <w:top w:val="none" w:sz="0" w:space="0" w:color="auto"/>
        <w:left w:val="none" w:sz="0" w:space="0" w:color="auto"/>
        <w:bottom w:val="none" w:sz="0" w:space="0" w:color="auto"/>
        <w:right w:val="none" w:sz="0" w:space="0" w:color="auto"/>
      </w:divBdr>
    </w:div>
    <w:div w:id="140390838">
      <w:bodyDiv w:val="1"/>
      <w:marLeft w:val="0"/>
      <w:marRight w:val="0"/>
      <w:marTop w:val="0"/>
      <w:marBottom w:val="0"/>
      <w:divBdr>
        <w:top w:val="none" w:sz="0" w:space="0" w:color="auto"/>
        <w:left w:val="none" w:sz="0" w:space="0" w:color="auto"/>
        <w:bottom w:val="none" w:sz="0" w:space="0" w:color="auto"/>
        <w:right w:val="none" w:sz="0" w:space="0" w:color="auto"/>
      </w:divBdr>
    </w:div>
    <w:div w:id="141773628">
      <w:bodyDiv w:val="1"/>
      <w:marLeft w:val="0"/>
      <w:marRight w:val="0"/>
      <w:marTop w:val="0"/>
      <w:marBottom w:val="0"/>
      <w:divBdr>
        <w:top w:val="none" w:sz="0" w:space="0" w:color="auto"/>
        <w:left w:val="none" w:sz="0" w:space="0" w:color="auto"/>
        <w:bottom w:val="none" w:sz="0" w:space="0" w:color="auto"/>
        <w:right w:val="none" w:sz="0" w:space="0" w:color="auto"/>
      </w:divBdr>
    </w:div>
    <w:div w:id="143356600">
      <w:bodyDiv w:val="1"/>
      <w:marLeft w:val="0"/>
      <w:marRight w:val="0"/>
      <w:marTop w:val="0"/>
      <w:marBottom w:val="0"/>
      <w:divBdr>
        <w:top w:val="none" w:sz="0" w:space="0" w:color="auto"/>
        <w:left w:val="none" w:sz="0" w:space="0" w:color="auto"/>
        <w:bottom w:val="none" w:sz="0" w:space="0" w:color="auto"/>
        <w:right w:val="none" w:sz="0" w:space="0" w:color="auto"/>
      </w:divBdr>
    </w:div>
    <w:div w:id="150411370">
      <w:bodyDiv w:val="1"/>
      <w:marLeft w:val="0"/>
      <w:marRight w:val="0"/>
      <w:marTop w:val="0"/>
      <w:marBottom w:val="0"/>
      <w:divBdr>
        <w:top w:val="none" w:sz="0" w:space="0" w:color="auto"/>
        <w:left w:val="none" w:sz="0" w:space="0" w:color="auto"/>
        <w:bottom w:val="none" w:sz="0" w:space="0" w:color="auto"/>
        <w:right w:val="none" w:sz="0" w:space="0" w:color="auto"/>
      </w:divBdr>
    </w:div>
    <w:div w:id="151222855">
      <w:bodyDiv w:val="1"/>
      <w:marLeft w:val="0"/>
      <w:marRight w:val="0"/>
      <w:marTop w:val="0"/>
      <w:marBottom w:val="0"/>
      <w:divBdr>
        <w:top w:val="none" w:sz="0" w:space="0" w:color="auto"/>
        <w:left w:val="none" w:sz="0" w:space="0" w:color="auto"/>
        <w:bottom w:val="none" w:sz="0" w:space="0" w:color="auto"/>
        <w:right w:val="none" w:sz="0" w:space="0" w:color="auto"/>
      </w:divBdr>
    </w:div>
    <w:div w:id="163671075">
      <w:bodyDiv w:val="1"/>
      <w:marLeft w:val="0"/>
      <w:marRight w:val="0"/>
      <w:marTop w:val="0"/>
      <w:marBottom w:val="0"/>
      <w:divBdr>
        <w:top w:val="none" w:sz="0" w:space="0" w:color="auto"/>
        <w:left w:val="none" w:sz="0" w:space="0" w:color="auto"/>
        <w:bottom w:val="none" w:sz="0" w:space="0" w:color="auto"/>
        <w:right w:val="none" w:sz="0" w:space="0" w:color="auto"/>
      </w:divBdr>
    </w:div>
    <w:div w:id="179007842">
      <w:bodyDiv w:val="1"/>
      <w:marLeft w:val="0"/>
      <w:marRight w:val="0"/>
      <w:marTop w:val="0"/>
      <w:marBottom w:val="0"/>
      <w:divBdr>
        <w:top w:val="none" w:sz="0" w:space="0" w:color="auto"/>
        <w:left w:val="none" w:sz="0" w:space="0" w:color="auto"/>
        <w:bottom w:val="none" w:sz="0" w:space="0" w:color="auto"/>
        <w:right w:val="none" w:sz="0" w:space="0" w:color="auto"/>
      </w:divBdr>
    </w:div>
    <w:div w:id="188491622">
      <w:bodyDiv w:val="1"/>
      <w:marLeft w:val="0"/>
      <w:marRight w:val="0"/>
      <w:marTop w:val="0"/>
      <w:marBottom w:val="0"/>
      <w:divBdr>
        <w:top w:val="none" w:sz="0" w:space="0" w:color="auto"/>
        <w:left w:val="none" w:sz="0" w:space="0" w:color="auto"/>
        <w:bottom w:val="none" w:sz="0" w:space="0" w:color="auto"/>
        <w:right w:val="none" w:sz="0" w:space="0" w:color="auto"/>
      </w:divBdr>
    </w:div>
    <w:div w:id="193619430">
      <w:bodyDiv w:val="1"/>
      <w:marLeft w:val="0"/>
      <w:marRight w:val="0"/>
      <w:marTop w:val="0"/>
      <w:marBottom w:val="0"/>
      <w:divBdr>
        <w:top w:val="none" w:sz="0" w:space="0" w:color="auto"/>
        <w:left w:val="none" w:sz="0" w:space="0" w:color="auto"/>
        <w:bottom w:val="none" w:sz="0" w:space="0" w:color="auto"/>
        <w:right w:val="none" w:sz="0" w:space="0" w:color="auto"/>
      </w:divBdr>
      <w:divsChild>
        <w:div w:id="406999193">
          <w:marLeft w:val="-225"/>
          <w:marRight w:val="-225"/>
          <w:marTop w:val="0"/>
          <w:marBottom w:val="0"/>
          <w:divBdr>
            <w:top w:val="none" w:sz="0" w:space="0" w:color="auto"/>
            <w:left w:val="none" w:sz="0" w:space="0" w:color="auto"/>
            <w:bottom w:val="none" w:sz="0" w:space="0" w:color="auto"/>
            <w:right w:val="none" w:sz="0" w:space="0" w:color="auto"/>
          </w:divBdr>
        </w:div>
        <w:div w:id="410009204">
          <w:marLeft w:val="-225"/>
          <w:marRight w:val="-225"/>
          <w:marTop w:val="0"/>
          <w:marBottom w:val="0"/>
          <w:divBdr>
            <w:top w:val="none" w:sz="0" w:space="0" w:color="auto"/>
            <w:left w:val="none" w:sz="0" w:space="0" w:color="auto"/>
            <w:bottom w:val="none" w:sz="0" w:space="0" w:color="auto"/>
            <w:right w:val="none" w:sz="0" w:space="0" w:color="auto"/>
          </w:divBdr>
        </w:div>
        <w:div w:id="543955308">
          <w:marLeft w:val="-225"/>
          <w:marRight w:val="-225"/>
          <w:marTop w:val="0"/>
          <w:marBottom w:val="0"/>
          <w:divBdr>
            <w:top w:val="none" w:sz="0" w:space="0" w:color="auto"/>
            <w:left w:val="none" w:sz="0" w:space="0" w:color="auto"/>
            <w:bottom w:val="none" w:sz="0" w:space="0" w:color="auto"/>
            <w:right w:val="none" w:sz="0" w:space="0" w:color="auto"/>
          </w:divBdr>
        </w:div>
        <w:div w:id="725881453">
          <w:marLeft w:val="-225"/>
          <w:marRight w:val="-225"/>
          <w:marTop w:val="0"/>
          <w:marBottom w:val="0"/>
          <w:divBdr>
            <w:top w:val="none" w:sz="0" w:space="0" w:color="auto"/>
            <w:left w:val="none" w:sz="0" w:space="0" w:color="auto"/>
            <w:bottom w:val="none" w:sz="0" w:space="0" w:color="auto"/>
            <w:right w:val="none" w:sz="0" w:space="0" w:color="auto"/>
          </w:divBdr>
        </w:div>
        <w:div w:id="881134661">
          <w:marLeft w:val="-225"/>
          <w:marRight w:val="-225"/>
          <w:marTop w:val="0"/>
          <w:marBottom w:val="0"/>
          <w:divBdr>
            <w:top w:val="none" w:sz="0" w:space="0" w:color="auto"/>
            <w:left w:val="none" w:sz="0" w:space="0" w:color="auto"/>
            <w:bottom w:val="none" w:sz="0" w:space="0" w:color="auto"/>
            <w:right w:val="none" w:sz="0" w:space="0" w:color="auto"/>
          </w:divBdr>
        </w:div>
        <w:div w:id="1152334592">
          <w:marLeft w:val="-225"/>
          <w:marRight w:val="-225"/>
          <w:marTop w:val="0"/>
          <w:marBottom w:val="0"/>
          <w:divBdr>
            <w:top w:val="none" w:sz="0" w:space="0" w:color="auto"/>
            <w:left w:val="none" w:sz="0" w:space="0" w:color="auto"/>
            <w:bottom w:val="none" w:sz="0" w:space="0" w:color="auto"/>
            <w:right w:val="none" w:sz="0" w:space="0" w:color="auto"/>
          </w:divBdr>
        </w:div>
        <w:div w:id="1357658777">
          <w:marLeft w:val="-225"/>
          <w:marRight w:val="-225"/>
          <w:marTop w:val="0"/>
          <w:marBottom w:val="0"/>
          <w:divBdr>
            <w:top w:val="none" w:sz="0" w:space="0" w:color="auto"/>
            <w:left w:val="none" w:sz="0" w:space="0" w:color="auto"/>
            <w:bottom w:val="none" w:sz="0" w:space="0" w:color="auto"/>
            <w:right w:val="none" w:sz="0" w:space="0" w:color="auto"/>
          </w:divBdr>
        </w:div>
        <w:div w:id="1375153190">
          <w:marLeft w:val="-225"/>
          <w:marRight w:val="-225"/>
          <w:marTop w:val="0"/>
          <w:marBottom w:val="0"/>
          <w:divBdr>
            <w:top w:val="none" w:sz="0" w:space="0" w:color="auto"/>
            <w:left w:val="none" w:sz="0" w:space="0" w:color="auto"/>
            <w:bottom w:val="none" w:sz="0" w:space="0" w:color="auto"/>
            <w:right w:val="none" w:sz="0" w:space="0" w:color="auto"/>
          </w:divBdr>
        </w:div>
        <w:div w:id="1787580824">
          <w:marLeft w:val="-225"/>
          <w:marRight w:val="-225"/>
          <w:marTop w:val="0"/>
          <w:marBottom w:val="0"/>
          <w:divBdr>
            <w:top w:val="none" w:sz="0" w:space="0" w:color="auto"/>
            <w:left w:val="none" w:sz="0" w:space="0" w:color="auto"/>
            <w:bottom w:val="none" w:sz="0" w:space="0" w:color="auto"/>
            <w:right w:val="none" w:sz="0" w:space="0" w:color="auto"/>
          </w:divBdr>
        </w:div>
        <w:div w:id="2014527103">
          <w:marLeft w:val="-225"/>
          <w:marRight w:val="-225"/>
          <w:marTop w:val="0"/>
          <w:marBottom w:val="0"/>
          <w:divBdr>
            <w:top w:val="none" w:sz="0" w:space="0" w:color="auto"/>
            <w:left w:val="none" w:sz="0" w:space="0" w:color="auto"/>
            <w:bottom w:val="none" w:sz="0" w:space="0" w:color="auto"/>
            <w:right w:val="none" w:sz="0" w:space="0" w:color="auto"/>
          </w:divBdr>
        </w:div>
      </w:divsChild>
    </w:div>
    <w:div w:id="199629756">
      <w:bodyDiv w:val="1"/>
      <w:marLeft w:val="0"/>
      <w:marRight w:val="0"/>
      <w:marTop w:val="0"/>
      <w:marBottom w:val="0"/>
      <w:divBdr>
        <w:top w:val="none" w:sz="0" w:space="0" w:color="auto"/>
        <w:left w:val="none" w:sz="0" w:space="0" w:color="auto"/>
        <w:bottom w:val="none" w:sz="0" w:space="0" w:color="auto"/>
        <w:right w:val="none" w:sz="0" w:space="0" w:color="auto"/>
      </w:divBdr>
    </w:div>
    <w:div w:id="205334456">
      <w:bodyDiv w:val="1"/>
      <w:marLeft w:val="0"/>
      <w:marRight w:val="0"/>
      <w:marTop w:val="0"/>
      <w:marBottom w:val="0"/>
      <w:divBdr>
        <w:top w:val="none" w:sz="0" w:space="0" w:color="auto"/>
        <w:left w:val="none" w:sz="0" w:space="0" w:color="auto"/>
        <w:bottom w:val="none" w:sz="0" w:space="0" w:color="auto"/>
        <w:right w:val="none" w:sz="0" w:space="0" w:color="auto"/>
      </w:divBdr>
    </w:div>
    <w:div w:id="216596700">
      <w:bodyDiv w:val="1"/>
      <w:marLeft w:val="0"/>
      <w:marRight w:val="0"/>
      <w:marTop w:val="0"/>
      <w:marBottom w:val="0"/>
      <w:divBdr>
        <w:top w:val="none" w:sz="0" w:space="0" w:color="auto"/>
        <w:left w:val="none" w:sz="0" w:space="0" w:color="auto"/>
        <w:bottom w:val="none" w:sz="0" w:space="0" w:color="auto"/>
        <w:right w:val="none" w:sz="0" w:space="0" w:color="auto"/>
      </w:divBdr>
    </w:div>
    <w:div w:id="220798946">
      <w:bodyDiv w:val="1"/>
      <w:marLeft w:val="0"/>
      <w:marRight w:val="0"/>
      <w:marTop w:val="0"/>
      <w:marBottom w:val="0"/>
      <w:divBdr>
        <w:top w:val="none" w:sz="0" w:space="0" w:color="auto"/>
        <w:left w:val="none" w:sz="0" w:space="0" w:color="auto"/>
        <w:bottom w:val="none" w:sz="0" w:space="0" w:color="auto"/>
        <w:right w:val="none" w:sz="0" w:space="0" w:color="auto"/>
      </w:divBdr>
    </w:div>
    <w:div w:id="221336261">
      <w:bodyDiv w:val="1"/>
      <w:marLeft w:val="0"/>
      <w:marRight w:val="0"/>
      <w:marTop w:val="0"/>
      <w:marBottom w:val="0"/>
      <w:divBdr>
        <w:top w:val="none" w:sz="0" w:space="0" w:color="auto"/>
        <w:left w:val="none" w:sz="0" w:space="0" w:color="auto"/>
        <w:bottom w:val="none" w:sz="0" w:space="0" w:color="auto"/>
        <w:right w:val="none" w:sz="0" w:space="0" w:color="auto"/>
      </w:divBdr>
      <w:divsChild>
        <w:div w:id="14499420">
          <w:marLeft w:val="0"/>
          <w:marRight w:val="0"/>
          <w:marTop w:val="0"/>
          <w:marBottom w:val="0"/>
          <w:divBdr>
            <w:top w:val="none" w:sz="0" w:space="0" w:color="auto"/>
            <w:left w:val="none" w:sz="0" w:space="0" w:color="auto"/>
            <w:bottom w:val="none" w:sz="0" w:space="0" w:color="auto"/>
            <w:right w:val="none" w:sz="0" w:space="0" w:color="auto"/>
          </w:divBdr>
        </w:div>
        <w:div w:id="177935552">
          <w:marLeft w:val="0"/>
          <w:marRight w:val="0"/>
          <w:marTop w:val="0"/>
          <w:marBottom w:val="0"/>
          <w:divBdr>
            <w:top w:val="none" w:sz="0" w:space="0" w:color="auto"/>
            <w:left w:val="none" w:sz="0" w:space="0" w:color="auto"/>
            <w:bottom w:val="none" w:sz="0" w:space="0" w:color="auto"/>
            <w:right w:val="none" w:sz="0" w:space="0" w:color="auto"/>
          </w:divBdr>
        </w:div>
        <w:div w:id="207031580">
          <w:marLeft w:val="0"/>
          <w:marRight w:val="0"/>
          <w:marTop w:val="0"/>
          <w:marBottom w:val="0"/>
          <w:divBdr>
            <w:top w:val="none" w:sz="0" w:space="0" w:color="auto"/>
            <w:left w:val="none" w:sz="0" w:space="0" w:color="auto"/>
            <w:bottom w:val="none" w:sz="0" w:space="0" w:color="auto"/>
            <w:right w:val="none" w:sz="0" w:space="0" w:color="auto"/>
          </w:divBdr>
        </w:div>
        <w:div w:id="672950733">
          <w:marLeft w:val="0"/>
          <w:marRight w:val="0"/>
          <w:marTop w:val="0"/>
          <w:marBottom w:val="0"/>
          <w:divBdr>
            <w:top w:val="none" w:sz="0" w:space="0" w:color="auto"/>
            <w:left w:val="none" w:sz="0" w:space="0" w:color="auto"/>
            <w:bottom w:val="none" w:sz="0" w:space="0" w:color="auto"/>
            <w:right w:val="none" w:sz="0" w:space="0" w:color="auto"/>
          </w:divBdr>
        </w:div>
        <w:div w:id="851845486">
          <w:marLeft w:val="0"/>
          <w:marRight w:val="0"/>
          <w:marTop w:val="0"/>
          <w:marBottom w:val="0"/>
          <w:divBdr>
            <w:top w:val="none" w:sz="0" w:space="0" w:color="auto"/>
            <w:left w:val="none" w:sz="0" w:space="0" w:color="auto"/>
            <w:bottom w:val="none" w:sz="0" w:space="0" w:color="auto"/>
            <w:right w:val="none" w:sz="0" w:space="0" w:color="auto"/>
          </w:divBdr>
        </w:div>
        <w:div w:id="993797776">
          <w:marLeft w:val="0"/>
          <w:marRight w:val="0"/>
          <w:marTop w:val="0"/>
          <w:marBottom w:val="0"/>
          <w:divBdr>
            <w:top w:val="none" w:sz="0" w:space="0" w:color="auto"/>
            <w:left w:val="none" w:sz="0" w:space="0" w:color="auto"/>
            <w:bottom w:val="none" w:sz="0" w:space="0" w:color="auto"/>
            <w:right w:val="none" w:sz="0" w:space="0" w:color="auto"/>
          </w:divBdr>
        </w:div>
        <w:div w:id="999775157">
          <w:marLeft w:val="0"/>
          <w:marRight w:val="0"/>
          <w:marTop w:val="0"/>
          <w:marBottom w:val="0"/>
          <w:divBdr>
            <w:top w:val="none" w:sz="0" w:space="0" w:color="auto"/>
            <w:left w:val="none" w:sz="0" w:space="0" w:color="auto"/>
            <w:bottom w:val="none" w:sz="0" w:space="0" w:color="auto"/>
            <w:right w:val="none" w:sz="0" w:space="0" w:color="auto"/>
          </w:divBdr>
        </w:div>
        <w:div w:id="1053314389">
          <w:marLeft w:val="0"/>
          <w:marRight w:val="0"/>
          <w:marTop w:val="0"/>
          <w:marBottom w:val="0"/>
          <w:divBdr>
            <w:top w:val="none" w:sz="0" w:space="0" w:color="auto"/>
            <w:left w:val="none" w:sz="0" w:space="0" w:color="auto"/>
            <w:bottom w:val="none" w:sz="0" w:space="0" w:color="auto"/>
            <w:right w:val="none" w:sz="0" w:space="0" w:color="auto"/>
          </w:divBdr>
        </w:div>
        <w:div w:id="1342003766">
          <w:marLeft w:val="0"/>
          <w:marRight w:val="0"/>
          <w:marTop w:val="0"/>
          <w:marBottom w:val="0"/>
          <w:divBdr>
            <w:top w:val="none" w:sz="0" w:space="0" w:color="auto"/>
            <w:left w:val="none" w:sz="0" w:space="0" w:color="auto"/>
            <w:bottom w:val="none" w:sz="0" w:space="0" w:color="auto"/>
            <w:right w:val="none" w:sz="0" w:space="0" w:color="auto"/>
          </w:divBdr>
        </w:div>
        <w:div w:id="1444571068">
          <w:marLeft w:val="0"/>
          <w:marRight w:val="0"/>
          <w:marTop w:val="0"/>
          <w:marBottom w:val="0"/>
          <w:divBdr>
            <w:top w:val="none" w:sz="0" w:space="0" w:color="auto"/>
            <w:left w:val="none" w:sz="0" w:space="0" w:color="auto"/>
            <w:bottom w:val="none" w:sz="0" w:space="0" w:color="auto"/>
            <w:right w:val="none" w:sz="0" w:space="0" w:color="auto"/>
          </w:divBdr>
        </w:div>
        <w:div w:id="1484615869">
          <w:marLeft w:val="0"/>
          <w:marRight w:val="0"/>
          <w:marTop w:val="0"/>
          <w:marBottom w:val="0"/>
          <w:divBdr>
            <w:top w:val="none" w:sz="0" w:space="0" w:color="auto"/>
            <w:left w:val="none" w:sz="0" w:space="0" w:color="auto"/>
            <w:bottom w:val="none" w:sz="0" w:space="0" w:color="auto"/>
            <w:right w:val="none" w:sz="0" w:space="0" w:color="auto"/>
          </w:divBdr>
        </w:div>
        <w:div w:id="1675254578">
          <w:marLeft w:val="0"/>
          <w:marRight w:val="0"/>
          <w:marTop w:val="0"/>
          <w:marBottom w:val="0"/>
          <w:divBdr>
            <w:top w:val="none" w:sz="0" w:space="0" w:color="auto"/>
            <w:left w:val="none" w:sz="0" w:space="0" w:color="auto"/>
            <w:bottom w:val="none" w:sz="0" w:space="0" w:color="auto"/>
            <w:right w:val="none" w:sz="0" w:space="0" w:color="auto"/>
          </w:divBdr>
        </w:div>
        <w:div w:id="1722703386">
          <w:marLeft w:val="0"/>
          <w:marRight w:val="0"/>
          <w:marTop w:val="0"/>
          <w:marBottom w:val="0"/>
          <w:divBdr>
            <w:top w:val="none" w:sz="0" w:space="0" w:color="auto"/>
            <w:left w:val="none" w:sz="0" w:space="0" w:color="auto"/>
            <w:bottom w:val="none" w:sz="0" w:space="0" w:color="auto"/>
            <w:right w:val="none" w:sz="0" w:space="0" w:color="auto"/>
          </w:divBdr>
        </w:div>
        <w:div w:id="1802386011">
          <w:marLeft w:val="0"/>
          <w:marRight w:val="0"/>
          <w:marTop w:val="0"/>
          <w:marBottom w:val="0"/>
          <w:divBdr>
            <w:top w:val="none" w:sz="0" w:space="0" w:color="auto"/>
            <w:left w:val="none" w:sz="0" w:space="0" w:color="auto"/>
            <w:bottom w:val="none" w:sz="0" w:space="0" w:color="auto"/>
            <w:right w:val="none" w:sz="0" w:space="0" w:color="auto"/>
          </w:divBdr>
        </w:div>
      </w:divsChild>
    </w:div>
    <w:div w:id="226231149">
      <w:bodyDiv w:val="1"/>
      <w:marLeft w:val="0"/>
      <w:marRight w:val="0"/>
      <w:marTop w:val="0"/>
      <w:marBottom w:val="0"/>
      <w:divBdr>
        <w:top w:val="none" w:sz="0" w:space="0" w:color="auto"/>
        <w:left w:val="none" w:sz="0" w:space="0" w:color="auto"/>
        <w:bottom w:val="none" w:sz="0" w:space="0" w:color="auto"/>
        <w:right w:val="none" w:sz="0" w:space="0" w:color="auto"/>
      </w:divBdr>
    </w:div>
    <w:div w:id="244606589">
      <w:bodyDiv w:val="1"/>
      <w:marLeft w:val="0"/>
      <w:marRight w:val="0"/>
      <w:marTop w:val="0"/>
      <w:marBottom w:val="0"/>
      <w:divBdr>
        <w:top w:val="none" w:sz="0" w:space="0" w:color="auto"/>
        <w:left w:val="none" w:sz="0" w:space="0" w:color="auto"/>
        <w:bottom w:val="none" w:sz="0" w:space="0" w:color="auto"/>
        <w:right w:val="none" w:sz="0" w:space="0" w:color="auto"/>
      </w:divBdr>
    </w:div>
    <w:div w:id="256140913">
      <w:bodyDiv w:val="1"/>
      <w:marLeft w:val="0"/>
      <w:marRight w:val="0"/>
      <w:marTop w:val="0"/>
      <w:marBottom w:val="0"/>
      <w:divBdr>
        <w:top w:val="none" w:sz="0" w:space="0" w:color="auto"/>
        <w:left w:val="none" w:sz="0" w:space="0" w:color="auto"/>
        <w:bottom w:val="none" w:sz="0" w:space="0" w:color="auto"/>
        <w:right w:val="none" w:sz="0" w:space="0" w:color="auto"/>
      </w:divBdr>
    </w:div>
    <w:div w:id="259140029">
      <w:bodyDiv w:val="1"/>
      <w:marLeft w:val="0"/>
      <w:marRight w:val="0"/>
      <w:marTop w:val="0"/>
      <w:marBottom w:val="0"/>
      <w:divBdr>
        <w:top w:val="none" w:sz="0" w:space="0" w:color="auto"/>
        <w:left w:val="none" w:sz="0" w:space="0" w:color="auto"/>
        <w:bottom w:val="none" w:sz="0" w:space="0" w:color="auto"/>
        <w:right w:val="none" w:sz="0" w:space="0" w:color="auto"/>
      </w:divBdr>
    </w:div>
    <w:div w:id="264117527">
      <w:bodyDiv w:val="1"/>
      <w:marLeft w:val="0"/>
      <w:marRight w:val="0"/>
      <w:marTop w:val="0"/>
      <w:marBottom w:val="0"/>
      <w:divBdr>
        <w:top w:val="none" w:sz="0" w:space="0" w:color="auto"/>
        <w:left w:val="none" w:sz="0" w:space="0" w:color="auto"/>
        <w:bottom w:val="none" w:sz="0" w:space="0" w:color="auto"/>
        <w:right w:val="none" w:sz="0" w:space="0" w:color="auto"/>
      </w:divBdr>
    </w:div>
    <w:div w:id="264774124">
      <w:bodyDiv w:val="1"/>
      <w:marLeft w:val="0"/>
      <w:marRight w:val="0"/>
      <w:marTop w:val="0"/>
      <w:marBottom w:val="0"/>
      <w:divBdr>
        <w:top w:val="none" w:sz="0" w:space="0" w:color="auto"/>
        <w:left w:val="none" w:sz="0" w:space="0" w:color="auto"/>
        <w:bottom w:val="none" w:sz="0" w:space="0" w:color="auto"/>
        <w:right w:val="none" w:sz="0" w:space="0" w:color="auto"/>
      </w:divBdr>
    </w:div>
    <w:div w:id="272253320">
      <w:bodyDiv w:val="1"/>
      <w:marLeft w:val="0"/>
      <w:marRight w:val="0"/>
      <w:marTop w:val="0"/>
      <w:marBottom w:val="0"/>
      <w:divBdr>
        <w:top w:val="none" w:sz="0" w:space="0" w:color="auto"/>
        <w:left w:val="none" w:sz="0" w:space="0" w:color="auto"/>
        <w:bottom w:val="none" w:sz="0" w:space="0" w:color="auto"/>
        <w:right w:val="none" w:sz="0" w:space="0" w:color="auto"/>
      </w:divBdr>
    </w:div>
    <w:div w:id="273750680">
      <w:bodyDiv w:val="1"/>
      <w:marLeft w:val="0"/>
      <w:marRight w:val="0"/>
      <w:marTop w:val="0"/>
      <w:marBottom w:val="0"/>
      <w:divBdr>
        <w:top w:val="none" w:sz="0" w:space="0" w:color="auto"/>
        <w:left w:val="none" w:sz="0" w:space="0" w:color="auto"/>
        <w:bottom w:val="none" w:sz="0" w:space="0" w:color="auto"/>
        <w:right w:val="none" w:sz="0" w:space="0" w:color="auto"/>
      </w:divBdr>
    </w:div>
    <w:div w:id="277033445">
      <w:bodyDiv w:val="1"/>
      <w:marLeft w:val="0"/>
      <w:marRight w:val="0"/>
      <w:marTop w:val="0"/>
      <w:marBottom w:val="0"/>
      <w:divBdr>
        <w:top w:val="none" w:sz="0" w:space="0" w:color="auto"/>
        <w:left w:val="none" w:sz="0" w:space="0" w:color="auto"/>
        <w:bottom w:val="none" w:sz="0" w:space="0" w:color="auto"/>
        <w:right w:val="none" w:sz="0" w:space="0" w:color="auto"/>
      </w:divBdr>
    </w:div>
    <w:div w:id="277642824">
      <w:bodyDiv w:val="1"/>
      <w:marLeft w:val="0"/>
      <w:marRight w:val="0"/>
      <w:marTop w:val="0"/>
      <w:marBottom w:val="0"/>
      <w:divBdr>
        <w:top w:val="none" w:sz="0" w:space="0" w:color="auto"/>
        <w:left w:val="none" w:sz="0" w:space="0" w:color="auto"/>
        <w:bottom w:val="none" w:sz="0" w:space="0" w:color="auto"/>
        <w:right w:val="none" w:sz="0" w:space="0" w:color="auto"/>
      </w:divBdr>
    </w:div>
    <w:div w:id="279604442">
      <w:bodyDiv w:val="1"/>
      <w:marLeft w:val="0"/>
      <w:marRight w:val="0"/>
      <w:marTop w:val="0"/>
      <w:marBottom w:val="0"/>
      <w:divBdr>
        <w:top w:val="none" w:sz="0" w:space="0" w:color="auto"/>
        <w:left w:val="none" w:sz="0" w:space="0" w:color="auto"/>
        <w:bottom w:val="none" w:sz="0" w:space="0" w:color="auto"/>
        <w:right w:val="none" w:sz="0" w:space="0" w:color="auto"/>
      </w:divBdr>
    </w:div>
    <w:div w:id="282925838">
      <w:bodyDiv w:val="1"/>
      <w:marLeft w:val="0"/>
      <w:marRight w:val="0"/>
      <w:marTop w:val="0"/>
      <w:marBottom w:val="0"/>
      <w:divBdr>
        <w:top w:val="none" w:sz="0" w:space="0" w:color="auto"/>
        <w:left w:val="none" w:sz="0" w:space="0" w:color="auto"/>
        <w:bottom w:val="none" w:sz="0" w:space="0" w:color="auto"/>
        <w:right w:val="none" w:sz="0" w:space="0" w:color="auto"/>
      </w:divBdr>
    </w:div>
    <w:div w:id="295064558">
      <w:bodyDiv w:val="1"/>
      <w:marLeft w:val="0"/>
      <w:marRight w:val="0"/>
      <w:marTop w:val="0"/>
      <w:marBottom w:val="0"/>
      <w:divBdr>
        <w:top w:val="none" w:sz="0" w:space="0" w:color="auto"/>
        <w:left w:val="none" w:sz="0" w:space="0" w:color="auto"/>
        <w:bottom w:val="none" w:sz="0" w:space="0" w:color="auto"/>
        <w:right w:val="none" w:sz="0" w:space="0" w:color="auto"/>
      </w:divBdr>
      <w:divsChild>
        <w:div w:id="125664005">
          <w:marLeft w:val="0"/>
          <w:marRight w:val="0"/>
          <w:marTop w:val="0"/>
          <w:marBottom w:val="0"/>
          <w:divBdr>
            <w:top w:val="none" w:sz="0" w:space="0" w:color="auto"/>
            <w:left w:val="none" w:sz="0" w:space="0" w:color="auto"/>
            <w:bottom w:val="none" w:sz="0" w:space="0" w:color="auto"/>
            <w:right w:val="none" w:sz="0" w:space="0" w:color="auto"/>
          </w:divBdr>
        </w:div>
      </w:divsChild>
    </w:div>
    <w:div w:id="305864429">
      <w:bodyDiv w:val="1"/>
      <w:marLeft w:val="0"/>
      <w:marRight w:val="0"/>
      <w:marTop w:val="0"/>
      <w:marBottom w:val="0"/>
      <w:divBdr>
        <w:top w:val="none" w:sz="0" w:space="0" w:color="auto"/>
        <w:left w:val="none" w:sz="0" w:space="0" w:color="auto"/>
        <w:bottom w:val="none" w:sz="0" w:space="0" w:color="auto"/>
        <w:right w:val="none" w:sz="0" w:space="0" w:color="auto"/>
      </w:divBdr>
    </w:div>
    <w:div w:id="308751722">
      <w:bodyDiv w:val="1"/>
      <w:marLeft w:val="0"/>
      <w:marRight w:val="0"/>
      <w:marTop w:val="0"/>
      <w:marBottom w:val="0"/>
      <w:divBdr>
        <w:top w:val="none" w:sz="0" w:space="0" w:color="auto"/>
        <w:left w:val="none" w:sz="0" w:space="0" w:color="auto"/>
        <w:bottom w:val="none" w:sz="0" w:space="0" w:color="auto"/>
        <w:right w:val="none" w:sz="0" w:space="0" w:color="auto"/>
      </w:divBdr>
    </w:div>
    <w:div w:id="311757807">
      <w:bodyDiv w:val="1"/>
      <w:marLeft w:val="0"/>
      <w:marRight w:val="0"/>
      <w:marTop w:val="0"/>
      <w:marBottom w:val="0"/>
      <w:divBdr>
        <w:top w:val="none" w:sz="0" w:space="0" w:color="auto"/>
        <w:left w:val="none" w:sz="0" w:space="0" w:color="auto"/>
        <w:bottom w:val="none" w:sz="0" w:space="0" w:color="auto"/>
        <w:right w:val="none" w:sz="0" w:space="0" w:color="auto"/>
      </w:divBdr>
    </w:div>
    <w:div w:id="320038258">
      <w:bodyDiv w:val="1"/>
      <w:marLeft w:val="0"/>
      <w:marRight w:val="0"/>
      <w:marTop w:val="0"/>
      <w:marBottom w:val="0"/>
      <w:divBdr>
        <w:top w:val="none" w:sz="0" w:space="0" w:color="auto"/>
        <w:left w:val="none" w:sz="0" w:space="0" w:color="auto"/>
        <w:bottom w:val="none" w:sz="0" w:space="0" w:color="auto"/>
        <w:right w:val="none" w:sz="0" w:space="0" w:color="auto"/>
      </w:divBdr>
    </w:div>
    <w:div w:id="322440798">
      <w:bodyDiv w:val="1"/>
      <w:marLeft w:val="0"/>
      <w:marRight w:val="0"/>
      <w:marTop w:val="0"/>
      <w:marBottom w:val="0"/>
      <w:divBdr>
        <w:top w:val="none" w:sz="0" w:space="0" w:color="auto"/>
        <w:left w:val="none" w:sz="0" w:space="0" w:color="auto"/>
        <w:bottom w:val="none" w:sz="0" w:space="0" w:color="auto"/>
        <w:right w:val="none" w:sz="0" w:space="0" w:color="auto"/>
      </w:divBdr>
    </w:div>
    <w:div w:id="326053461">
      <w:bodyDiv w:val="1"/>
      <w:marLeft w:val="0"/>
      <w:marRight w:val="0"/>
      <w:marTop w:val="0"/>
      <w:marBottom w:val="0"/>
      <w:divBdr>
        <w:top w:val="none" w:sz="0" w:space="0" w:color="auto"/>
        <w:left w:val="none" w:sz="0" w:space="0" w:color="auto"/>
        <w:bottom w:val="none" w:sz="0" w:space="0" w:color="auto"/>
        <w:right w:val="none" w:sz="0" w:space="0" w:color="auto"/>
      </w:divBdr>
    </w:div>
    <w:div w:id="326246543">
      <w:bodyDiv w:val="1"/>
      <w:marLeft w:val="0"/>
      <w:marRight w:val="0"/>
      <w:marTop w:val="0"/>
      <w:marBottom w:val="0"/>
      <w:divBdr>
        <w:top w:val="none" w:sz="0" w:space="0" w:color="auto"/>
        <w:left w:val="none" w:sz="0" w:space="0" w:color="auto"/>
        <w:bottom w:val="none" w:sz="0" w:space="0" w:color="auto"/>
        <w:right w:val="none" w:sz="0" w:space="0" w:color="auto"/>
      </w:divBdr>
    </w:div>
    <w:div w:id="326329634">
      <w:bodyDiv w:val="1"/>
      <w:marLeft w:val="0"/>
      <w:marRight w:val="0"/>
      <w:marTop w:val="0"/>
      <w:marBottom w:val="0"/>
      <w:divBdr>
        <w:top w:val="none" w:sz="0" w:space="0" w:color="auto"/>
        <w:left w:val="none" w:sz="0" w:space="0" w:color="auto"/>
        <w:bottom w:val="none" w:sz="0" w:space="0" w:color="auto"/>
        <w:right w:val="none" w:sz="0" w:space="0" w:color="auto"/>
      </w:divBdr>
    </w:div>
    <w:div w:id="327439460">
      <w:bodyDiv w:val="1"/>
      <w:marLeft w:val="0"/>
      <w:marRight w:val="0"/>
      <w:marTop w:val="0"/>
      <w:marBottom w:val="0"/>
      <w:divBdr>
        <w:top w:val="none" w:sz="0" w:space="0" w:color="auto"/>
        <w:left w:val="none" w:sz="0" w:space="0" w:color="auto"/>
        <w:bottom w:val="none" w:sz="0" w:space="0" w:color="auto"/>
        <w:right w:val="none" w:sz="0" w:space="0" w:color="auto"/>
      </w:divBdr>
    </w:div>
    <w:div w:id="328756957">
      <w:bodyDiv w:val="1"/>
      <w:marLeft w:val="0"/>
      <w:marRight w:val="0"/>
      <w:marTop w:val="0"/>
      <w:marBottom w:val="0"/>
      <w:divBdr>
        <w:top w:val="none" w:sz="0" w:space="0" w:color="auto"/>
        <w:left w:val="none" w:sz="0" w:space="0" w:color="auto"/>
        <w:bottom w:val="none" w:sz="0" w:space="0" w:color="auto"/>
        <w:right w:val="none" w:sz="0" w:space="0" w:color="auto"/>
      </w:divBdr>
    </w:div>
    <w:div w:id="330839262">
      <w:bodyDiv w:val="1"/>
      <w:marLeft w:val="0"/>
      <w:marRight w:val="0"/>
      <w:marTop w:val="0"/>
      <w:marBottom w:val="0"/>
      <w:divBdr>
        <w:top w:val="none" w:sz="0" w:space="0" w:color="auto"/>
        <w:left w:val="none" w:sz="0" w:space="0" w:color="auto"/>
        <w:bottom w:val="none" w:sz="0" w:space="0" w:color="auto"/>
        <w:right w:val="none" w:sz="0" w:space="0" w:color="auto"/>
      </w:divBdr>
    </w:div>
    <w:div w:id="333656095">
      <w:bodyDiv w:val="1"/>
      <w:marLeft w:val="0"/>
      <w:marRight w:val="0"/>
      <w:marTop w:val="0"/>
      <w:marBottom w:val="0"/>
      <w:divBdr>
        <w:top w:val="none" w:sz="0" w:space="0" w:color="auto"/>
        <w:left w:val="none" w:sz="0" w:space="0" w:color="auto"/>
        <w:bottom w:val="none" w:sz="0" w:space="0" w:color="auto"/>
        <w:right w:val="none" w:sz="0" w:space="0" w:color="auto"/>
      </w:divBdr>
    </w:div>
    <w:div w:id="341974247">
      <w:bodyDiv w:val="1"/>
      <w:marLeft w:val="0"/>
      <w:marRight w:val="0"/>
      <w:marTop w:val="0"/>
      <w:marBottom w:val="0"/>
      <w:divBdr>
        <w:top w:val="none" w:sz="0" w:space="0" w:color="auto"/>
        <w:left w:val="none" w:sz="0" w:space="0" w:color="auto"/>
        <w:bottom w:val="none" w:sz="0" w:space="0" w:color="auto"/>
        <w:right w:val="none" w:sz="0" w:space="0" w:color="auto"/>
      </w:divBdr>
    </w:div>
    <w:div w:id="346953421">
      <w:bodyDiv w:val="1"/>
      <w:marLeft w:val="0"/>
      <w:marRight w:val="0"/>
      <w:marTop w:val="0"/>
      <w:marBottom w:val="0"/>
      <w:divBdr>
        <w:top w:val="none" w:sz="0" w:space="0" w:color="auto"/>
        <w:left w:val="none" w:sz="0" w:space="0" w:color="auto"/>
        <w:bottom w:val="none" w:sz="0" w:space="0" w:color="auto"/>
        <w:right w:val="none" w:sz="0" w:space="0" w:color="auto"/>
      </w:divBdr>
    </w:div>
    <w:div w:id="348217135">
      <w:bodyDiv w:val="1"/>
      <w:marLeft w:val="0"/>
      <w:marRight w:val="0"/>
      <w:marTop w:val="0"/>
      <w:marBottom w:val="0"/>
      <w:divBdr>
        <w:top w:val="none" w:sz="0" w:space="0" w:color="auto"/>
        <w:left w:val="none" w:sz="0" w:space="0" w:color="auto"/>
        <w:bottom w:val="none" w:sz="0" w:space="0" w:color="auto"/>
        <w:right w:val="none" w:sz="0" w:space="0" w:color="auto"/>
      </w:divBdr>
    </w:div>
    <w:div w:id="348870843">
      <w:bodyDiv w:val="1"/>
      <w:marLeft w:val="0"/>
      <w:marRight w:val="0"/>
      <w:marTop w:val="0"/>
      <w:marBottom w:val="0"/>
      <w:divBdr>
        <w:top w:val="none" w:sz="0" w:space="0" w:color="auto"/>
        <w:left w:val="none" w:sz="0" w:space="0" w:color="auto"/>
        <w:bottom w:val="none" w:sz="0" w:space="0" w:color="auto"/>
        <w:right w:val="none" w:sz="0" w:space="0" w:color="auto"/>
      </w:divBdr>
    </w:div>
    <w:div w:id="352725926">
      <w:bodyDiv w:val="1"/>
      <w:marLeft w:val="0"/>
      <w:marRight w:val="0"/>
      <w:marTop w:val="0"/>
      <w:marBottom w:val="0"/>
      <w:divBdr>
        <w:top w:val="none" w:sz="0" w:space="0" w:color="auto"/>
        <w:left w:val="none" w:sz="0" w:space="0" w:color="auto"/>
        <w:bottom w:val="none" w:sz="0" w:space="0" w:color="auto"/>
        <w:right w:val="none" w:sz="0" w:space="0" w:color="auto"/>
      </w:divBdr>
    </w:div>
    <w:div w:id="362169308">
      <w:bodyDiv w:val="1"/>
      <w:marLeft w:val="0"/>
      <w:marRight w:val="0"/>
      <w:marTop w:val="0"/>
      <w:marBottom w:val="0"/>
      <w:divBdr>
        <w:top w:val="none" w:sz="0" w:space="0" w:color="auto"/>
        <w:left w:val="none" w:sz="0" w:space="0" w:color="auto"/>
        <w:bottom w:val="none" w:sz="0" w:space="0" w:color="auto"/>
        <w:right w:val="none" w:sz="0" w:space="0" w:color="auto"/>
      </w:divBdr>
    </w:div>
    <w:div w:id="363332152">
      <w:bodyDiv w:val="1"/>
      <w:marLeft w:val="0"/>
      <w:marRight w:val="0"/>
      <w:marTop w:val="0"/>
      <w:marBottom w:val="0"/>
      <w:divBdr>
        <w:top w:val="none" w:sz="0" w:space="0" w:color="auto"/>
        <w:left w:val="none" w:sz="0" w:space="0" w:color="auto"/>
        <w:bottom w:val="none" w:sz="0" w:space="0" w:color="auto"/>
        <w:right w:val="none" w:sz="0" w:space="0" w:color="auto"/>
      </w:divBdr>
    </w:div>
    <w:div w:id="374158235">
      <w:bodyDiv w:val="1"/>
      <w:marLeft w:val="0"/>
      <w:marRight w:val="0"/>
      <w:marTop w:val="0"/>
      <w:marBottom w:val="0"/>
      <w:divBdr>
        <w:top w:val="none" w:sz="0" w:space="0" w:color="auto"/>
        <w:left w:val="none" w:sz="0" w:space="0" w:color="auto"/>
        <w:bottom w:val="none" w:sz="0" w:space="0" w:color="auto"/>
        <w:right w:val="none" w:sz="0" w:space="0" w:color="auto"/>
      </w:divBdr>
    </w:div>
    <w:div w:id="379942273">
      <w:bodyDiv w:val="1"/>
      <w:marLeft w:val="0"/>
      <w:marRight w:val="0"/>
      <w:marTop w:val="0"/>
      <w:marBottom w:val="0"/>
      <w:divBdr>
        <w:top w:val="none" w:sz="0" w:space="0" w:color="auto"/>
        <w:left w:val="none" w:sz="0" w:space="0" w:color="auto"/>
        <w:bottom w:val="none" w:sz="0" w:space="0" w:color="auto"/>
        <w:right w:val="none" w:sz="0" w:space="0" w:color="auto"/>
      </w:divBdr>
      <w:divsChild>
        <w:div w:id="609557283">
          <w:marLeft w:val="-225"/>
          <w:marRight w:val="-225"/>
          <w:marTop w:val="0"/>
          <w:marBottom w:val="0"/>
          <w:divBdr>
            <w:top w:val="none" w:sz="0" w:space="0" w:color="auto"/>
            <w:left w:val="none" w:sz="0" w:space="0" w:color="auto"/>
            <w:bottom w:val="none" w:sz="0" w:space="0" w:color="auto"/>
            <w:right w:val="none" w:sz="0" w:space="0" w:color="auto"/>
          </w:divBdr>
        </w:div>
        <w:div w:id="645859876">
          <w:marLeft w:val="-225"/>
          <w:marRight w:val="-225"/>
          <w:marTop w:val="0"/>
          <w:marBottom w:val="0"/>
          <w:divBdr>
            <w:top w:val="none" w:sz="0" w:space="0" w:color="auto"/>
            <w:left w:val="none" w:sz="0" w:space="0" w:color="auto"/>
            <w:bottom w:val="none" w:sz="0" w:space="0" w:color="auto"/>
            <w:right w:val="none" w:sz="0" w:space="0" w:color="auto"/>
          </w:divBdr>
        </w:div>
      </w:divsChild>
    </w:div>
    <w:div w:id="381370253">
      <w:bodyDiv w:val="1"/>
      <w:marLeft w:val="0"/>
      <w:marRight w:val="0"/>
      <w:marTop w:val="0"/>
      <w:marBottom w:val="0"/>
      <w:divBdr>
        <w:top w:val="none" w:sz="0" w:space="0" w:color="auto"/>
        <w:left w:val="none" w:sz="0" w:space="0" w:color="auto"/>
        <w:bottom w:val="none" w:sz="0" w:space="0" w:color="auto"/>
        <w:right w:val="none" w:sz="0" w:space="0" w:color="auto"/>
      </w:divBdr>
    </w:div>
    <w:div w:id="386073293">
      <w:bodyDiv w:val="1"/>
      <w:marLeft w:val="0"/>
      <w:marRight w:val="0"/>
      <w:marTop w:val="0"/>
      <w:marBottom w:val="0"/>
      <w:divBdr>
        <w:top w:val="none" w:sz="0" w:space="0" w:color="auto"/>
        <w:left w:val="none" w:sz="0" w:space="0" w:color="auto"/>
        <w:bottom w:val="none" w:sz="0" w:space="0" w:color="auto"/>
        <w:right w:val="none" w:sz="0" w:space="0" w:color="auto"/>
      </w:divBdr>
    </w:div>
    <w:div w:id="389039667">
      <w:bodyDiv w:val="1"/>
      <w:marLeft w:val="0"/>
      <w:marRight w:val="0"/>
      <w:marTop w:val="0"/>
      <w:marBottom w:val="0"/>
      <w:divBdr>
        <w:top w:val="none" w:sz="0" w:space="0" w:color="auto"/>
        <w:left w:val="none" w:sz="0" w:space="0" w:color="auto"/>
        <w:bottom w:val="none" w:sz="0" w:space="0" w:color="auto"/>
        <w:right w:val="none" w:sz="0" w:space="0" w:color="auto"/>
      </w:divBdr>
      <w:divsChild>
        <w:div w:id="1232957850">
          <w:marLeft w:val="0"/>
          <w:marRight w:val="0"/>
          <w:marTop w:val="0"/>
          <w:marBottom w:val="0"/>
          <w:divBdr>
            <w:top w:val="none" w:sz="0" w:space="0" w:color="auto"/>
            <w:left w:val="none" w:sz="0" w:space="0" w:color="auto"/>
            <w:bottom w:val="none" w:sz="0" w:space="0" w:color="auto"/>
            <w:right w:val="none" w:sz="0" w:space="0" w:color="auto"/>
          </w:divBdr>
        </w:div>
        <w:div w:id="1308824460">
          <w:marLeft w:val="0"/>
          <w:marRight w:val="0"/>
          <w:marTop w:val="0"/>
          <w:marBottom w:val="0"/>
          <w:divBdr>
            <w:top w:val="none" w:sz="0" w:space="0" w:color="auto"/>
            <w:left w:val="none" w:sz="0" w:space="0" w:color="auto"/>
            <w:bottom w:val="none" w:sz="0" w:space="0" w:color="auto"/>
            <w:right w:val="none" w:sz="0" w:space="0" w:color="auto"/>
          </w:divBdr>
        </w:div>
        <w:div w:id="1896043389">
          <w:marLeft w:val="0"/>
          <w:marRight w:val="0"/>
          <w:marTop w:val="0"/>
          <w:marBottom w:val="0"/>
          <w:divBdr>
            <w:top w:val="none" w:sz="0" w:space="0" w:color="auto"/>
            <w:left w:val="none" w:sz="0" w:space="0" w:color="auto"/>
            <w:bottom w:val="none" w:sz="0" w:space="0" w:color="auto"/>
            <w:right w:val="none" w:sz="0" w:space="0" w:color="auto"/>
          </w:divBdr>
        </w:div>
        <w:div w:id="11733574">
          <w:marLeft w:val="0"/>
          <w:marRight w:val="0"/>
          <w:marTop w:val="0"/>
          <w:marBottom w:val="0"/>
          <w:divBdr>
            <w:top w:val="none" w:sz="0" w:space="0" w:color="auto"/>
            <w:left w:val="none" w:sz="0" w:space="0" w:color="auto"/>
            <w:bottom w:val="none" w:sz="0" w:space="0" w:color="auto"/>
            <w:right w:val="none" w:sz="0" w:space="0" w:color="auto"/>
          </w:divBdr>
        </w:div>
        <w:div w:id="816530902">
          <w:marLeft w:val="0"/>
          <w:marRight w:val="0"/>
          <w:marTop w:val="0"/>
          <w:marBottom w:val="0"/>
          <w:divBdr>
            <w:top w:val="none" w:sz="0" w:space="0" w:color="auto"/>
            <w:left w:val="none" w:sz="0" w:space="0" w:color="auto"/>
            <w:bottom w:val="none" w:sz="0" w:space="0" w:color="auto"/>
            <w:right w:val="none" w:sz="0" w:space="0" w:color="auto"/>
          </w:divBdr>
        </w:div>
        <w:div w:id="1138642683">
          <w:marLeft w:val="0"/>
          <w:marRight w:val="0"/>
          <w:marTop w:val="0"/>
          <w:marBottom w:val="0"/>
          <w:divBdr>
            <w:top w:val="none" w:sz="0" w:space="0" w:color="auto"/>
            <w:left w:val="none" w:sz="0" w:space="0" w:color="auto"/>
            <w:bottom w:val="none" w:sz="0" w:space="0" w:color="auto"/>
            <w:right w:val="none" w:sz="0" w:space="0" w:color="auto"/>
          </w:divBdr>
        </w:div>
        <w:div w:id="502862081">
          <w:marLeft w:val="0"/>
          <w:marRight w:val="0"/>
          <w:marTop w:val="0"/>
          <w:marBottom w:val="0"/>
          <w:divBdr>
            <w:top w:val="none" w:sz="0" w:space="0" w:color="auto"/>
            <w:left w:val="none" w:sz="0" w:space="0" w:color="auto"/>
            <w:bottom w:val="none" w:sz="0" w:space="0" w:color="auto"/>
            <w:right w:val="none" w:sz="0" w:space="0" w:color="auto"/>
          </w:divBdr>
        </w:div>
        <w:div w:id="1881748473">
          <w:marLeft w:val="0"/>
          <w:marRight w:val="0"/>
          <w:marTop w:val="0"/>
          <w:marBottom w:val="0"/>
          <w:divBdr>
            <w:top w:val="none" w:sz="0" w:space="0" w:color="auto"/>
            <w:left w:val="none" w:sz="0" w:space="0" w:color="auto"/>
            <w:bottom w:val="none" w:sz="0" w:space="0" w:color="auto"/>
            <w:right w:val="none" w:sz="0" w:space="0" w:color="auto"/>
          </w:divBdr>
        </w:div>
        <w:div w:id="1620142340">
          <w:marLeft w:val="0"/>
          <w:marRight w:val="0"/>
          <w:marTop w:val="0"/>
          <w:marBottom w:val="0"/>
          <w:divBdr>
            <w:top w:val="none" w:sz="0" w:space="0" w:color="auto"/>
            <w:left w:val="none" w:sz="0" w:space="0" w:color="auto"/>
            <w:bottom w:val="none" w:sz="0" w:space="0" w:color="auto"/>
            <w:right w:val="none" w:sz="0" w:space="0" w:color="auto"/>
          </w:divBdr>
        </w:div>
        <w:div w:id="2017536916">
          <w:marLeft w:val="0"/>
          <w:marRight w:val="0"/>
          <w:marTop w:val="0"/>
          <w:marBottom w:val="0"/>
          <w:divBdr>
            <w:top w:val="none" w:sz="0" w:space="0" w:color="auto"/>
            <w:left w:val="none" w:sz="0" w:space="0" w:color="auto"/>
            <w:bottom w:val="none" w:sz="0" w:space="0" w:color="auto"/>
            <w:right w:val="none" w:sz="0" w:space="0" w:color="auto"/>
          </w:divBdr>
        </w:div>
        <w:div w:id="1533955989">
          <w:marLeft w:val="0"/>
          <w:marRight w:val="0"/>
          <w:marTop w:val="0"/>
          <w:marBottom w:val="0"/>
          <w:divBdr>
            <w:top w:val="none" w:sz="0" w:space="0" w:color="auto"/>
            <w:left w:val="none" w:sz="0" w:space="0" w:color="auto"/>
            <w:bottom w:val="none" w:sz="0" w:space="0" w:color="auto"/>
            <w:right w:val="none" w:sz="0" w:space="0" w:color="auto"/>
          </w:divBdr>
        </w:div>
        <w:div w:id="813913331">
          <w:marLeft w:val="0"/>
          <w:marRight w:val="0"/>
          <w:marTop w:val="0"/>
          <w:marBottom w:val="0"/>
          <w:divBdr>
            <w:top w:val="none" w:sz="0" w:space="0" w:color="auto"/>
            <w:left w:val="none" w:sz="0" w:space="0" w:color="auto"/>
            <w:bottom w:val="none" w:sz="0" w:space="0" w:color="auto"/>
            <w:right w:val="none" w:sz="0" w:space="0" w:color="auto"/>
          </w:divBdr>
        </w:div>
        <w:div w:id="396242671">
          <w:marLeft w:val="0"/>
          <w:marRight w:val="0"/>
          <w:marTop w:val="0"/>
          <w:marBottom w:val="0"/>
          <w:divBdr>
            <w:top w:val="none" w:sz="0" w:space="0" w:color="auto"/>
            <w:left w:val="none" w:sz="0" w:space="0" w:color="auto"/>
            <w:bottom w:val="none" w:sz="0" w:space="0" w:color="auto"/>
            <w:right w:val="none" w:sz="0" w:space="0" w:color="auto"/>
          </w:divBdr>
        </w:div>
        <w:div w:id="185606146">
          <w:marLeft w:val="0"/>
          <w:marRight w:val="0"/>
          <w:marTop w:val="0"/>
          <w:marBottom w:val="0"/>
          <w:divBdr>
            <w:top w:val="none" w:sz="0" w:space="0" w:color="auto"/>
            <w:left w:val="none" w:sz="0" w:space="0" w:color="auto"/>
            <w:bottom w:val="none" w:sz="0" w:space="0" w:color="auto"/>
            <w:right w:val="none" w:sz="0" w:space="0" w:color="auto"/>
          </w:divBdr>
        </w:div>
        <w:div w:id="2103717871">
          <w:marLeft w:val="0"/>
          <w:marRight w:val="0"/>
          <w:marTop w:val="0"/>
          <w:marBottom w:val="0"/>
          <w:divBdr>
            <w:top w:val="none" w:sz="0" w:space="0" w:color="auto"/>
            <w:left w:val="none" w:sz="0" w:space="0" w:color="auto"/>
            <w:bottom w:val="none" w:sz="0" w:space="0" w:color="auto"/>
            <w:right w:val="none" w:sz="0" w:space="0" w:color="auto"/>
          </w:divBdr>
        </w:div>
        <w:div w:id="1739133848">
          <w:marLeft w:val="0"/>
          <w:marRight w:val="0"/>
          <w:marTop w:val="0"/>
          <w:marBottom w:val="0"/>
          <w:divBdr>
            <w:top w:val="none" w:sz="0" w:space="0" w:color="auto"/>
            <w:left w:val="none" w:sz="0" w:space="0" w:color="auto"/>
            <w:bottom w:val="none" w:sz="0" w:space="0" w:color="auto"/>
            <w:right w:val="none" w:sz="0" w:space="0" w:color="auto"/>
          </w:divBdr>
        </w:div>
        <w:div w:id="963386722">
          <w:marLeft w:val="0"/>
          <w:marRight w:val="0"/>
          <w:marTop w:val="0"/>
          <w:marBottom w:val="0"/>
          <w:divBdr>
            <w:top w:val="none" w:sz="0" w:space="0" w:color="auto"/>
            <w:left w:val="none" w:sz="0" w:space="0" w:color="auto"/>
            <w:bottom w:val="none" w:sz="0" w:space="0" w:color="auto"/>
            <w:right w:val="none" w:sz="0" w:space="0" w:color="auto"/>
          </w:divBdr>
        </w:div>
        <w:div w:id="999119950">
          <w:marLeft w:val="0"/>
          <w:marRight w:val="0"/>
          <w:marTop w:val="0"/>
          <w:marBottom w:val="0"/>
          <w:divBdr>
            <w:top w:val="none" w:sz="0" w:space="0" w:color="auto"/>
            <w:left w:val="none" w:sz="0" w:space="0" w:color="auto"/>
            <w:bottom w:val="none" w:sz="0" w:space="0" w:color="auto"/>
            <w:right w:val="none" w:sz="0" w:space="0" w:color="auto"/>
          </w:divBdr>
        </w:div>
        <w:div w:id="1121024850">
          <w:marLeft w:val="0"/>
          <w:marRight w:val="0"/>
          <w:marTop w:val="0"/>
          <w:marBottom w:val="0"/>
          <w:divBdr>
            <w:top w:val="none" w:sz="0" w:space="0" w:color="auto"/>
            <w:left w:val="none" w:sz="0" w:space="0" w:color="auto"/>
            <w:bottom w:val="none" w:sz="0" w:space="0" w:color="auto"/>
            <w:right w:val="none" w:sz="0" w:space="0" w:color="auto"/>
          </w:divBdr>
        </w:div>
        <w:div w:id="773794052">
          <w:marLeft w:val="0"/>
          <w:marRight w:val="0"/>
          <w:marTop w:val="0"/>
          <w:marBottom w:val="0"/>
          <w:divBdr>
            <w:top w:val="none" w:sz="0" w:space="0" w:color="auto"/>
            <w:left w:val="none" w:sz="0" w:space="0" w:color="auto"/>
            <w:bottom w:val="none" w:sz="0" w:space="0" w:color="auto"/>
            <w:right w:val="none" w:sz="0" w:space="0" w:color="auto"/>
          </w:divBdr>
        </w:div>
        <w:div w:id="322010970">
          <w:marLeft w:val="0"/>
          <w:marRight w:val="0"/>
          <w:marTop w:val="0"/>
          <w:marBottom w:val="0"/>
          <w:divBdr>
            <w:top w:val="none" w:sz="0" w:space="0" w:color="auto"/>
            <w:left w:val="none" w:sz="0" w:space="0" w:color="auto"/>
            <w:bottom w:val="none" w:sz="0" w:space="0" w:color="auto"/>
            <w:right w:val="none" w:sz="0" w:space="0" w:color="auto"/>
          </w:divBdr>
        </w:div>
        <w:div w:id="1152330148">
          <w:marLeft w:val="0"/>
          <w:marRight w:val="0"/>
          <w:marTop w:val="0"/>
          <w:marBottom w:val="0"/>
          <w:divBdr>
            <w:top w:val="none" w:sz="0" w:space="0" w:color="auto"/>
            <w:left w:val="none" w:sz="0" w:space="0" w:color="auto"/>
            <w:bottom w:val="none" w:sz="0" w:space="0" w:color="auto"/>
            <w:right w:val="none" w:sz="0" w:space="0" w:color="auto"/>
          </w:divBdr>
        </w:div>
        <w:div w:id="374619675">
          <w:marLeft w:val="0"/>
          <w:marRight w:val="0"/>
          <w:marTop w:val="0"/>
          <w:marBottom w:val="0"/>
          <w:divBdr>
            <w:top w:val="none" w:sz="0" w:space="0" w:color="auto"/>
            <w:left w:val="none" w:sz="0" w:space="0" w:color="auto"/>
            <w:bottom w:val="none" w:sz="0" w:space="0" w:color="auto"/>
            <w:right w:val="none" w:sz="0" w:space="0" w:color="auto"/>
          </w:divBdr>
        </w:div>
        <w:div w:id="701780554">
          <w:marLeft w:val="0"/>
          <w:marRight w:val="0"/>
          <w:marTop w:val="0"/>
          <w:marBottom w:val="0"/>
          <w:divBdr>
            <w:top w:val="none" w:sz="0" w:space="0" w:color="auto"/>
            <w:left w:val="none" w:sz="0" w:space="0" w:color="auto"/>
            <w:bottom w:val="none" w:sz="0" w:space="0" w:color="auto"/>
            <w:right w:val="none" w:sz="0" w:space="0" w:color="auto"/>
          </w:divBdr>
        </w:div>
        <w:div w:id="1928222408">
          <w:marLeft w:val="0"/>
          <w:marRight w:val="0"/>
          <w:marTop w:val="0"/>
          <w:marBottom w:val="0"/>
          <w:divBdr>
            <w:top w:val="none" w:sz="0" w:space="0" w:color="auto"/>
            <w:left w:val="none" w:sz="0" w:space="0" w:color="auto"/>
            <w:bottom w:val="none" w:sz="0" w:space="0" w:color="auto"/>
            <w:right w:val="none" w:sz="0" w:space="0" w:color="auto"/>
          </w:divBdr>
        </w:div>
        <w:div w:id="1621951746">
          <w:marLeft w:val="0"/>
          <w:marRight w:val="0"/>
          <w:marTop w:val="0"/>
          <w:marBottom w:val="0"/>
          <w:divBdr>
            <w:top w:val="none" w:sz="0" w:space="0" w:color="auto"/>
            <w:left w:val="none" w:sz="0" w:space="0" w:color="auto"/>
            <w:bottom w:val="none" w:sz="0" w:space="0" w:color="auto"/>
            <w:right w:val="none" w:sz="0" w:space="0" w:color="auto"/>
          </w:divBdr>
        </w:div>
        <w:div w:id="334263315">
          <w:marLeft w:val="0"/>
          <w:marRight w:val="0"/>
          <w:marTop w:val="0"/>
          <w:marBottom w:val="0"/>
          <w:divBdr>
            <w:top w:val="none" w:sz="0" w:space="0" w:color="auto"/>
            <w:left w:val="none" w:sz="0" w:space="0" w:color="auto"/>
            <w:bottom w:val="none" w:sz="0" w:space="0" w:color="auto"/>
            <w:right w:val="none" w:sz="0" w:space="0" w:color="auto"/>
          </w:divBdr>
        </w:div>
      </w:divsChild>
    </w:div>
    <w:div w:id="391733080">
      <w:bodyDiv w:val="1"/>
      <w:marLeft w:val="0"/>
      <w:marRight w:val="0"/>
      <w:marTop w:val="0"/>
      <w:marBottom w:val="0"/>
      <w:divBdr>
        <w:top w:val="none" w:sz="0" w:space="0" w:color="auto"/>
        <w:left w:val="none" w:sz="0" w:space="0" w:color="auto"/>
        <w:bottom w:val="none" w:sz="0" w:space="0" w:color="auto"/>
        <w:right w:val="none" w:sz="0" w:space="0" w:color="auto"/>
      </w:divBdr>
      <w:divsChild>
        <w:div w:id="707532769">
          <w:marLeft w:val="0"/>
          <w:marRight w:val="0"/>
          <w:marTop w:val="120"/>
          <w:marBottom w:val="120"/>
          <w:divBdr>
            <w:top w:val="none" w:sz="0" w:space="0" w:color="auto"/>
            <w:left w:val="none" w:sz="0" w:space="0" w:color="auto"/>
            <w:bottom w:val="none" w:sz="0" w:space="0" w:color="auto"/>
            <w:right w:val="none" w:sz="0" w:space="0" w:color="auto"/>
          </w:divBdr>
        </w:div>
      </w:divsChild>
    </w:div>
    <w:div w:id="392628238">
      <w:bodyDiv w:val="1"/>
      <w:marLeft w:val="0"/>
      <w:marRight w:val="0"/>
      <w:marTop w:val="0"/>
      <w:marBottom w:val="0"/>
      <w:divBdr>
        <w:top w:val="none" w:sz="0" w:space="0" w:color="auto"/>
        <w:left w:val="none" w:sz="0" w:space="0" w:color="auto"/>
        <w:bottom w:val="none" w:sz="0" w:space="0" w:color="auto"/>
        <w:right w:val="none" w:sz="0" w:space="0" w:color="auto"/>
      </w:divBdr>
      <w:divsChild>
        <w:div w:id="463281754">
          <w:marLeft w:val="0"/>
          <w:marRight w:val="0"/>
          <w:marTop w:val="0"/>
          <w:marBottom w:val="0"/>
          <w:divBdr>
            <w:top w:val="none" w:sz="0" w:space="0" w:color="auto"/>
            <w:left w:val="none" w:sz="0" w:space="0" w:color="auto"/>
            <w:bottom w:val="none" w:sz="0" w:space="0" w:color="auto"/>
            <w:right w:val="none" w:sz="0" w:space="0" w:color="auto"/>
          </w:divBdr>
        </w:div>
        <w:div w:id="44645850">
          <w:marLeft w:val="0"/>
          <w:marRight w:val="0"/>
          <w:marTop w:val="0"/>
          <w:marBottom w:val="0"/>
          <w:divBdr>
            <w:top w:val="none" w:sz="0" w:space="0" w:color="auto"/>
            <w:left w:val="none" w:sz="0" w:space="0" w:color="auto"/>
            <w:bottom w:val="none" w:sz="0" w:space="0" w:color="auto"/>
            <w:right w:val="none" w:sz="0" w:space="0" w:color="auto"/>
          </w:divBdr>
        </w:div>
        <w:div w:id="1848783841">
          <w:marLeft w:val="0"/>
          <w:marRight w:val="0"/>
          <w:marTop w:val="0"/>
          <w:marBottom w:val="0"/>
          <w:divBdr>
            <w:top w:val="none" w:sz="0" w:space="0" w:color="auto"/>
            <w:left w:val="none" w:sz="0" w:space="0" w:color="auto"/>
            <w:bottom w:val="none" w:sz="0" w:space="0" w:color="auto"/>
            <w:right w:val="none" w:sz="0" w:space="0" w:color="auto"/>
          </w:divBdr>
        </w:div>
        <w:div w:id="1326783262">
          <w:marLeft w:val="0"/>
          <w:marRight w:val="0"/>
          <w:marTop w:val="0"/>
          <w:marBottom w:val="0"/>
          <w:divBdr>
            <w:top w:val="none" w:sz="0" w:space="0" w:color="auto"/>
            <w:left w:val="none" w:sz="0" w:space="0" w:color="auto"/>
            <w:bottom w:val="none" w:sz="0" w:space="0" w:color="auto"/>
            <w:right w:val="none" w:sz="0" w:space="0" w:color="auto"/>
          </w:divBdr>
        </w:div>
        <w:div w:id="1626691186">
          <w:marLeft w:val="0"/>
          <w:marRight w:val="0"/>
          <w:marTop w:val="0"/>
          <w:marBottom w:val="0"/>
          <w:divBdr>
            <w:top w:val="none" w:sz="0" w:space="0" w:color="auto"/>
            <w:left w:val="none" w:sz="0" w:space="0" w:color="auto"/>
            <w:bottom w:val="none" w:sz="0" w:space="0" w:color="auto"/>
            <w:right w:val="none" w:sz="0" w:space="0" w:color="auto"/>
          </w:divBdr>
        </w:div>
        <w:div w:id="1925336598">
          <w:marLeft w:val="0"/>
          <w:marRight w:val="0"/>
          <w:marTop w:val="0"/>
          <w:marBottom w:val="0"/>
          <w:divBdr>
            <w:top w:val="none" w:sz="0" w:space="0" w:color="auto"/>
            <w:left w:val="none" w:sz="0" w:space="0" w:color="auto"/>
            <w:bottom w:val="none" w:sz="0" w:space="0" w:color="auto"/>
            <w:right w:val="none" w:sz="0" w:space="0" w:color="auto"/>
          </w:divBdr>
        </w:div>
        <w:div w:id="888539031">
          <w:marLeft w:val="0"/>
          <w:marRight w:val="0"/>
          <w:marTop w:val="0"/>
          <w:marBottom w:val="0"/>
          <w:divBdr>
            <w:top w:val="none" w:sz="0" w:space="0" w:color="auto"/>
            <w:left w:val="none" w:sz="0" w:space="0" w:color="auto"/>
            <w:bottom w:val="none" w:sz="0" w:space="0" w:color="auto"/>
            <w:right w:val="none" w:sz="0" w:space="0" w:color="auto"/>
          </w:divBdr>
        </w:div>
      </w:divsChild>
    </w:div>
    <w:div w:id="394356504">
      <w:bodyDiv w:val="1"/>
      <w:marLeft w:val="0"/>
      <w:marRight w:val="0"/>
      <w:marTop w:val="0"/>
      <w:marBottom w:val="0"/>
      <w:divBdr>
        <w:top w:val="none" w:sz="0" w:space="0" w:color="auto"/>
        <w:left w:val="none" w:sz="0" w:space="0" w:color="auto"/>
        <w:bottom w:val="none" w:sz="0" w:space="0" w:color="auto"/>
        <w:right w:val="none" w:sz="0" w:space="0" w:color="auto"/>
      </w:divBdr>
    </w:div>
    <w:div w:id="397436469">
      <w:bodyDiv w:val="1"/>
      <w:marLeft w:val="0"/>
      <w:marRight w:val="0"/>
      <w:marTop w:val="0"/>
      <w:marBottom w:val="0"/>
      <w:divBdr>
        <w:top w:val="none" w:sz="0" w:space="0" w:color="auto"/>
        <w:left w:val="none" w:sz="0" w:space="0" w:color="auto"/>
        <w:bottom w:val="none" w:sz="0" w:space="0" w:color="auto"/>
        <w:right w:val="none" w:sz="0" w:space="0" w:color="auto"/>
      </w:divBdr>
    </w:div>
    <w:div w:id="402146265">
      <w:bodyDiv w:val="1"/>
      <w:marLeft w:val="0"/>
      <w:marRight w:val="0"/>
      <w:marTop w:val="0"/>
      <w:marBottom w:val="0"/>
      <w:divBdr>
        <w:top w:val="none" w:sz="0" w:space="0" w:color="auto"/>
        <w:left w:val="none" w:sz="0" w:space="0" w:color="auto"/>
        <w:bottom w:val="none" w:sz="0" w:space="0" w:color="auto"/>
        <w:right w:val="none" w:sz="0" w:space="0" w:color="auto"/>
      </w:divBdr>
    </w:div>
    <w:div w:id="406728284">
      <w:bodyDiv w:val="1"/>
      <w:marLeft w:val="0"/>
      <w:marRight w:val="0"/>
      <w:marTop w:val="0"/>
      <w:marBottom w:val="0"/>
      <w:divBdr>
        <w:top w:val="none" w:sz="0" w:space="0" w:color="auto"/>
        <w:left w:val="none" w:sz="0" w:space="0" w:color="auto"/>
        <w:bottom w:val="none" w:sz="0" w:space="0" w:color="auto"/>
        <w:right w:val="none" w:sz="0" w:space="0" w:color="auto"/>
      </w:divBdr>
    </w:div>
    <w:div w:id="407966104">
      <w:bodyDiv w:val="1"/>
      <w:marLeft w:val="0"/>
      <w:marRight w:val="0"/>
      <w:marTop w:val="0"/>
      <w:marBottom w:val="0"/>
      <w:divBdr>
        <w:top w:val="none" w:sz="0" w:space="0" w:color="auto"/>
        <w:left w:val="none" w:sz="0" w:space="0" w:color="auto"/>
        <w:bottom w:val="none" w:sz="0" w:space="0" w:color="auto"/>
        <w:right w:val="none" w:sz="0" w:space="0" w:color="auto"/>
      </w:divBdr>
    </w:div>
    <w:div w:id="408115912">
      <w:bodyDiv w:val="1"/>
      <w:marLeft w:val="0"/>
      <w:marRight w:val="0"/>
      <w:marTop w:val="0"/>
      <w:marBottom w:val="0"/>
      <w:divBdr>
        <w:top w:val="none" w:sz="0" w:space="0" w:color="auto"/>
        <w:left w:val="none" w:sz="0" w:space="0" w:color="auto"/>
        <w:bottom w:val="none" w:sz="0" w:space="0" w:color="auto"/>
        <w:right w:val="none" w:sz="0" w:space="0" w:color="auto"/>
      </w:divBdr>
    </w:div>
    <w:div w:id="408622058">
      <w:bodyDiv w:val="1"/>
      <w:marLeft w:val="0"/>
      <w:marRight w:val="0"/>
      <w:marTop w:val="0"/>
      <w:marBottom w:val="0"/>
      <w:divBdr>
        <w:top w:val="none" w:sz="0" w:space="0" w:color="auto"/>
        <w:left w:val="none" w:sz="0" w:space="0" w:color="auto"/>
        <w:bottom w:val="none" w:sz="0" w:space="0" w:color="auto"/>
        <w:right w:val="none" w:sz="0" w:space="0" w:color="auto"/>
      </w:divBdr>
    </w:div>
    <w:div w:id="421680758">
      <w:bodyDiv w:val="1"/>
      <w:marLeft w:val="0"/>
      <w:marRight w:val="0"/>
      <w:marTop w:val="0"/>
      <w:marBottom w:val="0"/>
      <w:divBdr>
        <w:top w:val="none" w:sz="0" w:space="0" w:color="auto"/>
        <w:left w:val="none" w:sz="0" w:space="0" w:color="auto"/>
        <w:bottom w:val="none" w:sz="0" w:space="0" w:color="auto"/>
        <w:right w:val="none" w:sz="0" w:space="0" w:color="auto"/>
      </w:divBdr>
    </w:div>
    <w:div w:id="424888702">
      <w:bodyDiv w:val="1"/>
      <w:marLeft w:val="0"/>
      <w:marRight w:val="0"/>
      <w:marTop w:val="0"/>
      <w:marBottom w:val="0"/>
      <w:divBdr>
        <w:top w:val="none" w:sz="0" w:space="0" w:color="auto"/>
        <w:left w:val="none" w:sz="0" w:space="0" w:color="auto"/>
        <w:bottom w:val="none" w:sz="0" w:space="0" w:color="auto"/>
        <w:right w:val="none" w:sz="0" w:space="0" w:color="auto"/>
      </w:divBdr>
    </w:div>
    <w:div w:id="428238696">
      <w:bodyDiv w:val="1"/>
      <w:marLeft w:val="0"/>
      <w:marRight w:val="0"/>
      <w:marTop w:val="0"/>
      <w:marBottom w:val="0"/>
      <w:divBdr>
        <w:top w:val="none" w:sz="0" w:space="0" w:color="auto"/>
        <w:left w:val="none" w:sz="0" w:space="0" w:color="auto"/>
        <w:bottom w:val="none" w:sz="0" w:space="0" w:color="auto"/>
        <w:right w:val="none" w:sz="0" w:space="0" w:color="auto"/>
      </w:divBdr>
    </w:div>
    <w:div w:id="431781176">
      <w:bodyDiv w:val="1"/>
      <w:marLeft w:val="0"/>
      <w:marRight w:val="0"/>
      <w:marTop w:val="0"/>
      <w:marBottom w:val="0"/>
      <w:divBdr>
        <w:top w:val="none" w:sz="0" w:space="0" w:color="auto"/>
        <w:left w:val="none" w:sz="0" w:space="0" w:color="auto"/>
        <w:bottom w:val="none" w:sz="0" w:space="0" w:color="auto"/>
        <w:right w:val="none" w:sz="0" w:space="0" w:color="auto"/>
      </w:divBdr>
    </w:div>
    <w:div w:id="433136690">
      <w:bodyDiv w:val="1"/>
      <w:marLeft w:val="0"/>
      <w:marRight w:val="0"/>
      <w:marTop w:val="0"/>
      <w:marBottom w:val="0"/>
      <w:divBdr>
        <w:top w:val="none" w:sz="0" w:space="0" w:color="auto"/>
        <w:left w:val="none" w:sz="0" w:space="0" w:color="auto"/>
        <w:bottom w:val="none" w:sz="0" w:space="0" w:color="auto"/>
        <w:right w:val="none" w:sz="0" w:space="0" w:color="auto"/>
      </w:divBdr>
    </w:div>
    <w:div w:id="435978227">
      <w:bodyDiv w:val="1"/>
      <w:marLeft w:val="0"/>
      <w:marRight w:val="0"/>
      <w:marTop w:val="0"/>
      <w:marBottom w:val="0"/>
      <w:divBdr>
        <w:top w:val="none" w:sz="0" w:space="0" w:color="auto"/>
        <w:left w:val="none" w:sz="0" w:space="0" w:color="auto"/>
        <w:bottom w:val="none" w:sz="0" w:space="0" w:color="auto"/>
        <w:right w:val="none" w:sz="0" w:space="0" w:color="auto"/>
      </w:divBdr>
    </w:div>
    <w:div w:id="443304292">
      <w:bodyDiv w:val="1"/>
      <w:marLeft w:val="0"/>
      <w:marRight w:val="0"/>
      <w:marTop w:val="0"/>
      <w:marBottom w:val="0"/>
      <w:divBdr>
        <w:top w:val="none" w:sz="0" w:space="0" w:color="auto"/>
        <w:left w:val="none" w:sz="0" w:space="0" w:color="auto"/>
        <w:bottom w:val="none" w:sz="0" w:space="0" w:color="auto"/>
        <w:right w:val="none" w:sz="0" w:space="0" w:color="auto"/>
      </w:divBdr>
    </w:div>
    <w:div w:id="449129546">
      <w:bodyDiv w:val="1"/>
      <w:marLeft w:val="0"/>
      <w:marRight w:val="0"/>
      <w:marTop w:val="0"/>
      <w:marBottom w:val="0"/>
      <w:divBdr>
        <w:top w:val="none" w:sz="0" w:space="0" w:color="auto"/>
        <w:left w:val="none" w:sz="0" w:space="0" w:color="auto"/>
        <w:bottom w:val="none" w:sz="0" w:space="0" w:color="auto"/>
        <w:right w:val="none" w:sz="0" w:space="0" w:color="auto"/>
      </w:divBdr>
    </w:div>
    <w:div w:id="453788049">
      <w:bodyDiv w:val="1"/>
      <w:marLeft w:val="0"/>
      <w:marRight w:val="0"/>
      <w:marTop w:val="0"/>
      <w:marBottom w:val="0"/>
      <w:divBdr>
        <w:top w:val="none" w:sz="0" w:space="0" w:color="auto"/>
        <w:left w:val="none" w:sz="0" w:space="0" w:color="auto"/>
        <w:bottom w:val="none" w:sz="0" w:space="0" w:color="auto"/>
        <w:right w:val="none" w:sz="0" w:space="0" w:color="auto"/>
      </w:divBdr>
    </w:div>
    <w:div w:id="457264361">
      <w:bodyDiv w:val="1"/>
      <w:marLeft w:val="0"/>
      <w:marRight w:val="0"/>
      <w:marTop w:val="0"/>
      <w:marBottom w:val="0"/>
      <w:divBdr>
        <w:top w:val="none" w:sz="0" w:space="0" w:color="auto"/>
        <w:left w:val="none" w:sz="0" w:space="0" w:color="auto"/>
        <w:bottom w:val="none" w:sz="0" w:space="0" w:color="auto"/>
        <w:right w:val="none" w:sz="0" w:space="0" w:color="auto"/>
      </w:divBdr>
    </w:div>
    <w:div w:id="459543456">
      <w:bodyDiv w:val="1"/>
      <w:marLeft w:val="0"/>
      <w:marRight w:val="0"/>
      <w:marTop w:val="0"/>
      <w:marBottom w:val="0"/>
      <w:divBdr>
        <w:top w:val="none" w:sz="0" w:space="0" w:color="auto"/>
        <w:left w:val="none" w:sz="0" w:space="0" w:color="auto"/>
        <w:bottom w:val="none" w:sz="0" w:space="0" w:color="auto"/>
        <w:right w:val="none" w:sz="0" w:space="0" w:color="auto"/>
      </w:divBdr>
    </w:div>
    <w:div w:id="461535770">
      <w:bodyDiv w:val="1"/>
      <w:marLeft w:val="0"/>
      <w:marRight w:val="0"/>
      <w:marTop w:val="0"/>
      <w:marBottom w:val="0"/>
      <w:divBdr>
        <w:top w:val="none" w:sz="0" w:space="0" w:color="auto"/>
        <w:left w:val="none" w:sz="0" w:space="0" w:color="auto"/>
        <w:bottom w:val="none" w:sz="0" w:space="0" w:color="auto"/>
        <w:right w:val="none" w:sz="0" w:space="0" w:color="auto"/>
      </w:divBdr>
    </w:div>
    <w:div w:id="464205391">
      <w:bodyDiv w:val="1"/>
      <w:marLeft w:val="0"/>
      <w:marRight w:val="0"/>
      <w:marTop w:val="0"/>
      <w:marBottom w:val="0"/>
      <w:divBdr>
        <w:top w:val="none" w:sz="0" w:space="0" w:color="auto"/>
        <w:left w:val="none" w:sz="0" w:space="0" w:color="auto"/>
        <w:bottom w:val="none" w:sz="0" w:space="0" w:color="auto"/>
        <w:right w:val="none" w:sz="0" w:space="0" w:color="auto"/>
      </w:divBdr>
    </w:div>
    <w:div w:id="464548490">
      <w:bodyDiv w:val="1"/>
      <w:marLeft w:val="0"/>
      <w:marRight w:val="0"/>
      <w:marTop w:val="0"/>
      <w:marBottom w:val="0"/>
      <w:divBdr>
        <w:top w:val="none" w:sz="0" w:space="0" w:color="auto"/>
        <w:left w:val="none" w:sz="0" w:space="0" w:color="auto"/>
        <w:bottom w:val="none" w:sz="0" w:space="0" w:color="auto"/>
        <w:right w:val="none" w:sz="0" w:space="0" w:color="auto"/>
      </w:divBdr>
    </w:div>
    <w:div w:id="467473624">
      <w:bodyDiv w:val="1"/>
      <w:marLeft w:val="0"/>
      <w:marRight w:val="0"/>
      <w:marTop w:val="0"/>
      <w:marBottom w:val="0"/>
      <w:divBdr>
        <w:top w:val="none" w:sz="0" w:space="0" w:color="auto"/>
        <w:left w:val="none" w:sz="0" w:space="0" w:color="auto"/>
        <w:bottom w:val="none" w:sz="0" w:space="0" w:color="auto"/>
        <w:right w:val="none" w:sz="0" w:space="0" w:color="auto"/>
      </w:divBdr>
    </w:div>
    <w:div w:id="467817836">
      <w:bodyDiv w:val="1"/>
      <w:marLeft w:val="0"/>
      <w:marRight w:val="0"/>
      <w:marTop w:val="0"/>
      <w:marBottom w:val="0"/>
      <w:divBdr>
        <w:top w:val="none" w:sz="0" w:space="0" w:color="auto"/>
        <w:left w:val="none" w:sz="0" w:space="0" w:color="auto"/>
        <w:bottom w:val="none" w:sz="0" w:space="0" w:color="auto"/>
        <w:right w:val="none" w:sz="0" w:space="0" w:color="auto"/>
      </w:divBdr>
    </w:div>
    <w:div w:id="484669608">
      <w:bodyDiv w:val="1"/>
      <w:marLeft w:val="0"/>
      <w:marRight w:val="0"/>
      <w:marTop w:val="0"/>
      <w:marBottom w:val="0"/>
      <w:divBdr>
        <w:top w:val="none" w:sz="0" w:space="0" w:color="auto"/>
        <w:left w:val="none" w:sz="0" w:space="0" w:color="auto"/>
        <w:bottom w:val="none" w:sz="0" w:space="0" w:color="auto"/>
        <w:right w:val="none" w:sz="0" w:space="0" w:color="auto"/>
      </w:divBdr>
    </w:div>
    <w:div w:id="486364148">
      <w:bodyDiv w:val="1"/>
      <w:marLeft w:val="0"/>
      <w:marRight w:val="0"/>
      <w:marTop w:val="0"/>
      <w:marBottom w:val="0"/>
      <w:divBdr>
        <w:top w:val="none" w:sz="0" w:space="0" w:color="auto"/>
        <w:left w:val="none" w:sz="0" w:space="0" w:color="auto"/>
        <w:bottom w:val="none" w:sz="0" w:space="0" w:color="auto"/>
        <w:right w:val="none" w:sz="0" w:space="0" w:color="auto"/>
      </w:divBdr>
    </w:div>
    <w:div w:id="500971971">
      <w:bodyDiv w:val="1"/>
      <w:marLeft w:val="0"/>
      <w:marRight w:val="0"/>
      <w:marTop w:val="0"/>
      <w:marBottom w:val="0"/>
      <w:divBdr>
        <w:top w:val="none" w:sz="0" w:space="0" w:color="auto"/>
        <w:left w:val="none" w:sz="0" w:space="0" w:color="auto"/>
        <w:bottom w:val="none" w:sz="0" w:space="0" w:color="auto"/>
        <w:right w:val="none" w:sz="0" w:space="0" w:color="auto"/>
      </w:divBdr>
    </w:div>
    <w:div w:id="509221810">
      <w:bodyDiv w:val="1"/>
      <w:marLeft w:val="0"/>
      <w:marRight w:val="0"/>
      <w:marTop w:val="0"/>
      <w:marBottom w:val="0"/>
      <w:divBdr>
        <w:top w:val="none" w:sz="0" w:space="0" w:color="auto"/>
        <w:left w:val="none" w:sz="0" w:space="0" w:color="auto"/>
        <w:bottom w:val="none" w:sz="0" w:space="0" w:color="auto"/>
        <w:right w:val="none" w:sz="0" w:space="0" w:color="auto"/>
      </w:divBdr>
    </w:div>
    <w:div w:id="521280089">
      <w:bodyDiv w:val="1"/>
      <w:marLeft w:val="0"/>
      <w:marRight w:val="0"/>
      <w:marTop w:val="0"/>
      <w:marBottom w:val="0"/>
      <w:divBdr>
        <w:top w:val="none" w:sz="0" w:space="0" w:color="auto"/>
        <w:left w:val="none" w:sz="0" w:space="0" w:color="auto"/>
        <w:bottom w:val="none" w:sz="0" w:space="0" w:color="auto"/>
        <w:right w:val="none" w:sz="0" w:space="0" w:color="auto"/>
      </w:divBdr>
    </w:div>
    <w:div w:id="525748965">
      <w:bodyDiv w:val="1"/>
      <w:marLeft w:val="0"/>
      <w:marRight w:val="0"/>
      <w:marTop w:val="0"/>
      <w:marBottom w:val="0"/>
      <w:divBdr>
        <w:top w:val="none" w:sz="0" w:space="0" w:color="auto"/>
        <w:left w:val="none" w:sz="0" w:space="0" w:color="auto"/>
        <w:bottom w:val="none" w:sz="0" w:space="0" w:color="auto"/>
        <w:right w:val="none" w:sz="0" w:space="0" w:color="auto"/>
      </w:divBdr>
    </w:div>
    <w:div w:id="528756797">
      <w:bodyDiv w:val="1"/>
      <w:marLeft w:val="0"/>
      <w:marRight w:val="0"/>
      <w:marTop w:val="0"/>
      <w:marBottom w:val="0"/>
      <w:divBdr>
        <w:top w:val="none" w:sz="0" w:space="0" w:color="auto"/>
        <w:left w:val="none" w:sz="0" w:space="0" w:color="auto"/>
        <w:bottom w:val="none" w:sz="0" w:space="0" w:color="auto"/>
        <w:right w:val="none" w:sz="0" w:space="0" w:color="auto"/>
      </w:divBdr>
    </w:div>
    <w:div w:id="529756587">
      <w:bodyDiv w:val="1"/>
      <w:marLeft w:val="0"/>
      <w:marRight w:val="0"/>
      <w:marTop w:val="0"/>
      <w:marBottom w:val="0"/>
      <w:divBdr>
        <w:top w:val="none" w:sz="0" w:space="0" w:color="auto"/>
        <w:left w:val="none" w:sz="0" w:space="0" w:color="auto"/>
        <w:bottom w:val="none" w:sz="0" w:space="0" w:color="auto"/>
        <w:right w:val="none" w:sz="0" w:space="0" w:color="auto"/>
      </w:divBdr>
    </w:div>
    <w:div w:id="532807998">
      <w:bodyDiv w:val="1"/>
      <w:marLeft w:val="0"/>
      <w:marRight w:val="0"/>
      <w:marTop w:val="0"/>
      <w:marBottom w:val="0"/>
      <w:divBdr>
        <w:top w:val="none" w:sz="0" w:space="0" w:color="auto"/>
        <w:left w:val="none" w:sz="0" w:space="0" w:color="auto"/>
        <w:bottom w:val="none" w:sz="0" w:space="0" w:color="auto"/>
        <w:right w:val="none" w:sz="0" w:space="0" w:color="auto"/>
      </w:divBdr>
    </w:div>
    <w:div w:id="534857089">
      <w:bodyDiv w:val="1"/>
      <w:marLeft w:val="0"/>
      <w:marRight w:val="0"/>
      <w:marTop w:val="0"/>
      <w:marBottom w:val="0"/>
      <w:divBdr>
        <w:top w:val="none" w:sz="0" w:space="0" w:color="auto"/>
        <w:left w:val="none" w:sz="0" w:space="0" w:color="auto"/>
        <w:bottom w:val="none" w:sz="0" w:space="0" w:color="auto"/>
        <w:right w:val="none" w:sz="0" w:space="0" w:color="auto"/>
      </w:divBdr>
    </w:div>
    <w:div w:id="535854168">
      <w:bodyDiv w:val="1"/>
      <w:marLeft w:val="0"/>
      <w:marRight w:val="0"/>
      <w:marTop w:val="0"/>
      <w:marBottom w:val="0"/>
      <w:divBdr>
        <w:top w:val="none" w:sz="0" w:space="0" w:color="auto"/>
        <w:left w:val="none" w:sz="0" w:space="0" w:color="auto"/>
        <w:bottom w:val="none" w:sz="0" w:space="0" w:color="auto"/>
        <w:right w:val="none" w:sz="0" w:space="0" w:color="auto"/>
      </w:divBdr>
    </w:div>
    <w:div w:id="535971903">
      <w:bodyDiv w:val="1"/>
      <w:marLeft w:val="0"/>
      <w:marRight w:val="0"/>
      <w:marTop w:val="0"/>
      <w:marBottom w:val="0"/>
      <w:divBdr>
        <w:top w:val="none" w:sz="0" w:space="0" w:color="auto"/>
        <w:left w:val="none" w:sz="0" w:space="0" w:color="auto"/>
        <w:bottom w:val="none" w:sz="0" w:space="0" w:color="auto"/>
        <w:right w:val="none" w:sz="0" w:space="0" w:color="auto"/>
      </w:divBdr>
      <w:divsChild>
        <w:div w:id="1110660475">
          <w:marLeft w:val="0"/>
          <w:marRight w:val="0"/>
          <w:marTop w:val="0"/>
          <w:marBottom w:val="0"/>
          <w:divBdr>
            <w:top w:val="none" w:sz="0" w:space="0" w:color="auto"/>
            <w:left w:val="none" w:sz="0" w:space="0" w:color="auto"/>
            <w:bottom w:val="none" w:sz="0" w:space="0" w:color="auto"/>
            <w:right w:val="none" w:sz="0" w:space="0" w:color="auto"/>
          </w:divBdr>
        </w:div>
        <w:div w:id="5332828">
          <w:marLeft w:val="0"/>
          <w:marRight w:val="0"/>
          <w:marTop w:val="0"/>
          <w:marBottom w:val="0"/>
          <w:divBdr>
            <w:top w:val="none" w:sz="0" w:space="0" w:color="auto"/>
            <w:left w:val="none" w:sz="0" w:space="0" w:color="auto"/>
            <w:bottom w:val="none" w:sz="0" w:space="0" w:color="auto"/>
            <w:right w:val="none" w:sz="0" w:space="0" w:color="auto"/>
          </w:divBdr>
        </w:div>
        <w:div w:id="2144081596">
          <w:marLeft w:val="0"/>
          <w:marRight w:val="0"/>
          <w:marTop w:val="0"/>
          <w:marBottom w:val="0"/>
          <w:divBdr>
            <w:top w:val="none" w:sz="0" w:space="0" w:color="auto"/>
            <w:left w:val="none" w:sz="0" w:space="0" w:color="auto"/>
            <w:bottom w:val="none" w:sz="0" w:space="0" w:color="auto"/>
            <w:right w:val="none" w:sz="0" w:space="0" w:color="auto"/>
          </w:divBdr>
        </w:div>
        <w:div w:id="1225220587">
          <w:marLeft w:val="0"/>
          <w:marRight w:val="0"/>
          <w:marTop w:val="0"/>
          <w:marBottom w:val="0"/>
          <w:divBdr>
            <w:top w:val="none" w:sz="0" w:space="0" w:color="auto"/>
            <w:left w:val="none" w:sz="0" w:space="0" w:color="auto"/>
            <w:bottom w:val="none" w:sz="0" w:space="0" w:color="auto"/>
            <w:right w:val="none" w:sz="0" w:space="0" w:color="auto"/>
          </w:divBdr>
        </w:div>
        <w:div w:id="468598581">
          <w:marLeft w:val="0"/>
          <w:marRight w:val="0"/>
          <w:marTop w:val="0"/>
          <w:marBottom w:val="0"/>
          <w:divBdr>
            <w:top w:val="none" w:sz="0" w:space="0" w:color="auto"/>
            <w:left w:val="none" w:sz="0" w:space="0" w:color="auto"/>
            <w:bottom w:val="none" w:sz="0" w:space="0" w:color="auto"/>
            <w:right w:val="none" w:sz="0" w:space="0" w:color="auto"/>
          </w:divBdr>
        </w:div>
        <w:div w:id="1741827125">
          <w:marLeft w:val="0"/>
          <w:marRight w:val="0"/>
          <w:marTop w:val="0"/>
          <w:marBottom w:val="0"/>
          <w:divBdr>
            <w:top w:val="none" w:sz="0" w:space="0" w:color="auto"/>
            <w:left w:val="none" w:sz="0" w:space="0" w:color="auto"/>
            <w:bottom w:val="none" w:sz="0" w:space="0" w:color="auto"/>
            <w:right w:val="none" w:sz="0" w:space="0" w:color="auto"/>
          </w:divBdr>
        </w:div>
        <w:div w:id="175510125">
          <w:marLeft w:val="0"/>
          <w:marRight w:val="0"/>
          <w:marTop w:val="0"/>
          <w:marBottom w:val="0"/>
          <w:divBdr>
            <w:top w:val="none" w:sz="0" w:space="0" w:color="auto"/>
            <w:left w:val="none" w:sz="0" w:space="0" w:color="auto"/>
            <w:bottom w:val="none" w:sz="0" w:space="0" w:color="auto"/>
            <w:right w:val="none" w:sz="0" w:space="0" w:color="auto"/>
          </w:divBdr>
        </w:div>
        <w:div w:id="1659268506">
          <w:marLeft w:val="0"/>
          <w:marRight w:val="0"/>
          <w:marTop w:val="0"/>
          <w:marBottom w:val="0"/>
          <w:divBdr>
            <w:top w:val="none" w:sz="0" w:space="0" w:color="auto"/>
            <w:left w:val="none" w:sz="0" w:space="0" w:color="auto"/>
            <w:bottom w:val="none" w:sz="0" w:space="0" w:color="auto"/>
            <w:right w:val="none" w:sz="0" w:space="0" w:color="auto"/>
          </w:divBdr>
        </w:div>
        <w:div w:id="1684163019">
          <w:marLeft w:val="0"/>
          <w:marRight w:val="0"/>
          <w:marTop w:val="0"/>
          <w:marBottom w:val="0"/>
          <w:divBdr>
            <w:top w:val="none" w:sz="0" w:space="0" w:color="auto"/>
            <w:left w:val="none" w:sz="0" w:space="0" w:color="auto"/>
            <w:bottom w:val="none" w:sz="0" w:space="0" w:color="auto"/>
            <w:right w:val="none" w:sz="0" w:space="0" w:color="auto"/>
          </w:divBdr>
        </w:div>
        <w:div w:id="2097093750">
          <w:marLeft w:val="0"/>
          <w:marRight w:val="0"/>
          <w:marTop w:val="0"/>
          <w:marBottom w:val="0"/>
          <w:divBdr>
            <w:top w:val="none" w:sz="0" w:space="0" w:color="auto"/>
            <w:left w:val="none" w:sz="0" w:space="0" w:color="auto"/>
            <w:bottom w:val="none" w:sz="0" w:space="0" w:color="auto"/>
            <w:right w:val="none" w:sz="0" w:space="0" w:color="auto"/>
          </w:divBdr>
        </w:div>
        <w:div w:id="1630739274">
          <w:marLeft w:val="0"/>
          <w:marRight w:val="0"/>
          <w:marTop w:val="0"/>
          <w:marBottom w:val="0"/>
          <w:divBdr>
            <w:top w:val="none" w:sz="0" w:space="0" w:color="auto"/>
            <w:left w:val="none" w:sz="0" w:space="0" w:color="auto"/>
            <w:bottom w:val="none" w:sz="0" w:space="0" w:color="auto"/>
            <w:right w:val="none" w:sz="0" w:space="0" w:color="auto"/>
          </w:divBdr>
        </w:div>
        <w:div w:id="1783644088">
          <w:marLeft w:val="0"/>
          <w:marRight w:val="0"/>
          <w:marTop w:val="0"/>
          <w:marBottom w:val="0"/>
          <w:divBdr>
            <w:top w:val="none" w:sz="0" w:space="0" w:color="auto"/>
            <w:left w:val="none" w:sz="0" w:space="0" w:color="auto"/>
            <w:bottom w:val="none" w:sz="0" w:space="0" w:color="auto"/>
            <w:right w:val="none" w:sz="0" w:space="0" w:color="auto"/>
          </w:divBdr>
        </w:div>
        <w:div w:id="547183107">
          <w:marLeft w:val="0"/>
          <w:marRight w:val="0"/>
          <w:marTop w:val="0"/>
          <w:marBottom w:val="0"/>
          <w:divBdr>
            <w:top w:val="none" w:sz="0" w:space="0" w:color="auto"/>
            <w:left w:val="none" w:sz="0" w:space="0" w:color="auto"/>
            <w:bottom w:val="none" w:sz="0" w:space="0" w:color="auto"/>
            <w:right w:val="none" w:sz="0" w:space="0" w:color="auto"/>
          </w:divBdr>
        </w:div>
        <w:div w:id="1160541574">
          <w:marLeft w:val="0"/>
          <w:marRight w:val="0"/>
          <w:marTop w:val="0"/>
          <w:marBottom w:val="0"/>
          <w:divBdr>
            <w:top w:val="none" w:sz="0" w:space="0" w:color="auto"/>
            <w:left w:val="none" w:sz="0" w:space="0" w:color="auto"/>
            <w:bottom w:val="none" w:sz="0" w:space="0" w:color="auto"/>
            <w:right w:val="none" w:sz="0" w:space="0" w:color="auto"/>
          </w:divBdr>
        </w:div>
        <w:div w:id="852500717">
          <w:marLeft w:val="0"/>
          <w:marRight w:val="0"/>
          <w:marTop w:val="0"/>
          <w:marBottom w:val="0"/>
          <w:divBdr>
            <w:top w:val="none" w:sz="0" w:space="0" w:color="auto"/>
            <w:left w:val="none" w:sz="0" w:space="0" w:color="auto"/>
            <w:bottom w:val="none" w:sz="0" w:space="0" w:color="auto"/>
            <w:right w:val="none" w:sz="0" w:space="0" w:color="auto"/>
          </w:divBdr>
        </w:div>
        <w:div w:id="1049181482">
          <w:marLeft w:val="0"/>
          <w:marRight w:val="0"/>
          <w:marTop w:val="0"/>
          <w:marBottom w:val="0"/>
          <w:divBdr>
            <w:top w:val="none" w:sz="0" w:space="0" w:color="auto"/>
            <w:left w:val="none" w:sz="0" w:space="0" w:color="auto"/>
            <w:bottom w:val="none" w:sz="0" w:space="0" w:color="auto"/>
            <w:right w:val="none" w:sz="0" w:space="0" w:color="auto"/>
          </w:divBdr>
        </w:div>
        <w:div w:id="452332343">
          <w:marLeft w:val="0"/>
          <w:marRight w:val="0"/>
          <w:marTop w:val="0"/>
          <w:marBottom w:val="0"/>
          <w:divBdr>
            <w:top w:val="none" w:sz="0" w:space="0" w:color="auto"/>
            <w:left w:val="none" w:sz="0" w:space="0" w:color="auto"/>
            <w:bottom w:val="none" w:sz="0" w:space="0" w:color="auto"/>
            <w:right w:val="none" w:sz="0" w:space="0" w:color="auto"/>
          </w:divBdr>
        </w:div>
        <w:div w:id="1392147907">
          <w:marLeft w:val="0"/>
          <w:marRight w:val="0"/>
          <w:marTop w:val="0"/>
          <w:marBottom w:val="0"/>
          <w:divBdr>
            <w:top w:val="none" w:sz="0" w:space="0" w:color="auto"/>
            <w:left w:val="none" w:sz="0" w:space="0" w:color="auto"/>
            <w:bottom w:val="none" w:sz="0" w:space="0" w:color="auto"/>
            <w:right w:val="none" w:sz="0" w:space="0" w:color="auto"/>
          </w:divBdr>
        </w:div>
        <w:div w:id="1440488061">
          <w:marLeft w:val="0"/>
          <w:marRight w:val="0"/>
          <w:marTop w:val="0"/>
          <w:marBottom w:val="0"/>
          <w:divBdr>
            <w:top w:val="none" w:sz="0" w:space="0" w:color="auto"/>
            <w:left w:val="none" w:sz="0" w:space="0" w:color="auto"/>
            <w:bottom w:val="none" w:sz="0" w:space="0" w:color="auto"/>
            <w:right w:val="none" w:sz="0" w:space="0" w:color="auto"/>
          </w:divBdr>
        </w:div>
        <w:div w:id="1339845384">
          <w:marLeft w:val="0"/>
          <w:marRight w:val="0"/>
          <w:marTop w:val="0"/>
          <w:marBottom w:val="0"/>
          <w:divBdr>
            <w:top w:val="none" w:sz="0" w:space="0" w:color="auto"/>
            <w:left w:val="none" w:sz="0" w:space="0" w:color="auto"/>
            <w:bottom w:val="none" w:sz="0" w:space="0" w:color="auto"/>
            <w:right w:val="none" w:sz="0" w:space="0" w:color="auto"/>
          </w:divBdr>
        </w:div>
        <w:div w:id="1098792235">
          <w:marLeft w:val="0"/>
          <w:marRight w:val="0"/>
          <w:marTop w:val="0"/>
          <w:marBottom w:val="0"/>
          <w:divBdr>
            <w:top w:val="none" w:sz="0" w:space="0" w:color="auto"/>
            <w:left w:val="none" w:sz="0" w:space="0" w:color="auto"/>
            <w:bottom w:val="none" w:sz="0" w:space="0" w:color="auto"/>
            <w:right w:val="none" w:sz="0" w:space="0" w:color="auto"/>
          </w:divBdr>
        </w:div>
        <w:div w:id="797720388">
          <w:marLeft w:val="0"/>
          <w:marRight w:val="0"/>
          <w:marTop w:val="0"/>
          <w:marBottom w:val="0"/>
          <w:divBdr>
            <w:top w:val="none" w:sz="0" w:space="0" w:color="auto"/>
            <w:left w:val="none" w:sz="0" w:space="0" w:color="auto"/>
            <w:bottom w:val="none" w:sz="0" w:space="0" w:color="auto"/>
            <w:right w:val="none" w:sz="0" w:space="0" w:color="auto"/>
          </w:divBdr>
        </w:div>
        <w:div w:id="844053415">
          <w:marLeft w:val="0"/>
          <w:marRight w:val="0"/>
          <w:marTop w:val="0"/>
          <w:marBottom w:val="0"/>
          <w:divBdr>
            <w:top w:val="none" w:sz="0" w:space="0" w:color="auto"/>
            <w:left w:val="none" w:sz="0" w:space="0" w:color="auto"/>
            <w:bottom w:val="none" w:sz="0" w:space="0" w:color="auto"/>
            <w:right w:val="none" w:sz="0" w:space="0" w:color="auto"/>
          </w:divBdr>
        </w:div>
        <w:div w:id="535851270">
          <w:marLeft w:val="0"/>
          <w:marRight w:val="0"/>
          <w:marTop w:val="0"/>
          <w:marBottom w:val="0"/>
          <w:divBdr>
            <w:top w:val="none" w:sz="0" w:space="0" w:color="auto"/>
            <w:left w:val="none" w:sz="0" w:space="0" w:color="auto"/>
            <w:bottom w:val="none" w:sz="0" w:space="0" w:color="auto"/>
            <w:right w:val="none" w:sz="0" w:space="0" w:color="auto"/>
          </w:divBdr>
        </w:div>
        <w:div w:id="566957603">
          <w:marLeft w:val="0"/>
          <w:marRight w:val="0"/>
          <w:marTop w:val="0"/>
          <w:marBottom w:val="0"/>
          <w:divBdr>
            <w:top w:val="none" w:sz="0" w:space="0" w:color="auto"/>
            <w:left w:val="none" w:sz="0" w:space="0" w:color="auto"/>
            <w:bottom w:val="none" w:sz="0" w:space="0" w:color="auto"/>
            <w:right w:val="none" w:sz="0" w:space="0" w:color="auto"/>
          </w:divBdr>
        </w:div>
        <w:div w:id="1072310152">
          <w:marLeft w:val="0"/>
          <w:marRight w:val="0"/>
          <w:marTop w:val="0"/>
          <w:marBottom w:val="0"/>
          <w:divBdr>
            <w:top w:val="none" w:sz="0" w:space="0" w:color="auto"/>
            <w:left w:val="none" w:sz="0" w:space="0" w:color="auto"/>
            <w:bottom w:val="none" w:sz="0" w:space="0" w:color="auto"/>
            <w:right w:val="none" w:sz="0" w:space="0" w:color="auto"/>
          </w:divBdr>
        </w:div>
        <w:div w:id="381557716">
          <w:marLeft w:val="0"/>
          <w:marRight w:val="0"/>
          <w:marTop w:val="0"/>
          <w:marBottom w:val="0"/>
          <w:divBdr>
            <w:top w:val="none" w:sz="0" w:space="0" w:color="auto"/>
            <w:left w:val="none" w:sz="0" w:space="0" w:color="auto"/>
            <w:bottom w:val="none" w:sz="0" w:space="0" w:color="auto"/>
            <w:right w:val="none" w:sz="0" w:space="0" w:color="auto"/>
          </w:divBdr>
        </w:div>
      </w:divsChild>
    </w:div>
    <w:div w:id="536627679">
      <w:bodyDiv w:val="1"/>
      <w:marLeft w:val="0"/>
      <w:marRight w:val="0"/>
      <w:marTop w:val="0"/>
      <w:marBottom w:val="0"/>
      <w:divBdr>
        <w:top w:val="none" w:sz="0" w:space="0" w:color="auto"/>
        <w:left w:val="none" w:sz="0" w:space="0" w:color="auto"/>
        <w:bottom w:val="none" w:sz="0" w:space="0" w:color="auto"/>
        <w:right w:val="none" w:sz="0" w:space="0" w:color="auto"/>
      </w:divBdr>
    </w:div>
    <w:div w:id="541987266">
      <w:bodyDiv w:val="1"/>
      <w:marLeft w:val="0"/>
      <w:marRight w:val="0"/>
      <w:marTop w:val="0"/>
      <w:marBottom w:val="0"/>
      <w:divBdr>
        <w:top w:val="none" w:sz="0" w:space="0" w:color="auto"/>
        <w:left w:val="none" w:sz="0" w:space="0" w:color="auto"/>
        <w:bottom w:val="none" w:sz="0" w:space="0" w:color="auto"/>
        <w:right w:val="none" w:sz="0" w:space="0" w:color="auto"/>
      </w:divBdr>
    </w:div>
    <w:div w:id="544021516">
      <w:bodyDiv w:val="1"/>
      <w:marLeft w:val="0"/>
      <w:marRight w:val="0"/>
      <w:marTop w:val="0"/>
      <w:marBottom w:val="0"/>
      <w:divBdr>
        <w:top w:val="none" w:sz="0" w:space="0" w:color="auto"/>
        <w:left w:val="none" w:sz="0" w:space="0" w:color="auto"/>
        <w:bottom w:val="none" w:sz="0" w:space="0" w:color="auto"/>
        <w:right w:val="none" w:sz="0" w:space="0" w:color="auto"/>
      </w:divBdr>
    </w:div>
    <w:div w:id="546064784">
      <w:bodyDiv w:val="1"/>
      <w:marLeft w:val="0"/>
      <w:marRight w:val="0"/>
      <w:marTop w:val="0"/>
      <w:marBottom w:val="0"/>
      <w:divBdr>
        <w:top w:val="none" w:sz="0" w:space="0" w:color="auto"/>
        <w:left w:val="none" w:sz="0" w:space="0" w:color="auto"/>
        <w:bottom w:val="none" w:sz="0" w:space="0" w:color="auto"/>
        <w:right w:val="none" w:sz="0" w:space="0" w:color="auto"/>
      </w:divBdr>
    </w:div>
    <w:div w:id="565264531">
      <w:bodyDiv w:val="1"/>
      <w:marLeft w:val="0"/>
      <w:marRight w:val="0"/>
      <w:marTop w:val="0"/>
      <w:marBottom w:val="0"/>
      <w:divBdr>
        <w:top w:val="none" w:sz="0" w:space="0" w:color="auto"/>
        <w:left w:val="none" w:sz="0" w:space="0" w:color="auto"/>
        <w:bottom w:val="none" w:sz="0" w:space="0" w:color="auto"/>
        <w:right w:val="none" w:sz="0" w:space="0" w:color="auto"/>
      </w:divBdr>
    </w:div>
    <w:div w:id="570048256">
      <w:bodyDiv w:val="1"/>
      <w:marLeft w:val="0"/>
      <w:marRight w:val="0"/>
      <w:marTop w:val="0"/>
      <w:marBottom w:val="0"/>
      <w:divBdr>
        <w:top w:val="none" w:sz="0" w:space="0" w:color="auto"/>
        <w:left w:val="none" w:sz="0" w:space="0" w:color="auto"/>
        <w:bottom w:val="none" w:sz="0" w:space="0" w:color="auto"/>
        <w:right w:val="none" w:sz="0" w:space="0" w:color="auto"/>
      </w:divBdr>
    </w:div>
    <w:div w:id="571085137">
      <w:bodyDiv w:val="1"/>
      <w:marLeft w:val="0"/>
      <w:marRight w:val="0"/>
      <w:marTop w:val="0"/>
      <w:marBottom w:val="0"/>
      <w:divBdr>
        <w:top w:val="none" w:sz="0" w:space="0" w:color="auto"/>
        <w:left w:val="none" w:sz="0" w:space="0" w:color="auto"/>
        <w:bottom w:val="none" w:sz="0" w:space="0" w:color="auto"/>
        <w:right w:val="none" w:sz="0" w:space="0" w:color="auto"/>
      </w:divBdr>
      <w:divsChild>
        <w:div w:id="301741780">
          <w:marLeft w:val="0"/>
          <w:marRight w:val="0"/>
          <w:marTop w:val="0"/>
          <w:marBottom w:val="0"/>
          <w:divBdr>
            <w:top w:val="none" w:sz="0" w:space="0" w:color="auto"/>
            <w:left w:val="none" w:sz="0" w:space="0" w:color="auto"/>
            <w:bottom w:val="none" w:sz="0" w:space="0" w:color="auto"/>
            <w:right w:val="none" w:sz="0" w:space="0" w:color="auto"/>
          </w:divBdr>
        </w:div>
        <w:div w:id="1938367289">
          <w:marLeft w:val="0"/>
          <w:marRight w:val="0"/>
          <w:marTop w:val="0"/>
          <w:marBottom w:val="0"/>
          <w:divBdr>
            <w:top w:val="none" w:sz="0" w:space="0" w:color="auto"/>
            <w:left w:val="none" w:sz="0" w:space="0" w:color="auto"/>
            <w:bottom w:val="none" w:sz="0" w:space="0" w:color="auto"/>
            <w:right w:val="none" w:sz="0" w:space="0" w:color="auto"/>
          </w:divBdr>
        </w:div>
        <w:div w:id="1516724633">
          <w:marLeft w:val="0"/>
          <w:marRight w:val="0"/>
          <w:marTop w:val="0"/>
          <w:marBottom w:val="0"/>
          <w:divBdr>
            <w:top w:val="none" w:sz="0" w:space="0" w:color="auto"/>
            <w:left w:val="none" w:sz="0" w:space="0" w:color="auto"/>
            <w:bottom w:val="none" w:sz="0" w:space="0" w:color="auto"/>
            <w:right w:val="none" w:sz="0" w:space="0" w:color="auto"/>
          </w:divBdr>
        </w:div>
        <w:div w:id="1147357639">
          <w:marLeft w:val="0"/>
          <w:marRight w:val="0"/>
          <w:marTop w:val="0"/>
          <w:marBottom w:val="0"/>
          <w:divBdr>
            <w:top w:val="none" w:sz="0" w:space="0" w:color="auto"/>
            <w:left w:val="none" w:sz="0" w:space="0" w:color="auto"/>
            <w:bottom w:val="none" w:sz="0" w:space="0" w:color="auto"/>
            <w:right w:val="none" w:sz="0" w:space="0" w:color="auto"/>
          </w:divBdr>
        </w:div>
        <w:div w:id="125709325">
          <w:marLeft w:val="0"/>
          <w:marRight w:val="0"/>
          <w:marTop w:val="0"/>
          <w:marBottom w:val="0"/>
          <w:divBdr>
            <w:top w:val="none" w:sz="0" w:space="0" w:color="auto"/>
            <w:left w:val="none" w:sz="0" w:space="0" w:color="auto"/>
            <w:bottom w:val="none" w:sz="0" w:space="0" w:color="auto"/>
            <w:right w:val="none" w:sz="0" w:space="0" w:color="auto"/>
          </w:divBdr>
        </w:div>
        <w:div w:id="289019580">
          <w:marLeft w:val="0"/>
          <w:marRight w:val="0"/>
          <w:marTop w:val="0"/>
          <w:marBottom w:val="0"/>
          <w:divBdr>
            <w:top w:val="none" w:sz="0" w:space="0" w:color="auto"/>
            <w:left w:val="none" w:sz="0" w:space="0" w:color="auto"/>
            <w:bottom w:val="none" w:sz="0" w:space="0" w:color="auto"/>
            <w:right w:val="none" w:sz="0" w:space="0" w:color="auto"/>
          </w:divBdr>
        </w:div>
        <w:div w:id="894120897">
          <w:marLeft w:val="0"/>
          <w:marRight w:val="0"/>
          <w:marTop w:val="0"/>
          <w:marBottom w:val="0"/>
          <w:divBdr>
            <w:top w:val="none" w:sz="0" w:space="0" w:color="auto"/>
            <w:left w:val="none" w:sz="0" w:space="0" w:color="auto"/>
            <w:bottom w:val="none" w:sz="0" w:space="0" w:color="auto"/>
            <w:right w:val="none" w:sz="0" w:space="0" w:color="auto"/>
          </w:divBdr>
        </w:div>
        <w:div w:id="2071877730">
          <w:marLeft w:val="0"/>
          <w:marRight w:val="0"/>
          <w:marTop w:val="0"/>
          <w:marBottom w:val="0"/>
          <w:divBdr>
            <w:top w:val="none" w:sz="0" w:space="0" w:color="auto"/>
            <w:left w:val="none" w:sz="0" w:space="0" w:color="auto"/>
            <w:bottom w:val="none" w:sz="0" w:space="0" w:color="auto"/>
            <w:right w:val="none" w:sz="0" w:space="0" w:color="auto"/>
          </w:divBdr>
        </w:div>
        <w:div w:id="1031805570">
          <w:marLeft w:val="0"/>
          <w:marRight w:val="0"/>
          <w:marTop w:val="0"/>
          <w:marBottom w:val="0"/>
          <w:divBdr>
            <w:top w:val="none" w:sz="0" w:space="0" w:color="auto"/>
            <w:left w:val="none" w:sz="0" w:space="0" w:color="auto"/>
            <w:bottom w:val="none" w:sz="0" w:space="0" w:color="auto"/>
            <w:right w:val="none" w:sz="0" w:space="0" w:color="auto"/>
          </w:divBdr>
        </w:div>
        <w:div w:id="76444021">
          <w:marLeft w:val="0"/>
          <w:marRight w:val="0"/>
          <w:marTop w:val="0"/>
          <w:marBottom w:val="0"/>
          <w:divBdr>
            <w:top w:val="none" w:sz="0" w:space="0" w:color="auto"/>
            <w:left w:val="none" w:sz="0" w:space="0" w:color="auto"/>
            <w:bottom w:val="none" w:sz="0" w:space="0" w:color="auto"/>
            <w:right w:val="none" w:sz="0" w:space="0" w:color="auto"/>
          </w:divBdr>
        </w:div>
        <w:div w:id="1155488819">
          <w:marLeft w:val="0"/>
          <w:marRight w:val="0"/>
          <w:marTop w:val="0"/>
          <w:marBottom w:val="0"/>
          <w:divBdr>
            <w:top w:val="none" w:sz="0" w:space="0" w:color="auto"/>
            <w:left w:val="none" w:sz="0" w:space="0" w:color="auto"/>
            <w:bottom w:val="none" w:sz="0" w:space="0" w:color="auto"/>
            <w:right w:val="none" w:sz="0" w:space="0" w:color="auto"/>
          </w:divBdr>
        </w:div>
        <w:div w:id="844133731">
          <w:marLeft w:val="0"/>
          <w:marRight w:val="0"/>
          <w:marTop w:val="0"/>
          <w:marBottom w:val="0"/>
          <w:divBdr>
            <w:top w:val="none" w:sz="0" w:space="0" w:color="auto"/>
            <w:left w:val="none" w:sz="0" w:space="0" w:color="auto"/>
            <w:bottom w:val="none" w:sz="0" w:space="0" w:color="auto"/>
            <w:right w:val="none" w:sz="0" w:space="0" w:color="auto"/>
          </w:divBdr>
        </w:div>
        <w:div w:id="289870799">
          <w:marLeft w:val="0"/>
          <w:marRight w:val="0"/>
          <w:marTop w:val="0"/>
          <w:marBottom w:val="0"/>
          <w:divBdr>
            <w:top w:val="none" w:sz="0" w:space="0" w:color="auto"/>
            <w:left w:val="none" w:sz="0" w:space="0" w:color="auto"/>
            <w:bottom w:val="none" w:sz="0" w:space="0" w:color="auto"/>
            <w:right w:val="none" w:sz="0" w:space="0" w:color="auto"/>
          </w:divBdr>
        </w:div>
        <w:div w:id="1978996102">
          <w:marLeft w:val="0"/>
          <w:marRight w:val="0"/>
          <w:marTop w:val="0"/>
          <w:marBottom w:val="0"/>
          <w:divBdr>
            <w:top w:val="none" w:sz="0" w:space="0" w:color="auto"/>
            <w:left w:val="none" w:sz="0" w:space="0" w:color="auto"/>
            <w:bottom w:val="none" w:sz="0" w:space="0" w:color="auto"/>
            <w:right w:val="none" w:sz="0" w:space="0" w:color="auto"/>
          </w:divBdr>
        </w:div>
        <w:div w:id="858010509">
          <w:marLeft w:val="0"/>
          <w:marRight w:val="0"/>
          <w:marTop w:val="0"/>
          <w:marBottom w:val="0"/>
          <w:divBdr>
            <w:top w:val="none" w:sz="0" w:space="0" w:color="auto"/>
            <w:left w:val="none" w:sz="0" w:space="0" w:color="auto"/>
            <w:bottom w:val="none" w:sz="0" w:space="0" w:color="auto"/>
            <w:right w:val="none" w:sz="0" w:space="0" w:color="auto"/>
          </w:divBdr>
        </w:div>
        <w:div w:id="1308048815">
          <w:marLeft w:val="0"/>
          <w:marRight w:val="0"/>
          <w:marTop w:val="0"/>
          <w:marBottom w:val="0"/>
          <w:divBdr>
            <w:top w:val="none" w:sz="0" w:space="0" w:color="auto"/>
            <w:left w:val="none" w:sz="0" w:space="0" w:color="auto"/>
            <w:bottom w:val="none" w:sz="0" w:space="0" w:color="auto"/>
            <w:right w:val="none" w:sz="0" w:space="0" w:color="auto"/>
          </w:divBdr>
        </w:div>
        <w:div w:id="2016491252">
          <w:marLeft w:val="0"/>
          <w:marRight w:val="0"/>
          <w:marTop w:val="0"/>
          <w:marBottom w:val="0"/>
          <w:divBdr>
            <w:top w:val="none" w:sz="0" w:space="0" w:color="auto"/>
            <w:left w:val="none" w:sz="0" w:space="0" w:color="auto"/>
            <w:bottom w:val="none" w:sz="0" w:space="0" w:color="auto"/>
            <w:right w:val="none" w:sz="0" w:space="0" w:color="auto"/>
          </w:divBdr>
        </w:div>
        <w:div w:id="1389571458">
          <w:marLeft w:val="0"/>
          <w:marRight w:val="0"/>
          <w:marTop w:val="0"/>
          <w:marBottom w:val="0"/>
          <w:divBdr>
            <w:top w:val="none" w:sz="0" w:space="0" w:color="auto"/>
            <w:left w:val="none" w:sz="0" w:space="0" w:color="auto"/>
            <w:bottom w:val="none" w:sz="0" w:space="0" w:color="auto"/>
            <w:right w:val="none" w:sz="0" w:space="0" w:color="auto"/>
          </w:divBdr>
        </w:div>
        <w:div w:id="1773550425">
          <w:marLeft w:val="0"/>
          <w:marRight w:val="0"/>
          <w:marTop w:val="0"/>
          <w:marBottom w:val="0"/>
          <w:divBdr>
            <w:top w:val="none" w:sz="0" w:space="0" w:color="auto"/>
            <w:left w:val="none" w:sz="0" w:space="0" w:color="auto"/>
            <w:bottom w:val="none" w:sz="0" w:space="0" w:color="auto"/>
            <w:right w:val="none" w:sz="0" w:space="0" w:color="auto"/>
          </w:divBdr>
        </w:div>
        <w:div w:id="1625765449">
          <w:marLeft w:val="0"/>
          <w:marRight w:val="0"/>
          <w:marTop w:val="0"/>
          <w:marBottom w:val="0"/>
          <w:divBdr>
            <w:top w:val="none" w:sz="0" w:space="0" w:color="auto"/>
            <w:left w:val="none" w:sz="0" w:space="0" w:color="auto"/>
            <w:bottom w:val="none" w:sz="0" w:space="0" w:color="auto"/>
            <w:right w:val="none" w:sz="0" w:space="0" w:color="auto"/>
          </w:divBdr>
        </w:div>
        <w:div w:id="527841031">
          <w:marLeft w:val="0"/>
          <w:marRight w:val="0"/>
          <w:marTop w:val="0"/>
          <w:marBottom w:val="0"/>
          <w:divBdr>
            <w:top w:val="none" w:sz="0" w:space="0" w:color="auto"/>
            <w:left w:val="none" w:sz="0" w:space="0" w:color="auto"/>
            <w:bottom w:val="none" w:sz="0" w:space="0" w:color="auto"/>
            <w:right w:val="none" w:sz="0" w:space="0" w:color="auto"/>
          </w:divBdr>
        </w:div>
        <w:div w:id="801850999">
          <w:marLeft w:val="0"/>
          <w:marRight w:val="0"/>
          <w:marTop w:val="0"/>
          <w:marBottom w:val="0"/>
          <w:divBdr>
            <w:top w:val="none" w:sz="0" w:space="0" w:color="auto"/>
            <w:left w:val="none" w:sz="0" w:space="0" w:color="auto"/>
            <w:bottom w:val="none" w:sz="0" w:space="0" w:color="auto"/>
            <w:right w:val="none" w:sz="0" w:space="0" w:color="auto"/>
          </w:divBdr>
        </w:div>
        <w:div w:id="1559242292">
          <w:marLeft w:val="0"/>
          <w:marRight w:val="0"/>
          <w:marTop w:val="0"/>
          <w:marBottom w:val="0"/>
          <w:divBdr>
            <w:top w:val="none" w:sz="0" w:space="0" w:color="auto"/>
            <w:left w:val="none" w:sz="0" w:space="0" w:color="auto"/>
            <w:bottom w:val="none" w:sz="0" w:space="0" w:color="auto"/>
            <w:right w:val="none" w:sz="0" w:space="0" w:color="auto"/>
          </w:divBdr>
        </w:div>
        <w:div w:id="747313189">
          <w:marLeft w:val="0"/>
          <w:marRight w:val="0"/>
          <w:marTop w:val="0"/>
          <w:marBottom w:val="0"/>
          <w:divBdr>
            <w:top w:val="none" w:sz="0" w:space="0" w:color="auto"/>
            <w:left w:val="none" w:sz="0" w:space="0" w:color="auto"/>
            <w:bottom w:val="none" w:sz="0" w:space="0" w:color="auto"/>
            <w:right w:val="none" w:sz="0" w:space="0" w:color="auto"/>
          </w:divBdr>
        </w:div>
        <w:div w:id="1354574469">
          <w:marLeft w:val="0"/>
          <w:marRight w:val="0"/>
          <w:marTop w:val="0"/>
          <w:marBottom w:val="0"/>
          <w:divBdr>
            <w:top w:val="none" w:sz="0" w:space="0" w:color="auto"/>
            <w:left w:val="none" w:sz="0" w:space="0" w:color="auto"/>
            <w:bottom w:val="none" w:sz="0" w:space="0" w:color="auto"/>
            <w:right w:val="none" w:sz="0" w:space="0" w:color="auto"/>
          </w:divBdr>
        </w:div>
        <w:div w:id="991832233">
          <w:marLeft w:val="0"/>
          <w:marRight w:val="0"/>
          <w:marTop w:val="0"/>
          <w:marBottom w:val="0"/>
          <w:divBdr>
            <w:top w:val="none" w:sz="0" w:space="0" w:color="auto"/>
            <w:left w:val="none" w:sz="0" w:space="0" w:color="auto"/>
            <w:bottom w:val="none" w:sz="0" w:space="0" w:color="auto"/>
            <w:right w:val="none" w:sz="0" w:space="0" w:color="auto"/>
          </w:divBdr>
        </w:div>
        <w:div w:id="1875578822">
          <w:marLeft w:val="0"/>
          <w:marRight w:val="0"/>
          <w:marTop w:val="0"/>
          <w:marBottom w:val="0"/>
          <w:divBdr>
            <w:top w:val="none" w:sz="0" w:space="0" w:color="auto"/>
            <w:left w:val="none" w:sz="0" w:space="0" w:color="auto"/>
            <w:bottom w:val="none" w:sz="0" w:space="0" w:color="auto"/>
            <w:right w:val="none" w:sz="0" w:space="0" w:color="auto"/>
          </w:divBdr>
        </w:div>
        <w:div w:id="846869653">
          <w:marLeft w:val="0"/>
          <w:marRight w:val="0"/>
          <w:marTop w:val="0"/>
          <w:marBottom w:val="0"/>
          <w:divBdr>
            <w:top w:val="none" w:sz="0" w:space="0" w:color="auto"/>
            <w:left w:val="none" w:sz="0" w:space="0" w:color="auto"/>
            <w:bottom w:val="none" w:sz="0" w:space="0" w:color="auto"/>
            <w:right w:val="none" w:sz="0" w:space="0" w:color="auto"/>
          </w:divBdr>
        </w:div>
        <w:div w:id="1064597147">
          <w:marLeft w:val="0"/>
          <w:marRight w:val="0"/>
          <w:marTop w:val="0"/>
          <w:marBottom w:val="0"/>
          <w:divBdr>
            <w:top w:val="none" w:sz="0" w:space="0" w:color="auto"/>
            <w:left w:val="none" w:sz="0" w:space="0" w:color="auto"/>
            <w:bottom w:val="none" w:sz="0" w:space="0" w:color="auto"/>
            <w:right w:val="none" w:sz="0" w:space="0" w:color="auto"/>
          </w:divBdr>
        </w:div>
        <w:div w:id="1267541744">
          <w:marLeft w:val="0"/>
          <w:marRight w:val="0"/>
          <w:marTop w:val="0"/>
          <w:marBottom w:val="0"/>
          <w:divBdr>
            <w:top w:val="none" w:sz="0" w:space="0" w:color="auto"/>
            <w:left w:val="none" w:sz="0" w:space="0" w:color="auto"/>
            <w:bottom w:val="none" w:sz="0" w:space="0" w:color="auto"/>
            <w:right w:val="none" w:sz="0" w:space="0" w:color="auto"/>
          </w:divBdr>
        </w:div>
        <w:div w:id="1652980970">
          <w:marLeft w:val="0"/>
          <w:marRight w:val="0"/>
          <w:marTop w:val="0"/>
          <w:marBottom w:val="0"/>
          <w:divBdr>
            <w:top w:val="none" w:sz="0" w:space="0" w:color="auto"/>
            <w:left w:val="none" w:sz="0" w:space="0" w:color="auto"/>
            <w:bottom w:val="none" w:sz="0" w:space="0" w:color="auto"/>
            <w:right w:val="none" w:sz="0" w:space="0" w:color="auto"/>
          </w:divBdr>
        </w:div>
        <w:div w:id="1087076062">
          <w:marLeft w:val="0"/>
          <w:marRight w:val="0"/>
          <w:marTop w:val="0"/>
          <w:marBottom w:val="0"/>
          <w:divBdr>
            <w:top w:val="none" w:sz="0" w:space="0" w:color="auto"/>
            <w:left w:val="none" w:sz="0" w:space="0" w:color="auto"/>
            <w:bottom w:val="none" w:sz="0" w:space="0" w:color="auto"/>
            <w:right w:val="none" w:sz="0" w:space="0" w:color="auto"/>
          </w:divBdr>
        </w:div>
        <w:div w:id="1356615470">
          <w:marLeft w:val="0"/>
          <w:marRight w:val="0"/>
          <w:marTop w:val="0"/>
          <w:marBottom w:val="0"/>
          <w:divBdr>
            <w:top w:val="none" w:sz="0" w:space="0" w:color="auto"/>
            <w:left w:val="none" w:sz="0" w:space="0" w:color="auto"/>
            <w:bottom w:val="none" w:sz="0" w:space="0" w:color="auto"/>
            <w:right w:val="none" w:sz="0" w:space="0" w:color="auto"/>
          </w:divBdr>
        </w:div>
        <w:div w:id="685909580">
          <w:marLeft w:val="0"/>
          <w:marRight w:val="0"/>
          <w:marTop w:val="0"/>
          <w:marBottom w:val="0"/>
          <w:divBdr>
            <w:top w:val="none" w:sz="0" w:space="0" w:color="auto"/>
            <w:left w:val="none" w:sz="0" w:space="0" w:color="auto"/>
            <w:bottom w:val="none" w:sz="0" w:space="0" w:color="auto"/>
            <w:right w:val="none" w:sz="0" w:space="0" w:color="auto"/>
          </w:divBdr>
        </w:div>
        <w:div w:id="1034421791">
          <w:marLeft w:val="0"/>
          <w:marRight w:val="0"/>
          <w:marTop w:val="0"/>
          <w:marBottom w:val="0"/>
          <w:divBdr>
            <w:top w:val="none" w:sz="0" w:space="0" w:color="auto"/>
            <w:left w:val="none" w:sz="0" w:space="0" w:color="auto"/>
            <w:bottom w:val="none" w:sz="0" w:space="0" w:color="auto"/>
            <w:right w:val="none" w:sz="0" w:space="0" w:color="auto"/>
          </w:divBdr>
        </w:div>
        <w:div w:id="1586382447">
          <w:marLeft w:val="0"/>
          <w:marRight w:val="0"/>
          <w:marTop w:val="0"/>
          <w:marBottom w:val="0"/>
          <w:divBdr>
            <w:top w:val="none" w:sz="0" w:space="0" w:color="auto"/>
            <w:left w:val="none" w:sz="0" w:space="0" w:color="auto"/>
            <w:bottom w:val="none" w:sz="0" w:space="0" w:color="auto"/>
            <w:right w:val="none" w:sz="0" w:space="0" w:color="auto"/>
          </w:divBdr>
        </w:div>
        <w:div w:id="484929344">
          <w:marLeft w:val="0"/>
          <w:marRight w:val="0"/>
          <w:marTop w:val="0"/>
          <w:marBottom w:val="0"/>
          <w:divBdr>
            <w:top w:val="none" w:sz="0" w:space="0" w:color="auto"/>
            <w:left w:val="none" w:sz="0" w:space="0" w:color="auto"/>
            <w:bottom w:val="none" w:sz="0" w:space="0" w:color="auto"/>
            <w:right w:val="none" w:sz="0" w:space="0" w:color="auto"/>
          </w:divBdr>
        </w:div>
        <w:div w:id="628164716">
          <w:marLeft w:val="0"/>
          <w:marRight w:val="0"/>
          <w:marTop w:val="0"/>
          <w:marBottom w:val="0"/>
          <w:divBdr>
            <w:top w:val="none" w:sz="0" w:space="0" w:color="auto"/>
            <w:left w:val="none" w:sz="0" w:space="0" w:color="auto"/>
            <w:bottom w:val="none" w:sz="0" w:space="0" w:color="auto"/>
            <w:right w:val="none" w:sz="0" w:space="0" w:color="auto"/>
          </w:divBdr>
        </w:div>
        <w:div w:id="296422423">
          <w:marLeft w:val="0"/>
          <w:marRight w:val="0"/>
          <w:marTop w:val="0"/>
          <w:marBottom w:val="0"/>
          <w:divBdr>
            <w:top w:val="none" w:sz="0" w:space="0" w:color="auto"/>
            <w:left w:val="none" w:sz="0" w:space="0" w:color="auto"/>
            <w:bottom w:val="none" w:sz="0" w:space="0" w:color="auto"/>
            <w:right w:val="none" w:sz="0" w:space="0" w:color="auto"/>
          </w:divBdr>
        </w:div>
        <w:div w:id="1242519840">
          <w:marLeft w:val="0"/>
          <w:marRight w:val="0"/>
          <w:marTop w:val="0"/>
          <w:marBottom w:val="0"/>
          <w:divBdr>
            <w:top w:val="none" w:sz="0" w:space="0" w:color="auto"/>
            <w:left w:val="none" w:sz="0" w:space="0" w:color="auto"/>
            <w:bottom w:val="none" w:sz="0" w:space="0" w:color="auto"/>
            <w:right w:val="none" w:sz="0" w:space="0" w:color="auto"/>
          </w:divBdr>
        </w:div>
        <w:div w:id="1202206894">
          <w:marLeft w:val="0"/>
          <w:marRight w:val="0"/>
          <w:marTop w:val="0"/>
          <w:marBottom w:val="0"/>
          <w:divBdr>
            <w:top w:val="none" w:sz="0" w:space="0" w:color="auto"/>
            <w:left w:val="none" w:sz="0" w:space="0" w:color="auto"/>
            <w:bottom w:val="none" w:sz="0" w:space="0" w:color="auto"/>
            <w:right w:val="none" w:sz="0" w:space="0" w:color="auto"/>
          </w:divBdr>
        </w:div>
        <w:div w:id="52704705">
          <w:marLeft w:val="0"/>
          <w:marRight w:val="0"/>
          <w:marTop w:val="0"/>
          <w:marBottom w:val="0"/>
          <w:divBdr>
            <w:top w:val="none" w:sz="0" w:space="0" w:color="auto"/>
            <w:left w:val="none" w:sz="0" w:space="0" w:color="auto"/>
            <w:bottom w:val="none" w:sz="0" w:space="0" w:color="auto"/>
            <w:right w:val="none" w:sz="0" w:space="0" w:color="auto"/>
          </w:divBdr>
        </w:div>
        <w:div w:id="1004937894">
          <w:marLeft w:val="0"/>
          <w:marRight w:val="0"/>
          <w:marTop w:val="0"/>
          <w:marBottom w:val="0"/>
          <w:divBdr>
            <w:top w:val="none" w:sz="0" w:space="0" w:color="auto"/>
            <w:left w:val="none" w:sz="0" w:space="0" w:color="auto"/>
            <w:bottom w:val="none" w:sz="0" w:space="0" w:color="auto"/>
            <w:right w:val="none" w:sz="0" w:space="0" w:color="auto"/>
          </w:divBdr>
        </w:div>
        <w:div w:id="1410349238">
          <w:marLeft w:val="0"/>
          <w:marRight w:val="0"/>
          <w:marTop w:val="0"/>
          <w:marBottom w:val="0"/>
          <w:divBdr>
            <w:top w:val="none" w:sz="0" w:space="0" w:color="auto"/>
            <w:left w:val="none" w:sz="0" w:space="0" w:color="auto"/>
            <w:bottom w:val="none" w:sz="0" w:space="0" w:color="auto"/>
            <w:right w:val="none" w:sz="0" w:space="0" w:color="auto"/>
          </w:divBdr>
        </w:div>
        <w:div w:id="691805507">
          <w:marLeft w:val="0"/>
          <w:marRight w:val="0"/>
          <w:marTop w:val="0"/>
          <w:marBottom w:val="0"/>
          <w:divBdr>
            <w:top w:val="none" w:sz="0" w:space="0" w:color="auto"/>
            <w:left w:val="none" w:sz="0" w:space="0" w:color="auto"/>
            <w:bottom w:val="none" w:sz="0" w:space="0" w:color="auto"/>
            <w:right w:val="none" w:sz="0" w:space="0" w:color="auto"/>
          </w:divBdr>
        </w:div>
        <w:div w:id="317808660">
          <w:marLeft w:val="0"/>
          <w:marRight w:val="0"/>
          <w:marTop w:val="0"/>
          <w:marBottom w:val="0"/>
          <w:divBdr>
            <w:top w:val="none" w:sz="0" w:space="0" w:color="auto"/>
            <w:left w:val="none" w:sz="0" w:space="0" w:color="auto"/>
            <w:bottom w:val="none" w:sz="0" w:space="0" w:color="auto"/>
            <w:right w:val="none" w:sz="0" w:space="0" w:color="auto"/>
          </w:divBdr>
        </w:div>
        <w:div w:id="133570739">
          <w:marLeft w:val="0"/>
          <w:marRight w:val="0"/>
          <w:marTop w:val="0"/>
          <w:marBottom w:val="0"/>
          <w:divBdr>
            <w:top w:val="none" w:sz="0" w:space="0" w:color="auto"/>
            <w:left w:val="none" w:sz="0" w:space="0" w:color="auto"/>
            <w:bottom w:val="none" w:sz="0" w:space="0" w:color="auto"/>
            <w:right w:val="none" w:sz="0" w:space="0" w:color="auto"/>
          </w:divBdr>
        </w:div>
        <w:div w:id="7021957">
          <w:marLeft w:val="0"/>
          <w:marRight w:val="0"/>
          <w:marTop w:val="0"/>
          <w:marBottom w:val="0"/>
          <w:divBdr>
            <w:top w:val="none" w:sz="0" w:space="0" w:color="auto"/>
            <w:left w:val="none" w:sz="0" w:space="0" w:color="auto"/>
            <w:bottom w:val="none" w:sz="0" w:space="0" w:color="auto"/>
            <w:right w:val="none" w:sz="0" w:space="0" w:color="auto"/>
          </w:divBdr>
        </w:div>
        <w:div w:id="1632442627">
          <w:marLeft w:val="0"/>
          <w:marRight w:val="0"/>
          <w:marTop w:val="0"/>
          <w:marBottom w:val="0"/>
          <w:divBdr>
            <w:top w:val="none" w:sz="0" w:space="0" w:color="auto"/>
            <w:left w:val="none" w:sz="0" w:space="0" w:color="auto"/>
            <w:bottom w:val="none" w:sz="0" w:space="0" w:color="auto"/>
            <w:right w:val="none" w:sz="0" w:space="0" w:color="auto"/>
          </w:divBdr>
        </w:div>
        <w:div w:id="361563784">
          <w:marLeft w:val="0"/>
          <w:marRight w:val="0"/>
          <w:marTop w:val="0"/>
          <w:marBottom w:val="0"/>
          <w:divBdr>
            <w:top w:val="none" w:sz="0" w:space="0" w:color="auto"/>
            <w:left w:val="none" w:sz="0" w:space="0" w:color="auto"/>
            <w:bottom w:val="none" w:sz="0" w:space="0" w:color="auto"/>
            <w:right w:val="none" w:sz="0" w:space="0" w:color="auto"/>
          </w:divBdr>
        </w:div>
        <w:div w:id="467357948">
          <w:marLeft w:val="0"/>
          <w:marRight w:val="0"/>
          <w:marTop w:val="0"/>
          <w:marBottom w:val="0"/>
          <w:divBdr>
            <w:top w:val="none" w:sz="0" w:space="0" w:color="auto"/>
            <w:left w:val="none" w:sz="0" w:space="0" w:color="auto"/>
            <w:bottom w:val="none" w:sz="0" w:space="0" w:color="auto"/>
            <w:right w:val="none" w:sz="0" w:space="0" w:color="auto"/>
          </w:divBdr>
        </w:div>
        <w:div w:id="2046367823">
          <w:marLeft w:val="0"/>
          <w:marRight w:val="0"/>
          <w:marTop w:val="0"/>
          <w:marBottom w:val="0"/>
          <w:divBdr>
            <w:top w:val="none" w:sz="0" w:space="0" w:color="auto"/>
            <w:left w:val="none" w:sz="0" w:space="0" w:color="auto"/>
            <w:bottom w:val="none" w:sz="0" w:space="0" w:color="auto"/>
            <w:right w:val="none" w:sz="0" w:space="0" w:color="auto"/>
          </w:divBdr>
        </w:div>
        <w:div w:id="461659780">
          <w:marLeft w:val="0"/>
          <w:marRight w:val="0"/>
          <w:marTop w:val="0"/>
          <w:marBottom w:val="0"/>
          <w:divBdr>
            <w:top w:val="none" w:sz="0" w:space="0" w:color="auto"/>
            <w:left w:val="none" w:sz="0" w:space="0" w:color="auto"/>
            <w:bottom w:val="none" w:sz="0" w:space="0" w:color="auto"/>
            <w:right w:val="none" w:sz="0" w:space="0" w:color="auto"/>
          </w:divBdr>
        </w:div>
        <w:div w:id="400182160">
          <w:marLeft w:val="0"/>
          <w:marRight w:val="0"/>
          <w:marTop w:val="0"/>
          <w:marBottom w:val="0"/>
          <w:divBdr>
            <w:top w:val="none" w:sz="0" w:space="0" w:color="auto"/>
            <w:left w:val="none" w:sz="0" w:space="0" w:color="auto"/>
            <w:bottom w:val="none" w:sz="0" w:space="0" w:color="auto"/>
            <w:right w:val="none" w:sz="0" w:space="0" w:color="auto"/>
          </w:divBdr>
        </w:div>
        <w:div w:id="1980763210">
          <w:marLeft w:val="0"/>
          <w:marRight w:val="0"/>
          <w:marTop w:val="0"/>
          <w:marBottom w:val="0"/>
          <w:divBdr>
            <w:top w:val="none" w:sz="0" w:space="0" w:color="auto"/>
            <w:left w:val="none" w:sz="0" w:space="0" w:color="auto"/>
            <w:bottom w:val="none" w:sz="0" w:space="0" w:color="auto"/>
            <w:right w:val="none" w:sz="0" w:space="0" w:color="auto"/>
          </w:divBdr>
        </w:div>
        <w:div w:id="1983730943">
          <w:marLeft w:val="0"/>
          <w:marRight w:val="0"/>
          <w:marTop w:val="0"/>
          <w:marBottom w:val="0"/>
          <w:divBdr>
            <w:top w:val="none" w:sz="0" w:space="0" w:color="auto"/>
            <w:left w:val="none" w:sz="0" w:space="0" w:color="auto"/>
            <w:bottom w:val="none" w:sz="0" w:space="0" w:color="auto"/>
            <w:right w:val="none" w:sz="0" w:space="0" w:color="auto"/>
          </w:divBdr>
        </w:div>
        <w:div w:id="1753308278">
          <w:marLeft w:val="0"/>
          <w:marRight w:val="0"/>
          <w:marTop w:val="0"/>
          <w:marBottom w:val="0"/>
          <w:divBdr>
            <w:top w:val="none" w:sz="0" w:space="0" w:color="auto"/>
            <w:left w:val="none" w:sz="0" w:space="0" w:color="auto"/>
            <w:bottom w:val="none" w:sz="0" w:space="0" w:color="auto"/>
            <w:right w:val="none" w:sz="0" w:space="0" w:color="auto"/>
          </w:divBdr>
        </w:div>
        <w:div w:id="807478964">
          <w:marLeft w:val="0"/>
          <w:marRight w:val="0"/>
          <w:marTop w:val="0"/>
          <w:marBottom w:val="0"/>
          <w:divBdr>
            <w:top w:val="none" w:sz="0" w:space="0" w:color="auto"/>
            <w:left w:val="none" w:sz="0" w:space="0" w:color="auto"/>
            <w:bottom w:val="none" w:sz="0" w:space="0" w:color="auto"/>
            <w:right w:val="none" w:sz="0" w:space="0" w:color="auto"/>
          </w:divBdr>
        </w:div>
        <w:div w:id="1274022935">
          <w:marLeft w:val="0"/>
          <w:marRight w:val="0"/>
          <w:marTop w:val="0"/>
          <w:marBottom w:val="0"/>
          <w:divBdr>
            <w:top w:val="none" w:sz="0" w:space="0" w:color="auto"/>
            <w:left w:val="none" w:sz="0" w:space="0" w:color="auto"/>
            <w:bottom w:val="none" w:sz="0" w:space="0" w:color="auto"/>
            <w:right w:val="none" w:sz="0" w:space="0" w:color="auto"/>
          </w:divBdr>
        </w:div>
        <w:div w:id="1719546390">
          <w:marLeft w:val="0"/>
          <w:marRight w:val="0"/>
          <w:marTop w:val="0"/>
          <w:marBottom w:val="0"/>
          <w:divBdr>
            <w:top w:val="none" w:sz="0" w:space="0" w:color="auto"/>
            <w:left w:val="none" w:sz="0" w:space="0" w:color="auto"/>
            <w:bottom w:val="none" w:sz="0" w:space="0" w:color="auto"/>
            <w:right w:val="none" w:sz="0" w:space="0" w:color="auto"/>
          </w:divBdr>
        </w:div>
        <w:div w:id="85804631">
          <w:marLeft w:val="0"/>
          <w:marRight w:val="0"/>
          <w:marTop w:val="0"/>
          <w:marBottom w:val="0"/>
          <w:divBdr>
            <w:top w:val="none" w:sz="0" w:space="0" w:color="auto"/>
            <w:left w:val="none" w:sz="0" w:space="0" w:color="auto"/>
            <w:bottom w:val="none" w:sz="0" w:space="0" w:color="auto"/>
            <w:right w:val="none" w:sz="0" w:space="0" w:color="auto"/>
          </w:divBdr>
        </w:div>
      </w:divsChild>
    </w:div>
    <w:div w:id="571426978">
      <w:bodyDiv w:val="1"/>
      <w:marLeft w:val="0"/>
      <w:marRight w:val="0"/>
      <w:marTop w:val="0"/>
      <w:marBottom w:val="0"/>
      <w:divBdr>
        <w:top w:val="none" w:sz="0" w:space="0" w:color="auto"/>
        <w:left w:val="none" w:sz="0" w:space="0" w:color="auto"/>
        <w:bottom w:val="none" w:sz="0" w:space="0" w:color="auto"/>
        <w:right w:val="none" w:sz="0" w:space="0" w:color="auto"/>
      </w:divBdr>
    </w:div>
    <w:div w:id="572736584">
      <w:bodyDiv w:val="1"/>
      <w:marLeft w:val="0"/>
      <w:marRight w:val="0"/>
      <w:marTop w:val="0"/>
      <w:marBottom w:val="0"/>
      <w:divBdr>
        <w:top w:val="none" w:sz="0" w:space="0" w:color="auto"/>
        <w:left w:val="none" w:sz="0" w:space="0" w:color="auto"/>
        <w:bottom w:val="none" w:sz="0" w:space="0" w:color="auto"/>
        <w:right w:val="none" w:sz="0" w:space="0" w:color="auto"/>
      </w:divBdr>
    </w:div>
    <w:div w:id="576212194">
      <w:bodyDiv w:val="1"/>
      <w:marLeft w:val="0"/>
      <w:marRight w:val="0"/>
      <w:marTop w:val="0"/>
      <w:marBottom w:val="0"/>
      <w:divBdr>
        <w:top w:val="none" w:sz="0" w:space="0" w:color="auto"/>
        <w:left w:val="none" w:sz="0" w:space="0" w:color="auto"/>
        <w:bottom w:val="none" w:sz="0" w:space="0" w:color="auto"/>
        <w:right w:val="none" w:sz="0" w:space="0" w:color="auto"/>
      </w:divBdr>
    </w:div>
    <w:div w:id="577784851">
      <w:bodyDiv w:val="1"/>
      <w:marLeft w:val="0"/>
      <w:marRight w:val="0"/>
      <w:marTop w:val="0"/>
      <w:marBottom w:val="0"/>
      <w:divBdr>
        <w:top w:val="none" w:sz="0" w:space="0" w:color="auto"/>
        <w:left w:val="none" w:sz="0" w:space="0" w:color="auto"/>
        <w:bottom w:val="none" w:sz="0" w:space="0" w:color="auto"/>
        <w:right w:val="none" w:sz="0" w:space="0" w:color="auto"/>
      </w:divBdr>
    </w:div>
    <w:div w:id="583420039">
      <w:bodyDiv w:val="1"/>
      <w:marLeft w:val="0"/>
      <w:marRight w:val="0"/>
      <w:marTop w:val="0"/>
      <w:marBottom w:val="0"/>
      <w:divBdr>
        <w:top w:val="none" w:sz="0" w:space="0" w:color="auto"/>
        <w:left w:val="none" w:sz="0" w:space="0" w:color="auto"/>
        <w:bottom w:val="none" w:sz="0" w:space="0" w:color="auto"/>
        <w:right w:val="none" w:sz="0" w:space="0" w:color="auto"/>
      </w:divBdr>
    </w:div>
    <w:div w:id="585268493">
      <w:bodyDiv w:val="1"/>
      <w:marLeft w:val="0"/>
      <w:marRight w:val="0"/>
      <w:marTop w:val="0"/>
      <w:marBottom w:val="0"/>
      <w:divBdr>
        <w:top w:val="none" w:sz="0" w:space="0" w:color="auto"/>
        <w:left w:val="none" w:sz="0" w:space="0" w:color="auto"/>
        <w:bottom w:val="none" w:sz="0" w:space="0" w:color="auto"/>
        <w:right w:val="none" w:sz="0" w:space="0" w:color="auto"/>
      </w:divBdr>
    </w:div>
    <w:div w:id="587345004">
      <w:bodyDiv w:val="1"/>
      <w:marLeft w:val="0"/>
      <w:marRight w:val="0"/>
      <w:marTop w:val="0"/>
      <w:marBottom w:val="0"/>
      <w:divBdr>
        <w:top w:val="none" w:sz="0" w:space="0" w:color="auto"/>
        <w:left w:val="none" w:sz="0" w:space="0" w:color="auto"/>
        <w:bottom w:val="none" w:sz="0" w:space="0" w:color="auto"/>
        <w:right w:val="none" w:sz="0" w:space="0" w:color="auto"/>
      </w:divBdr>
    </w:div>
    <w:div w:id="592278217">
      <w:bodyDiv w:val="1"/>
      <w:marLeft w:val="0"/>
      <w:marRight w:val="0"/>
      <w:marTop w:val="0"/>
      <w:marBottom w:val="0"/>
      <w:divBdr>
        <w:top w:val="none" w:sz="0" w:space="0" w:color="auto"/>
        <w:left w:val="none" w:sz="0" w:space="0" w:color="auto"/>
        <w:bottom w:val="none" w:sz="0" w:space="0" w:color="auto"/>
        <w:right w:val="none" w:sz="0" w:space="0" w:color="auto"/>
      </w:divBdr>
    </w:div>
    <w:div w:id="594898876">
      <w:bodyDiv w:val="1"/>
      <w:marLeft w:val="0"/>
      <w:marRight w:val="0"/>
      <w:marTop w:val="0"/>
      <w:marBottom w:val="0"/>
      <w:divBdr>
        <w:top w:val="none" w:sz="0" w:space="0" w:color="auto"/>
        <w:left w:val="none" w:sz="0" w:space="0" w:color="auto"/>
        <w:bottom w:val="none" w:sz="0" w:space="0" w:color="auto"/>
        <w:right w:val="none" w:sz="0" w:space="0" w:color="auto"/>
      </w:divBdr>
    </w:div>
    <w:div w:id="596981988">
      <w:bodyDiv w:val="1"/>
      <w:marLeft w:val="0"/>
      <w:marRight w:val="0"/>
      <w:marTop w:val="0"/>
      <w:marBottom w:val="0"/>
      <w:divBdr>
        <w:top w:val="none" w:sz="0" w:space="0" w:color="auto"/>
        <w:left w:val="none" w:sz="0" w:space="0" w:color="auto"/>
        <w:bottom w:val="none" w:sz="0" w:space="0" w:color="auto"/>
        <w:right w:val="none" w:sz="0" w:space="0" w:color="auto"/>
      </w:divBdr>
    </w:div>
    <w:div w:id="598217050">
      <w:bodyDiv w:val="1"/>
      <w:marLeft w:val="0"/>
      <w:marRight w:val="0"/>
      <w:marTop w:val="0"/>
      <w:marBottom w:val="0"/>
      <w:divBdr>
        <w:top w:val="none" w:sz="0" w:space="0" w:color="auto"/>
        <w:left w:val="none" w:sz="0" w:space="0" w:color="auto"/>
        <w:bottom w:val="none" w:sz="0" w:space="0" w:color="auto"/>
        <w:right w:val="none" w:sz="0" w:space="0" w:color="auto"/>
      </w:divBdr>
    </w:div>
    <w:div w:id="607396017">
      <w:bodyDiv w:val="1"/>
      <w:marLeft w:val="0"/>
      <w:marRight w:val="0"/>
      <w:marTop w:val="0"/>
      <w:marBottom w:val="0"/>
      <w:divBdr>
        <w:top w:val="none" w:sz="0" w:space="0" w:color="auto"/>
        <w:left w:val="none" w:sz="0" w:space="0" w:color="auto"/>
        <w:bottom w:val="none" w:sz="0" w:space="0" w:color="auto"/>
        <w:right w:val="none" w:sz="0" w:space="0" w:color="auto"/>
      </w:divBdr>
    </w:div>
    <w:div w:id="611549143">
      <w:bodyDiv w:val="1"/>
      <w:marLeft w:val="0"/>
      <w:marRight w:val="0"/>
      <w:marTop w:val="0"/>
      <w:marBottom w:val="0"/>
      <w:divBdr>
        <w:top w:val="none" w:sz="0" w:space="0" w:color="auto"/>
        <w:left w:val="none" w:sz="0" w:space="0" w:color="auto"/>
        <w:bottom w:val="none" w:sz="0" w:space="0" w:color="auto"/>
        <w:right w:val="none" w:sz="0" w:space="0" w:color="auto"/>
      </w:divBdr>
    </w:div>
    <w:div w:id="613634601">
      <w:bodyDiv w:val="1"/>
      <w:marLeft w:val="0"/>
      <w:marRight w:val="0"/>
      <w:marTop w:val="0"/>
      <w:marBottom w:val="0"/>
      <w:divBdr>
        <w:top w:val="none" w:sz="0" w:space="0" w:color="auto"/>
        <w:left w:val="none" w:sz="0" w:space="0" w:color="auto"/>
        <w:bottom w:val="none" w:sz="0" w:space="0" w:color="auto"/>
        <w:right w:val="none" w:sz="0" w:space="0" w:color="auto"/>
      </w:divBdr>
    </w:div>
    <w:div w:id="614017421">
      <w:bodyDiv w:val="1"/>
      <w:marLeft w:val="0"/>
      <w:marRight w:val="0"/>
      <w:marTop w:val="0"/>
      <w:marBottom w:val="0"/>
      <w:divBdr>
        <w:top w:val="none" w:sz="0" w:space="0" w:color="auto"/>
        <w:left w:val="none" w:sz="0" w:space="0" w:color="auto"/>
        <w:bottom w:val="none" w:sz="0" w:space="0" w:color="auto"/>
        <w:right w:val="none" w:sz="0" w:space="0" w:color="auto"/>
      </w:divBdr>
    </w:div>
    <w:div w:id="615448930">
      <w:bodyDiv w:val="1"/>
      <w:marLeft w:val="0"/>
      <w:marRight w:val="0"/>
      <w:marTop w:val="0"/>
      <w:marBottom w:val="0"/>
      <w:divBdr>
        <w:top w:val="none" w:sz="0" w:space="0" w:color="auto"/>
        <w:left w:val="none" w:sz="0" w:space="0" w:color="auto"/>
        <w:bottom w:val="none" w:sz="0" w:space="0" w:color="auto"/>
        <w:right w:val="none" w:sz="0" w:space="0" w:color="auto"/>
      </w:divBdr>
    </w:div>
    <w:div w:id="616764957">
      <w:bodyDiv w:val="1"/>
      <w:marLeft w:val="0"/>
      <w:marRight w:val="0"/>
      <w:marTop w:val="0"/>
      <w:marBottom w:val="0"/>
      <w:divBdr>
        <w:top w:val="none" w:sz="0" w:space="0" w:color="auto"/>
        <w:left w:val="none" w:sz="0" w:space="0" w:color="auto"/>
        <w:bottom w:val="none" w:sz="0" w:space="0" w:color="auto"/>
        <w:right w:val="none" w:sz="0" w:space="0" w:color="auto"/>
      </w:divBdr>
    </w:div>
    <w:div w:id="618948781">
      <w:bodyDiv w:val="1"/>
      <w:marLeft w:val="0"/>
      <w:marRight w:val="0"/>
      <w:marTop w:val="0"/>
      <w:marBottom w:val="0"/>
      <w:divBdr>
        <w:top w:val="none" w:sz="0" w:space="0" w:color="auto"/>
        <w:left w:val="none" w:sz="0" w:space="0" w:color="auto"/>
        <w:bottom w:val="none" w:sz="0" w:space="0" w:color="auto"/>
        <w:right w:val="none" w:sz="0" w:space="0" w:color="auto"/>
      </w:divBdr>
      <w:divsChild>
        <w:div w:id="460004172">
          <w:marLeft w:val="-225"/>
          <w:marRight w:val="-225"/>
          <w:marTop w:val="0"/>
          <w:marBottom w:val="0"/>
          <w:divBdr>
            <w:top w:val="none" w:sz="0" w:space="0" w:color="auto"/>
            <w:left w:val="none" w:sz="0" w:space="0" w:color="auto"/>
            <w:bottom w:val="none" w:sz="0" w:space="0" w:color="auto"/>
            <w:right w:val="none" w:sz="0" w:space="0" w:color="auto"/>
          </w:divBdr>
        </w:div>
        <w:div w:id="777527688">
          <w:marLeft w:val="-225"/>
          <w:marRight w:val="-225"/>
          <w:marTop w:val="0"/>
          <w:marBottom w:val="0"/>
          <w:divBdr>
            <w:top w:val="none" w:sz="0" w:space="0" w:color="auto"/>
            <w:left w:val="none" w:sz="0" w:space="0" w:color="auto"/>
            <w:bottom w:val="none" w:sz="0" w:space="0" w:color="auto"/>
            <w:right w:val="none" w:sz="0" w:space="0" w:color="auto"/>
          </w:divBdr>
        </w:div>
        <w:div w:id="1092162933">
          <w:marLeft w:val="-225"/>
          <w:marRight w:val="-225"/>
          <w:marTop w:val="0"/>
          <w:marBottom w:val="0"/>
          <w:divBdr>
            <w:top w:val="none" w:sz="0" w:space="0" w:color="auto"/>
            <w:left w:val="none" w:sz="0" w:space="0" w:color="auto"/>
            <w:bottom w:val="none" w:sz="0" w:space="0" w:color="auto"/>
            <w:right w:val="none" w:sz="0" w:space="0" w:color="auto"/>
          </w:divBdr>
        </w:div>
        <w:div w:id="1678576798">
          <w:marLeft w:val="-225"/>
          <w:marRight w:val="-225"/>
          <w:marTop w:val="0"/>
          <w:marBottom w:val="0"/>
          <w:divBdr>
            <w:top w:val="none" w:sz="0" w:space="0" w:color="auto"/>
            <w:left w:val="none" w:sz="0" w:space="0" w:color="auto"/>
            <w:bottom w:val="none" w:sz="0" w:space="0" w:color="auto"/>
            <w:right w:val="none" w:sz="0" w:space="0" w:color="auto"/>
          </w:divBdr>
        </w:div>
      </w:divsChild>
    </w:div>
    <w:div w:id="619800606">
      <w:bodyDiv w:val="1"/>
      <w:marLeft w:val="0"/>
      <w:marRight w:val="0"/>
      <w:marTop w:val="0"/>
      <w:marBottom w:val="0"/>
      <w:divBdr>
        <w:top w:val="none" w:sz="0" w:space="0" w:color="auto"/>
        <w:left w:val="none" w:sz="0" w:space="0" w:color="auto"/>
        <w:bottom w:val="none" w:sz="0" w:space="0" w:color="auto"/>
        <w:right w:val="none" w:sz="0" w:space="0" w:color="auto"/>
      </w:divBdr>
    </w:div>
    <w:div w:id="625887345">
      <w:bodyDiv w:val="1"/>
      <w:marLeft w:val="0"/>
      <w:marRight w:val="0"/>
      <w:marTop w:val="0"/>
      <w:marBottom w:val="0"/>
      <w:divBdr>
        <w:top w:val="none" w:sz="0" w:space="0" w:color="auto"/>
        <w:left w:val="none" w:sz="0" w:space="0" w:color="auto"/>
        <w:bottom w:val="none" w:sz="0" w:space="0" w:color="auto"/>
        <w:right w:val="none" w:sz="0" w:space="0" w:color="auto"/>
      </w:divBdr>
    </w:div>
    <w:div w:id="626930443">
      <w:bodyDiv w:val="1"/>
      <w:marLeft w:val="0"/>
      <w:marRight w:val="0"/>
      <w:marTop w:val="0"/>
      <w:marBottom w:val="0"/>
      <w:divBdr>
        <w:top w:val="none" w:sz="0" w:space="0" w:color="auto"/>
        <w:left w:val="none" w:sz="0" w:space="0" w:color="auto"/>
        <w:bottom w:val="none" w:sz="0" w:space="0" w:color="auto"/>
        <w:right w:val="none" w:sz="0" w:space="0" w:color="auto"/>
      </w:divBdr>
    </w:div>
    <w:div w:id="630523191">
      <w:bodyDiv w:val="1"/>
      <w:marLeft w:val="0"/>
      <w:marRight w:val="0"/>
      <w:marTop w:val="0"/>
      <w:marBottom w:val="0"/>
      <w:divBdr>
        <w:top w:val="none" w:sz="0" w:space="0" w:color="auto"/>
        <w:left w:val="none" w:sz="0" w:space="0" w:color="auto"/>
        <w:bottom w:val="none" w:sz="0" w:space="0" w:color="auto"/>
        <w:right w:val="none" w:sz="0" w:space="0" w:color="auto"/>
      </w:divBdr>
    </w:div>
    <w:div w:id="641076436">
      <w:bodyDiv w:val="1"/>
      <w:marLeft w:val="0"/>
      <w:marRight w:val="0"/>
      <w:marTop w:val="0"/>
      <w:marBottom w:val="0"/>
      <w:divBdr>
        <w:top w:val="none" w:sz="0" w:space="0" w:color="auto"/>
        <w:left w:val="none" w:sz="0" w:space="0" w:color="auto"/>
        <w:bottom w:val="none" w:sz="0" w:space="0" w:color="auto"/>
        <w:right w:val="none" w:sz="0" w:space="0" w:color="auto"/>
      </w:divBdr>
    </w:div>
    <w:div w:id="641736129">
      <w:bodyDiv w:val="1"/>
      <w:marLeft w:val="0"/>
      <w:marRight w:val="0"/>
      <w:marTop w:val="0"/>
      <w:marBottom w:val="0"/>
      <w:divBdr>
        <w:top w:val="none" w:sz="0" w:space="0" w:color="auto"/>
        <w:left w:val="none" w:sz="0" w:space="0" w:color="auto"/>
        <w:bottom w:val="none" w:sz="0" w:space="0" w:color="auto"/>
        <w:right w:val="none" w:sz="0" w:space="0" w:color="auto"/>
      </w:divBdr>
    </w:div>
    <w:div w:id="658776122">
      <w:bodyDiv w:val="1"/>
      <w:marLeft w:val="0"/>
      <w:marRight w:val="0"/>
      <w:marTop w:val="0"/>
      <w:marBottom w:val="0"/>
      <w:divBdr>
        <w:top w:val="none" w:sz="0" w:space="0" w:color="auto"/>
        <w:left w:val="none" w:sz="0" w:space="0" w:color="auto"/>
        <w:bottom w:val="none" w:sz="0" w:space="0" w:color="auto"/>
        <w:right w:val="none" w:sz="0" w:space="0" w:color="auto"/>
      </w:divBdr>
    </w:div>
    <w:div w:id="659116460">
      <w:bodyDiv w:val="1"/>
      <w:marLeft w:val="0"/>
      <w:marRight w:val="0"/>
      <w:marTop w:val="0"/>
      <w:marBottom w:val="0"/>
      <w:divBdr>
        <w:top w:val="none" w:sz="0" w:space="0" w:color="auto"/>
        <w:left w:val="none" w:sz="0" w:space="0" w:color="auto"/>
        <w:bottom w:val="none" w:sz="0" w:space="0" w:color="auto"/>
        <w:right w:val="none" w:sz="0" w:space="0" w:color="auto"/>
      </w:divBdr>
    </w:div>
    <w:div w:id="661158310">
      <w:bodyDiv w:val="1"/>
      <w:marLeft w:val="0"/>
      <w:marRight w:val="0"/>
      <w:marTop w:val="0"/>
      <w:marBottom w:val="0"/>
      <w:divBdr>
        <w:top w:val="none" w:sz="0" w:space="0" w:color="auto"/>
        <w:left w:val="none" w:sz="0" w:space="0" w:color="auto"/>
        <w:bottom w:val="none" w:sz="0" w:space="0" w:color="auto"/>
        <w:right w:val="none" w:sz="0" w:space="0" w:color="auto"/>
      </w:divBdr>
      <w:divsChild>
        <w:div w:id="596671044">
          <w:marLeft w:val="-225"/>
          <w:marRight w:val="-225"/>
          <w:marTop w:val="0"/>
          <w:marBottom w:val="0"/>
          <w:divBdr>
            <w:top w:val="none" w:sz="0" w:space="0" w:color="auto"/>
            <w:left w:val="none" w:sz="0" w:space="0" w:color="auto"/>
            <w:bottom w:val="none" w:sz="0" w:space="0" w:color="auto"/>
            <w:right w:val="none" w:sz="0" w:space="0" w:color="auto"/>
          </w:divBdr>
        </w:div>
        <w:div w:id="1505165473">
          <w:marLeft w:val="-225"/>
          <w:marRight w:val="-225"/>
          <w:marTop w:val="0"/>
          <w:marBottom w:val="0"/>
          <w:divBdr>
            <w:top w:val="none" w:sz="0" w:space="0" w:color="auto"/>
            <w:left w:val="none" w:sz="0" w:space="0" w:color="auto"/>
            <w:bottom w:val="none" w:sz="0" w:space="0" w:color="auto"/>
            <w:right w:val="none" w:sz="0" w:space="0" w:color="auto"/>
          </w:divBdr>
        </w:div>
      </w:divsChild>
    </w:div>
    <w:div w:id="661395380">
      <w:bodyDiv w:val="1"/>
      <w:marLeft w:val="0"/>
      <w:marRight w:val="0"/>
      <w:marTop w:val="0"/>
      <w:marBottom w:val="0"/>
      <w:divBdr>
        <w:top w:val="none" w:sz="0" w:space="0" w:color="auto"/>
        <w:left w:val="none" w:sz="0" w:space="0" w:color="auto"/>
        <w:bottom w:val="none" w:sz="0" w:space="0" w:color="auto"/>
        <w:right w:val="none" w:sz="0" w:space="0" w:color="auto"/>
      </w:divBdr>
    </w:div>
    <w:div w:id="662858537">
      <w:bodyDiv w:val="1"/>
      <w:marLeft w:val="0"/>
      <w:marRight w:val="0"/>
      <w:marTop w:val="0"/>
      <w:marBottom w:val="0"/>
      <w:divBdr>
        <w:top w:val="none" w:sz="0" w:space="0" w:color="auto"/>
        <w:left w:val="none" w:sz="0" w:space="0" w:color="auto"/>
        <w:bottom w:val="none" w:sz="0" w:space="0" w:color="auto"/>
        <w:right w:val="none" w:sz="0" w:space="0" w:color="auto"/>
      </w:divBdr>
      <w:divsChild>
        <w:div w:id="305281126">
          <w:marLeft w:val="-225"/>
          <w:marRight w:val="-225"/>
          <w:marTop w:val="0"/>
          <w:marBottom w:val="0"/>
          <w:divBdr>
            <w:top w:val="none" w:sz="0" w:space="0" w:color="auto"/>
            <w:left w:val="none" w:sz="0" w:space="0" w:color="auto"/>
            <w:bottom w:val="none" w:sz="0" w:space="0" w:color="auto"/>
            <w:right w:val="none" w:sz="0" w:space="0" w:color="auto"/>
          </w:divBdr>
        </w:div>
        <w:div w:id="503975293">
          <w:marLeft w:val="-225"/>
          <w:marRight w:val="-225"/>
          <w:marTop w:val="0"/>
          <w:marBottom w:val="0"/>
          <w:divBdr>
            <w:top w:val="none" w:sz="0" w:space="0" w:color="auto"/>
            <w:left w:val="none" w:sz="0" w:space="0" w:color="auto"/>
            <w:bottom w:val="none" w:sz="0" w:space="0" w:color="auto"/>
            <w:right w:val="none" w:sz="0" w:space="0" w:color="auto"/>
          </w:divBdr>
        </w:div>
      </w:divsChild>
    </w:div>
    <w:div w:id="669407331">
      <w:bodyDiv w:val="1"/>
      <w:marLeft w:val="0"/>
      <w:marRight w:val="0"/>
      <w:marTop w:val="0"/>
      <w:marBottom w:val="0"/>
      <w:divBdr>
        <w:top w:val="none" w:sz="0" w:space="0" w:color="auto"/>
        <w:left w:val="none" w:sz="0" w:space="0" w:color="auto"/>
        <w:bottom w:val="none" w:sz="0" w:space="0" w:color="auto"/>
        <w:right w:val="none" w:sz="0" w:space="0" w:color="auto"/>
      </w:divBdr>
    </w:div>
    <w:div w:id="684018726">
      <w:bodyDiv w:val="1"/>
      <w:marLeft w:val="0"/>
      <w:marRight w:val="0"/>
      <w:marTop w:val="0"/>
      <w:marBottom w:val="0"/>
      <w:divBdr>
        <w:top w:val="none" w:sz="0" w:space="0" w:color="auto"/>
        <w:left w:val="none" w:sz="0" w:space="0" w:color="auto"/>
        <w:bottom w:val="none" w:sz="0" w:space="0" w:color="auto"/>
        <w:right w:val="none" w:sz="0" w:space="0" w:color="auto"/>
      </w:divBdr>
    </w:div>
    <w:div w:id="685013090">
      <w:bodyDiv w:val="1"/>
      <w:marLeft w:val="0"/>
      <w:marRight w:val="0"/>
      <w:marTop w:val="0"/>
      <w:marBottom w:val="0"/>
      <w:divBdr>
        <w:top w:val="none" w:sz="0" w:space="0" w:color="auto"/>
        <w:left w:val="none" w:sz="0" w:space="0" w:color="auto"/>
        <w:bottom w:val="none" w:sz="0" w:space="0" w:color="auto"/>
        <w:right w:val="none" w:sz="0" w:space="0" w:color="auto"/>
      </w:divBdr>
    </w:div>
    <w:div w:id="688289336">
      <w:bodyDiv w:val="1"/>
      <w:marLeft w:val="0"/>
      <w:marRight w:val="0"/>
      <w:marTop w:val="0"/>
      <w:marBottom w:val="0"/>
      <w:divBdr>
        <w:top w:val="none" w:sz="0" w:space="0" w:color="auto"/>
        <w:left w:val="none" w:sz="0" w:space="0" w:color="auto"/>
        <w:bottom w:val="none" w:sz="0" w:space="0" w:color="auto"/>
        <w:right w:val="none" w:sz="0" w:space="0" w:color="auto"/>
      </w:divBdr>
    </w:div>
    <w:div w:id="696080456">
      <w:bodyDiv w:val="1"/>
      <w:marLeft w:val="0"/>
      <w:marRight w:val="0"/>
      <w:marTop w:val="0"/>
      <w:marBottom w:val="0"/>
      <w:divBdr>
        <w:top w:val="none" w:sz="0" w:space="0" w:color="auto"/>
        <w:left w:val="none" w:sz="0" w:space="0" w:color="auto"/>
        <w:bottom w:val="none" w:sz="0" w:space="0" w:color="auto"/>
        <w:right w:val="none" w:sz="0" w:space="0" w:color="auto"/>
      </w:divBdr>
    </w:div>
    <w:div w:id="699890105">
      <w:bodyDiv w:val="1"/>
      <w:marLeft w:val="0"/>
      <w:marRight w:val="0"/>
      <w:marTop w:val="0"/>
      <w:marBottom w:val="0"/>
      <w:divBdr>
        <w:top w:val="none" w:sz="0" w:space="0" w:color="auto"/>
        <w:left w:val="none" w:sz="0" w:space="0" w:color="auto"/>
        <w:bottom w:val="none" w:sz="0" w:space="0" w:color="auto"/>
        <w:right w:val="none" w:sz="0" w:space="0" w:color="auto"/>
      </w:divBdr>
    </w:div>
    <w:div w:id="703209924">
      <w:bodyDiv w:val="1"/>
      <w:marLeft w:val="0"/>
      <w:marRight w:val="0"/>
      <w:marTop w:val="0"/>
      <w:marBottom w:val="0"/>
      <w:divBdr>
        <w:top w:val="none" w:sz="0" w:space="0" w:color="auto"/>
        <w:left w:val="none" w:sz="0" w:space="0" w:color="auto"/>
        <w:bottom w:val="none" w:sz="0" w:space="0" w:color="auto"/>
        <w:right w:val="none" w:sz="0" w:space="0" w:color="auto"/>
      </w:divBdr>
    </w:div>
    <w:div w:id="703478015">
      <w:bodyDiv w:val="1"/>
      <w:marLeft w:val="0"/>
      <w:marRight w:val="0"/>
      <w:marTop w:val="0"/>
      <w:marBottom w:val="0"/>
      <w:divBdr>
        <w:top w:val="none" w:sz="0" w:space="0" w:color="auto"/>
        <w:left w:val="none" w:sz="0" w:space="0" w:color="auto"/>
        <w:bottom w:val="none" w:sz="0" w:space="0" w:color="auto"/>
        <w:right w:val="none" w:sz="0" w:space="0" w:color="auto"/>
      </w:divBdr>
      <w:divsChild>
        <w:div w:id="9844506">
          <w:marLeft w:val="0"/>
          <w:marRight w:val="0"/>
          <w:marTop w:val="0"/>
          <w:marBottom w:val="0"/>
          <w:divBdr>
            <w:top w:val="none" w:sz="0" w:space="0" w:color="auto"/>
            <w:left w:val="none" w:sz="0" w:space="0" w:color="auto"/>
            <w:bottom w:val="none" w:sz="0" w:space="0" w:color="auto"/>
            <w:right w:val="none" w:sz="0" w:space="0" w:color="auto"/>
          </w:divBdr>
        </w:div>
        <w:div w:id="62608648">
          <w:marLeft w:val="0"/>
          <w:marRight w:val="0"/>
          <w:marTop w:val="0"/>
          <w:marBottom w:val="0"/>
          <w:divBdr>
            <w:top w:val="none" w:sz="0" w:space="0" w:color="auto"/>
            <w:left w:val="none" w:sz="0" w:space="0" w:color="auto"/>
            <w:bottom w:val="none" w:sz="0" w:space="0" w:color="auto"/>
            <w:right w:val="none" w:sz="0" w:space="0" w:color="auto"/>
          </w:divBdr>
        </w:div>
        <w:div w:id="83770076">
          <w:marLeft w:val="0"/>
          <w:marRight w:val="0"/>
          <w:marTop w:val="0"/>
          <w:marBottom w:val="0"/>
          <w:divBdr>
            <w:top w:val="none" w:sz="0" w:space="0" w:color="auto"/>
            <w:left w:val="none" w:sz="0" w:space="0" w:color="auto"/>
            <w:bottom w:val="none" w:sz="0" w:space="0" w:color="auto"/>
            <w:right w:val="none" w:sz="0" w:space="0" w:color="auto"/>
          </w:divBdr>
        </w:div>
        <w:div w:id="106581605">
          <w:marLeft w:val="0"/>
          <w:marRight w:val="0"/>
          <w:marTop w:val="0"/>
          <w:marBottom w:val="0"/>
          <w:divBdr>
            <w:top w:val="none" w:sz="0" w:space="0" w:color="auto"/>
            <w:left w:val="none" w:sz="0" w:space="0" w:color="auto"/>
            <w:bottom w:val="none" w:sz="0" w:space="0" w:color="auto"/>
            <w:right w:val="none" w:sz="0" w:space="0" w:color="auto"/>
          </w:divBdr>
        </w:div>
        <w:div w:id="210119974">
          <w:marLeft w:val="0"/>
          <w:marRight w:val="0"/>
          <w:marTop w:val="0"/>
          <w:marBottom w:val="0"/>
          <w:divBdr>
            <w:top w:val="none" w:sz="0" w:space="0" w:color="auto"/>
            <w:left w:val="none" w:sz="0" w:space="0" w:color="auto"/>
            <w:bottom w:val="none" w:sz="0" w:space="0" w:color="auto"/>
            <w:right w:val="none" w:sz="0" w:space="0" w:color="auto"/>
          </w:divBdr>
        </w:div>
        <w:div w:id="226958863">
          <w:marLeft w:val="0"/>
          <w:marRight w:val="0"/>
          <w:marTop w:val="0"/>
          <w:marBottom w:val="0"/>
          <w:divBdr>
            <w:top w:val="none" w:sz="0" w:space="0" w:color="auto"/>
            <w:left w:val="none" w:sz="0" w:space="0" w:color="auto"/>
            <w:bottom w:val="none" w:sz="0" w:space="0" w:color="auto"/>
            <w:right w:val="none" w:sz="0" w:space="0" w:color="auto"/>
          </w:divBdr>
        </w:div>
        <w:div w:id="259140040">
          <w:marLeft w:val="0"/>
          <w:marRight w:val="0"/>
          <w:marTop w:val="0"/>
          <w:marBottom w:val="0"/>
          <w:divBdr>
            <w:top w:val="none" w:sz="0" w:space="0" w:color="auto"/>
            <w:left w:val="none" w:sz="0" w:space="0" w:color="auto"/>
            <w:bottom w:val="none" w:sz="0" w:space="0" w:color="auto"/>
            <w:right w:val="none" w:sz="0" w:space="0" w:color="auto"/>
          </w:divBdr>
        </w:div>
        <w:div w:id="262307602">
          <w:marLeft w:val="0"/>
          <w:marRight w:val="0"/>
          <w:marTop w:val="0"/>
          <w:marBottom w:val="0"/>
          <w:divBdr>
            <w:top w:val="none" w:sz="0" w:space="0" w:color="auto"/>
            <w:left w:val="none" w:sz="0" w:space="0" w:color="auto"/>
            <w:bottom w:val="none" w:sz="0" w:space="0" w:color="auto"/>
            <w:right w:val="none" w:sz="0" w:space="0" w:color="auto"/>
          </w:divBdr>
        </w:div>
        <w:div w:id="372265861">
          <w:marLeft w:val="0"/>
          <w:marRight w:val="0"/>
          <w:marTop w:val="0"/>
          <w:marBottom w:val="0"/>
          <w:divBdr>
            <w:top w:val="none" w:sz="0" w:space="0" w:color="auto"/>
            <w:left w:val="none" w:sz="0" w:space="0" w:color="auto"/>
            <w:bottom w:val="none" w:sz="0" w:space="0" w:color="auto"/>
            <w:right w:val="none" w:sz="0" w:space="0" w:color="auto"/>
          </w:divBdr>
        </w:div>
        <w:div w:id="373121587">
          <w:marLeft w:val="0"/>
          <w:marRight w:val="0"/>
          <w:marTop w:val="0"/>
          <w:marBottom w:val="0"/>
          <w:divBdr>
            <w:top w:val="none" w:sz="0" w:space="0" w:color="auto"/>
            <w:left w:val="none" w:sz="0" w:space="0" w:color="auto"/>
            <w:bottom w:val="none" w:sz="0" w:space="0" w:color="auto"/>
            <w:right w:val="none" w:sz="0" w:space="0" w:color="auto"/>
          </w:divBdr>
        </w:div>
        <w:div w:id="381056226">
          <w:marLeft w:val="0"/>
          <w:marRight w:val="0"/>
          <w:marTop w:val="0"/>
          <w:marBottom w:val="0"/>
          <w:divBdr>
            <w:top w:val="none" w:sz="0" w:space="0" w:color="auto"/>
            <w:left w:val="none" w:sz="0" w:space="0" w:color="auto"/>
            <w:bottom w:val="none" w:sz="0" w:space="0" w:color="auto"/>
            <w:right w:val="none" w:sz="0" w:space="0" w:color="auto"/>
          </w:divBdr>
        </w:div>
        <w:div w:id="386103910">
          <w:marLeft w:val="0"/>
          <w:marRight w:val="0"/>
          <w:marTop w:val="0"/>
          <w:marBottom w:val="0"/>
          <w:divBdr>
            <w:top w:val="none" w:sz="0" w:space="0" w:color="auto"/>
            <w:left w:val="none" w:sz="0" w:space="0" w:color="auto"/>
            <w:bottom w:val="none" w:sz="0" w:space="0" w:color="auto"/>
            <w:right w:val="none" w:sz="0" w:space="0" w:color="auto"/>
          </w:divBdr>
        </w:div>
        <w:div w:id="430786990">
          <w:marLeft w:val="0"/>
          <w:marRight w:val="0"/>
          <w:marTop w:val="0"/>
          <w:marBottom w:val="0"/>
          <w:divBdr>
            <w:top w:val="none" w:sz="0" w:space="0" w:color="auto"/>
            <w:left w:val="none" w:sz="0" w:space="0" w:color="auto"/>
            <w:bottom w:val="none" w:sz="0" w:space="0" w:color="auto"/>
            <w:right w:val="none" w:sz="0" w:space="0" w:color="auto"/>
          </w:divBdr>
        </w:div>
        <w:div w:id="443427622">
          <w:marLeft w:val="0"/>
          <w:marRight w:val="0"/>
          <w:marTop w:val="0"/>
          <w:marBottom w:val="0"/>
          <w:divBdr>
            <w:top w:val="none" w:sz="0" w:space="0" w:color="auto"/>
            <w:left w:val="none" w:sz="0" w:space="0" w:color="auto"/>
            <w:bottom w:val="none" w:sz="0" w:space="0" w:color="auto"/>
            <w:right w:val="none" w:sz="0" w:space="0" w:color="auto"/>
          </w:divBdr>
        </w:div>
        <w:div w:id="457602025">
          <w:marLeft w:val="0"/>
          <w:marRight w:val="0"/>
          <w:marTop w:val="0"/>
          <w:marBottom w:val="0"/>
          <w:divBdr>
            <w:top w:val="none" w:sz="0" w:space="0" w:color="auto"/>
            <w:left w:val="none" w:sz="0" w:space="0" w:color="auto"/>
            <w:bottom w:val="none" w:sz="0" w:space="0" w:color="auto"/>
            <w:right w:val="none" w:sz="0" w:space="0" w:color="auto"/>
          </w:divBdr>
        </w:div>
        <w:div w:id="480073938">
          <w:marLeft w:val="0"/>
          <w:marRight w:val="0"/>
          <w:marTop w:val="0"/>
          <w:marBottom w:val="0"/>
          <w:divBdr>
            <w:top w:val="none" w:sz="0" w:space="0" w:color="auto"/>
            <w:left w:val="none" w:sz="0" w:space="0" w:color="auto"/>
            <w:bottom w:val="none" w:sz="0" w:space="0" w:color="auto"/>
            <w:right w:val="none" w:sz="0" w:space="0" w:color="auto"/>
          </w:divBdr>
        </w:div>
        <w:div w:id="537744424">
          <w:marLeft w:val="0"/>
          <w:marRight w:val="0"/>
          <w:marTop w:val="0"/>
          <w:marBottom w:val="0"/>
          <w:divBdr>
            <w:top w:val="none" w:sz="0" w:space="0" w:color="auto"/>
            <w:left w:val="none" w:sz="0" w:space="0" w:color="auto"/>
            <w:bottom w:val="none" w:sz="0" w:space="0" w:color="auto"/>
            <w:right w:val="none" w:sz="0" w:space="0" w:color="auto"/>
          </w:divBdr>
        </w:div>
        <w:div w:id="566262116">
          <w:marLeft w:val="0"/>
          <w:marRight w:val="0"/>
          <w:marTop w:val="0"/>
          <w:marBottom w:val="0"/>
          <w:divBdr>
            <w:top w:val="none" w:sz="0" w:space="0" w:color="auto"/>
            <w:left w:val="none" w:sz="0" w:space="0" w:color="auto"/>
            <w:bottom w:val="none" w:sz="0" w:space="0" w:color="auto"/>
            <w:right w:val="none" w:sz="0" w:space="0" w:color="auto"/>
          </w:divBdr>
        </w:div>
        <w:div w:id="606280128">
          <w:marLeft w:val="0"/>
          <w:marRight w:val="0"/>
          <w:marTop w:val="0"/>
          <w:marBottom w:val="0"/>
          <w:divBdr>
            <w:top w:val="none" w:sz="0" w:space="0" w:color="auto"/>
            <w:left w:val="none" w:sz="0" w:space="0" w:color="auto"/>
            <w:bottom w:val="none" w:sz="0" w:space="0" w:color="auto"/>
            <w:right w:val="none" w:sz="0" w:space="0" w:color="auto"/>
          </w:divBdr>
        </w:div>
        <w:div w:id="697582754">
          <w:marLeft w:val="0"/>
          <w:marRight w:val="0"/>
          <w:marTop w:val="0"/>
          <w:marBottom w:val="0"/>
          <w:divBdr>
            <w:top w:val="none" w:sz="0" w:space="0" w:color="auto"/>
            <w:left w:val="none" w:sz="0" w:space="0" w:color="auto"/>
            <w:bottom w:val="none" w:sz="0" w:space="0" w:color="auto"/>
            <w:right w:val="none" w:sz="0" w:space="0" w:color="auto"/>
          </w:divBdr>
        </w:div>
        <w:div w:id="739131106">
          <w:marLeft w:val="0"/>
          <w:marRight w:val="0"/>
          <w:marTop w:val="0"/>
          <w:marBottom w:val="0"/>
          <w:divBdr>
            <w:top w:val="none" w:sz="0" w:space="0" w:color="auto"/>
            <w:left w:val="none" w:sz="0" w:space="0" w:color="auto"/>
            <w:bottom w:val="none" w:sz="0" w:space="0" w:color="auto"/>
            <w:right w:val="none" w:sz="0" w:space="0" w:color="auto"/>
          </w:divBdr>
        </w:div>
        <w:div w:id="764615660">
          <w:marLeft w:val="0"/>
          <w:marRight w:val="0"/>
          <w:marTop w:val="0"/>
          <w:marBottom w:val="0"/>
          <w:divBdr>
            <w:top w:val="none" w:sz="0" w:space="0" w:color="auto"/>
            <w:left w:val="none" w:sz="0" w:space="0" w:color="auto"/>
            <w:bottom w:val="none" w:sz="0" w:space="0" w:color="auto"/>
            <w:right w:val="none" w:sz="0" w:space="0" w:color="auto"/>
          </w:divBdr>
        </w:div>
        <w:div w:id="767122596">
          <w:marLeft w:val="0"/>
          <w:marRight w:val="0"/>
          <w:marTop w:val="0"/>
          <w:marBottom w:val="0"/>
          <w:divBdr>
            <w:top w:val="none" w:sz="0" w:space="0" w:color="auto"/>
            <w:left w:val="none" w:sz="0" w:space="0" w:color="auto"/>
            <w:bottom w:val="none" w:sz="0" w:space="0" w:color="auto"/>
            <w:right w:val="none" w:sz="0" w:space="0" w:color="auto"/>
          </w:divBdr>
        </w:div>
        <w:div w:id="770469867">
          <w:marLeft w:val="0"/>
          <w:marRight w:val="0"/>
          <w:marTop w:val="0"/>
          <w:marBottom w:val="0"/>
          <w:divBdr>
            <w:top w:val="none" w:sz="0" w:space="0" w:color="auto"/>
            <w:left w:val="none" w:sz="0" w:space="0" w:color="auto"/>
            <w:bottom w:val="none" w:sz="0" w:space="0" w:color="auto"/>
            <w:right w:val="none" w:sz="0" w:space="0" w:color="auto"/>
          </w:divBdr>
        </w:div>
        <w:div w:id="810441894">
          <w:marLeft w:val="0"/>
          <w:marRight w:val="0"/>
          <w:marTop w:val="0"/>
          <w:marBottom w:val="0"/>
          <w:divBdr>
            <w:top w:val="none" w:sz="0" w:space="0" w:color="auto"/>
            <w:left w:val="none" w:sz="0" w:space="0" w:color="auto"/>
            <w:bottom w:val="none" w:sz="0" w:space="0" w:color="auto"/>
            <w:right w:val="none" w:sz="0" w:space="0" w:color="auto"/>
          </w:divBdr>
        </w:div>
        <w:div w:id="887423605">
          <w:marLeft w:val="0"/>
          <w:marRight w:val="0"/>
          <w:marTop w:val="0"/>
          <w:marBottom w:val="0"/>
          <w:divBdr>
            <w:top w:val="none" w:sz="0" w:space="0" w:color="auto"/>
            <w:left w:val="none" w:sz="0" w:space="0" w:color="auto"/>
            <w:bottom w:val="none" w:sz="0" w:space="0" w:color="auto"/>
            <w:right w:val="none" w:sz="0" w:space="0" w:color="auto"/>
          </w:divBdr>
        </w:div>
        <w:div w:id="903175326">
          <w:marLeft w:val="0"/>
          <w:marRight w:val="0"/>
          <w:marTop w:val="0"/>
          <w:marBottom w:val="0"/>
          <w:divBdr>
            <w:top w:val="none" w:sz="0" w:space="0" w:color="auto"/>
            <w:left w:val="none" w:sz="0" w:space="0" w:color="auto"/>
            <w:bottom w:val="none" w:sz="0" w:space="0" w:color="auto"/>
            <w:right w:val="none" w:sz="0" w:space="0" w:color="auto"/>
          </w:divBdr>
        </w:div>
        <w:div w:id="904072209">
          <w:marLeft w:val="0"/>
          <w:marRight w:val="0"/>
          <w:marTop w:val="0"/>
          <w:marBottom w:val="0"/>
          <w:divBdr>
            <w:top w:val="none" w:sz="0" w:space="0" w:color="auto"/>
            <w:left w:val="none" w:sz="0" w:space="0" w:color="auto"/>
            <w:bottom w:val="none" w:sz="0" w:space="0" w:color="auto"/>
            <w:right w:val="none" w:sz="0" w:space="0" w:color="auto"/>
          </w:divBdr>
        </w:div>
        <w:div w:id="911626890">
          <w:marLeft w:val="0"/>
          <w:marRight w:val="0"/>
          <w:marTop w:val="0"/>
          <w:marBottom w:val="0"/>
          <w:divBdr>
            <w:top w:val="none" w:sz="0" w:space="0" w:color="auto"/>
            <w:left w:val="none" w:sz="0" w:space="0" w:color="auto"/>
            <w:bottom w:val="none" w:sz="0" w:space="0" w:color="auto"/>
            <w:right w:val="none" w:sz="0" w:space="0" w:color="auto"/>
          </w:divBdr>
        </w:div>
        <w:div w:id="918371934">
          <w:marLeft w:val="0"/>
          <w:marRight w:val="0"/>
          <w:marTop w:val="0"/>
          <w:marBottom w:val="0"/>
          <w:divBdr>
            <w:top w:val="none" w:sz="0" w:space="0" w:color="auto"/>
            <w:left w:val="none" w:sz="0" w:space="0" w:color="auto"/>
            <w:bottom w:val="none" w:sz="0" w:space="0" w:color="auto"/>
            <w:right w:val="none" w:sz="0" w:space="0" w:color="auto"/>
          </w:divBdr>
        </w:div>
        <w:div w:id="926380110">
          <w:marLeft w:val="0"/>
          <w:marRight w:val="0"/>
          <w:marTop w:val="0"/>
          <w:marBottom w:val="0"/>
          <w:divBdr>
            <w:top w:val="none" w:sz="0" w:space="0" w:color="auto"/>
            <w:left w:val="none" w:sz="0" w:space="0" w:color="auto"/>
            <w:bottom w:val="none" w:sz="0" w:space="0" w:color="auto"/>
            <w:right w:val="none" w:sz="0" w:space="0" w:color="auto"/>
          </w:divBdr>
        </w:div>
        <w:div w:id="964702123">
          <w:marLeft w:val="0"/>
          <w:marRight w:val="0"/>
          <w:marTop w:val="0"/>
          <w:marBottom w:val="0"/>
          <w:divBdr>
            <w:top w:val="none" w:sz="0" w:space="0" w:color="auto"/>
            <w:left w:val="none" w:sz="0" w:space="0" w:color="auto"/>
            <w:bottom w:val="none" w:sz="0" w:space="0" w:color="auto"/>
            <w:right w:val="none" w:sz="0" w:space="0" w:color="auto"/>
          </w:divBdr>
        </w:div>
        <w:div w:id="999188625">
          <w:marLeft w:val="0"/>
          <w:marRight w:val="0"/>
          <w:marTop w:val="0"/>
          <w:marBottom w:val="0"/>
          <w:divBdr>
            <w:top w:val="none" w:sz="0" w:space="0" w:color="auto"/>
            <w:left w:val="none" w:sz="0" w:space="0" w:color="auto"/>
            <w:bottom w:val="none" w:sz="0" w:space="0" w:color="auto"/>
            <w:right w:val="none" w:sz="0" w:space="0" w:color="auto"/>
          </w:divBdr>
        </w:div>
        <w:div w:id="1021277620">
          <w:marLeft w:val="0"/>
          <w:marRight w:val="0"/>
          <w:marTop w:val="0"/>
          <w:marBottom w:val="0"/>
          <w:divBdr>
            <w:top w:val="none" w:sz="0" w:space="0" w:color="auto"/>
            <w:left w:val="none" w:sz="0" w:space="0" w:color="auto"/>
            <w:bottom w:val="none" w:sz="0" w:space="0" w:color="auto"/>
            <w:right w:val="none" w:sz="0" w:space="0" w:color="auto"/>
          </w:divBdr>
        </w:div>
        <w:div w:id="1061945691">
          <w:marLeft w:val="0"/>
          <w:marRight w:val="0"/>
          <w:marTop w:val="0"/>
          <w:marBottom w:val="0"/>
          <w:divBdr>
            <w:top w:val="none" w:sz="0" w:space="0" w:color="auto"/>
            <w:left w:val="none" w:sz="0" w:space="0" w:color="auto"/>
            <w:bottom w:val="none" w:sz="0" w:space="0" w:color="auto"/>
            <w:right w:val="none" w:sz="0" w:space="0" w:color="auto"/>
          </w:divBdr>
        </w:div>
        <w:div w:id="1147209409">
          <w:marLeft w:val="0"/>
          <w:marRight w:val="0"/>
          <w:marTop w:val="0"/>
          <w:marBottom w:val="0"/>
          <w:divBdr>
            <w:top w:val="none" w:sz="0" w:space="0" w:color="auto"/>
            <w:left w:val="none" w:sz="0" w:space="0" w:color="auto"/>
            <w:bottom w:val="none" w:sz="0" w:space="0" w:color="auto"/>
            <w:right w:val="none" w:sz="0" w:space="0" w:color="auto"/>
          </w:divBdr>
        </w:div>
        <w:div w:id="1168908521">
          <w:marLeft w:val="0"/>
          <w:marRight w:val="0"/>
          <w:marTop w:val="0"/>
          <w:marBottom w:val="0"/>
          <w:divBdr>
            <w:top w:val="none" w:sz="0" w:space="0" w:color="auto"/>
            <w:left w:val="none" w:sz="0" w:space="0" w:color="auto"/>
            <w:bottom w:val="none" w:sz="0" w:space="0" w:color="auto"/>
            <w:right w:val="none" w:sz="0" w:space="0" w:color="auto"/>
          </w:divBdr>
        </w:div>
        <w:div w:id="1259019281">
          <w:marLeft w:val="0"/>
          <w:marRight w:val="0"/>
          <w:marTop w:val="0"/>
          <w:marBottom w:val="0"/>
          <w:divBdr>
            <w:top w:val="none" w:sz="0" w:space="0" w:color="auto"/>
            <w:left w:val="none" w:sz="0" w:space="0" w:color="auto"/>
            <w:bottom w:val="none" w:sz="0" w:space="0" w:color="auto"/>
            <w:right w:val="none" w:sz="0" w:space="0" w:color="auto"/>
          </w:divBdr>
        </w:div>
        <w:div w:id="1291597138">
          <w:marLeft w:val="0"/>
          <w:marRight w:val="0"/>
          <w:marTop w:val="0"/>
          <w:marBottom w:val="0"/>
          <w:divBdr>
            <w:top w:val="none" w:sz="0" w:space="0" w:color="auto"/>
            <w:left w:val="none" w:sz="0" w:space="0" w:color="auto"/>
            <w:bottom w:val="none" w:sz="0" w:space="0" w:color="auto"/>
            <w:right w:val="none" w:sz="0" w:space="0" w:color="auto"/>
          </w:divBdr>
        </w:div>
        <w:div w:id="1302734666">
          <w:marLeft w:val="0"/>
          <w:marRight w:val="0"/>
          <w:marTop w:val="0"/>
          <w:marBottom w:val="0"/>
          <w:divBdr>
            <w:top w:val="none" w:sz="0" w:space="0" w:color="auto"/>
            <w:left w:val="none" w:sz="0" w:space="0" w:color="auto"/>
            <w:bottom w:val="none" w:sz="0" w:space="0" w:color="auto"/>
            <w:right w:val="none" w:sz="0" w:space="0" w:color="auto"/>
          </w:divBdr>
        </w:div>
        <w:div w:id="1392265585">
          <w:marLeft w:val="0"/>
          <w:marRight w:val="0"/>
          <w:marTop w:val="0"/>
          <w:marBottom w:val="0"/>
          <w:divBdr>
            <w:top w:val="none" w:sz="0" w:space="0" w:color="auto"/>
            <w:left w:val="none" w:sz="0" w:space="0" w:color="auto"/>
            <w:bottom w:val="none" w:sz="0" w:space="0" w:color="auto"/>
            <w:right w:val="none" w:sz="0" w:space="0" w:color="auto"/>
          </w:divBdr>
        </w:div>
        <w:div w:id="1475295285">
          <w:marLeft w:val="0"/>
          <w:marRight w:val="0"/>
          <w:marTop w:val="0"/>
          <w:marBottom w:val="0"/>
          <w:divBdr>
            <w:top w:val="none" w:sz="0" w:space="0" w:color="auto"/>
            <w:left w:val="none" w:sz="0" w:space="0" w:color="auto"/>
            <w:bottom w:val="none" w:sz="0" w:space="0" w:color="auto"/>
            <w:right w:val="none" w:sz="0" w:space="0" w:color="auto"/>
          </w:divBdr>
        </w:div>
        <w:div w:id="1498882841">
          <w:marLeft w:val="0"/>
          <w:marRight w:val="0"/>
          <w:marTop w:val="0"/>
          <w:marBottom w:val="0"/>
          <w:divBdr>
            <w:top w:val="none" w:sz="0" w:space="0" w:color="auto"/>
            <w:left w:val="none" w:sz="0" w:space="0" w:color="auto"/>
            <w:bottom w:val="none" w:sz="0" w:space="0" w:color="auto"/>
            <w:right w:val="none" w:sz="0" w:space="0" w:color="auto"/>
          </w:divBdr>
        </w:div>
        <w:div w:id="1578398724">
          <w:marLeft w:val="0"/>
          <w:marRight w:val="0"/>
          <w:marTop w:val="0"/>
          <w:marBottom w:val="0"/>
          <w:divBdr>
            <w:top w:val="none" w:sz="0" w:space="0" w:color="auto"/>
            <w:left w:val="none" w:sz="0" w:space="0" w:color="auto"/>
            <w:bottom w:val="none" w:sz="0" w:space="0" w:color="auto"/>
            <w:right w:val="none" w:sz="0" w:space="0" w:color="auto"/>
          </w:divBdr>
        </w:div>
        <w:div w:id="1582716324">
          <w:marLeft w:val="0"/>
          <w:marRight w:val="0"/>
          <w:marTop w:val="0"/>
          <w:marBottom w:val="0"/>
          <w:divBdr>
            <w:top w:val="none" w:sz="0" w:space="0" w:color="auto"/>
            <w:left w:val="none" w:sz="0" w:space="0" w:color="auto"/>
            <w:bottom w:val="none" w:sz="0" w:space="0" w:color="auto"/>
            <w:right w:val="none" w:sz="0" w:space="0" w:color="auto"/>
          </w:divBdr>
        </w:div>
        <w:div w:id="1639871379">
          <w:marLeft w:val="0"/>
          <w:marRight w:val="0"/>
          <w:marTop w:val="0"/>
          <w:marBottom w:val="0"/>
          <w:divBdr>
            <w:top w:val="none" w:sz="0" w:space="0" w:color="auto"/>
            <w:left w:val="none" w:sz="0" w:space="0" w:color="auto"/>
            <w:bottom w:val="none" w:sz="0" w:space="0" w:color="auto"/>
            <w:right w:val="none" w:sz="0" w:space="0" w:color="auto"/>
          </w:divBdr>
        </w:div>
        <w:div w:id="1674144918">
          <w:marLeft w:val="0"/>
          <w:marRight w:val="0"/>
          <w:marTop w:val="0"/>
          <w:marBottom w:val="0"/>
          <w:divBdr>
            <w:top w:val="none" w:sz="0" w:space="0" w:color="auto"/>
            <w:left w:val="none" w:sz="0" w:space="0" w:color="auto"/>
            <w:bottom w:val="none" w:sz="0" w:space="0" w:color="auto"/>
            <w:right w:val="none" w:sz="0" w:space="0" w:color="auto"/>
          </w:divBdr>
        </w:div>
        <w:div w:id="1795561452">
          <w:marLeft w:val="0"/>
          <w:marRight w:val="0"/>
          <w:marTop w:val="0"/>
          <w:marBottom w:val="0"/>
          <w:divBdr>
            <w:top w:val="none" w:sz="0" w:space="0" w:color="auto"/>
            <w:left w:val="none" w:sz="0" w:space="0" w:color="auto"/>
            <w:bottom w:val="none" w:sz="0" w:space="0" w:color="auto"/>
            <w:right w:val="none" w:sz="0" w:space="0" w:color="auto"/>
          </w:divBdr>
        </w:div>
        <w:div w:id="1864856074">
          <w:marLeft w:val="0"/>
          <w:marRight w:val="0"/>
          <w:marTop w:val="0"/>
          <w:marBottom w:val="0"/>
          <w:divBdr>
            <w:top w:val="none" w:sz="0" w:space="0" w:color="auto"/>
            <w:left w:val="none" w:sz="0" w:space="0" w:color="auto"/>
            <w:bottom w:val="none" w:sz="0" w:space="0" w:color="auto"/>
            <w:right w:val="none" w:sz="0" w:space="0" w:color="auto"/>
          </w:divBdr>
        </w:div>
        <w:div w:id="1908417153">
          <w:marLeft w:val="0"/>
          <w:marRight w:val="0"/>
          <w:marTop w:val="0"/>
          <w:marBottom w:val="0"/>
          <w:divBdr>
            <w:top w:val="none" w:sz="0" w:space="0" w:color="auto"/>
            <w:left w:val="none" w:sz="0" w:space="0" w:color="auto"/>
            <w:bottom w:val="none" w:sz="0" w:space="0" w:color="auto"/>
            <w:right w:val="none" w:sz="0" w:space="0" w:color="auto"/>
          </w:divBdr>
        </w:div>
        <w:div w:id="1913194534">
          <w:marLeft w:val="0"/>
          <w:marRight w:val="0"/>
          <w:marTop w:val="0"/>
          <w:marBottom w:val="0"/>
          <w:divBdr>
            <w:top w:val="none" w:sz="0" w:space="0" w:color="auto"/>
            <w:left w:val="none" w:sz="0" w:space="0" w:color="auto"/>
            <w:bottom w:val="none" w:sz="0" w:space="0" w:color="auto"/>
            <w:right w:val="none" w:sz="0" w:space="0" w:color="auto"/>
          </w:divBdr>
        </w:div>
        <w:div w:id="1928953000">
          <w:marLeft w:val="0"/>
          <w:marRight w:val="0"/>
          <w:marTop w:val="0"/>
          <w:marBottom w:val="0"/>
          <w:divBdr>
            <w:top w:val="none" w:sz="0" w:space="0" w:color="auto"/>
            <w:left w:val="none" w:sz="0" w:space="0" w:color="auto"/>
            <w:bottom w:val="none" w:sz="0" w:space="0" w:color="auto"/>
            <w:right w:val="none" w:sz="0" w:space="0" w:color="auto"/>
          </w:divBdr>
        </w:div>
        <w:div w:id="1971521008">
          <w:marLeft w:val="0"/>
          <w:marRight w:val="0"/>
          <w:marTop w:val="0"/>
          <w:marBottom w:val="0"/>
          <w:divBdr>
            <w:top w:val="none" w:sz="0" w:space="0" w:color="auto"/>
            <w:left w:val="none" w:sz="0" w:space="0" w:color="auto"/>
            <w:bottom w:val="none" w:sz="0" w:space="0" w:color="auto"/>
            <w:right w:val="none" w:sz="0" w:space="0" w:color="auto"/>
          </w:divBdr>
        </w:div>
        <w:div w:id="2032950790">
          <w:marLeft w:val="0"/>
          <w:marRight w:val="0"/>
          <w:marTop w:val="0"/>
          <w:marBottom w:val="0"/>
          <w:divBdr>
            <w:top w:val="none" w:sz="0" w:space="0" w:color="auto"/>
            <w:left w:val="none" w:sz="0" w:space="0" w:color="auto"/>
            <w:bottom w:val="none" w:sz="0" w:space="0" w:color="auto"/>
            <w:right w:val="none" w:sz="0" w:space="0" w:color="auto"/>
          </w:divBdr>
        </w:div>
        <w:div w:id="2038315428">
          <w:marLeft w:val="0"/>
          <w:marRight w:val="0"/>
          <w:marTop w:val="0"/>
          <w:marBottom w:val="0"/>
          <w:divBdr>
            <w:top w:val="none" w:sz="0" w:space="0" w:color="auto"/>
            <w:left w:val="none" w:sz="0" w:space="0" w:color="auto"/>
            <w:bottom w:val="none" w:sz="0" w:space="0" w:color="auto"/>
            <w:right w:val="none" w:sz="0" w:space="0" w:color="auto"/>
          </w:divBdr>
        </w:div>
        <w:div w:id="2046326372">
          <w:marLeft w:val="0"/>
          <w:marRight w:val="0"/>
          <w:marTop w:val="0"/>
          <w:marBottom w:val="0"/>
          <w:divBdr>
            <w:top w:val="none" w:sz="0" w:space="0" w:color="auto"/>
            <w:left w:val="none" w:sz="0" w:space="0" w:color="auto"/>
            <w:bottom w:val="none" w:sz="0" w:space="0" w:color="auto"/>
            <w:right w:val="none" w:sz="0" w:space="0" w:color="auto"/>
          </w:divBdr>
        </w:div>
        <w:div w:id="2050759832">
          <w:marLeft w:val="0"/>
          <w:marRight w:val="0"/>
          <w:marTop w:val="0"/>
          <w:marBottom w:val="0"/>
          <w:divBdr>
            <w:top w:val="none" w:sz="0" w:space="0" w:color="auto"/>
            <w:left w:val="none" w:sz="0" w:space="0" w:color="auto"/>
            <w:bottom w:val="none" w:sz="0" w:space="0" w:color="auto"/>
            <w:right w:val="none" w:sz="0" w:space="0" w:color="auto"/>
          </w:divBdr>
        </w:div>
        <w:div w:id="2102141020">
          <w:marLeft w:val="0"/>
          <w:marRight w:val="0"/>
          <w:marTop w:val="0"/>
          <w:marBottom w:val="0"/>
          <w:divBdr>
            <w:top w:val="none" w:sz="0" w:space="0" w:color="auto"/>
            <w:left w:val="none" w:sz="0" w:space="0" w:color="auto"/>
            <w:bottom w:val="none" w:sz="0" w:space="0" w:color="auto"/>
            <w:right w:val="none" w:sz="0" w:space="0" w:color="auto"/>
          </w:divBdr>
        </w:div>
        <w:div w:id="2139101614">
          <w:marLeft w:val="0"/>
          <w:marRight w:val="0"/>
          <w:marTop w:val="0"/>
          <w:marBottom w:val="0"/>
          <w:divBdr>
            <w:top w:val="none" w:sz="0" w:space="0" w:color="auto"/>
            <w:left w:val="none" w:sz="0" w:space="0" w:color="auto"/>
            <w:bottom w:val="none" w:sz="0" w:space="0" w:color="auto"/>
            <w:right w:val="none" w:sz="0" w:space="0" w:color="auto"/>
          </w:divBdr>
        </w:div>
      </w:divsChild>
    </w:div>
    <w:div w:id="706371745">
      <w:bodyDiv w:val="1"/>
      <w:marLeft w:val="0"/>
      <w:marRight w:val="0"/>
      <w:marTop w:val="0"/>
      <w:marBottom w:val="0"/>
      <w:divBdr>
        <w:top w:val="none" w:sz="0" w:space="0" w:color="auto"/>
        <w:left w:val="none" w:sz="0" w:space="0" w:color="auto"/>
        <w:bottom w:val="none" w:sz="0" w:space="0" w:color="auto"/>
        <w:right w:val="none" w:sz="0" w:space="0" w:color="auto"/>
      </w:divBdr>
    </w:div>
    <w:div w:id="708996080">
      <w:bodyDiv w:val="1"/>
      <w:marLeft w:val="0"/>
      <w:marRight w:val="0"/>
      <w:marTop w:val="0"/>
      <w:marBottom w:val="0"/>
      <w:divBdr>
        <w:top w:val="none" w:sz="0" w:space="0" w:color="auto"/>
        <w:left w:val="none" w:sz="0" w:space="0" w:color="auto"/>
        <w:bottom w:val="none" w:sz="0" w:space="0" w:color="auto"/>
        <w:right w:val="none" w:sz="0" w:space="0" w:color="auto"/>
      </w:divBdr>
    </w:div>
    <w:div w:id="723674076">
      <w:bodyDiv w:val="1"/>
      <w:marLeft w:val="0"/>
      <w:marRight w:val="0"/>
      <w:marTop w:val="0"/>
      <w:marBottom w:val="0"/>
      <w:divBdr>
        <w:top w:val="none" w:sz="0" w:space="0" w:color="auto"/>
        <w:left w:val="none" w:sz="0" w:space="0" w:color="auto"/>
        <w:bottom w:val="none" w:sz="0" w:space="0" w:color="auto"/>
        <w:right w:val="none" w:sz="0" w:space="0" w:color="auto"/>
      </w:divBdr>
    </w:div>
    <w:div w:id="733745662">
      <w:bodyDiv w:val="1"/>
      <w:marLeft w:val="0"/>
      <w:marRight w:val="0"/>
      <w:marTop w:val="0"/>
      <w:marBottom w:val="0"/>
      <w:divBdr>
        <w:top w:val="none" w:sz="0" w:space="0" w:color="auto"/>
        <w:left w:val="none" w:sz="0" w:space="0" w:color="auto"/>
        <w:bottom w:val="none" w:sz="0" w:space="0" w:color="auto"/>
        <w:right w:val="none" w:sz="0" w:space="0" w:color="auto"/>
      </w:divBdr>
    </w:div>
    <w:div w:id="739720200">
      <w:bodyDiv w:val="1"/>
      <w:marLeft w:val="0"/>
      <w:marRight w:val="0"/>
      <w:marTop w:val="0"/>
      <w:marBottom w:val="0"/>
      <w:divBdr>
        <w:top w:val="none" w:sz="0" w:space="0" w:color="auto"/>
        <w:left w:val="none" w:sz="0" w:space="0" w:color="auto"/>
        <w:bottom w:val="none" w:sz="0" w:space="0" w:color="auto"/>
        <w:right w:val="none" w:sz="0" w:space="0" w:color="auto"/>
      </w:divBdr>
      <w:divsChild>
        <w:div w:id="1347363044">
          <w:marLeft w:val="0"/>
          <w:marRight w:val="0"/>
          <w:marTop w:val="0"/>
          <w:marBottom w:val="0"/>
          <w:divBdr>
            <w:top w:val="none" w:sz="0" w:space="0" w:color="auto"/>
            <w:left w:val="none" w:sz="0" w:space="0" w:color="auto"/>
            <w:bottom w:val="none" w:sz="0" w:space="0" w:color="auto"/>
            <w:right w:val="none" w:sz="0" w:space="0" w:color="auto"/>
          </w:divBdr>
        </w:div>
        <w:div w:id="1549534829">
          <w:marLeft w:val="0"/>
          <w:marRight w:val="0"/>
          <w:marTop w:val="0"/>
          <w:marBottom w:val="0"/>
          <w:divBdr>
            <w:top w:val="none" w:sz="0" w:space="0" w:color="auto"/>
            <w:left w:val="none" w:sz="0" w:space="0" w:color="auto"/>
            <w:bottom w:val="none" w:sz="0" w:space="0" w:color="auto"/>
            <w:right w:val="none" w:sz="0" w:space="0" w:color="auto"/>
          </w:divBdr>
        </w:div>
        <w:div w:id="2057390198">
          <w:marLeft w:val="0"/>
          <w:marRight w:val="0"/>
          <w:marTop w:val="0"/>
          <w:marBottom w:val="0"/>
          <w:divBdr>
            <w:top w:val="none" w:sz="0" w:space="0" w:color="auto"/>
            <w:left w:val="none" w:sz="0" w:space="0" w:color="auto"/>
            <w:bottom w:val="none" w:sz="0" w:space="0" w:color="auto"/>
            <w:right w:val="none" w:sz="0" w:space="0" w:color="auto"/>
          </w:divBdr>
        </w:div>
        <w:div w:id="1743679429">
          <w:marLeft w:val="0"/>
          <w:marRight w:val="0"/>
          <w:marTop w:val="0"/>
          <w:marBottom w:val="0"/>
          <w:divBdr>
            <w:top w:val="none" w:sz="0" w:space="0" w:color="auto"/>
            <w:left w:val="none" w:sz="0" w:space="0" w:color="auto"/>
            <w:bottom w:val="none" w:sz="0" w:space="0" w:color="auto"/>
            <w:right w:val="none" w:sz="0" w:space="0" w:color="auto"/>
          </w:divBdr>
        </w:div>
        <w:div w:id="2027749545">
          <w:marLeft w:val="0"/>
          <w:marRight w:val="0"/>
          <w:marTop w:val="0"/>
          <w:marBottom w:val="0"/>
          <w:divBdr>
            <w:top w:val="none" w:sz="0" w:space="0" w:color="auto"/>
            <w:left w:val="none" w:sz="0" w:space="0" w:color="auto"/>
            <w:bottom w:val="none" w:sz="0" w:space="0" w:color="auto"/>
            <w:right w:val="none" w:sz="0" w:space="0" w:color="auto"/>
          </w:divBdr>
        </w:div>
        <w:div w:id="1352486835">
          <w:marLeft w:val="0"/>
          <w:marRight w:val="0"/>
          <w:marTop w:val="0"/>
          <w:marBottom w:val="0"/>
          <w:divBdr>
            <w:top w:val="none" w:sz="0" w:space="0" w:color="auto"/>
            <w:left w:val="none" w:sz="0" w:space="0" w:color="auto"/>
            <w:bottom w:val="none" w:sz="0" w:space="0" w:color="auto"/>
            <w:right w:val="none" w:sz="0" w:space="0" w:color="auto"/>
          </w:divBdr>
        </w:div>
        <w:div w:id="848905424">
          <w:marLeft w:val="0"/>
          <w:marRight w:val="0"/>
          <w:marTop w:val="0"/>
          <w:marBottom w:val="0"/>
          <w:divBdr>
            <w:top w:val="none" w:sz="0" w:space="0" w:color="auto"/>
            <w:left w:val="none" w:sz="0" w:space="0" w:color="auto"/>
            <w:bottom w:val="none" w:sz="0" w:space="0" w:color="auto"/>
            <w:right w:val="none" w:sz="0" w:space="0" w:color="auto"/>
          </w:divBdr>
        </w:div>
        <w:div w:id="2109152825">
          <w:marLeft w:val="0"/>
          <w:marRight w:val="0"/>
          <w:marTop w:val="0"/>
          <w:marBottom w:val="0"/>
          <w:divBdr>
            <w:top w:val="none" w:sz="0" w:space="0" w:color="auto"/>
            <w:left w:val="none" w:sz="0" w:space="0" w:color="auto"/>
            <w:bottom w:val="none" w:sz="0" w:space="0" w:color="auto"/>
            <w:right w:val="none" w:sz="0" w:space="0" w:color="auto"/>
          </w:divBdr>
        </w:div>
      </w:divsChild>
    </w:div>
    <w:div w:id="744038019">
      <w:bodyDiv w:val="1"/>
      <w:marLeft w:val="0"/>
      <w:marRight w:val="0"/>
      <w:marTop w:val="0"/>
      <w:marBottom w:val="0"/>
      <w:divBdr>
        <w:top w:val="none" w:sz="0" w:space="0" w:color="auto"/>
        <w:left w:val="none" w:sz="0" w:space="0" w:color="auto"/>
        <w:bottom w:val="none" w:sz="0" w:space="0" w:color="auto"/>
        <w:right w:val="none" w:sz="0" w:space="0" w:color="auto"/>
      </w:divBdr>
    </w:div>
    <w:div w:id="746078127">
      <w:bodyDiv w:val="1"/>
      <w:marLeft w:val="0"/>
      <w:marRight w:val="0"/>
      <w:marTop w:val="0"/>
      <w:marBottom w:val="0"/>
      <w:divBdr>
        <w:top w:val="none" w:sz="0" w:space="0" w:color="auto"/>
        <w:left w:val="none" w:sz="0" w:space="0" w:color="auto"/>
        <w:bottom w:val="none" w:sz="0" w:space="0" w:color="auto"/>
        <w:right w:val="none" w:sz="0" w:space="0" w:color="auto"/>
      </w:divBdr>
    </w:div>
    <w:div w:id="750196197">
      <w:bodyDiv w:val="1"/>
      <w:marLeft w:val="0"/>
      <w:marRight w:val="0"/>
      <w:marTop w:val="0"/>
      <w:marBottom w:val="0"/>
      <w:divBdr>
        <w:top w:val="none" w:sz="0" w:space="0" w:color="auto"/>
        <w:left w:val="none" w:sz="0" w:space="0" w:color="auto"/>
        <w:bottom w:val="none" w:sz="0" w:space="0" w:color="auto"/>
        <w:right w:val="none" w:sz="0" w:space="0" w:color="auto"/>
      </w:divBdr>
    </w:div>
    <w:div w:id="753670672">
      <w:bodyDiv w:val="1"/>
      <w:marLeft w:val="0"/>
      <w:marRight w:val="0"/>
      <w:marTop w:val="0"/>
      <w:marBottom w:val="0"/>
      <w:divBdr>
        <w:top w:val="none" w:sz="0" w:space="0" w:color="auto"/>
        <w:left w:val="none" w:sz="0" w:space="0" w:color="auto"/>
        <w:bottom w:val="none" w:sz="0" w:space="0" w:color="auto"/>
        <w:right w:val="none" w:sz="0" w:space="0" w:color="auto"/>
      </w:divBdr>
    </w:div>
    <w:div w:id="753672277">
      <w:bodyDiv w:val="1"/>
      <w:marLeft w:val="0"/>
      <w:marRight w:val="0"/>
      <w:marTop w:val="0"/>
      <w:marBottom w:val="0"/>
      <w:divBdr>
        <w:top w:val="none" w:sz="0" w:space="0" w:color="auto"/>
        <w:left w:val="none" w:sz="0" w:space="0" w:color="auto"/>
        <w:bottom w:val="none" w:sz="0" w:space="0" w:color="auto"/>
        <w:right w:val="none" w:sz="0" w:space="0" w:color="auto"/>
      </w:divBdr>
    </w:div>
    <w:div w:id="755592969">
      <w:bodyDiv w:val="1"/>
      <w:marLeft w:val="0"/>
      <w:marRight w:val="0"/>
      <w:marTop w:val="0"/>
      <w:marBottom w:val="0"/>
      <w:divBdr>
        <w:top w:val="none" w:sz="0" w:space="0" w:color="auto"/>
        <w:left w:val="none" w:sz="0" w:space="0" w:color="auto"/>
        <w:bottom w:val="none" w:sz="0" w:space="0" w:color="auto"/>
        <w:right w:val="none" w:sz="0" w:space="0" w:color="auto"/>
      </w:divBdr>
    </w:div>
    <w:div w:id="757596822">
      <w:bodyDiv w:val="1"/>
      <w:marLeft w:val="0"/>
      <w:marRight w:val="0"/>
      <w:marTop w:val="0"/>
      <w:marBottom w:val="0"/>
      <w:divBdr>
        <w:top w:val="none" w:sz="0" w:space="0" w:color="auto"/>
        <w:left w:val="none" w:sz="0" w:space="0" w:color="auto"/>
        <w:bottom w:val="none" w:sz="0" w:space="0" w:color="auto"/>
        <w:right w:val="none" w:sz="0" w:space="0" w:color="auto"/>
      </w:divBdr>
    </w:div>
    <w:div w:id="768888788">
      <w:bodyDiv w:val="1"/>
      <w:marLeft w:val="0"/>
      <w:marRight w:val="0"/>
      <w:marTop w:val="0"/>
      <w:marBottom w:val="0"/>
      <w:divBdr>
        <w:top w:val="none" w:sz="0" w:space="0" w:color="auto"/>
        <w:left w:val="none" w:sz="0" w:space="0" w:color="auto"/>
        <w:bottom w:val="none" w:sz="0" w:space="0" w:color="auto"/>
        <w:right w:val="none" w:sz="0" w:space="0" w:color="auto"/>
      </w:divBdr>
      <w:divsChild>
        <w:div w:id="1012220147">
          <w:marLeft w:val="0"/>
          <w:marRight w:val="0"/>
          <w:marTop w:val="0"/>
          <w:marBottom w:val="0"/>
          <w:divBdr>
            <w:top w:val="none" w:sz="0" w:space="0" w:color="auto"/>
            <w:left w:val="none" w:sz="0" w:space="0" w:color="auto"/>
            <w:bottom w:val="none" w:sz="0" w:space="0" w:color="auto"/>
            <w:right w:val="none" w:sz="0" w:space="0" w:color="auto"/>
          </w:divBdr>
        </w:div>
        <w:div w:id="1225339875">
          <w:marLeft w:val="0"/>
          <w:marRight w:val="0"/>
          <w:marTop w:val="0"/>
          <w:marBottom w:val="0"/>
          <w:divBdr>
            <w:top w:val="none" w:sz="0" w:space="0" w:color="auto"/>
            <w:left w:val="none" w:sz="0" w:space="0" w:color="auto"/>
            <w:bottom w:val="none" w:sz="0" w:space="0" w:color="auto"/>
            <w:right w:val="none" w:sz="0" w:space="0" w:color="auto"/>
          </w:divBdr>
        </w:div>
        <w:div w:id="732002470">
          <w:marLeft w:val="0"/>
          <w:marRight w:val="0"/>
          <w:marTop w:val="0"/>
          <w:marBottom w:val="0"/>
          <w:divBdr>
            <w:top w:val="none" w:sz="0" w:space="0" w:color="auto"/>
            <w:left w:val="none" w:sz="0" w:space="0" w:color="auto"/>
            <w:bottom w:val="none" w:sz="0" w:space="0" w:color="auto"/>
            <w:right w:val="none" w:sz="0" w:space="0" w:color="auto"/>
          </w:divBdr>
        </w:div>
        <w:div w:id="842940307">
          <w:marLeft w:val="0"/>
          <w:marRight w:val="0"/>
          <w:marTop w:val="0"/>
          <w:marBottom w:val="0"/>
          <w:divBdr>
            <w:top w:val="none" w:sz="0" w:space="0" w:color="auto"/>
            <w:left w:val="none" w:sz="0" w:space="0" w:color="auto"/>
            <w:bottom w:val="none" w:sz="0" w:space="0" w:color="auto"/>
            <w:right w:val="none" w:sz="0" w:space="0" w:color="auto"/>
          </w:divBdr>
        </w:div>
        <w:div w:id="2003316120">
          <w:marLeft w:val="0"/>
          <w:marRight w:val="0"/>
          <w:marTop w:val="0"/>
          <w:marBottom w:val="0"/>
          <w:divBdr>
            <w:top w:val="none" w:sz="0" w:space="0" w:color="auto"/>
            <w:left w:val="none" w:sz="0" w:space="0" w:color="auto"/>
            <w:bottom w:val="none" w:sz="0" w:space="0" w:color="auto"/>
            <w:right w:val="none" w:sz="0" w:space="0" w:color="auto"/>
          </w:divBdr>
        </w:div>
        <w:div w:id="645817446">
          <w:marLeft w:val="0"/>
          <w:marRight w:val="0"/>
          <w:marTop w:val="0"/>
          <w:marBottom w:val="0"/>
          <w:divBdr>
            <w:top w:val="none" w:sz="0" w:space="0" w:color="auto"/>
            <w:left w:val="none" w:sz="0" w:space="0" w:color="auto"/>
            <w:bottom w:val="none" w:sz="0" w:space="0" w:color="auto"/>
            <w:right w:val="none" w:sz="0" w:space="0" w:color="auto"/>
          </w:divBdr>
        </w:div>
        <w:div w:id="1444038395">
          <w:marLeft w:val="0"/>
          <w:marRight w:val="0"/>
          <w:marTop w:val="0"/>
          <w:marBottom w:val="0"/>
          <w:divBdr>
            <w:top w:val="none" w:sz="0" w:space="0" w:color="auto"/>
            <w:left w:val="none" w:sz="0" w:space="0" w:color="auto"/>
            <w:bottom w:val="none" w:sz="0" w:space="0" w:color="auto"/>
            <w:right w:val="none" w:sz="0" w:space="0" w:color="auto"/>
          </w:divBdr>
        </w:div>
      </w:divsChild>
    </w:div>
    <w:div w:id="780564526">
      <w:bodyDiv w:val="1"/>
      <w:marLeft w:val="0"/>
      <w:marRight w:val="0"/>
      <w:marTop w:val="0"/>
      <w:marBottom w:val="0"/>
      <w:divBdr>
        <w:top w:val="none" w:sz="0" w:space="0" w:color="auto"/>
        <w:left w:val="none" w:sz="0" w:space="0" w:color="auto"/>
        <w:bottom w:val="none" w:sz="0" w:space="0" w:color="auto"/>
        <w:right w:val="none" w:sz="0" w:space="0" w:color="auto"/>
      </w:divBdr>
    </w:div>
    <w:div w:id="781077322">
      <w:bodyDiv w:val="1"/>
      <w:marLeft w:val="0"/>
      <w:marRight w:val="0"/>
      <w:marTop w:val="0"/>
      <w:marBottom w:val="0"/>
      <w:divBdr>
        <w:top w:val="none" w:sz="0" w:space="0" w:color="auto"/>
        <w:left w:val="none" w:sz="0" w:space="0" w:color="auto"/>
        <w:bottom w:val="none" w:sz="0" w:space="0" w:color="auto"/>
        <w:right w:val="none" w:sz="0" w:space="0" w:color="auto"/>
      </w:divBdr>
    </w:div>
    <w:div w:id="781342522">
      <w:bodyDiv w:val="1"/>
      <w:marLeft w:val="0"/>
      <w:marRight w:val="0"/>
      <w:marTop w:val="0"/>
      <w:marBottom w:val="0"/>
      <w:divBdr>
        <w:top w:val="none" w:sz="0" w:space="0" w:color="auto"/>
        <w:left w:val="none" w:sz="0" w:space="0" w:color="auto"/>
        <w:bottom w:val="none" w:sz="0" w:space="0" w:color="auto"/>
        <w:right w:val="none" w:sz="0" w:space="0" w:color="auto"/>
      </w:divBdr>
    </w:div>
    <w:div w:id="784036922">
      <w:bodyDiv w:val="1"/>
      <w:marLeft w:val="0"/>
      <w:marRight w:val="0"/>
      <w:marTop w:val="0"/>
      <w:marBottom w:val="0"/>
      <w:divBdr>
        <w:top w:val="none" w:sz="0" w:space="0" w:color="auto"/>
        <w:left w:val="none" w:sz="0" w:space="0" w:color="auto"/>
        <w:bottom w:val="none" w:sz="0" w:space="0" w:color="auto"/>
        <w:right w:val="none" w:sz="0" w:space="0" w:color="auto"/>
      </w:divBdr>
    </w:div>
    <w:div w:id="787116095">
      <w:bodyDiv w:val="1"/>
      <w:marLeft w:val="0"/>
      <w:marRight w:val="0"/>
      <w:marTop w:val="0"/>
      <w:marBottom w:val="0"/>
      <w:divBdr>
        <w:top w:val="none" w:sz="0" w:space="0" w:color="auto"/>
        <w:left w:val="none" w:sz="0" w:space="0" w:color="auto"/>
        <w:bottom w:val="none" w:sz="0" w:space="0" w:color="auto"/>
        <w:right w:val="none" w:sz="0" w:space="0" w:color="auto"/>
      </w:divBdr>
    </w:div>
    <w:div w:id="790712401">
      <w:bodyDiv w:val="1"/>
      <w:marLeft w:val="0"/>
      <w:marRight w:val="0"/>
      <w:marTop w:val="0"/>
      <w:marBottom w:val="0"/>
      <w:divBdr>
        <w:top w:val="none" w:sz="0" w:space="0" w:color="auto"/>
        <w:left w:val="none" w:sz="0" w:space="0" w:color="auto"/>
        <w:bottom w:val="none" w:sz="0" w:space="0" w:color="auto"/>
        <w:right w:val="none" w:sz="0" w:space="0" w:color="auto"/>
      </w:divBdr>
    </w:div>
    <w:div w:id="792091542">
      <w:bodyDiv w:val="1"/>
      <w:marLeft w:val="0"/>
      <w:marRight w:val="0"/>
      <w:marTop w:val="0"/>
      <w:marBottom w:val="0"/>
      <w:divBdr>
        <w:top w:val="none" w:sz="0" w:space="0" w:color="auto"/>
        <w:left w:val="none" w:sz="0" w:space="0" w:color="auto"/>
        <w:bottom w:val="none" w:sz="0" w:space="0" w:color="auto"/>
        <w:right w:val="none" w:sz="0" w:space="0" w:color="auto"/>
      </w:divBdr>
    </w:div>
    <w:div w:id="792094442">
      <w:bodyDiv w:val="1"/>
      <w:marLeft w:val="0"/>
      <w:marRight w:val="0"/>
      <w:marTop w:val="0"/>
      <w:marBottom w:val="0"/>
      <w:divBdr>
        <w:top w:val="none" w:sz="0" w:space="0" w:color="auto"/>
        <w:left w:val="none" w:sz="0" w:space="0" w:color="auto"/>
        <w:bottom w:val="none" w:sz="0" w:space="0" w:color="auto"/>
        <w:right w:val="none" w:sz="0" w:space="0" w:color="auto"/>
      </w:divBdr>
    </w:div>
    <w:div w:id="792360763">
      <w:bodyDiv w:val="1"/>
      <w:marLeft w:val="0"/>
      <w:marRight w:val="0"/>
      <w:marTop w:val="0"/>
      <w:marBottom w:val="0"/>
      <w:divBdr>
        <w:top w:val="none" w:sz="0" w:space="0" w:color="auto"/>
        <w:left w:val="none" w:sz="0" w:space="0" w:color="auto"/>
        <w:bottom w:val="none" w:sz="0" w:space="0" w:color="auto"/>
        <w:right w:val="none" w:sz="0" w:space="0" w:color="auto"/>
      </w:divBdr>
    </w:div>
    <w:div w:id="796023028">
      <w:bodyDiv w:val="1"/>
      <w:marLeft w:val="0"/>
      <w:marRight w:val="0"/>
      <w:marTop w:val="0"/>
      <w:marBottom w:val="0"/>
      <w:divBdr>
        <w:top w:val="none" w:sz="0" w:space="0" w:color="auto"/>
        <w:left w:val="none" w:sz="0" w:space="0" w:color="auto"/>
        <w:bottom w:val="none" w:sz="0" w:space="0" w:color="auto"/>
        <w:right w:val="none" w:sz="0" w:space="0" w:color="auto"/>
      </w:divBdr>
    </w:div>
    <w:div w:id="799961732">
      <w:bodyDiv w:val="1"/>
      <w:marLeft w:val="0"/>
      <w:marRight w:val="0"/>
      <w:marTop w:val="0"/>
      <w:marBottom w:val="0"/>
      <w:divBdr>
        <w:top w:val="none" w:sz="0" w:space="0" w:color="auto"/>
        <w:left w:val="none" w:sz="0" w:space="0" w:color="auto"/>
        <w:bottom w:val="none" w:sz="0" w:space="0" w:color="auto"/>
        <w:right w:val="none" w:sz="0" w:space="0" w:color="auto"/>
      </w:divBdr>
    </w:div>
    <w:div w:id="804935913">
      <w:bodyDiv w:val="1"/>
      <w:marLeft w:val="0"/>
      <w:marRight w:val="0"/>
      <w:marTop w:val="0"/>
      <w:marBottom w:val="0"/>
      <w:divBdr>
        <w:top w:val="none" w:sz="0" w:space="0" w:color="auto"/>
        <w:left w:val="none" w:sz="0" w:space="0" w:color="auto"/>
        <w:bottom w:val="none" w:sz="0" w:space="0" w:color="auto"/>
        <w:right w:val="none" w:sz="0" w:space="0" w:color="auto"/>
      </w:divBdr>
    </w:div>
    <w:div w:id="809830041">
      <w:bodyDiv w:val="1"/>
      <w:marLeft w:val="0"/>
      <w:marRight w:val="0"/>
      <w:marTop w:val="0"/>
      <w:marBottom w:val="0"/>
      <w:divBdr>
        <w:top w:val="none" w:sz="0" w:space="0" w:color="auto"/>
        <w:left w:val="none" w:sz="0" w:space="0" w:color="auto"/>
        <w:bottom w:val="none" w:sz="0" w:space="0" w:color="auto"/>
        <w:right w:val="none" w:sz="0" w:space="0" w:color="auto"/>
      </w:divBdr>
    </w:div>
    <w:div w:id="818032218">
      <w:bodyDiv w:val="1"/>
      <w:marLeft w:val="0"/>
      <w:marRight w:val="0"/>
      <w:marTop w:val="0"/>
      <w:marBottom w:val="0"/>
      <w:divBdr>
        <w:top w:val="none" w:sz="0" w:space="0" w:color="auto"/>
        <w:left w:val="none" w:sz="0" w:space="0" w:color="auto"/>
        <w:bottom w:val="none" w:sz="0" w:space="0" w:color="auto"/>
        <w:right w:val="none" w:sz="0" w:space="0" w:color="auto"/>
      </w:divBdr>
    </w:div>
    <w:div w:id="819226755">
      <w:bodyDiv w:val="1"/>
      <w:marLeft w:val="0"/>
      <w:marRight w:val="0"/>
      <w:marTop w:val="0"/>
      <w:marBottom w:val="0"/>
      <w:divBdr>
        <w:top w:val="none" w:sz="0" w:space="0" w:color="auto"/>
        <w:left w:val="none" w:sz="0" w:space="0" w:color="auto"/>
        <w:bottom w:val="none" w:sz="0" w:space="0" w:color="auto"/>
        <w:right w:val="none" w:sz="0" w:space="0" w:color="auto"/>
      </w:divBdr>
    </w:div>
    <w:div w:id="820541266">
      <w:bodyDiv w:val="1"/>
      <w:marLeft w:val="0"/>
      <w:marRight w:val="0"/>
      <w:marTop w:val="0"/>
      <w:marBottom w:val="0"/>
      <w:divBdr>
        <w:top w:val="none" w:sz="0" w:space="0" w:color="auto"/>
        <w:left w:val="none" w:sz="0" w:space="0" w:color="auto"/>
        <w:bottom w:val="none" w:sz="0" w:space="0" w:color="auto"/>
        <w:right w:val="none" w:sz="0" w:space="0" w:color="auto"/>
      </w:divBdr>
    </w:div>
    <w:div w:id="820972099">
      <w:bodyDiv w:val="1"/>
      <w:marLeft w:val="0"/>
      <w:marRight w:val="0"/>
      <w:marTop w:val="0"/>
      <w:marBottom w:val="0"/>
      <w:divBdr>
        <w:top w:val="none" w:sz="0" w:space="0" w:color="auto"/>
        <w:left w:val="none" w:sz="0" w:space="0" w:color="auto"/>
        <w:bottom w:val="none" w:sz="0" w:space="0" w:color="auto"/>
        <w:right w:val="none" w:sz="0" w:space="0" w:color="auto"/>
      </w:divBdr>
    </w:div>
    <w:div w:id="823088729">
      <w:bodyDiv w:val="1"/>
      <w:marLeft w:val="0"/>
      <w:marRight w:val="0"/>
      <w:marTop w:val="0"/>
      <w:marBottom w:val="0"/>
      <w:divBdr>
        <w:top w:val="none" w:sz="0" w:space="0" w:color="auto"/>
        <w:left w:val="none" w:sz="0" w:space="0" w:color="auto"/>
        <w:bottom w:val="none" w:sz="0" w:space="0" w:color="auto"/>
        <w:right w:val="none" w:sz="0" w:space="0" w:color="auto"/>
      </w:divBdr>
      <w:divsChild>
        <w:div w:id="1402483215">
          <w:marLeft w:val="0"/>
          <w:marRight w:val="0"/>
          <w:marTop w:val="0"/>
          <w:marBottom w:val="0"/>
          <w:divBdr>
            <w:top w:val="none" w:sz="0" w:space="0" w:color="auto"/>
            <w:left w:val="none" w:sz="0" w:space="0" w:color="auto"/>
            <w:bottom w:val="none" w:sz="0" w:space="0" w:color="auto"/>
            <w:right w:val="none" w:sz="0" w:space="0" w:color="auto"/>
          </w:divBdr>
        </w:div>
        <w:div w:id="1916551141">
          <w:marLeft w:val="0"/>
          <w:marRight w:val="0"/>
          <w:marTop w:val="0"/>
          <w:marBottom w:val="0"/>
          <w:divBdr>
            <w:top w:val="none" w:sz="0" w:space="0" w:color="auto"/>
            <w:left w:val="none" w:sz="0" w:space="0" w:color="auto"/>
            <w:bottom w:val="none" w:sz="0" w:space="0" w:color="auto"/>
            <w:right w:val="none" w:sz="0" w:space="0" w:color="auto"/>
          </w:divBdr>
        </w:div>
        <w:div w:id="1487356758">
          <w:marLeft w:val="0"/>
          <w:marRight w:val="0"/>
          <w:marTop w:val="0"/>
          <w:marBottom w:val="0"/>
          <w:divBdr>
            <w:top w:val="none" w:sz="0" w:space="0" w:color="auto"/>
            <w:left w:val="none" w:sz="0" w:space="0" w:color="auto"/>
            <w:bottom w:val="none" w:sz="0" w:space="0" w:color="auto"/>
            <w:right w:val="none" w:sz="0" w:space="0" w:color="auto"/>
          </w:divBdr>
        </w:div>
        <w:div w:id="1474525322">
          <w:marLeft w:val="0"/>
          <w:marRight w:val="0"/>
          <w:marTop w:val="0"/>
          <w:marBottom w:val="0"/>
          <w:divBdr>
            <w:top w:val="none" w:sz="0" w:space="0" w:color="auto"/>
            <w:left w:val="none" w:sz="0" w:space="0" w:color="auto"/>
            <w:bottom w:val="none" w:sz="0" w:space="0" w:color="auto"/>
            <w:right w:val="none" w:sz="0" w:space="0" w:color="auto"/>
          </w:divBdr>
        </w:div>
        <w:div w:id="2120446784">
          <w:marLeft w:val="0"/>
          <w:marRight w:val="0"/>
          <w:marTop w:val="0"/>
          <w:marBottom w:val="0"/>
          <w:divBdr>
            <w:top w:val="none" w:sz="0" w:space="0" w:color="auto"/>
            <w:left w:val="none" w:sz="0" w:space="0" w:color="auto"/>
            <w:bottom w:val="none" w:sz="0" w:space="0" w:color="auto"/>
            <w:right w:val="none" w:sz="0" w:space="0" w:color="auto"/>
          </w:divBdr>
        </w:div>
        <w:div w:id="2107193222">
          <w:marLeft w:val="0"/>
          <w:marRight w:val="0"/>
          <w:marTop w:val="0"/>
          <w:marBottom w:val="0"/>
          <w:divBdr>
            <w:top w:val="none" w:sz="0" w:space="0" w:color="auto"/>
            <w:left w:val="none" w:sz="0" w:space="0" w:color="auto"/>
            <w:bottom w:val="none" w:sz="0" w:space="0" w:color="auto"/>
            <w:right w:val="none" w:sz="0" w:space="0" w:color="auto"/>
          </w:divBdr>
        </w:div>
        <w:div w:id="474838922">
          <w:marLeft w:val="0"/>
          <w:marRight w:val="0"/>
          <w:marTop w:val="0"/>
          <w:marBottom w:val="0"/>
          <w:divBdr>
            <w:top w:val="none" w:sz="0" w:space="0" w:color="auto"/>
            <w:left w:val="none" w:sz="0" w:space="0" w:color="auto"/>
            <w:bottom w:val="none" w:sz="0" w:space="0" w:color="auto"/>
            <w:right w:val="none" w:sz="0" w:space="0" w:color="auto"/>
          </w:divBdr>
        </w:div>
      </w:divsChild>
    </w:div>
    <w:div w:id="823476847">
      <w:bodyDiv w:val="1"/>
      <w:marLeft w:val="0"/>
      <w:marRight w:val="0"/>
      <w:marTop w:val="0"/>
      <w:marBottom w:val="0"/>
      <w:divBdr>
        <w:top w:val="none" w:sz="0" w:space="0" w:color="auto"/>
        <w:left w:val="none" w:sz="0" w:space="0" w:color="auto"/>
        <w:bottom w:val="none" w:sz="0" w:space="0" w:color="auto"/>
        <w:right w:val="none" w:sz="0" w:space="0" w:color="auto"/>
      </w:divBdr>
    </w:div>
    <w:div w:id="836579717">
      <w:bodyDiv w:val="1"/>
      <w:marLeft w:val="0"/>
      <w:marRight w:val="0"/>
      <w:marTop w:val="0"/>
      <w:marBottom w:val="0"/>
      <w:divBdr>
        <w:top w:val="none" w:sz="0" w:space="0" w:color="auto"/>
        <w:left w:val="none" w:sz="0" w:space="0" w:color="auto"/>
        <w:bottom w:val="none" w:sz="0" w:space="0" w:color="auto"/>
        <w:right w:val="none" w:sz="0" w:space="0" w:color="auto"/>
      </w:divBdr>
    </w:div>
    <w:div w:id="839126986">
      <w:bodyDiv w:val="1"/>
      <w:marLeft w:val="0"/>
      <w:marRight w:val="0"/>
      <w:marTop w:val="0"/>
      <w:marBottom w:val="0"/>
      <w:divBdr>
        <w:top w:val="none" w:sz="0" w:space="0" w:color="auto"/>
        <w:left w:val="none" w:sz="0" w:space="0" w:color="auto"/>
        <w:bottom w:val="none" w:sz="0" w:space="0" w:color="auto"/>
        <w:right w:val="none" w:sz="0" w:space="0" w:color="auto"/>
      </w:divBdr>
    </w:div>
    <w:div w:id="851257197">
      <w:bodyDiv w:val="1"/>
      <w:marLeft w:val="0"/>
      <w:marRight w:val="0"/>
      <w:marTop w:val="0"/>
      <w:marBottom w:val="0"/>
      <w:divBdr>
        <w:top w:val="none" w:sz="0" w:space="0" w:color="auto"/>
        <w:left w:val="none" w:sz="0" w:space="0" w:color="auto"/>
        <w:bottom w:val="none" w:sz="0" w:space="0" w:color="auto"/>
        <w:right w:val="none" w:sz="0" w:space="0" w:color="auto"/>
      </w:divBdr>
    </w:div>
    <w:div w:id="858814343">
      <w:bodyDiv w:val="1"/>
      <w:marLeft w:val="0"/>
      <w:marRight w:val="0"/>
      <w:marTop w:val="0"/>
      <w:marBottom w:val="0"/>
      <w:divBdr>
        <w:top w:val="none" w:sz="0" w:space="0" w:color="auto"/>
        <w:left w:val="none" w:sz="0" w:space="0" w:color="auto"/>
        <w:bottom w:val="none" w:sz="0" w:space="0" w:color="auto"/>
        <w:right w:val="none" w:sz="0" w:space="0" w:color="auto"/>
      </w:divBdr>
    </w:div>
    <w:div w:id="861433475">
      <w:bodyDiv w:val="1"/>
      <w:marLeft w:val="0"/>
      <w:marRight w:val="0"/>
      <w:marTop w:val="0"/>
      <w:marBottom w:val="0"/>
      <w:divBdr>
        <w:top w:val="none" w:sz="0" w:space="0" w:color="auto"/>
        <w:left w:val="none" w:sz="0" w:space="0" w:color="auto"/>
        <w:bottom w:val="none" w:sz="0" w:space="0" w:color="auto"/>
        <w:right w:val="none" w:sz="0" w:space="0" w:color="auto"/>
      </w:divBdr>
    </w:div>
    <w:div w:id="861553576">
      <w:bodyDiv w:val="1"/>
      <w:marLeft w:val="0"/>
      <w:marRight w:val="0"/>
      <w:marTop w:val="0"/>
      <w:marBottom w:val="0"/>
      <w:divBdr>
        <w:top w:val="none" w:sz="0" w:space="0" w:color="auto"/>
        <w:left w:val="none" w:sz="0" w:space="0" w:color="auto"/>
        <w:bottom w:val="none" w:sz="0" w:space="0" w:color="auto"/>
        <w:right w:val="none" w:sz="0" w:space="0" w:color="auto"/>
      </w:divBdr>
    </w:div>
    <w:div w:id="868834230">
      <w:bodyDiv w:val="1"/>
      <w:marLeft w:val="0"/>
      <w:marRight w:val="0"/>
      <w:marTop w:val="0"/>
      <w:marBottom w:val="0"/>
      <w:divBdr>
        <w:top w:val="none" w:sz="0" w:space="0" w:color="auto"/>
        <w:left w:val="none" w:sz="0" w:space="0" w:color="auto"/>
        <w:bottom w:val="none" w:sz="0" w:space="0" w:color="auto"/>
        <w:right w:val="none" w:sz="0" w:space="0" w:color="auto"/>
      </w:divBdr>
    </w:div>
    <w:div w:id="870653640">
      <w:bodyDiv w:val="1"/>
      <w:marLeft w:val="0"/>
      <w:marRight w:val="0"/>
      <w:marTop w:val="0"/>
      <w:marBottom w:val="0"/>
      <w:divBdr>
        <w:top w:val="none" w:sz="0" w:space="0" w:color="auto"/>
        <w:left w:val="none" w:sz="0" w:space="0" w:color="auto"/>
        <w:bottom w:val="none" w:sz="0" w:space="0" w:color="auto"/>
        <w:right w:val="none" w:sz="0" w:space="0" w:color="auto"/>
      </w:divBdr>
    </w:div>
    <w:div w:id="871109420">
      <w:bodyDiv w:val="1"/>
      <w:marLeft w:val="0"/>
      <w:marRight w:val="0"/>
      <w:marTop w:val="0"/>
      <w:marBottom w:val="0"/>
      <w:divBdr>
        <w:top w:val="none" w:sz="0" w:space="0" w:color="auto"/>
        <w:left w:val="none" w:sz="0" w:space="0" w:color="auto"/>
        <w:bottom w:val="none" w:sz="0" w:space="0" w:color="auto"/>
        <w:right w:val="none" w:sz="0" w:space="0" w:color="auto"/>
      </w:divBdr>
    </w:div>
    <w:div w:id="872304289">
      <w:bodyDiv w:val="1"/>
      <w:marLeft w:val="0"/>
      <w:marRight w:val="0"/>
      <w:marTop w:val="0"/>
      <w:marBottom w:val="0"/>
      <w:divBdr>
        <w:top w:val="none" w:sz="0" w:space="0" w:color="auto"/>
        <w:left w:val="none" w:sz="0" w:space="0" w:color="auto"/>
        <w:bottom w:val="none" w:sz="0" w:space="0" w:color="auto"/>
        <w:right w:val="none" w:sz="0" w:space="0" w:color="auto"/>
      </w:divBdr>
    </w:div>
    <w:div w:id="873733880">
      <w:bodyDiv w:val="1"/>
      <w:marLeft w:val="0"/>
      <w:marRight w:val="0"/>
      <w:marTop w:val="0"/>
      <w:marBottom w:val="0"/>
      <w:divBdr>
        <w:top w:val="none" w:sz="0" w:space="0" w:color="auto"/>
        <w:left w:val="none" w:sz="0" w:space="0" w:color="auto"/>
        <w:bottom w:val="none" w:sz="0" w:space="0" w:color="auto"/>
        <w:right w:val="none" w:sz="0" w:space="0" w:color="auto"/>
      </w:divBdr>
    </w:div>
    <w:div w:id="874082891">
      <w:bodyDiv w:val="1"/>
      <w:marLeft w:val="0"/>
      <w:marRight w:val="0"/>
      <w:marTop w:val="0"/>
      <w:marBottom w:val="0"/>
      <w:divBdr>
        <w:top w:val="none" w:sz="0" w:space="0" w:color="auto"/>
        <w:left w:val="none" w:sz="0" w:space="0" w:color="auto"/>
        <w:bottom w:val="none" w:sz="0" w:space="0" w:color="auto"/>
        <w:right w:val="none" w:sz="0" w:space="0" w:color="auto"/>
      </w:divBdr>
    </w:div>
    <w:div w:id="874781060">
      <w:bodyDiv w:val="1"/>
      <w:marLeft w:val="0"/>
      <w:marRight w:val="0"/>
      <w:marTop w:val="0"/>
      <w:marBottom w:val="0"/>
      <w:divBdr>
        <w:top w:val="none" w:sz="0" w:space="0" w:color="auto"/>
        <w:left w:val="none" w:sz="0" w:space="0" w:color="auto"/>
        <w:bottom w:val="none" w:sz="0" w:space="0" w:color="auto"/>
        <w:right w:val="none" w:sz="0" w:space="0" w:color="auto"/>
      </w:divBdr>
    </w:div>
    <w:div w:id="882211109">
      <w:bodyDiv w:val="1"/>
      <w:marLeft w:val="0"/>
      <w:marRight w:val="0"/>
      <w:marTop w:val="0"/>
      <w:marBottom w:val="0"/>
      <w:divBdr>
        <w:top w:val="none" w:sz="0" w:space="0" w:color="auto"/>
        <w:left w:val="none" w:sz="0" w:space="0" w:color="auto"/>
        <w:bottom w:val="none" w:sz="0" w:space="0" w:color="auto"/>
        <w:right w:val="none" w:sz="0" w:space="0" w:color="auto"/>
      </w:divBdr>
      <w:divsChild>
        <w:div w:id="54279464">
          <w:marLeft w:val="0"/>
          <w:marRight w:val="0"/>
          <w:marTop w:val="0"/>
          <w:marBottom w:val="0"/>
          <w:divBdr>
            <w:top w:val="none" w:sz="0" w:space="0" w:color="auto"/>
            <w:left w:val="none" w:sz="0" w:space="0" w:color="auto"/>
            <w:bottom w:val="none" w:sz="0" w:space="0" w:color="auto"/>
            <w:right w:val="none" w:sz="0" w:space="0" w:color="auto"/>
          </w:divBdr>
        </w:div>
        <w:div w:id="127169524">
          <w:marLeft w:val="0"/>
          <w:marRight w:val="0"/>
          <w:marTop w:val="0"/>
          <w:marBottom w:val="0"/>
          <w:divBdr>
            <w:top w:val="none" w:sz="0" w:space="0" w:color="auto"/>
            <w:left w:val="none" w:sz="0" w:space="0" w:color="auto"/>
            <w:bottom w:val="none" w:sz="0" w:space="0" w:color="auto"/>
            <w:right w:val="none" w:sz="0" w:space="0" w:color="auto"/>
          </w:divBdr>
        </w:div>
        <w:div w:id="180706101">
          <w:marLeft w:val="0"/>
          <w:marRight w:val="0"/>
          <w:marTop w:val="0"/>
          <w:marBottom w:val="0"/>
          <w:divBdr>
            <w:top w:val="none" w:sz="0" w:space="0" w:color="auto"/>
            <w:left w:val="none" w:sz="0" w:space="0" w:color="auto"/>
            <w:bottom w:val="none" w:sz="0" w:space="0" w:color="auto"/>
            <w:right w:val="none" w:sz="0" w:space="0" w:color="auto"/>
          </w:divBdr>
        </w:div>
        <w:div w:id="573512657">
          <w:marLeft w:val="0"/>
          <w:marRight w:val="0"/>
          <w:marTop w:val="0"/>
          <w:marBottom w:val="0"/>
          <w:divBdr>
            <w:top w:val="none" w:sz="0" w:space="0" w:color="auto"/>
            <w:left w:val="none" w:sz="0" w:space="0" w:color="auto"/>
            <w:bottom w:val="none" w:sz="0" w:space="0" w:color="auto"/>
            <w:right w:val="none" w:sz="0" w:space="0" w:color="auto"/>
          </w:divBdr>
        </w:div>
        <w:div w:id="761611054">
          <w:marLeft w:val="0"/>
          <w:marRight w:val="0"/>
          <w:marTop w:val="0"/>
          <w:marBottom w:val="0"/>
          <w:divBdr>
            <w:top w:val="none" w:sz="0" w:space="0" w:color="auto"/>
            <w:left w:val="none" w:sz="0" w:space="0" w:color="auto"/>
            <w:bottom w:val="none" w:sz="0" w:space="0" w:color="auto"/>
            <w:right w:val="none" w:sz="0" w:space="0" w:color="auto"/>
          </w:divBdr>
        </w:div>
        <w:div w:id="960189603">
          <w:marLeft w:val="0"/>
          <w:marRight w:val="0"/>
          <w:marTop w:val="0"/>
          <w:marBottom w:val="0"/>
          <w:divBdr>
            <w:top w:val="none" w:sz="0" w:space="0" w:color="auto"/>
            <w:left w:val="none" w:sz="0" w:space="0" w:color="auto"/>
            <w:bottom w:val="none" w:sz="0" w:space="0" w:color="auto"/>
            <w:right w:val="none" w:sz="0" w:space="0" w:color="auto"/>
          </w:divBdr>
        </w:div>
        <w:div w:id="975186348">
          <w:marLeft w:val="0"/>
          <w:marRight w:val="0"/>
          <w:marTop w:val="0"/>
          <w:marBottom w:val="0"/>
          <w:divBdr>
            <w:top w:val="none" w:sz="0" w:space="0" w:color="auto"/>
            <w:left w:val="none" w:sz="0" w:space="0" w:color="auto"/>
            <w:bottom w:val="none" w:sz="0" w:space="0" w:color="auto"/>
            <w:right w:val="none" w:sz="0" w:space="0" w:color="auto"/>
          </w:divBdr>
        </w:div>
        <w:div w:id="1233085220">
          <w:marLeft w:val="0"/>
          <w:marRight w:val="0"/>
          <w:marTop w:val="0"/>
          <w:marBottom w:val="0"/>
          <w:divBdr>
            <w:top w:val="none" w:sz="0" w:space="0" w:color="auto"/>
            <w:left w:val="none" w:sz="0" w:space="0" w:color="auto"/>
            <w:bottom w:val="none" w:sz="0" w:space="0" w:color="auto"/>
            <w:right w:val="none" w:sz="0" w:space="0" w:color="auto"/>
          </w:divBdr>
        </w:div>
      </w:divsChild>
    </w:div>
    <w:div w:id="885289164">
      <w:bodyDiv w:val="1"/>
      <w:marLeft w:val="0"/>
      <w:marRight w:val="0"/>
      <w:marTop w:val="0"/>
      <w:marBottom w:val="0"/>
      <w:divBdr>
        <w:top w:val="none" w:sz="0" w:space="0" w:color="auto"/>
        <w:left w:val="none" w:sz="0" w:space="0" w:color="auto"/>
        <w:bottom w:val="none" w:sz="0" w:space="0" w:color="auto"/>
        <w:right w:val="none" w:sz="0" w:space="0" w:color="auto"/>
      </w:divBdr>
    </w:div>
    <w:div w:id="887641367">
      <w:bodyDiv w:val="1"/>
      <w:marLeft w:val="0"/>
      <w:marRight w:val="0"/>
      <w:marTop w:val="0"/>
      <w:marBottom w:val="0"/>
      <w:divBdr>
        <w:top w:val="none" w:sz="0" w:space="0" w:color="auto"/>
        <w:left w:val="none" w:sz="0" w:space="0" w:color="auto"/>
        <w:bottom w:val="none" w:sz="0" w:space="0" w:color="auto"/>
        <w:right w:val="none" w:sz="0" w:space="0" w:color="auto"/>
      </w:divBdr>
    </w:div>
    <w:div w:id="894044825">
      <w:bodyDiv w:val="1"/>
      <w:marLeft w:val="0"/>
      <w:marRight w:val="0"/>
      <w:marTop w:val="0"/>
      <w:marBottom w:val="0"/>
      <w:divBdr>
        <w:top w:val="none" w:sz="0" w:space="0" w:color="auto"/>
        <w:left w:val="none" w:sz="0" w:space="0" w:color="auto"/>
        <w:bottom w:val="none" w:sz="0" w:space="0" w:color="auto"/>
        <w:right w:val="none" w:sz="0" w:space="0" w:color="auto"/>
      </w:divBdr>
    </w:div>
    <w:div w:id="894199676">
      <w:bodyDiv w:val="1"/>
      <w:marLeft w:val="0"/>
      <w:marRight w:val="0"/>
      <w:marTop w:val="0"/>
      <w:marBottom w:val="0"/>
      <w:divBdr>
        <w:top w:val="none" w:sz="0" w:space="0" w:color="auto"/>
        <w:left w:val="none" w:sz="0" w:space="0" w:color="auto"/>
        <w:bottom w:val="none" w:sz="0" w:space="0" w:color="auto"/>
        <w:right w:val="none" w:sz="0" w:space="0" w:color="auto"/>
      </w:divBdr>
      <w:divsChild>
        <w:div w:id="116071535">
          <w:marLeft w:val="0"/>
          <w:marRight w:val="0"/>
          <w:marTop w:val="0"/>
          <w:marBottom w:val="0"/>
          <w:divBdr>
            <w:top w:val="none" w:sz="0" w:space="0" w:color="auto"/>
            <w:left w:val="none" w:sz="0" w:space="0" w:color="auto"/>
            <w:bottom w:val="none" w:sz="0" w:space="0" w:color="auto"/>
            <w:right w:val="none" w:sz="0" w:space="0" w:color="auto"/>
          </w:divBdr>
        </w:div>
        <w:div w:id="151525242">
          <w:marLeft w:val="0"/>
          <w:marRight w:val="0"/>
          <w:marTop w:val="0"/>
          <w:marBottom w:val="0"/>
          <w:divBdr>
            <w:top w:val="none" w:sz="0" w:space="0" w:color="auto"/>
            <w:left w:val="none" w:sz="0" w:space="0" w:color="auto"/>
            <w:bottom w:val="none" w:sz="0" w:space="0" w:color="auto"/>
            <w:right w:val="none" w:sz="0" w:space="0" w:color="auto"/>
          </w:divBdr>
        </w:div>
        <w:div w:id="198474749">
          <w:marLeft w:val="0"/>
          <w:marRight w:val="0"/>
          <w:marTop w:val="0"/>
          <w:marBottom w:val="0"/>
          <w:divBdr>
            <w:top w:val="none" w:sz="0" w:space="0" w:color="auto"/>
            <w:left w:val="none" w:sz="0" w:space="0" w:color="auto"/>
            <w:bottom w:val="none" w:sz="0" w:space="0" w:color="auto"/>
            <w:right w:val="none" w:sz="0" w:space="0" w:color="auto"/>
          </w:divBdr>
        </w:div>
        <w:div w:id="478964036">
          <w:marLeft w:val="0"/>
          <w:marRight w:val="0"/>
          <w:marTop w:val="0"/>
          <w:marBottom w:val="0"/>
          <w:divBdr>
            <w:top w:val="none" w:sz="0" w:space="0" w:color="auto"/>
            <w:left w:val="none" w:sz="0" w:space="0" w:color="auto"/>
            <w:bottom w:val="none" w:sz="0" w:space="0" w:color="auto"/>
            <w:right w:val="none" w:sz="0" w:space="0" w:color="auto"/>
          </w:divBdr>
        </w:div>
        <w:div w:id="585236909">
          <w:marLeft w:val="0"/>
          <w:marRight w:val="0"/>
          <w:marTop w:val="0"/>
          <w:marBottom w:val="0"/>
          <w:divBdr>
            <w:top w:val="none" w:sz="0" w:space="0" w:color="auto"/>
            <w:left w:val="none" w:sz="0" w:space="0" w:color="auto"/>
            <w:bottom w:val="none" w:sz="0" w:space="0" w:color="auto"/>
            <w:right w:val="none" w:sz="0" w:space="0" w:color="auto"/>
          </w:divBdr>
        </w:div>
        <w:div w:id="730421241">
          <w:marLeft w:val="0"/>
          <w:marRight w:val="0"/>
          <w:marTop w:val="0"/>
          <w:marBottom w:val="0"/>
          <w:divBdr>
            <w:top w:val="none" w:sz="0" w:space="0" w:color="auto"/>
            <w:left w:val="none" w:sz="0" w:space="0" w:color="auto"/>
            <w:bottom w:val="none" w:sz="0" w:space="0" w:color="auto"/>
            <w:right w:val="none" w:sz="0" w:space="0" w:color="auto"/>
          </w:divBdr>
        </w:div>
        <w:div w:id="1029381642">
          <w:marLeft w:val="0"/>
          <w:marRight w:val="0"/>
          <w:marTop w:val="0"/>
          <w:marBottom w:val="0"/>
          <w:divBdr>
            <w:top w:val="none" w:sz="0" w:space="0" w:color="auto"/>
            <w:left w:val="none" w:sz="0" w:space="0" w:color="auto"/>
            <w:bottom w:val="none" w:sz="0" w:space="0" w:color="auto"/>
            <w:right w:val="none" w:sz="0" w:space="0" w:color="auto"/>
          </w:divBdr>
        </w:div>
        <w:div w:id="1073041415">
          <w:marLeft w:val="0"/>
          <w:marRight w:val="0"/>
          <w:marTop w:val="0"/>
          <w:marBottom w:val="0"/>
          <w:divBdr>
            <w:top w:val="none" w:sz="0" w:space="0" w:color="auto"/>
            <w:left w:val="none" w:sz="0" w:space="0" w:color="auto"/>
            <w:bottom w:val="none" w:sz="0" w:space="0" w:color="auto"/>
            <w:right w:val="none" w:sz="0" w:space="0" w:color="auto"/>
          </w:divBdr>
        </w:div>
        <w:div w:id="1098645749">
          <w:marLeft w:val="0"/>
          <w:marRight w:val="0"/>
          <w:marTop w:val="0"/>
          <w:marBottom w:val="0"/>
          <w:divBdr>
            <w:top w:val="none" w:sz="0" w:space="0" w:color="auto"/>
            <w:left w:val="none" w:sz="0" w:space="0" w:color="auto"/>
            <w:bottom w:val="none" w:sz="0" w:space="0" w:color="auto"/>
            <w:right w:val="none" w:sz="0" w:space="0" w:color="auto"/>
          </w:divBdr>
        </w:div>
        <w:div w:id="1128008391">
          <w:marLeft w:val="0"/>
          <w:marRight w:val="0"/>
          <w:marTop w:val="0"/>
          <w:marBottom w:val="0"/>
          <w:divBdr>
            <w:top w:val="none" w:sz="0" w:space="0" w:color="auto"/>
            <w:left w:val="none" w:sz="0" w:space="0" w:color="auto"/>
            <w:bottom w:val="none" w:sz="0" w:space="0" w:color="auto"/>
            <w:right w:val="none" w:sz="0" w:space="0" w:color="auto"/>
          </w:divBdr>
        </w:div>
        <w:div w:id="1277760939">
          <w:marLeft w:val="0"/>
          <w:marRight w:val="0"/>
          <w:marTop w:val="0"/>
          <w:marBottom w:val="0"/>
          <w:divBdr>
            <w:top w:val="none" w:sz="0" w:space="0" w:color="auto"/>
            <w:left w:val="none" w:sz="0" w:space="0" w:color="auto"/>
            <w:bottom w:val="none" w:sz="0" w:space="0" w:color="auto"/>
            <w:right w:val="none" w:sz="0" w:space="0" w:color="auto"/>
          </w:divBdr>
        </w:div>
        <w:div w:id="1315529333">
          <w:marLeft w:val="0"/>
          <w:marRight w:val="0"/>
          <w:marTop w:val="0"/>
          <w:marBottom w:val="0"/>
          <w:divBdr>
            <w:top w:val="none" w:sz="0" w:space="0" w:color="auto"/>
            <w:left w:val="none" w:sz="0" w:space="0" w:color="auto"/>
            <w:bottom w:val="none" w:sz="0" w:space="0" w:color="auto"/>
            <w:right w:val="none" w:sz="0" w:space="0" w:color="auto"/>
          </w:divBdr>
        </w:div>
        <w:div w:id="1574468811">
          <w:marLeft w:val="0"/>
          <w:marRight w:val="0"/>
          <w:marTop w:val="0"/>
          <w:marBottom w:val="0"/>
          <w:divBdr>
            <w:top w:val="none" w:sz="0" w:space="0" w:color="auto"/>
            <w:left w:val="none" w:sz="0" w:space="0" w:color="auto"/>
            <w:bottom w:val="none" w:sz="0" w:space="0" w:color="auto"/>
            <w:right w:val="none" w:sz="0" w:space="0" w:color="auto"/>
          </w:divBdr>
        </w:div>
        <w:div w:id="1692533639">
          <w:marLeft w:val="0"/>
          <w:marRight w:val="0"/>
          <w:marTop w:val="0"/>
          <w:marBottom w:val="0"/>
          <w:divBdr>
            <w:top w:val="none" w:sz="0" w:space="0" w:color="auto"/>
            <w:left w:val="none" w:sz="0" w:space="0" w:color="auto"/>
            <w:bottom w:val="none" w:sz="0" w:space="0" w:color="auto"/>
            <w:right w:val="none" w:sz="0" w:space="0" w:color="auto"/>
          </w:divBdr>
        </w:div>
      </w:divsChild>
    </w:div>
    <w:div w:id="898130080">
      <w:bodyDiv w:val="1"/>
      <w:marLeft w:val="0"/>
      <w:marRight w:val="0"/>
      <w:marTop w:val="0"/>
      <w:marBottom w:val="0"/>
      <w:divBdr>
        <w:top w:val="none" w:sz="0" w:space="0" w:color="auto"/>
        <w:left w:val="none" w:sz="0" w:space="0" w:color="auto"/>
        <w:bottom w:val="none" w:sz="0" w:space="0" w:color="auto"/>
        <w:right w:val="none" w:sz="0" w:space="0" w:color="auto"/>
      </w:divBdr>
    </w:div>
    <w:div w:id="905846745">
      <w:bodyDiv w:val="1"/>
      <w:marLeft w:val="0"/>
      <w:marRight w:val="0"/>
      <w:marTop w:val="0"/>
      <w:marBottom w:val="0"/>
      <w:divBdr>
        <w:top w:val="none" w:sz="0" w:space="0" w:color="auto"/>
        <w:left w:val="none" w:sz="0" w:space="0" w:color="auto"/>
        <w:bottom w:val="none" w:sz="0" w:space="0" w:color="auto"/>
        <w:right w:val="none" w:sz="0" w:space="0" w:color="auto"/>
      </w:divBdr>
    </w:div>
    <w:div w:id="915167002">
      <w:bodyDiv w:val="1"/>
      <w:marLeft w:val="0"/>
      <w:marRight w:val="0"/>
      <w:marTop w:val="0"/>
      <w:marBottom w:val="0"/>
      <w:divBdr>
        <w:top w:val="none" w:sz="0" w:space="0" w:color="auto"/>
        <w:left w:val="none" w:sz="0" w:space="0" w:color="auto"/>
        <w:bottom w:val="none" w:sz="0" w:space="0" w:color="auto"/>
        <w:right w:val="none" w:sz="0" w:space="0" w:color="auto"/>
      </w:divBdr>
    </w:div>
    <w:div w:id="916667899">
      <w:bodyDiv w:val="1"/>
      <w:marLeft w:val="0"/>
      <w:marRight w:val="0"/>
      <w:marTop w:val="0"/>
      <w:marBottom w:val="0"/>
      <w:divBdr>
        <w:top w:val="none" w:sz="0" w:space="0" w:color="auto"/>
        <w:left w:val="none" w:sz="0" w:space="0" w:color="auto"/>
        <w:bottom w:val="none" w:sz="0" w:space="0" w:color="auto"/>
        <w:right w:val="none" w:sz="0" w:space="0" w:color="auto"/>
      </w:divBdr>
    </w:div>
    <w:div w:id="917325238">
      <w:bodyDiv w:val="1"/>
      <w:marLeft w:val="0"/>
      <w:marRight w:val="0"/>
      <w:marTop w:val="0"/>
      <w:marBottom w:val="0"/>
      <w:divBdr>
        <w:top w:val="none" w:sz="0" w:space="0" w:color="auto"/>
        <w:left w:val="none" w:sz="0" w:space="0" w:color="auto"/>
        <w:bottom w:val="none" w:sz="0" w:space="0" w:color="auto"/>
        <w:right w:val="none" w:sz="0" w:space="0" w:color="auto"/>
      </w:divBdr>
    </w:div>
    <w:div w:id="925458454">
      <w:bodyDiv w:val="1"/>
      <w:marLeft w:val="0"/>
      <w:marRight w:val="0"/>
      <w:marTop w:val="0"/>
      <w:marBottom w:val="0"/>
      <w:divBdr>
        <w:top w:val="none" w:sz="0" w:space="0" w:color="auto"/>
        <w:left w:val="none" w:sz="0" w:space="0" w:color="auto"/>
        <w:bottom w:val="none" w:sz="0" w:space="0" w:color="auto"/>
        <w:right w:val="none" w:sz="0" w:space="0" w:color="auto"/>
      </w:divBdr>
    </w:div>
    <w:div w:id="930359306">
      <w:bodyDiv w:val="1"/>
      <w:marLeft w:val="0"/>
      <w:marRight w:val="0"/>
      <w:marTop w:val="0"/>
      <w:marBottom w:val="0"/>
      <w:divBdr>
        <w:top w:val="none" w:sz="0" w:space="0" w:color="auto"/>
        <w:left w:val="none" w:sz="0" w:space="0" w:color="auto"/>
        <w:bottom w:val="none" w:sz="0" w:space="0" w:color="auto"/>
        <w:right w:val="none" w:sz="0" w:space="0" w:color="auto"/>
      </w:divBdr>
    </w:div>
    <w:div w:id="934940509">
      <w:bodyDiv w:val="1"/>
      <w:marLeft w:val="0"/>
      <w:marRight w:val="0"/>
      <w:marTop w:val="0"/>
      <w:marBottom w:val="0"/>
      <w:divBdr>
        <w:top w:val="none" w:sz="0" w:space="0" w:color="auto"/>
        <w:left w:val="none" w:sz="0" w:space="0" w:color="auto"/>
        <w:bottom w:val="none" w:sz="0" w:space="0" w:color="auto"/>
        <w:right w:val="none" w:sz="0" w:space="0" w:color="auto"/>
      </w:divBdr>
    </w:div>
    <w:div w:id="935938504">
      <w:bodyDiv w:val="1"/>
      <w:marLeft w:val="0"/>
      <w:marRight w:val="0"/>
      <w:marTop w:val="0"/>
      <w:marBottom w:val="0"/>
      <w:divBdr>
        <w:top w:val="none" w:sz="0" w:space="0" w:color="auto"/>
        <w:left w:val="none" w:sz="0" w:space="0" w:color="auto"/>
        <w:bottom w:val="none" w:sz="0" w:space="0" w:color="auto"/>
        <w:right w:val="none" w:sz="0" w:space="0" w:color="auto"/>
      </w:divBdr>
    </w:div>
    <w:div w:id="938367955">
      <w:bodyDiv w:val="1"/>
      <w:marLeft w:val="0"/>
      <w:marRight w:val="0"/>
      <w:marTop w:val="0"/>
      <w:marBottom w:val="0"/>
      <w:divBdr>
        <w:top w:val="none" w:sz="0" w:space="0" w:color="auto"/>
        <w:left w:val="none" w:sz="0" w:space="0" w:color="auto"/>
        <w:bottom w:val="none" w:sz="0" w:space="0" w:color="auto"/>
        <w:right w:val="none" w:sz="0" w:space="0" w:color="auto"/>
      </w:divBdr>
    </w:div>
    <w:div w:id="941186503">
      <w:bodyDiv w:val="1"/>
      <w:marLeft w:val="0"/>
      <w:marRight w:val="0"/>
      <w:marTop w:val="0"/>
      <w:marBottom w:val="0"/>
      <w:divBdr>
        <w:top w:val="none" w:sz="0" w:space="0" w:color="auto"/>
        <w:left w:val="none" w:sz="0" w:space="0" w:color="auto"/>
        <w:bottom w:val="none" w:sz="0" w:space="0" w:color="auto"/>
        <w:right w:val="none" w:sz="0" w:space="0" w:color="auto"/>
      </w:divBdr>
    </w:div>
    <w:div w:id="943268265">
      <w:bodyDiv w:val="1"/>
      <w:marLeft w:val="0"/>
      <w:marRight w:val="0"/>
      <w:marTop w:val="0"/>
      <w:marBottom w:val="0"/>
      <w:divBdr>
        <w:top w:val="none" w:sz="0" w:space="0" w:color="auto"/>
        <w:left w:val="none" w:sz="0" w:space="0" w:color="auto"/>
        <w:bottom w:val="none" w:sz="0" w:space="0" w:color="auto"/>
        <w:right w:val="none" w:sz="0" w:space="0" w:color="auto"/>
      </w:divBdr>
    </w:div>
    <w:div w:id="947616466">
      <w:bodyDiv w:val="1"/>
      <w:marLeft w:val="0"/>
      <w:marRight w:val="0"/>
      <w:marTop w:val="0"/>
      <w:marBottom w:val="0"/>
      <w:divBdr>
        <w:top w:val="none" w:sz="0" w:space="0" w:color="auto"/>
        <w:left w:val="none" w:sz="0" w:space="0" w:color="auto"/>
        <w:bottom w:val="none" w:sz="0" w:space="0" w:color="auto"/>
        <w:right w:val="none" w:sz="0" w:space="0" w:color="auto"/>
      </w:divBdr>
      <w:divsChild>
        <w:div w:id="267542498">
          <w:marLeft w:val="0"/>
          <w:marRight w:val="0"/>
          <w:marTop w:val="0"/>
          <w:marBottom w:val="0"/>
          <w:divBdr>
            <w:top w:val="none" w:sz="0" w:space="0" w:color="auto"/>
            <w:left w:val="none" w:sz="0" w:space="0" w:color="auto"/>
            <w:bottom w:val="none" w:sz="0" w:space="0" w:color="auto"/>
            <w:right w:val="none" w:sz="0" w:space="0" w:color="auto"/>
          </w:divBdr>
        </w:div>
        <w:div w:id="315113270">
          <w:marLeft w:val="0"/>
          <w:marRight w:val="0"/>
          <w:marTop w:val="0"/>
          <w:marBottom w:val="0"/>
          <w:divBdr>
            <w:top w:val="none" w:sz="0" w:space="0" w:color="auto"/>
            <w:left w:val="none" w:sz="0" w:space="0" w:color="auto"/>
            <w:bottom w:val="none" w:sz="0" w:space="0" w:color="auto"/>
            <w:right w:val="none" w:sz="0" w:space="0" w:color="auto"/>
          </w:divBdr>
        </w:div>
        <w:div w:id="389036054">
          <w:marLeft w:val="0"/>
          <w:marRight w:val="0"/>
          <w:marTop w:val="0"/>
          <w:marBottom w:val="0"/>
          <w:divBdr>
            <w:top w:val="none" w:sz="0" w:space="0" w:color="auto"/>
            <w:left w:val="none" w:sz="0" w:space="0" w:color="auto"/>
            <w:bottom w:val="none" w:sz="0" w:space="0" w:color="auto"/>
            <w:right w:val="none" w:sz="0" w:space="0" w:color="auto"/>
          </w:divBdr>
        </w:div>
        <w:div w:id="1000616947">
          <w:marLeft w:val="0"/>
          <w:marRight w:val="0"/>
          <w:marTop w:val="0"/>
          <w:marBottom w:val="0"/>
          <w:divBdr>
            <w:top w:val="none" w:sz="0" w:space="0" w:color="auto"/>
            <w:left w:val="none" w:sz="0" w:space="0" w:color="auto"/>
            <w:bottom w:val="none" w:sz="0" w:space="0" w:color="auto"/>
            <w:right w:val="none" w:sz="0" w:space="0" w:color="auto"/>
          </w:divBdr>
        </w:div>
      </w:divsChild>
    </w:div>
    <w:div w:id="947928737">
      <w:bodyDiv w:val="1"/>
      <w:marLeft w:val="0"/>
      <w:marRight w:val="0"/>
      <w:marTop w:val="0"/>
      <w:marBottom w:val="0"/>
      <w:divBdr>
        <w:top w:val="none" w:sz="0" w:space="0" w:color="auto"/>
        <w:left w:val="none" w:sz="0" w:space="0" w:color="auto"/>
        <w:bottom w:val="none" w:sz="0" w:space="0" w:color="auto"/>
        <w:right w:val="none" w:sz="0" w:space="0" w:color="auto"/>
      </w:divBdr>
    </w:div>
    <w:div w:id="948581838">
      <w:bodyDiv w:val="1"/>
      <w:marLeft w:val="0"/>
      <w:marRight w:val="0"/>
      <w:marTop w:val="0"/>
      <w:marBottom w:val="0"/>
      <w:divBdr>
        <w:top w:val="none" w:sz="0" w:space="0" w:color="auto"/>
        <w:left w:val="none" w:sz="0" w:space="0" w:color="auto"/>
        <w:bottom w:val="none" w:sz="0" w:space="0" w:color="auto"/>
        <w:right w:val="none" w:sz="0" w:space="0" w:color="auto"/>
      </w:divBdr>
    </w:div>
    <w:div w:id="955720187">
      <w:bodyDiv w:val="1"/>
      <w:marLeft w:val="0"/>
      <w:marRight w:val="0"/>
      <w:marTop w:val="0"/>
      <w:marBottom w:val="0"/>
      <w:divBdr>
        <w:top w:val="none" w:sz="0" w:space="0" w:color="auto"/>
        <w:left w:val="none" w:sz="0" w:space="0" w:color="auto"/>
        <w:bottom w:val="none" w:sz="0" w:space="0" w:color="auto"/>
        <w:right w:val="none" w:sz="0" w:space="0" w:color="auto"/>
      </w:divBdr>
    </w:div>
    <w:div w:id="957494581">
      <w:bodyDiv w:val="1"/>
      <w:marLeft w:val="0"/>
      <w:marRight w:val="0"/>
      <w:marTop w:val="0"/>
      <w:marBottom w:val="0"/>
      <w:divBdr>
        <w:top w:val="none" w:sz="0" w:space="0" w:color="auto"/>
        <w:left w:val="none" w:sz="0" w:space="0" w:color="auto"/>
        <w:bottom w:val="none" w:sz="0" w:space="0" w:color="auto"/>
        <w:right w:val="none" w:sz="0" w:space="0" w:color="auto"/>
      </w:divBdr>
    </w:div>
    <w:div w:id="959072566">
      <w:bodyDiv w:val="1"/>
      <w:marLeft w:val="0"/>
      <w:marRight w:val="0"/>
      <w:marTop w:val="0"/>
      <w:marBottom w:val="0"/>
      <w:divBdr>
        <w:top w:val="none" w:sz="0" w:space="0" w:color="auto"/>
        <w:left w:val="none" w:sz="0" w:space="0" w:color="auto"/>
        <w:bottom w:val="none" w:sz="0" w:space="0" w:color="auto"/>
        <w:right w:val="none" w:sz="0" w:space="0" w:color="auto"/>
      </w:divBdr>
    </w:div>
    <w:div w:id="963198477">
      <w:bodyDiv w:val="1"/>
      <w:marLeft w:val="0"/>
      <w:marRight w:val="0"/>
      <w:marTop w:val="0"/>
      <w:marBottom w:val="0"/>
      <w:divBdr>
        <w:top w:val="none" w:sz="0" w:space="0" w:color="auto"/>
        <w:left w:val="none" w:sz="0" w:space="0" w:color="auto"/>
        <w:bottom w:val="none" w:sz="0" w:space="0" w:color="auto"/>
        <w:right w:val="none" w:sz="0" w:space="0" w:color="auto"/>
      </w:divBdr>
    </w:div>
    <w:div w:id="965238187">
      <w:bodyDiv w:val="1"/>
      <w:marLeft w:val="0"/>
      <w:marRight w:val="0"/>
      <w:marTop w:val="0"/>
      <w:marBottom w:val="0"/>
      <w:divBdr>
        <w:top w:val="none" w:sz="0" w:space="0" w:color="auto"/>
        <w:left w:val="none" w:sz="0" w:space="0" w:color="auto"/>
        <w:bottom w:val="none" w:sz="0" w:space="0" w:color="auto"/>
        <w:right w:val="none" w:sz="0" w:space="0" w:color="auto"/>
      </w:divBdr>
    </w:div>
    <w:div w:id="965548242">
      <w:bodyDiv w:val="1"/>
      <w:marLeft w:val="0"/>
      <w:marRight w:val="0"/>
      <w:marTop w:val="0"/>
      <w:marBottom w:val="0"/>
      <w:divBdr>
        <w:top w:val="none" w:sz="0" w:space="0" w:color="auto"/>
        <w:left w:val="none" w:sz="0" w:space="0" w:color="auto"/>
        <w:bottom w:val="none" w:sz="0" w:space="0" w:color="auto"/>
        <w:right w:val="none" w:sz="0" w:space="0" w:color="auto"/>
      </w:divBdr>
      <w:divsChild>
        <w:div w:id="634414743">
          <w:marLeft w:val="-225"/>
          <w:marRight w:val="-225"/>
          <w:marTop w:val="0"/>
          <w:marBottom w:val="0"/>
          <w:divBdr>
            <w:top w:val="none" w:sz="0" w:space="0" w:color="auto"/>
            <w:left w:val="none" w:sz="0" w:space="0" w:color="auto"/>
            <w:bottom w:val="none" w:sz="0" w:space="0" w:color="auto"/>
            <w:right w:val="none" w:sz="0" w:space="0" w:color="auto"/>
          </w:divBdr>
        </w:div>
        <w:div w:id="784084646">
          <w:marLeft w:val="-225"/>
          <w:marRight w:val="-225"/>
          <w:marTop w:val="0"/>
          <w:marBottom w:val="0"/>
          <w:divBdr>
            <w:top w:val="none" w:sz="0" w:space="0" w:color="auto"/>
            <w:left w:val="none" w:sz="0" w:space="0" w:color="auto"/>
            <w:bottom w:val="none" w:sz="0" w:space="0" w:color="auto"/>
            <w:right w:val="none" w:sz="0" w:space="0" w:color="auto"/>
          </w:divBdr>
        </w:div>
        <w:div w:id="1017847020">
          <w:marLeft w:val="-225"/>
          <w:marRight w:val="-225"/>
          <w:marTop w:val="0"/>
          <w:marBottom w:val="0"/>
          <w:divBdr>
            <w:top w:val="none" w:sz="0" w:space="0" w:color="auto"/>
            <w:left w:val="none" w:sz="0" w:space="0" w:color="auto"/>
            <w:bottom w:val="none" w:sz="0" w:space="0" w:color="auto"/>
            <w:right w:val="none" w:sz="0" w:space="0" w:color="auto"/>
          </w:divBdr>
        </w:div>
        <w:div w:id="1050685041">
          <w:marLeft w:val="-225"/>
          <w:marRight w:val="-225"/>
          <w:marTop w:val="0"/>
          <w:marBottom w:val="0"/>
          <w:divBdr>
            <w:top w:val="none" w:sz="0" w:space="0" w:color="auto"/>
            <w:left w:val="none" w:sz="0" w:space="0" w:color="auto"/>
            <w:bottom w:val="none" w:sz="0" w:space="0" w:color="auto"/>
            <w:right w:val="none" w:sz="0" w:space="0" w:color="auto"/>
          </w:divBdr>
        </w:div>
        <w:div w:id="1149982054">
          <w:marLeft w:val="-225"/>
          <w:marRight w:val="-225"/>
          <w:marTop w:val="0"/>
          <w:marBottom w:val="0"/>
          <w:divBdr>
            <w:top w:val="none" w:sz="0" w:space="0" w:color="auto"/>
            <w:left w:val="none" w:sz="0" w:space="0" w:color="auto"/>
            <w:bottom w:val="none" w:sz="0" w:space="0" w:color="auto"/>
            <w:right w:val="none" w:sz="0" w:space="0" w:color="auto"/>
          </w:divBdr>
        </w:div>
        <w:div w:id="1360623082">
          <w:marLeft w:val="-225"/>
          <w:marRight w:val="-225"/>
          <w:marTop w:val="0"/>
          <w:marBottom w:val="0"/>
          <w:divBdr>
            <w:top w:val="none" w:sz="0" w:space="0" w:color="auto"/>
            <w:left w:val="none" w:sz="0" w:space="0" w:color="auto"/>
            <w:bottom w:val="none" w:sz="0" w:space="0" w:color="auto"/>
            <w:right w:val="none" w:sz="0" w:space="0" w:color="auto"/>
          </w:divBdr>
        </w:div>
        <w:div w:id="1664703936">
          <w:marLeft w:val="-225"/>
          <w:marRight w:val="-225"/>
          <w:marTop w:val="0"/>
          <w:marBottom w:val="0"/>
          <w:divBdr>
            <w:top w:val="none" w:sz="0" w:space="0" w:color="auto"/>
            <w:left w:val="none" w:sz="0" w:space="0" w:color="auto"/>
            <w:bottom w:val="none" w:sz="0" w:space="0" w:color="auto"/>
            <w:right w:val="none" w:sz="0" w:space="0" w:color="auto"/>
          </w:divBdr>
        </w:div>
      </w:divsChild>
    </w:div>
    <w:div w:id="966273720">
      <w:bodyDiv w:val="1"/>
      <w:marLeft w:val="0"/>
      <w:marRight w:val="0"/>
      <w:marTop w:val="0"/>
      <w:marBottom w:val="0"/>
      <w:divBdr>
        <w:top w:val="none" w:sz="0" w:space="0" w:color="auto"/>
        <w:left w:val="none" w:sz="0" w:space="0" w:color="auto"/>
        <w:bottom w:val="none" w:sz="0" w:space="0" w:color="auto"/>
        <w:right w:val="none" w:sz="0" w:space="0" w:color="auto"/>
      </w:divBdr>
    </w:div>
    <w:div w:id="974258974">
      <w:bodyDiv w:val="1"/>
      <w:marLeft w:val="0"/>
      <w:marRight w:val="0"/>
      <w:marTop w:val="0"/>
      <w:marBottom w:val="0"/>
      <w:divBdr>
        <w:top w:val="none" w:sz="0" w:space="0" w:color="auto"/>
        <w:left w:val="none" w:sz="0" w:space="0" w:color="auto"/>
        <w:bottom w:val="none" w:sz="0" w:space="0" w:color="auto"/>
        <w:right w:val="none" w:sz="0" w:space="0" w:color="auto"/>
      </w:divBdr>
    </w:div>
    <w:div w:id="984773402">
      <w:bodyDiv w:val="1"/>
      <w:marLeft w:val="0"/>
      <w:marRight w:val="0"/>
      <w:marTop w:val="0"/>
      <w:marBottom w:val="0"/>
      <w:divBdr>
        <w:top w:val="none" w:sz="0" w:space="0" w:color="auto"/>
        <w:left w:val="none" w:sz="0" w:space="0" w:color="auto"/>
        <w:bottom w:val="none" w:sz="0" w:space="0" w:color="auto"/>
        <w:right w:val="none" w:sz="0" w:space="0" w:color="auto"/>
      </w:divBdr>
    </w:div>
    <w:div w:id="985277413">
      <w:bodyDiv w:val="1"/>
      <w:marLeft w:val="0"/>
      <w:marRight w:val="0"/>
      <w:marTop w:val="0"/>
      <w:marBottom w:val="0"/>
      <w:divBdr>
        <w:top w:val="none" w:sz="0" w:space="0" w:color="auto"/>
        <w:left w:val="none" w:sz="0" w:space="0" w:color="auto"/>
        <w:bottom w:val="none" w:sz="0" w:space="0" w:color="auto"/>
        <w:right w:val="none" w:sz="0" w:space="0" w:color="auto"/>
      </w:divBdr>
    </w:div>
    <w:div w:id="986399056">
      <w:bodyDiv w:val="1"/>
      <w:marLeft w:val="0"/>
      <w:marRight w:val="0"/>
      <w:marTop w:val="0"/>
      <w:marBottom w:val="0"/>
      <w:divBdr>
        <w:top w:val="none" w:sz="0" w:space="0" w:color="auto"/>
        <w:left w:val="none" w:sz="0" w:space="0" w:color="auto"/>
        <w:bottom w:val="none" w:sz="0" w:space="0" w:color="auto"/>
        <w:right w:val="none" w:sz="0" w:space="0" w:color="auto"/>
      </w:divBdr>
    </w:div>
    <w:div w:id="1001660319">
      <w:bodyDiv w:val="1"/>
      <w:marLeft w:val="0"/>
      <w:marRight w:val="0"/>
      <w:marTop w:val="0"/>
      <w:marBottom w:val="0"/>
      <w:divBdr>
        <w:top w:val="none" w:sz="0" w:space="0" w:color="auto"/>
        <w:left w:val="none" w:sz="0" w:space="0" w:color="auto"/>
        <w:bottom w:val="none" w:sz="0" w:space="0" w:color="auto"/>
        <w:right w:val="none" w:sz="0" w:space="0" w:color="auto"/>
      </w:divBdr>
    </w:div>
    <w:div w:id="1018190127">
      <w:bodyDiv w:val="1"/>
      <w:marLeft w:val="0"/>
      <w:marRight w:val="0"/>
      <w:marTop w:val="0"/>
      <w:marBottom w:val="0"/>
      <w:divBdr>
        <w:top w:val="none" w:sz="0" w:space="0" w:color="auto"/>
        <w:left w:val="none" w:sz="0" w:space="0" w:color="auto"/>
        <w:bottom w:val="none" w:sz="0" w:space="0" w:color="auto"/>
        <w:right w:val="none" w:sz="0" w:space="0" w:color="auto"/>
      </w:divBdr>
    </w:div>
    <w:div w:id="1018199412">
      <w:bodyDiv w:val="1"/>
      <w:marLeft w:val="0"/>
      <w:marRight w:val="0"/>
      <w:marTop w:val="0"/>
      <w:marBottom w:val="0"/>
      <w:divBdr>
        <w:top w:val="none" w:sz="0" w:space="0" w:color="auto"/>
        <w:left w:val="none" w:sz="0" w:space="0" w:color="auto"/>
        <w:bottom w:val="none" w:sz="0" w:space="0" w:color="auto"/>
        <w:right w:val="none" w:sz="0" w:space="0" w:color="auto"/>
      </w:divBdr>
    </w:div>
    <w:div w:id="1027877919">
      <w:bodyDiv w:val="1"/>
      <w:marLeft w:val="0"/>
      <w:marRight w:val="0"/>
      <w:marTop w:val="0"/>
      <w:marBottom w:val="0"/>
      <w:divBdr>
        <w:top w:val="none" w:sz="0" w:space="0" w:color="auto"/>
        <w:left w:val="none" w:sz="0" w:space="0" w:color="auto"/>
        <w:bottom w:val="none" w:sz="0" w:space="0" w:color="auto"/>
        <w:right w:val="none" w:sz="0" w:space="0" w:color="auto"/>
      </w:divBdr>
    </w:div>
    <w:div w:id="1029797204">
      <w:bodyDiv w:val="1"/>
      <w:marLeft w:val="0"/>
      <w:marRight w:val="0"/>
      <w:marTop w:val="0"/>
      <w:marBottom w:val="0"/>
      <w:divBdr>
        <w:top w:val="none" w:sz="0" w:space="0" w:color="auto"/>
        <w:left w:val="none" w:sz="0" w:space="0" w:color="auto"/>
        <w:bottom w:val="none" w:sz="0" w:space="0" w:color="auto"/>
        <w:right w:val="none" w:sz="0" w:space="0" w:color="auto"/>
      </w:divBdr>
    </w:div>
    <w:div w:id="1038509581">
      <w:bodyDiv w:val="1"/>
      <w:marLeft w:val="0"/>
      <w:marRight w:val="0"/>
      <w:marTop w:val="0"/>
      <w:marBottom w:val="0"/>
      <w:divBdr>
        <w:top w:val="none" w:sz="0" w:space="0" w:color="auto"/>
        <w:left w:val="none" w:sz="0" w:space="0" w:color="auto"/>
        <w:bottom w:val="none" w:sz="0" w:space="0" w:color="auto"/>
        <w:right w:val="none" w:sz="0" w:space="0" w:color="auto"/>
      </w:divBdr>
    </w:div>
    <w:div w:id="1041519247">
      <w:bodyDiv w:val="1"/>
      <w:marLeft w:val="0"/>
      <w:marRight w:val="0"/>
      <w:marTop w:val="0"/>
      <w:marBottom w:val="0"/>
      <w:divBdr>
        <w:top w:val="none" w:sz="0" w:space="0" w:color="auto"/>
        <w:left w:val="none" w:sz="0" w:space="0" w:color="auto"/>
        <w:bottom w:val="none" w:sz="0" w:space="0" w:color="auto"/>
        <w:right w:val="none" w:sz="0" w:space="0" w:color="auto"/>
      </w:divBdr>
    </w:div>
    <w:div w:id="1048603677">
      <w:bodyDiv w:val="1"/>
      <w:marLeft w:val="0"/>
      <w:marRight w:val="0"/>
      <w:marTop w:val="0"/>
      <w:marBottom w:val="0"/>
      <w:divBdr>
        <w:top w:val="none" w:sz="0" w:space="0" w:color="auto"/>
        <w:left w:val="none" w:sz="0" w:space="0" w:color="auto"/>
        <w:bottom w:val="none" w:sz="0" w:space="0" w:color="auto"/>
        <w:right w:val="none" w:sz="0" w:space="0" w:color="auto"/>
      </w:divBdr>
    </w:div>
    <w:div w:id="1048842044">
      <w:bodyDiv w:val="1"/>
      <w:marLeft w:val="0"/>
      <w:marRight w:val="0"/>
      <w:marTop w:val="0"/>
      <w:marBottom w:val="0"/>
      <w:divBdr>
        <w:top w:val="none" w:sz="0" w:space="0" w:color="auto"/>
        <w:left w:val="none" w:sz="0" w:space="0" w:color="auto"/>
        <w:bottom w:val="none" w:sz="0" w:space="0" w:color="auto"/>
        <w:right w:val="none" w:sz="0" w:space="0" w:color="auto"/>
      </w:divBdr>
    </w:div>
    <w:div w:id="1059010764">
      <w:bodyDiv w:val="1"/>
      <w:marLeft w:val="0"/>
      <w:marRight w:val="0"/>
      <w:marTop w:val="0"/>
      <w:marBottom w:val="0"/>
      <w:divBdr>
        <w:top w:val="none" w:sz="0" w:space="0" w:color="auto"/>
        <w:left w:val="none" w:sz="0" w:space="0" w:color="auto"/>
        <w:bottom w:val="none" w:sz="0" w:space="0" w:color="auto"/>
        <w:right w:val="none" w:sz="0" w:space="0" w:color="auto"/>
      </w:divBdr>
    </w:div>
    <w:div w:id="1070076706">
      <w:bodyDiv w:val="1"/>
      <w:marLeft w:val="0"/>
      <w:marRight w:val="0"/>
      <w:marTop w:val="0"/>
      <w:marBottom w:val="0"/>
      <w:divBdr>
        <w:top w:val="none" w:sz="0" w:space="0" w:color="auto"/>
        <w:left w:val="none" w:sz="0" w:space="0" w:color="auto"/>
        <w:bottom w:val="none" w:sz="0" w:space="0" w:color="auto"/>
        <w:right w:val="none" w:sz="0" w:space="0" w:color="auto"/>
      </w:divBdr>
    </w:div>
    <w:div w:id="1072971747">
      <w:bodyDiv w:val="1"/>
      <w:marLeft w:val="0"/>
      <w:marRight w:val="0"/>
      <w:marTop w:val="0"/>
      <w:marBottom w:val="0"/>
      <w:divBdr>
        <w:top w:val="none" w:sz="0" w:space="0" w:color="auto"/>
        <w:left w:val="none" w:sz="0" w:space="0" w:color="auto"/>
        <w:bottom w:val="none" w:sz="0" w:space="0" w:color="auto"/>
        <w:right w:val="none" w:sz="0" w:space="0" w:color="auto"/>
      </w:divBdr>
    </w:div>
    <w:div w:id="1075592784">
      <w:bodyDiv w:val="1"/>
      <w:marLeft w:val="0"/>
      <w:marRight w:val="0"/>
      <w:marTop w:val="0"/>
      <w:marBottom w:val="0"/>
      <w:divBdr>
        <w:top w:val="none" w:sz="0" w:space="0" w:color="auto"/>
        <w:left w:val="none" w:sz="0" w:space="0" w:color="auto"/>
        <w:bottom w:val="none" w:sz="0" w:space="0" w:color="auto"/>
        <w:right w:val="none" w:sz="0" w:space="0" w:color="auto"/>
      </w:divBdr>
    </w:div>
    <w:div w:id="1077357672">
      <w:bodyDiv w:val="1"/>
      <w:marLeft w:val="0"/>
      <w:marRight w:val="0"/>
      <w:marTop w:val="0"/>
      <w:marBottom w:val="0"/>
      <w:divBdr>
        <w:top w:val="none" w:sz="0" w:space="0" w:color="auto"/>
        <w:left w:val="none" w:sz="0" w:space="0" w:color="auto"/>
        <w:bottom w:val="none" w:sz="0" w:space="0" w:color="auto"/>
        <w:right w:val="none" w:sz="0" w:space="0" w:color="auto"/>
      </w:divBdr>
    </w:div>
    <w:div w:id="1082725876">
      <w:bodyDiv w:val="1"/>
      <w:marLeft w:val="0"/>
      <w:marRight w:val="0"/>
      <w:marTop w:val="0"/>
      <w:marBottom w:val="0"/>
      <w:divBdr>
        <w:top w:val="none" w:sz="0" w:space="0" w:color="auto"/>
        <w:left w:val="none" w:sz="0" w:space="0" w:color="auto"/>
        <w:bottom w:val="none" w:sz="0" w:space="0" w:color="auto"/>
        <w:right w:val="none" w:sz="0" w:space="0" w:color="auto"/>
      </w:divBdr>
    </w:div>
    <w:div w:id="1083572322">
      <w:bodyDiv w:val="1"/>
      <w:marLeft w:val="0"/>
      <w:marRight w:val="0"/>
      <w:marTop w:val="0"/>
      <w:marBottom w:val="0"/>
      <w:divBdr>
        <w:top w:val="none" w:sz="0" w:space="0" w:color="auto"/>
        <w:left w:val="none" w:sz="0" w:space="0" w:color="auto"/>
        <w:bottom w:val="none" w:sz="0" w:space="0" w:color="auto"/>
        <w:right w:val="none" w:sz="0" w:space="0" w:color="auto"/>
      </w:divBdr>
    </w:div>
    <w:div w:id="1085765072">
      <w:bodyDiv w:val="1"/>
      <w:marLeft w:val="0"/>
      <w:marRight w:val="0"/>
      <w:marTop w:val="0"/>
      <w:marBottom w:val="0"/>
      <w:divBdr>
        <w:top w:val="none" w:sz="0" w:space="0" w:color="auto"/>
        <w:left w:val="none" w:sz="0" w:space="0" w:color="auto"/>
        <w:bottom w:val="none" w:sz="0" w:space="0" w:color="auto"/>
        <w:right w:val="none" w:sz="0" w:space="0" w:color="auto"/>
      </w:divBdr>
    </w:div>
    <w:div w:id="1096680890">
      <w:bodyDiv w:val="1"/>
      <w:marLeft w:val="0"/>
      <w:marRight w:val="0"/>
      <w:marTop w:val="0"/>
      <w:marBottom w:val="0"/>
      <w:divBdr>
        <w:top w:val="none" w:sz="0" w:space="0" w:color="auto"/>
        <w:left w:val="none" w:sz="0" w:space="0" w:color="auto"/>
        <w:bottom w:val="none" w:sz="0" w:space="0" w:color="auto"/>
        <w:right w:val="none" w:sz="0" w:space="0" w:color="auto"/>
      </w:divBdr>
    </w:div>
    <w:div w:id="1104617321">
      <w:bodyDiv w:val="1"/>
      <w:marLeft w:val="0"/>
      <w:marRight w:val="0"/>
      <w:marTop w:val="0"/>
      <w:marBottom w:val="0"/>
      <w:divBdr>
        <w:top w:val="none" w:sz="0" w:space="0" w:color="auto"/>
        <w:left w:val="none" w:sz="0" w:space="0" w:color="auto"/>
        <w:bottom w:val="none" w:sz="0" w:space="0" w:color="auto"/>
        <w:right w:val="none" w:sz="0" w:space="0" w:color="auto"/>
      </w:divBdr>
    </w:div>
    <w:div w:id="1108625161">
      <w:bodyDiv w:val="1"/>
      <w:marLeft w:val="0"/>
      <w:marRight w:val="0"/>
      <w:marTop w:val="0"/>
      <w:marBottom w:val="0"/>
      <w:divBdr>
        <w:top w:val="none" w:sz="0" w:space="0" w:color="auto"/>
        <w:left w:val="none" w:sz="0" w:space="0" w:color="auto"/>
        <w:bottom w:val="none" w:sz="0" w:space="0" w:color="auto"/>
        <w:right w:val="none" w:sz="0" w:space="0" w:color="auto"/>
      </w:divBdr>
    </w:div>
    <w:div w:id="1113134196">
      <w:bodyDiv w:val="1"/>
      <w:marLeft w:val="0"/>
      <w:marRight w:val="0"/>
      <w:marTop w:val="0"/>
      <w:marBottom w:val="0"/>
      <w:divBdr>
        <w:top w:val="none" w:sz="0" w:space="0" w:color="auto"/>
        <w:left w:val="none" w:sz="0" w:space="0" w:color="auto"/>
        <w:bottom w:val="none" w:sz="0" w:space="0" w:color="auto"/>
        <w:right w:val="none" w:sz="0" w:space="0" w:color="auto"/>
      </w:divBdr>
    </w:div>
    <w:div w:id="1117214278">
      <w:bodyDiv w:val="1"/>
      <w:marLeft w:val="0"/>
      <w:marRight w:val="0"/>
      <w:marTop w:val="0"/>
      <w:marBottom w:val="0"/>
      <w:divBdr>
        <w:top w:val="none" w:sz="0" w:space="0" w:color="auto"/>
        <w:left w:val="none" w:sz="0" w:space="0" w:color="auto"/>
        <w:bottom w:val="none" w:sz="0" w:space="0" w:color="auto"/>
        <w:right w:val="none" w:sz="0" w:space="0" w:color="auto"/>
      </w:divBdr>
    </w:div>
    <w:div w:id="1122453943">
      <w:bodyDiv w:val="1"/>
      <w:marLeft w:val="0"/>
      <w:marRight w:val="0"/>
      <w:marTop w:val="0"/>
      <w:marBottom w:val="0"/>
      <w:divBdr>
        <w:top w:val="none" w:sz="0" w:space="0" w:color="auto"/>
        <w:left w:val="none" w:sz="0" w:space="0" w:color="auto"/>
        <w:bottom w:val="none" w:sz="0" w:space="0" w:color="auto"/>
        <w:right w:val="none" w:sz="0" w:space="0" w:color="auto"/>
      </w:divBdr>
    </w:div>
    <w:div w:id="1130437253">
      <w:bodyDiv w:val="1"/>
      <w:marLeft w:val="0"/>
      <w:marRight w:val="0"/>
      <w:marTop w:val="0"/>
      <w:marBottom w:val="0"/>
      <w:divBdr>
        <w:top w:val="none" w:sz="0" w:space="0" w:color="auto"/>
        <w:left w:val="none" w:sz="0" w:space="0" w:color="auto"/>
        <w:bottom w:val="none" w:sz="0" w:space="0" w:color="auto"/>
        <w:right w:val="none" w:sz="0" w:space="0" w:color="auto"/>
      </w:divBdr>
    </w:div>
    <w:div w:id="1146431736">
      <w:bodyDiv w:val="1"/>
      <w:marLeft w:val="0"/>
      <w:marRight w:val="0"/>
      <w:marTop w:val="0"/>
      <w:marBottom w:val="0"/>
      <w:divBdr>
        <w:top w:val="none" w:sz="0" w:space="0" w:color="auto"/>
        <w:left w:val="none" w:sz="0" w:space="0" w:color="auto"/>
        <w:bottom w:val="none" w:sz="0" w:space="0" w:color="auto"/>
        <w:right w:val="none" w:sz="0" w:space="0" w:color="auto"/>
      </w:divBdr>
    </w:div>
    <w:div w:id="1153595166">
      <w:bodyDiv w:val="1"/>
      <w:marLeft w:val="0"/>
      <w:marRight w:val="0"/>
      <w:marTop w:val="0"/>
      <w:marBottom w:val="0"/>
      <w:divBdr>
        <w:top w:val="none" w:sz="0" w:space="0" w:color="auto"/>
        <w:left w:val="none" w:sz="0" w:space="0" w:color="auto"/>
        <w:bottom w:val="none" w:sz="0" w:space="0" w:color="auto"/>
        <w:right w:val="none" w:sz="0" w:space="0" w:color="auto"/>
      </w:divBdr>
    </w:div>
    <w:div w:id="1157572708">
      <w:bodyDiv w:val="1"/>
      <w:marLeft w:val="0"/>
      <w:marRight w:val="0"/>
      <w:marTop w:val="0"/>
      <w:marBottom w:val="0"/>
      <w:divBdr>
        <w:top w:val="none" w:sz="0" w:space="0" w:color="auto"/>
        <w:left w:val="none" w:sz="0" w:space="0" w:color="auto"/>
        <w:bottom w:val="none" w:sz="0" w:space="0" w:color="auto"/>
        <w:right w:val="none" w:sz="0" w:space="0" w:color="auto"/>
      </w:divBdr>
    </w:div>
    <w:div w:id="1173571664">
      <w:bodyDiv w:val="1"/>
      <w:marLeft w:val="0"/>
      <w:marRight w:val="0"/>
      <w:marTop w:val="0"/>
      <w:marBottom w:val="0"/>
      <w:divBdr>
        <w:top w:val="none" w:sz="0" w:space="0" w:color="auto"/>
        <w:left w:val="none" w:sz="0" w:space="0" w:color="auto"/>
        <w:bottom w:val="none" w:sz="0" w:space="0" w:color="auto"/>
        <w:right w:val="none" w:sz="0" w:space="0" w:color="auto"/>
      </w:divBdr>
    </w:div>
    <w:div w:id="1173639948">
      <w:bodyDiv w:val="1"/>
      <w:marLeft w:val="0"/>
      <w:marRight w:val="0"/>
      <w:marTop w:val="0"/>
      <w:marBottom w:val="0"/>
      <w:divBdr>
        <w:top w:val="none" w:sz="0" w:space="0" w:color="auto"/>
        <w:left w:val="none" w:sz="0" w:space="0" w:color="auto"/>
        <w:bottom w:val="none" w:sz="0" w:space="0" w:color="auto"/>
        <w:right w:val="none" w:sz="0" w:space="0" w:color="auto"/>
      </w:divBdr>
    </w:div>
    <w:div w:id="1176112864">
      <w:bodyDiv w:val="1"/>
      <w:marLeft w:val="0"/>
      <w:marRight w:val="0"/>
      <w:marTop w:val="0"/>
      <w:marBottom w:val="0"/>
      <w:divBdr>
        <w:top w:val="none" w:sz="0" w:space="0" w:color="auto"/>
        <w:left w:val="none" w:sz="0" w:space="0" w:color="auto"/>
        <w:bottom w:val="none" w:sz="0" w:space="0" w:color="auto"/>
        <w:right w:val="none" w:sz="0" w:space="0" w:color="auto"/>
      </w:divBdr>
    </w:div>
    <w:div w:id="1176337837">
      <w:bodyDiv w:val="1"/>
      <w:marLeft w:val="0"/>
      <w:marRight w:val="0"/>
      <w:marTop w:val="0"/>
      <w:marBottom w:val="0"/>
      <w:divBdr>
        <w:top w:val="none" w:sz="0" w:space="0" w:color="auto"/>
        <w:left w:val="none" w:sz="0" w:space="0" w:color="auto"/>
        <w:bottom w:val="none" w:sz="0" w:space="0" w:color="auto"/>
        <w:right w:val="none" w:sz="0" w:space="0" w:color="auto"/>
      </w:divBdr>
    </w:div>
    <w:div w:id="1180199405">
      <w:bodyDiv w:val="1"/>
      <w:marLeft w:val="0"/>
      <w:marRight w:val="0"/>
      <w:marTop w:val="0"/>
      <w:marBottom w:val="0"/>
      <w:divBdr>
        <w:top w:val="none" w:sz="0" w:space="0" w:color="auto"/>
        <w:left w:val="none" w:sz="0" w:space="0" w:color="auto"/>
        <w:bottom w:val="none" w:sz="0" w:space="0" w:color="auto"/>
        <w:right w:val="none" w:sz="0" w:space="0" w:color="auto"/>
      </w:divBdr>
    </w:div>
    <w:div w:id="1182629598">
      <w:bodyDiv w:val="1"/>
      <w:marLeft w:val="0"/>
      <w:marRight w:val="0"/>
      <w:marTop w:val="0"/>
      <w:marBottom w:val="0"/>
      <w:divBdr>
        <w:top w:val="none" w:sz="0" w:space="0" w:color="auto"/>
        <w:left w:val="none" w:sz="0" w:space="0" w:color="auto"/>
        <w:bottom w:val="none" w:sz="0" w:space="0" w:color="auto"/>
        <w:right w:val="none" w:sz="0" w:space="0" w:color="auto"/>
      </w:divBdr>
    </w:div>
    <w:div w:id="1183977405">
      <w:bodyDiv w:val="1"/>
      <w:marLeft w:val="0"/>
      <w:marRight w:val="0"/>
      <w:marTop w:val="0"/>
      <w:marBottom w:val="0"/>
      <w:divBdr>
        <w:top w:val="none" w:sz="0" w:space="0" w:color="auto"/>
        <w:left w:val="none" w:sz="0" w:space="0" w:color="auto"/>
        <w:bottom w:val="none" w:sz="0" w:space="0" w:color="auto"/>
        <w:right w:val="none" w:sz="0" w:space="0" w:color="auto"/>
      </w:divBdr>
    </w:div>
    <w:div w:id="1184978813">
      <w:bodyDiv w:val="1"/>
      <w:marLeft w:val="0"/>
      <w:marRight w:val="0"/>
      <w:marTop w:val="0"/>
      <w:marBottom w:val="0"/>
      <w:divBdr>
        <w:top w:val="none" w:sz="0" w:space="0" w:color="auto"/>
        <w:left w:val="none" w:sz="0" w:space="0" w:color="auto"/>
        <w:bottom w:val="none" w:sz="0" w:space="0" w:color="auto"/>
        <w:right w:val="none" w:sz="0" w:space="0" w:color="auto"/>
      </w:divBdr>
    </w:div>
    <w:div w:id="1185168832">
      <w:bodyDiv w:val="1"/>
      <w:marLeft w:val="0"/>
      <w:marRight w:val="0"/>
      <w:marTop w:val="0"/>
      <w:marBottom w:val="0"/>
      <w:divBdr>
        <w:top w:val="none" w:sz="0" w:space="0" w:color="auto"/>
        <w:left w:val="none" w:sz="0" w:space="0" w:color="auto"/>
        <w:bottom w:val="none" w:sz="0" w:space="0" w:color="auto"/>
        <w:right w:val="none" w:sz="0" w:space="0" w:color="auto"/>
      </w:divBdr>
    </w:div>
    <w:div w:id="1185246326">
      <w:bodyDiv w:val="1"/>
      <w:marLeft w:val="0"/>
      <w:marRight w:val="0"/>
      <w:marTop w:val="0"/>
      <w:marBottom w:val="0"/>
      <w:divBdr>
        <w:top w:val="none" w:sz="0" w:space="0" w:color="auto"/>
        <w:left w:val="none" w:sz="0" w:space="0" w:color="auto"/>
        <w:bottom w:val="none" w:sz="0" w:space="0" w:color="auto"/>
        <w:right w:val="none" w:sz="0" w:space="0" w:color="auto"/>
      </w:divBdr>
    </w:div>
    <w:div w:id="1191869486">
      <w:bodyDiv w:val="1"/>
      <w:marLeft w:val="0"/>
      <w:marRight w:val="0"/>
      <w:marTop w:val="0"/>
      <w:marBottom w:val="0"/>
      <w:divBdr>
        <w:top w:val="none" w:sz="0" w:space="0" w:color="auto"/>
        <w:left w:val="none" w:sz="0" w:space="0" w:color="auto"/>
        <w:bottom w:val="none" w:sz="0" w:space="0" w:color="auto"/>
        <w:right w:val="none" w:sz="0" w:space="0" w:color="auto"/>
      </w:divBdr>
    </w:div>
    <w:div w:id="1199318983">
      <w:bodyDiv w:val="1"/>
      <w:marLeft w:val="0"/>
      <w:marRight w:val="0"/>
      <w:marTop w:val="0"/>
      <w:marBottom w:val="0"/>
      <w:divBdr>
        <w:top w:val="none" w:sz="0" w:space="0" w:color="auto"/>
        <w:left w:val="none" w:sz="0" w:space="0" w:color="auto"/>
        <w:bottom w:val="none" w:sz="0" w:space="0" w:color="auto"/>
        <w:right w:val="none" w:sz="0" w:space="0" w:color="auto"/>
      </w:divBdr>
    </w:div>
    <w:div w:id="1204635058">
      <w:bodyDiv w:val="1"/>
      <w:marLeft w:val="0"/>
      <w:marRight w:val="0"/>
      <w:marTop w:val="0"/>
      <w:marBottom w:val="0"/>
      <w:divBdr>
        <w:top w:val="none" w:sz="0" w:space="0" w:color="auto"/>
        <w:left w:val="none" w:sz="0" w:space="0" w:color="auto"/>
        <w:bottom w:val="none" w:sz="0" w:space="0" w:color="auto"/>
        <w:right w:val="none" w:sz="0" w:space="0" w:color="auto"/>
      </w:divBdr>
    </w:div>
    <w:div w:id="1208760406">
      <w:bodyDiv w:val="1"/>
      <w:marLeft w:val="0"/>
      <w:marRight w:val="0"/>
      <w:marTop w:val="0"/>
      <w:marBottom w:val="0"/>
      <w:divBdr>
        <w:top w:val="none" w:sz="0" w:space="0" w:color="auto"/>
        <w:left w:val="none" w:sz="0" w:space="0" w:color="auto"/>
        <w:bottom w:val="none" w:sz="0" w:space="0" w:color="auto"/>
        <w:right w:val="none" w:sz="0" w:space="0" w:color="auto"/>
      </w:divBdr>
    </w:div>
    <w:div w:id="1211651638">
      <w:bodyDiv w:val="1"/>
      <w:marLeft w:val="0"/>
      <w:marRight w:val="0"/>
      <w:marTop w:val="0"/>
      <w:marBottom w:val="0"/>
      <w:divBdr>
        <w:top w:val="none" w:sz="0" w:space="0" w:color="auto"/>
        <w:left w:val="none" w:sz="0" w:space="0" w:color="auto"/>
        <w:bottom w:val="none" w:sz="0" w:space="0" w:color="auto"/>
        <w:right w:val="none" w:sz="0" w:space="0" w:color="auto"/>
      </w:divBdr>
    </w:div>
    <w:div w:id="1215116458">
      <w:bodyDiv w:val="1"/>
      <w:marLeft w:val="0"/>
      <w:marRight w:val="0"/>
      <w:marTop w:val="0"/>
      <w:marBottom w:val="0"/>
      <w:divBdr>
        <w:top w:val="none" w:sz="0" w:space="0" w:color="auto"/>
        <w:left w:val="none" w:sz="0" w:space="0" w:color="auto"/>
        <w:bottom w:val="none" w:sz="0" w:space="0" w:color="auto"/>
        <w:right w:val="none" w:sz="0" w:space="0" w:color="auto"/>
      </w:divBdr>
    </w:div>
    <w:div w:id="1222325677">
      <w:bodyDiv w:val="1"/>
      <w:marLeft w:val="0"/>
      <w:marRight w:val="0"/>
      <w:marTop w:val="0"/>
      <w:marBottom w:val="0"/>
      <w:divBdr>
        <w:top w:val="none" w:sz="0" w:space="0" w:color="auto"/>
        <w:left w:val="none" w:sz="0" w:space="0" w:color="auto"/>
        <w:bottom w:val="none" w:sz="0" w:space="0" w:color="auto"/>
        <w:right w:val="none" w:sz="0" w:space="0" w:color="auto"/>
      </w:divBdr>
    </w:div>
    <w:div w:id="1238053425">
      <w:bodyDiv w:val="1"/>
      <w:marLeft w:val="0"/>
      <w:marRight w:val="0"/>
      <w:marTop w:val="0"/>
      <w:marBottom w:val="0"/>
      <w:divBdr>
        <w:top w:val="none" w:sz="0" w:space="0" w:color="auto"/>
        <w:left w:val="none" w:sz="0" w:space="0" w:color="auto"/>
        <w:bottom w:val="none" w:sz="0" w:space="0" w:color="auto"/>
        <w:right w:val="none" w:sz="0" w:space="0" w:color="auto"/>
      </w:divBdr>
    </w:div>
    <w:div w:id="1241019872">
      <w:bodyDiv w:val="1"/>
      <w:marLeft w:val="0"/>
      <w:marRight w:val="0"/>
      <w:marTop w:val="0"/>
      <w:marBottom w:val="0"/>
      <w:divBdr>
        <w:top w:val="none" w:sz="0" w:space="0" w:color="auto"/>
        <w:left w:val="none" w:sz="0" w:space="0" w:color="auto"/>
        <w:bottom w:val="none" w:sz="0" w:space="0" w:color="auto"/>
        <w:right w:val="none" w:sz="0" w:space="0" w:color="auto"/>
      </w:divBdr>
    </w:div>
    <w:div w:id="1243176846">
      <w:bodyDiv w:val="1"/>
      <w:marLeft w:val="0"/>
      <w:marRight w:val="0"/>
      <w:marTop w:val="0"/>
      <w:marBottom w:val="0"/>
      <w:divBdr>
        <w:top w:val="none" w:sz="0" w:space="0" w:color="auto"/>
        <w:left w:val="none" w:sz="0" w:space="0" w:color="auto"/>
        <w:bottom w:val="none" w:sz="0" w:space="0" w:color="auto"/>
        <w:right w:val="none" w:sz="0" w:space="0" w:color="auto"/>
      </w:divBdr>
    </w:div>
    <w:div w:id="1246110962">
      <w:bodyDiv w:val="1"/>
      <w:marLeft w:val="0"/>
      <w:marRight w:val="0"/>
      <w:marTop w:val="0"/>
      <w:marBottom w:val="0"/>
      <w:divBdr>
        <w:top w:val="none" w:sz="0" w:space="0" w:color="auto"/>
        <w:left w:val="none" w:sz="0" w:space="0" w:color="auto"/>
        <w:bottom w:val="none" w:sz="0" w:space="0" w:color="auto"/>
        <w:right w:val="none" w:sz="0" w:space="0" w:color="auto"/>
      </w:divBdr>
    </w:div>
    <w:div w:id="1249656145">
      <w:bodyDiv w:val="1"/>
      <w:marLeft w:val="0"/>
      <w:marRight w:val="0"/>
      <w:marTop w:val="0"/>
      <w:marBottom w:val="0"/>
      <w:divBdr>
        <w:top w:val="none" w:sz="0" w:space="0" w:color="auto"/>
        <w:left w:val="none" w:sz="0" w:space="0" w:color="auto"/>
        <w:bottom w:val="none" w:sz="0" w:space="0" w:color="auto"/>
        <w:right w:val="none" w:sz="0" w:space="0" w:color="auto"/>
      </w:divBdr>
    </w:div>
    <w:div w:id="1250235234">
      <w:bodyDiv w:val="1"/>
      <w:marLeft w:val="0"/>
      <w:marRight w:val="0"/>
      <w:marTop w:val="0"/>
      <w:marBottom w:val="0"/>
      <w:divBdr>
        <w:top w:val="none" w:sz="0" w:space="0" w:color="auto"/>
        <w:left w:val="none" w:sz="0" w:space="0" w:color="auto"/>
        <w:bottom w:val="none" w:sz="0" w:space="0" w:color="auto"/>
        <w:right w:val="none" w:sz="0" w:space="0" w:color="auto"/>
      </w:divBdr>
    </w:div>
    <w:div w:id="1250236631">
      <w:bodyDiv w:val="1"/>
      <w:marLeft w:val="0"/>
      <w:marRight w:val="0"/>
      <w:marTop w:val="0"/>
      <w:marBottom w:val="0"/>
      <w:divBdr>
        <w:top w:val="none" w:sz="0" w:space="0" w:color="auto"/>
        <w:left w:val="none" w:sz="0" w:space="0" w:color="auto"/>
        <w:bottom w:val="none" w:sz="0" w:space="0" w:color="auto"/>
        <w:right w:val="none" w:sz="0" w:space="0" w:color="auto"/>
      </w:divBdr>
      <w:divsChild>
        <w:div w:id="67575071">
          <w:marLeft w:val="0"/>
          <w:marRight w:val="0"/>
          <w:marTop w:val="0"/>
          <w:marBottom w:val="0"/>
          <w:divBdr>
            <w:top w:val="none" w:sz="0" w:space="0" w:color="auto"/>
            <w:left w:val="none" w:sz="0" w:space="0" w:color="auto"/>
            <w:bottom w:val="none" w:sz="0" w:space="0" w:color="auto"/>
            <w:right w:val="none" w:sz="0" w:space="0" w:color="auto"/>
          </w:divBdr>
        </w:div>
        <w:div w:id="142426874">
          <w:marLeft w:val="0"/>
          <w:marRight w:val="0"/>
          <w:marTop w:val="0"/>
          <w:marBottom w:val="0"/>
          <w:divBdr>
            <w:top w:val="none" w:sz="0" w:space="0" w:color="auto"/>
            <w:left w:val="none" w:sz="0" w:space="0" w:color="auto"/>
            <w:bottom w:val="none" w:sz="0" w:space="0" w:color="auto"/>
            <w:right w:val="none" w:sz="0" w:space="0" w:color="auto"/>
          </w:divBdr>
        </w:div>
        <w:div w:id="170682782">
          <w:marLeft w:val="0"/>
          <w:marRight w:val="0"/>
          <w:marTop w:val="0"/>
          <w:marBottom w:val="0"/>
          <w:divBdr>
            <w:top w:val="none" w:sz="0" w:space="0" w:color="auto"/>
            <w:left w:val="none" w:sz="0" w:space="0" w:color="auto"/>
            <w:bottom w:val="none" w:sz="0" w:space="0" w:color="auto"/>
            <w:right w:val="none" w:sz="0" w:space="0" w:color="auto"/>
          </w:divBdr>
        </w:div>
        <w:div w:id="190924363">
          <w:marLeft w:val="0"/>
          <w:marRight w:val="0"/>
          <w:marTop w:val="0"/>
          <w:marBottom w:val="0"/>
          <w:divBdr>
            <w:top w:val="none" w:sz="0" w:space="0" w:color="auto"/>
            <w:left w:val="none" w:sz="0" w:space="0" w:color="auto"/>
            <w:bottom w:val="none" w:sz="0" w:space="0" w:color="auto"/>
            <w:right w:val="none" w:sz="0" w:space="0" w:color="auto"/>
          </w:divBdr>
        </w:div>
        <w:div w:id="212617370">
          <w:marLeft w:val="0"/>
          <w:marRight w:val="0"/>
          <w:marTop w:val="0"/>
          <w:marBottom w:val="0"/>
          <w:divBdr>
            <w:top w:val="none" w:sz="0" w:space="0" w:color="auto"/>
            <w:left w:val="none" w:sz="0" w:space="0" w:color="auto"/>
            <w:bottom w:val="none" w:sz="0" w:space="0" w:color="auto"/>
            <w:right w:val="none" w:sz="0" w:space="0" w:color="auto"/>
          </w:divBdr>
        </w:div>
        <w:div w:id="243994415">
          <w:marLeft w:val="0"/>
          <w:marRight w:val="0"/>
          <w:marTop w:val="0"/>
          <w:marBottom w:val="0"/>
          <w:divBdr>
            <w:top w:val="none" w:sz="0" w:space="0" w:color="auto"/>
            <w:left w:val="none" w:sz="0" w:space="0" w:color="auto"/>
            <w:bottom w:val="none" w:sz="0" w:space="0" w:color="auto"/>
            <w:right w:val="none" w:sz="0" w:space="0" w:color="auto"/>
          </w:divBdr>
        </w:div>
        <w:div w:id="249586740">
          <w:marLeft w:val="0"/>
          <w:marRight w:val="0"/>
          <w:marTop w:val="0"/>
          <w:marBottom w:val="0"/>
          <w:divBdr>
            <w:top w:val="none" w:sz="0" w:space="0" w:color="auto"/>
            <w:left w:val="none" w:sz="0" w:space="0" w:color="auto"/>
            <w:bottom w:val="none" w:sz="0" w:space="0" w:color="auto"/>
            <w:right w:val="none" w:sz="0" w:space="0" w:color="auto"/>
          </w:divBdr>
        </w:div>
        <w:div w:id="342319966">
          <w:marLeft w:val="0"/>
          <w:marRight w:val="0"/>
          <w:marTop w:val="0"/>
          <w:marBottom w:val="0"/>
          <w:divBdr>
            <w:top w:val="none" w:sz="0" w:space="0" w:color="auto"/>
            <w:left w:val="none" w:sz="0" w:space="0" w:color="auto"/>
            <w:bottom w:val="none" w:sz="0" w:space="0" w:color="auto"/>
            <w:right w:val="none" w:sz="0" w:space="0" w:color="auto"/>
          </w:divBdr>
        </w:div>
        <w:div w:id="521744818">
          <w:marLeft w:val="0"/>
          <w:marRight w:val="0"/>
          <w:marTop w:val="0"/>
          <w:marBottom w:val="0"/>
          <w:divBdr>
            <w:top w:val="none" w:sz="0" w:space="0" w:color="auto"/>
            <w:left w:val="none" w:sz="0" w:space="0" w:color="auto"/>
            <w:bottom w:val="none" w:sz="0" w:space="0" w:color="auto"/>
            <w:right w:val="none" w:sz="0" w:space="0" w:color="auto"/>
          </w:divBdr>
        </w:div>
        <w:div w:id="526677872">
          <w:marLeft w:val="0"/>
          <w:marRight w:val="0"/>
          <w:marTop w:val="0"/>
          <w:marBottom w:val="0"/>
          <w:divBdr>
            <w:top w:val="none" w:sz="0" w:space="0" w:color="auto"/>
            <w:left w:val="none" w:sz="0" w:space="0" w:color="auto"/>
            <w:bottom w:val="none" w:sz="0" w:space="0" w:color="auto"/>
            <w:right w:val="none" w:sz="0" w:space="0" w:color="auto"/>
          </w:divBdr>
        </w:div>
        <w:div w:id="548297245">
          <w:marLeft w:val="0"/>
          <w:marRight w:val="0"/>
          <w:marTop w:val="0"/>
          <w:marBottom w:val="0"/>
          <w:divBdr>
            <w:top w:val="none" w:sz="0" w:space="0" w:color="auto"/>
            <w:left w:val="none" w:sz="0" w:space="0" w:color="auto"/>
            <w:bottom w:val="none" w:sz="0" w:space="0" w:color="auto"/>
            <w:right w:val="none" w:sz="0" w:space="0" w:color="auto"/>
          </w:divBdr>
        </w:div>
        <w:div w:id="557519530">
          <w:marLeft w:val="0"/>
          <w:marRight w:val="0"/>
          <w:marTop w:val="0"/>
          <w:marBottom w:val="0"/>
          <w:divBdr>
            <w:top w:val="none" w:sz="0" w:space="0" w:color="auto"/>
            <w:left w:val="none" w:sz="0" w:space="0" w:color="auto"/>
            <w:bottom w:val="none" w:sz="0" w:space="0" w:color="auto"/>
            <w:right w:val="none" w:sz="0" w:space="0" w:color="auto"/>
          </w:divBdr>
        </w:div>
        <w:div w:id="711614577">
          <w:marLeft w:val="0"/>
          <w:marRight w:val="0"/>
          <w:marTop w:val="0"/>
          <w:marBottom w:val="0"/>
          <w:divBdr>
            <w:top w:val="none" w:sz="0" w:space="0" w:color="auto"/>
            <w:left w:val="none" w:sz="0" w:space="0" w:color="auto"/>
            <w:bottom w:val="none" w:sz="0" w:space="0" w:color="auto"/>
            <w:right w:val="none" w:sz="0" w:space="0" w:color="auto"/>
          </w:divBdr>
        </w:div>
        <w:div w:id="731079038">
          <w:marLeft w:val="0"/>
          <w:marRight w:val="0"/>
          <w:marTop w:val="0"/>
          <w:marBottom w:val="0"/>
          <w:divBdr>
            <w:top w:val="none" w:sz="0" w:space="0" w:color="auto"/>
            <w:left w:val="none" w:sz="0" w:space="0" w:color="auto"/>
            <w:bottom w:val="none" w:sz="0" w:space="0" w:color="auto"/>
            <w:right w:val="none" w:sz="0" w:space="0" w:color="auto"/>
          </w:divBdr>
        </w:div>
        <w:div w:id="743257297">
          <w:marLeft w:val="0"/>
          <w:marRight w:val="0"/>
          <w:marTop w:val="0"/>
          <w:marBottom w:val="0"/>
          <w:divBdr>
            <w:top w:val="none" w:sz="0" w:space="0" w:color="auto"/>
            <w:left w:val="none" w:sz="0" w:space="0" w:color="auto"/>
            <w:bottom w:val="none" w:sz="0" w:space="0" w:color="auto"/>
            <w:right w:val="none" w:sz="0" w:space="0" w:color="auto"/>
          </w:divBdr>
        </w:div>
        <w:div w:id="834996089">
          <w:marLeft w:val="0"/>
          <w:marRight w:val="0"/>
          <w:marTop w:val="0"/>
          <w:marBottom w:val="0"/>
          <w:divBdr>
            <w:top w:val="none" w:sz="0" w:space="0" w:color="auto"/>
            <w:left w:val="none" w:sz="0" w:space="0" w:color="auto"/>
            <w:bottom w:val="none" w:sz="0" w:space="0" w:color="auto"/>
            <w:right w:val="none" w:sz="0" w:space="0" w:color="auto"/>
          </w:divBdr>
        </w:div>
        <w:div w:id="848639685">
          <w:marLeft w:val="0"/>
          <w:marRight w:val="0"/>
          <w:marTop w:val="0"/>
          <w:marBottom w:val="0"/>
          <w:divBdr>
            <w:top w:val="none" w:sz="0" w:space="0" w:color="auto"/>
            <w:left w:val="none" w:sz="0" w:space="0" w:color="auto"/>
            <w:bottom w:val="none" w:sz="0" w:space="0" w:color="auto"/>
            <w:right w:val="none" w:sz="0" w:space="0" w:color="auto"/>
          </w:divBdr>
        </w:div>
        <w:div w:id="882447924">
          <w:marLeft w:val="0"/>
          <w:marRight w:val="0"/>
          <w:marTop w:val="0"/>
          <w:marBottom w:val="0"/>
          <w:divBdr>
            <w:top w:val="none" w:sz="0" w:space="0" w:color="auto"/>
            <w:left w:val="none" w:sz="0" w:space="0" w:color="auto"/>
            <w:bottom w:val="none" w:sz="0" w:space="0" w:color="auto"/>
            <w:right w:val="none" w:sz="0" w:space="0" w:color="auto"/>
          </w:divBdr>
        </w:div>
        <w:div w:id="887688663">
          <w:marLeft w:val="0"/>
          <w:marRight w:val="0"/>
          <w:marTop w:val="0"/>
          <w:marBottom w:val="0"/>
          <w:divBdr>
            <w:top w:val="none" w:sz="0" w:space="0" w:color="auto"/>
            <w:left w:val="none" w:sz="0" w:space="0" w:color="auto"/>
            <w:bottom w:val="none" w:sz="0" w:space="0" w:color="auto"/>
            <w:right w:val="none" w:sz="0" w:space="0" w:color="auto"/>
          </w:divBdr>
        </w:div>
        <w:div w:id="910652500">
          <w:marLeft w:val="0"/>
          <w:marRight w:val="0"/>
          <w:marTop w:val="0"/>
          <w:marBottom w:val="0"/>
          <w:divBdr>
            <w:top w:val="none" w:sz="0" w:space="0" w:color="auto"/>
            <w:left w:val="none" w:sz="0" w:space="0" w:color="auto"/>
            <w:bottom w:val="none" w:sz="0" w:space="0" w:color="auto"/>
            <w:right w:val="none" w:sz="0" w:space="0" w:color="auto"/>
          </w:divBdr>
        </w:div>
        <w:div w:id="951202239">
          <w:marLeft w:val="0"/>
          <w:marRight w:val="0"/>
          <w:marTop w:val="0"/>
          <w:marBottom w:val="0"/>
          <w:divBdr>
            <w:top w:val="none" w:sz="0" w:space="0" w:color="auto"/>
            <w:left w:val="none" w:sz="0" w:space="0" w:color="auto"/>
            <w:bottom w:val="none" w:sz="0" w:space="0" w:color="auto"/>
            <w:right w:val="none" w:sz="0" w:space="0" w:color="auto"/>
          </w:divBdr>
        </w:div>
        <w:div w:id="1000306811">
          <w:marLeft w:val="0"/>
          <w:marRight w:val="0"/>
          <w:marTop w:val="0"/>
          <w:marBottom w:val="0"/>
          <w:divBdr>
            <w:top w:val="none" w:sz="0" w:space="0" w:color="auto"/>
            <w:left w:val="none" w:sz="0" w:space="0" w:color="auto"/>
            <w:bottom w:val="none" w:sz="0" w:space="0" w:color="auto"/>
            <w:right w:val="none" w:sz="0" w:space="0" w:color="auto"/>
          </w:divBdr>
        </w:div>
        <w:div w:id="1005665555">
          <w:marLeft w:val="0"/>
          <w:marRight w:val="0"/>
          <w:marTop w:val="0"/>
          <w:marBottom w:val="0"/>
          <w:divBdr>
            <w:top w:val="none" w:sz="0" w:space="0" w:color="auto"/>
            <w:left w:val="none" w:sz="0" w:space="0" w:color="auto"/>
            <w:bottom w:val="none" w:sz="0" w:space="0" w:color="auto"/>
            <w:right w:val="none" w:sz="0" w:space="0" w:color="auto"/>
          </w:divBdr>
        </w:div>
        <w:div w:id="1017077708">
          <w:marLeft w:val="0"/>
          <w:marRight w:val="0"/>
          <w:marTop w:val="0"/>
          <w:marBottom w:val="0"/>
          <w:divBdr>
            <w:top w:val="none" w:sz="0" w:space="0" w:color="auto"/>
            <w:left w:val="none" w:sz="0" w:space="0" w:color="auto"/>
            <w:bottom w:val="none" w:sz="0" w:space="0" w:color="auto"/>
            <w:right w:val="none" w:sz="0" w:space="0" w:color="auto"/>
          </w:divBdr>
        </w:div>
        <w:div w:id="1035231219">
          <w:marLeft w:val="0"/>
          <w:marRight w:val="0"/>
          <w:marTop w:val="0"/>
          <w:marBottom w:val="0"/>
          <w:divBdr>
            <w:top w:val="none" w:sz="0" w:space="0" w:color="auto"/>
            <w:left w:val="none" w:sz="0" w:space="0" w:color="auto"/>
            <w:bottom w:val="none" w:sz="0" w:space="0" w:color="auto"/>
            <w:right w:val="none" w:sz="0" w:space="0" w:color="auto"/>
          </w:divBdr>
        </w:div>
        <w:div w:id="1035499271">
          <w:marLeft w:val="0"/>
          <w:marRight w:val="0"/>
          <w:marTop w:val="0"/>
          <w:marBottom w:val="0"/>
          <w:divBdr>
            <w:top w:val="none" w:sz="0" w:space="0" w:color="auto"/>
            <w:left w:val="none" w:sz="0" w:space="0" w:color="auto"/>
            <w:bottom w:val="none" w:sz="0" w:space="0" w:color="auto"/>
            <w:right w:val="none" w:sz="0" w:space="0" w:color="auto"/>
          </w:divBdr>
        </w:div>
        <w:div w:id="1068190970">
          <w:marLeft w:val="0"/>
          <w:marRight w:val="0"/>
          <w:marTop w:val="0"/>
          <w:marBottom w:val="0"/>
          <w:divBdr>
            <w:top w:val="none" w:sz="0" w:space="0" w:color="auto"/>
            <w:left w:val="none" w:sz="0" w:space="0" w:color="auto"/>
            <w:bottom w:val="none" w:sz="0" w:space="0" w:color="auto"/>
            <w:right w:val="none" w:sz="0" w:space="0" w:color="auto"/>
          </w:divBdr>
        </w:div>
        <w:div w:id="1132820300">
          <w:marLeft w:val="0"/>
          <w:marRight w:val="0"/>
          <w:marTop w:val="0"/>
          <w:marBottom w:val="0"/>
          <w:divBdr>
            <w:top w:val="none" w:sz="0" w:space="0" w:color="auto"/>
            <w:left w:val="none" w:sz="0" w:space="0" w:color="auto"/>
            <w:bottom w:val="none" w:sz="0" w:space="0" w:color="auto"/>
            <w:right w:val="none" w:sz="0" w:space="0" w:color="auto"/>
          </w:divBdr>
        </w:div>
        <w:div w:id="1173759034">
          <w:marLeft w:val="0"/>
          <w:marRight w:val="0"/>
          <w:marTop w:val="0"/>
          <w:marBottom w:val="0"/>
          <w:divBdr>
            <w:top w:val="none" w:sz="0" w:space="0" w:color="auto"/>
            <w:left w:val="none" w:sz="0" w:space="0" w:color="auto"/>
            <w:bottom w:val="none" w:sz="0" w:space="0" w:color="auto"/>
            <w:right w:val="none" w:sz="0" w:space="0" w:color="auto"/>
          </w:divBdr>
        </w:div>
        <w:div w:id="1184438369">
          <w:marLeft w:val="0"/>
          <w:marRight w:val="0"/>
          <w:marTop w:val="0"/>
          <w:marBottom w:val="0"/>
          <w:divBdr>
            <w:top w:val="none" w:sz="0" w:space="0" w:color="auto"/>
            <w:left w:val="none" w:sz="0" w:space="0" w:color="auto"/>
            <w:bottom w:val="none" w:sz="0" w:space="0" w:color="auto"/>
            <w:right w:val="none" w:sz="0" w:space="0" w:color="auto"/>
          </w:divBdr>
        </w:div>
        <w:div w:id="1188909198">
          <w:marLeft w:val="0"/>
          <w:marRight w:val="0"/>
          <w:marTop w:val="0"/>
          <w:marBottom w:val="0"/>
          <w:divBdr>
            <w:top w:val="none" w:sz="0" w:space="0" w:color="auto"/>
            <w:left w:val="none" w:sz="0" w:space="0" w:color="auto"/>
            <w:bottom w:val="none" w:sz="0" w:space="0" w:color="auto"/>
            <w:right w:val="none" w:sz="0" w:space="0" w:color="auto"/>
          </w:divBdr>
        </w:div>
        <w:div w:id="1255700526">
          <w:marLeft w:val="0"/>
          <w:marRight w:val="0"/>
          <w:marTop w:val="0"/>
          <w:marBottom w:val="0"/>
          <w:divBdr>
            <w:top w:val="none" w:sz="0" w:space="0" w:color="auto"/>
            <w:left w:val="none" w:sz="0" w:space="0" w:color="auto"/>
            <w:bottom w:val="none" w:sz="0" w:space="0" w:color="auto"/>
            <w:right w:val="none" w:sz="0" w:space="0" w:color="auto"/>
          </w:divBdr>
        </w:div>
        <w:div w:id="1292517573">
          <w:marLeft w:val="0"/>
          <w:marRight w:val="0"/>
          <w:marTop w:val="0"/>
          <w:marBottom w:val="0"/>
          <w:divBdr>
            <w:top w:val="none" w:sz="0" w:space="0" w:color="auto"/>
            <w:left w:val="none" w:sz="0" w:space="0" w:color="auto"/>
            <w:bottom w:val="none" w:sz="0" w:space="0" w:color="auto"/>
            <w:right w:val="none" w:sz="0" w:space="0" w:color="auto"/>
          </w:divBdr>
        </w:div>
        <w:div w:id="1347250315">
          <w:marLeft w:val="0"/>
          <w:marRight w:val="0"/>
          <w:marTop w:val="0"/>
          <w:marBottom w:val="0"/>
          <w:divBdr>
            <w:top w:val="none" w:sz="0" w:space="0" w:color="auto"/>
            <w:left w:val="none" w:sz="0" w:space="0" w:color="auto"/>
            <w:bottom w:val="none" w:sz="0" w:space="0" w:color="auto"/>
            <w:right w:val="none" w:sz="0" w:space="0" w:color="auto"/>
          </w:divBdr>
        </w:div>
        <w:div w:id="1490092307">
          <w:marLeft w:val="0"/>
          <w:marRight w:val="0"/>
          <w:marTop w:val="0"/>
          <w:marBottom w:val="0"/>
          <w:divBdr>
            <w:top w:val="none" w:sz="0" w:space="0" w:color="auto"/>
            <w:left w:val="none" w:sz="0" w:space="0" w:color="auto"/>
            <w:bottom w:val="none" w:sz="0" w:space="0" w:color="auto"/>
            <w:right w:val="none" w:sz="0" w:space="0" w:color="auto"/>
          </w:divBdr>
        </w:div>
        <w:div w:id="1509712999">
          <w:marLeft w:val="0"/>
          <w:marRight w:val="0"/>
          <w:marTop w:val="0"/>
          <w:marBottom w:val="0"/>
          <w:divBdr>
            <w:top w:val="none" w:sz="0" w:space="0" w:color="auto"/>
            <w:left w:val="none" w:sz="0" w:space="0" w:color="auto"/>
            <w:bottom w:val="none" w:sz="0" w:space="0" w:color="auto"/>
            <w:right w:val="none" w:sz="0" w:space="0" w:color="auto"/>
          </w:divBdr>
        </w:div>
        <w:div w:id="1511065859">
          <w:marLeft w:val="0"/>
          <w:marRight w:val="0"/>
          <w:marTop w:val="0"/>
          <w:marBottom w:val="0"/>
          <w:divBdr>
            <w:top w:val="none" w:sz="0" w:space="0" w:color="auto"/>
            <w:left w:val="none" w:sz="0" w:space="0" w:color="auto"/>
            <w:bottom w:val="none" w:sz="0" w:space="0" w:color="auto"/>
            <w:right w:val="none" w:sz="0" w:space="0" w:color="auto"/>
          </w:divBdr>
        </w:div>
        <w:div w:id="1538808535">
          <w:marLeft w:val="0"/>
          <w:marRight w:val="0"/>
          <w:marTop w:val="0"/>
          <w:marBottom w:val="0"/>
          <w:divBdr>
            <w:top w:val="none" w:sz="0" w:space="0" w:color="auto"/>
            <w:left w:val="none" w:sz="0" w:space="0" w:color="auto"/>
            <w:bottom w:val="none" w:sz="0" w:space="0" w:color="auto"/>
            <w:right w:val="none" w:sz="0" w:space="0" w:color="auto"/>
          </w:divBdr>
        </w:div>
        <w:div w:id="1549487360">
          <w:marLeft w:val="0"/>
          <w:marRight w:val="0"/>
          <w:marTop w:val="0"/>
          <w:marBottom w:val="0"/>
          <w:divBdr>
            <w:top w:val="none" w:sz="0" w:space="0" w:color="auto"/>
            <w:left w:val="none" w:sz="0" w:space="0" w:color="auto"/>
            <w:bottom w:val="none" w:sz="0" w:space="0" w:color="auto"/>
            <w:right w:val="none" w:sz="0" w:space="0" w:color="auto"/>
          </w:divBdr>
        </w:div>
        <w:div w:id="1553999997">
          <w:marLeft w:val="0"/>
          <w:marRight w:val="0"/>
          <w:marTop w:val="0"/>
          <w:marBottom w:val="0"/>
          <w:divBdr>
            <w:top w:val="none" w:sz="0" w:space="0" w:color="auto"/>
            <w:left w:val="none" w:sz="0" w:space="0" w:color="auto"/>
            <w:bottom w:val="none" w:sz="0" w:space="0" w:color="auto"/>
            <w:right w:val="none" w:sz="0" w:space="0" w:color="auto"/>
          </w:divBdr>
        </w:div>
        <w:div w:id="1671836319">
          <w:marLeft w:val="0"/>
          <w:marRight w:val="0"/>
          <w:marTop w:val="0"/>
          <w:marBottom w:val="0"/>
          <w:divBdr>
            <w:top w:val="none" w:sz="0" w:space="0" w:color="auto"/>
            <w:left w:val="none" w:sz="0" w:space="0" w:color="auto"/>
            <w:bottom w:val="none" w:sz="0" w:space="0" w:color="auto"/>
            <w:right w:val="none" w:sz="0" w:space="0" w:color="auto"/>
          </w:divBdr>
        </w:div>
        <w:div w:id="1724208946">
          <w:marLeft w:val="0"/>
          <w:marRight w:val="0"/>
          <w:marTop w:val="0"/>
          <w:marBottom w:val="0"/>
          <w:divBdr>
            <w:top w:val="none" w:sz="0" w:space="0" w:color="auto"/>
            <w:left w:val="none" w:sz="0" w:space="0" w:color="auto"/>
            <w:bottom w:val="none" w:sz="0" w:space="0" w:color="auto"/>
            <w:right w:val="none" w:sz="0" w:space="0" w:color="auto"/>
          </w:divBdr>
        </w:div>
        <w:div w:id="1778673288">
          <w:marLeft w:val="0"/>
          <w:marRight w:val="0"/>
          <w:marTop w:val="0"/>
          <w:marBottom w:val="0"/>
          <w:divBdr>
            <w:top w:val="none" w:sz="0" w:space="0" w:color="auto"/>
            <w:left w:val="none" w:sz="0" w:space="0" w:color="auto"/>
            <w:bottom w:val="none" w:sz="0" w:space="0" w:color="auto"/>
            <w:right w:val="none" w:sz="0" w:space="0" w:color="auto"/>
          </w:divBdr>
        </w:div>
        <w:div w:id="1847279938">
          <w:marLeft w:val="0"/>
          <w:marRight w:val="0"/>
          <w:marTop w:val="0"/>
          <w:marBottom w:val="0"/>
          <w:divBdr>
            <w:top w:val="none" w:sz="0" w:space="0" w:color="auto"/>
            <w:left w:val="none" w:sz="0" w:space="0" w:color="auto"/>
            <w:bottom w:val="none" w:sz="0" w:space="0" w:color="auto"/>
            <w:right w:val="none" w:sz="0" w:space="0" w:color="auto"/>
          </w:divBdr>
        </w:div>
        <w:div w:id="1890143452">
          <w:marLeft w:val="0"/>
          <w:marRight w:val="0"/>
          <w:marTop w:val="0"/>
          <w:marBottom w:val="0"/>
          <w:divBdr>
            <w:top w:val="none" w:sz="0" w:space="0" w:color="auto"/>
            <w:left w:val="none" w:sz="0" w:space="0" w:color="auto"/>
            <w:bottom w:val="none" w:sz="0" w:space="0" w:color="auto"/>
            <w:right w:val="none" w:sz="0" w:space="0" w:color="auto"/>
          </w:divBdr>
        </w:div>
        <w:div w:id="1903440333">
          <w:marLeft w:val="0"/>
          <w:marRight w:val="0"/>
          <w:marTop w:val="0"/>
          <w:marBottom w:val="0"/>
          <w:divBdr>
            <w:top w:val="none" w:sz="0" w:space="0" w:color="auto"/>
            <w:left w:val="none" w:sz="0" w:space="0" w:color="auto"/>
            <w:bottom w:val="none" w:sz="0" w:space="0" w:color="auto"/>
            <w:right w:val="none" w:sz="0" w:space="0" w:color="auto"/>
          </w:divBdr>
        </w:div>
        <w:div w:id="1955289146">
          <w:marLeft w:val="0"/>
          <w:marRight w:val="0"/>
          <w:marTop w:val="0"/>
          <w:marBottom w:val="0"/>
          <w:divBdr>
            <w:top w:val="none" w:sz="0" w:space="0" w:color="auto"/>
            <w:left w:val="none" w:sz="0" w:space="0" w:color="auto"/>
            <w:bottom w:val="none" w:sz="0" w:space="0" w:color="auto"/>
            <w:right w:val="none" w:sz="0" w:space="0" w:color="auto"/>
          </w:divBdr>
        </w:div>
        <w:div w:id="1994211672">
          <w:marLeft w:val="0"/>
          <w:marRight w:val="0"/>
          <w:marTop w:val="0"/>
          <w:marBottom w:val="0"/>
          <w:divBdr>
            <w:top w:val="none" w:sz="0" w:space="0" w:color="auto"/>
            <w:left w:val="none" w:sz="0" w:space="0" w:color="auto"/>
            <w:bottom w:val="none" w:sz="0" w:space="0" w:color="auto"/>
            <w:right w:val="none" w:sz="0" w:space="0" w:color="auto"/>
          </w:divBdr>
        </w:div>
        <w:div w:id="1997957473">
          <w:marLeft w:val="0"/>
          <w:marRight w:val="0"/>
          <w:marTop w:val="0"/>
          <w:marBottom w:val="0"/>
          <w:divBdr>
            <w:top w:val="none" w:sz="0" w:space="0" w:color="auto"/>
            <w:left w:val="none" w:sz="0" w:space="0" w:color="auto"/>
            <w:bottom w:val="none" w:sz="0" w:space="0" w:color="auto"/>
            <w:right w:val="none" w:sz="0" w:space="0" w:color="auto"/>
          </w:divBdr>
        </w:div>
        <w:div w:id="2009282540">
          <w:marLeft w:val="0"/>
          <w:marRight w:val="0"/>
          <w:marTop w:val="0"/>
          <w:marBottom w:val="0"/>
          <w:divBdr>
            <w:top w:val="none" w:sz="0" w:space="0" w:color="auto"/>
            <w:left w:val="none" w:sz="0" w:space="0" w:color="auto"/>
            <w:bottom w:val="none" w:sz="0" w:space="0" w:color="auto"/>
            <w:right w:val="none" w:sz="0" w:space="0" w:color="auto"/>
          </w:divBdr>
        </w:div>
        <w:div w:id="2011445854">
          <w:marLeft w:val="0"/>
          <w:marRight w:val="0"/>
          <w:marTop w:val="0"/>
          <w:marBottom w:val="0"/>
          <w:divBdr>
            <w:top w:val="none" w:sz="0" w:space="0" w:color="auto"/>
            <w:left w:val="none" w:sz="0" w:space="0" w:color="auto"/>
            <w:bottom w:val="none" w:sz="0" w:space="0" w:color="auto"/>
            <w:right w:val="none" w:sz="0" w:space="0" w:color="auto"/>
          </w:divBdr>
        </w:div>
        <w:div w:id="2031569403">
          <w:marLeft w:val="0"/>
          <w:marRight w:val="0"/>
          <w:marTop w:val="0"/>
          <w:marBottom w:val="0"/>
          <w:divBdr>
            <w:top w:val="none" w:sz="0" w:space="0" w:color="auto"/>
            <w:left w:val="none" w:sz="0" w:space="0" w:color="auto"/>
            <w:bottom w:val="none" w:sz="0" w:space="0" w:color="auto"/>
            <w:right w:val="none" w:sz="0" w:space="0" w:color="auto"/>
          </w:divBdr>
        </w:div>
        <w:div w:id="2097048593">
          <w:marLeft w:val="0"/>
          <w:marRight w:val="0"/>
          <w:marTop w:val="0"/>
          <w:marBottom w:val="0"/>
          <w:divBdr>
            <w:top w:val="none" w:sz="0" w:space="0" w:color="auto"/>
            <w:left w:val="none" w:sz="0" w:space="0" w:color="auto"/>
            <w:bottom w:val="none" w:sz="0" w:space="0" w:color="auto"/>
            <w:right w:val="none" w:sz="0" w:space="0" w:color="auto"/>
          </w:divBdr>
        </w:div>
        <w:div w:id="2097358731">
          <w:marLeft w:val="0"/>
          <w:marRight w:val="0"/>
          <w:marTop w:val="0"/>
          <w:marBottom w:val="0"/>
          <w:divBdr>
            <w:top w:val="none" w:sz="0" w:space="0" w:color="auto"/>
            <w:left w:val="none" w:sz="0" w:space="0" w:color="auto"/>
            <w:bottom w:val="none" w:sz="0" w:space="0" w:color="auto"/>
            <w:right w:val="none" w:sz="0" w:space="0" w:color="auto"/>
          </w:divBdr>
        </w:div>
        <w:div w:id="2144540509">
          <w:marLeft w:val="0"/>
          <w:marRight w:val="0"/>
          <w:marTop w:val="0"/>
          <w:marBottom w:val="0"/>
          <w:divBdr>
            <w:top w:val="none" w:sz="0" w:space="0" w:color="auto"/>
            <w:left w:val="none" w:sz="0" w:space="0" w:color="auto"/>
            <w:bottom w:val="none" w:sz="0" w:space="0" w:color="auto"/>
            <w:right w:val="none" w:sz="0" w:space="0" w:color="auto"/>
          </w:divBdr>
        </w:div>
      </w:divsChild>
    </w:div>
    <w:div w:id="1255095274">
      <w:bodyDiv w:val="1"/>
      <w:marLeft w:val="0"/>
      <w:marRight w:val="0"/>
      <w:marTop w:val="0"/>
      <w:marBottom w:val="0"/>
      <w:divBdr>
        <w:top w:val="none" w:sz="0" w:space="0" w:color="auto"/>
        <w:left w:val="none" w:sz="0" w:space="0" w:color="auto"/>
        <w:bottom w:val="none" w:sz="0" w:space="0" w:color="auto"/>
        <w:right w:val="none" w:sz="0" w:space="0" w:color="auto"/>
      </w:divBdr>
    </w:div>
    <w:div w:id="1259946161">
      <w:bodyDiv w:val="1"/>
      <w:marLeft w:val="0"/>
      <w:marRight w:val="0"/>
      <w:marTop w:val="0"/>
      <w:marBottom w:val="0"/>
      <w:divBdr>
        <w:top w:val="none" w:sz="0" w:space="0" w:color="auto"/>
        <w:left w:val="none" w:sz="0" w:space="0" w:color="auto"/>
        <w:bottom w:val="none" w:sz="0" w:space="0" w:color="auto"/>
        <w:right w:val="none" w:sz="0" w:space="0" w:color="auto"/>
      </w:divBdr>
    </w:div>
    <w:div w:id="1264925048">
      <w:bodyDiv w:val="1"/>
      <w:marLeft w:val="0"/>
      <w:marRight w:val="0"/>
      <w:marTop w:val="0"/>
      <w:marBottom w:val="0"/>
      <w:divBdr>
        <w:top w:val="none" w:sz="0" w:space="0" w:color="auto"/>
        <w:left w:val="none" w:sz="0" w:space="0" w:color="auto"/>
        <w:bottom w:val="none" w:sz="0" w:space="0" w:color="auto"/>
        <w:right w:val="none" w:sz="0" w:space="0" w:color="auto"/>
      </w:divBdr>
    </w:div>
    <w:div w:id="1267350721">
      <w:bodyDiv w:val="1"/>
      <w:marLeft w:val="0"/>
      <w:marRight w:val="0"/>
      <w:marTop w:val="0"/>
      <w:marBottom w:val="0"/>
      <w:divBdr>
        <w:top w:val="none" w:sz="0" w:space="0" w:color="auto"/>
        <w:left w:val="none" w:sz="0" w:space="0" w:color="auto"/>
        <w:bottom w:val="none" w:sz="0" w:space="0" w:color="auto"/>
        <w:right w:val="none" w:sz="0" w:space="0" w:color="auto"/>
      </w:divBdr>
    </w:div>
    <w:div w:id="1275862343">
      <w:bodyDiv w:val="1"/>
      <w:marLeft w:val="0"/>
      <w:marRight w:val="0"/>
      <w:marTop w:val="0"/>
      <w:marBottom w:val="0"/>
      <w:divBdr>
        <w:top w:val="none" w:sz="0" w:space="0" w:color="auto"/>
        <w:left w:val="none" w:sz="0" w:space="0" w:color="auto"/>
        <w:bottom w:val="none" w:sz="0" w:space="0" w:color="auto"/>
        <w:right w:val="none" w:sz="0" w:space="0" w:color="auto"/>
      </w:divBdr>
    </w:div>
    <w:div w:id="1294360589">
      <w:bodyDiv w:val="1"/>
      <w:marLeft w:val="0"/>
      <w:marRight w:val="0"/>
      <w:marTop w:val="0"/>
      <w:marBottom w:val="0"/>
      <w:divBdr>
        <w:top w:val="none" w:sz="0" w:space="0" w:color="auto"/>
        <w:left w:val="none" w:sz="0" w:space="0" w:color="auto"/>
        <w:bottom w:val="none" w:sz="0" w:space="0" w:color="auto"/>
        <w:right w:val="none" w:sz="0" w:space="0" w:color="auto"/>
      </w:divBdr>
    </w:div>
    <w:div w:id="1298990454">
      <w:bodyDiv w:val="1"/>
      <w:marLeft w:val="0"/>
      <w:marRight w:val="0"/>
      <w:marTop w:val="0"/>
      <w:marBottom w:val="0"/>
      <w:divBdr>
        <w:top w:val="none" w:sz="0" w:space="0" w:color="auto"/>
        <w:left w:val="none" w:sz="0" w:space="0" w:color="auto"/>
        <w:bottom w:val="none" w:sz="0" w:space="0" w:color="auto"/>
        <w:right w:val="none" w:sz="0" w:space="0" w:color="auto"/>
      </w:divBdr>
    </w:div>
    <w:div w:id="1308822080">
      <w:bodyDiv w:val="1"/>
      <w:marLeft w:val="0"/>
      <w:marRight w:val="0"/>
      <w:marTop w:val="0"/>
      <w:marBottom w:val="0"/>
      <w:divBdr>
        <w:top w:val="none" w:sz="0" w:space="0" w:color="auto"/>
        <w:left w:val="none" w:sz="0" w:space="0" w:color="auto"/>
        <w:bottom w:val="none" w:sz="0" w:space="0" w:color="auto"/>
        <w:right w:val="none" w:sz="0" w:space="0" w:color="auto"/>
      </w:divBdr>
    </w:div>
    <w:div w:id="1318651005">
      <w:bodyDiv w:val="1"/>
      <w:marLeft w:val="0"/>
      <w:marRight w:val="0"/>
      <w:marTop w:val="0"/>
      <w:marBottom w:val="0"/>
      <w:divBdr>
        <w:top w:val="none" w:sz="0" w:space="0" w:color="auto"/>
        <w:left w:val="none" w:sz="0" w:space="0" w:color="auto"/>
        <w:bottom w:val="none" w:sz="0" w:space="0" w:color="auto"/>
        <w:right w:val="none" w:sz="0" w:space="0" w:color="auto"/>
      </w:divBdr>
    </w:div>
    <w:div w:id="1319117418">
      <w:bodyDiv w:val="1"/>
      <w:marLeft w:val="0"/>
      <w:marRight w:val="0"/>
      <w:marTop w:val="0"/>
      <w:marBottom w:val="0"/>
      <w:divBdr>
        <w:top w:val="none" w:sz="0" w:space="0" w:color="auto"/>
        <w:left w:val="none" w:sz="0" w:space="0" w:color="auto"/>
        <w:bottom w:val="none" w:sz="0" w:space="0" w:color="auto"/>
        <w:right w:val="none" w:sz="0" w:space="0" w:color="auto"/>
      </w:divBdr>
    </w:div>
    <w:div w:id="1319504896">
      <w:bodyDiv w:val="1"/>
      <w:marLeft w:val="0"/>
      <w:marRight w:val="0"/>
      <w:marTop w:val="0"/>
      <w:marBottom w:val="0"/>
      <w:divBdr>
        <w:top w:val="none" w:sz="0" w:space="0" w:color="auto"/>
        <w:left w:val="none" w:sz="0" w:space="0" w:color="auto"/>
        <w:bottom w:val="none" w:sz="0" w:space="0" w:color="auto"/>
        <w:right w:val="none" w:sz="0" w:space="0" w:color="auto"/>
      </w:divBdr>
    </w:div>
    <w:div w:id="1326013634">
      <w:bodyDiv w:val="1"/>
      <w:marLeft w:val="0"/>
      <w:marRight w:val="0"/>
      <w:marTop w:val="0"/>
      <w:marBottom w:val="0"/>
      <w:divBdr>
        <w:top w:val="none" w:sz="0" w:space="0" w:color="auto"/>
        <w:left w:val="none" w:sz="0" w:space="0" w:color="auto"/>
        <w:bottom w:val="none" w:sz="0" w:space="0" w:color="auto"/>
        <w:right w:val="none" w:sz="0" w:space="0" w:color="auto"/>
      </w:divBdr>
    </w:div>
    <w:div w:id="1329794471">
      <w:bodyDiv w:val="1"/>
      <w:marLeft w:val="0"/>
      <w:marRight w:val="0"/>
      <w:marTop w:val="0"/>
      <w:marBottom w:val="0"/>
      <w:divBdr>
        <w:top w:val="none" w:sz="0" w:space="0" w:color="auto"/>
        <w:left w:val="none" w:sz="0" w:space="0" w:color="auto"/>
        <w:bottom w:val="none" w:sz="0" w:space="0" w:color="auto"/>
        <w:right w:val="none" w:sz="0" w:space="0" w:color="auto"/>
      </w:divBdr>
    </w:div>
    <w:div w:id="1340893172">
      <w:bodyDiv w:val="1"/>
      <w:marLeft w:val="0"/>
      <w:marRight w:val="0"/>
      <w:marTop w:val="0"/>
      <w:marBottom w:val="0"/>
      <w:divBdr>
        <w:top w:val="none" w:sz="0" w:space="0" w:color="auto"/>
        <w:left w:val="none" w:sz="0" w:space="0" w:color="auto"/>
        <w:bottom w:val="none" w:sz="0" w:space="0" w:color="auto"/>
        <w:right w:val="none" w:sz="0" w:space="0" w:color="auto"/>
      </w:divBdr>
    </w:div>
    <w:div w:id="1356005771">
      <w:bodyDiv w:val="1"/>
      <w:marLeft w:val="0"/>
      <w:marRight w:val="0"/>
      <w:marTop w:val="0"/>
      <w:marBottom w:val="0"/>
      <w:divBdr>
        <w:top w:val="none" w:sz="0" w:space="0" w:color="auto"/>
        <w:left w:val="none" w:sz="0" w:space="0" w:color="auto"/>
        <w:bottom w:val="none" w:sz="0" w:space="0" w:color="auto"/>
        <w:right w:val="none" w:sz="0" w:space="0" w:color="auto"/>
      </w:divBdr>
    </w:div>
    <w:div w:id="1359431233">
      <w:bodyDiv w:val="1"/>
      <w:marLeft w:val="0"/>
      <w:marRight w:val="0"/>
      <w:marTop w:val="0"/>
      <w:marBottom w:val="0"/>
      <w:divBdr>
        <w:top w:val="none" w:sz="0" w:space="0" w:color="auto"/>
        <w:left w:val="none" w:sz="0" w:space="0" w:color="auto"/>
        <w:bottom w:val="none" w:sz="0" w:space="0" w:color="auto"/>
        <w:right w:val="none" w:sz="0" w:space="0" w:color="auto"/>
      </w:divBdr>
    </w:div>
    <w:div w:id="1362054491">
      <w:bodyDiv w:val="1"/>
      <w:marLeft w:val="0"/>
      <w:marRight w:val="0"/>
      <w:marTop w:val="0"/>
      <w:marBottom w:val="0"/>
      <w:divBdr>
        <w:top w:val="none" w:sz="0" w:space="0" w:color="auto"/>
        <w:left w:val="none" w:sz="0" w:space="0" w:color="auto"/>
        <w:bottom w:val="none" w:sz="0" w:space="0" w:color="auto"/>
        <w:right w:val="none" w:sz="0" w:space="0" w:color="auto"/>
      </w:divBdr>
    </w:div>
    <w:div w:id="1362515998">
      <w:bodyDiv w:val="1"/>
      <w:marLeft w:val="0"/>
      <w:marRight w:val="0"/>
      <w:marTop w:val="0"/>
      <w:marBottom w:val="0"/>
      <w:divBdr>
        <w:top w:val="none" w:sz="0" w:space="0" w:color="auto"/>
        <w:left w:val="none" w:sz="0" w:space="0" w:color="auto"/>
        <w:bottom w:val="none" w:sz="0" w:space="0" w:color="auto"/>
        <w:right w:val="none" w:sz="0" w:space="0" w:color="auto"/>
      </w:divBdr>
    </w:div>
    <w:div w:id="1367683557">
      <w:bodyDiv w:val="1"/>
      <w:marLeft w:val="0"/>
      <w:marRight w:val="0"/>
      <w:marTop w:val="0"/>
      <w:marBottom w:val="0"/>
      <w:divBdr>
        <w:top w:val="none" w:sz="0" w:space="0" w:color="auto"/>
        <w:left w:val="none" w:sz="0" w:space="0" w:color="auto"/>
        <w:bottom w:val="none" w:sz="0" w:space="0" w:color="auto"/>
        <w:right w:val="none" w:sz="0" w:space="0" w:color="auto"/>
      </w:divBdr>
    </w:div>
    <w:div w:id="1374619657">
      <w:bodyDiv w:val="1"/>
      <w:marLeft w:val="0"/>
      <w:marRight w:val="0"/>
      <w:marTop w:val="0"/>
      <w:marBottom w:val="0"/>
      <w:divBdr>
        <w:top w:val="none" w:sz="0" w:space="0" w:color="auto"/>
        <w:left w:val="none" w:sz="0" w:space="0" w:color="auto"/>
        <w:bottom w:val="none" w:sz="0" w:space="0" w:color="auto"/>
        <w:right w:val="none" w:sz="0" w:space="0" w:color="auto"/>
      </w:divBdr>
    </w:div>
    <w:div w:id="1376734204">
      <w:bodyDiv w:val="1"/>
      <w:marLeft w:val="0"/>
      <w:marRight w:val="0"/>
      <w:marTop w:val="0"/>
      <w:marBottom w:val="0"/>
      <w:divBdr>
        <w:top w:val="none" w:sz="0" w:space="0" w:color="auto"/>
        <w:left w:val="none" w:sz="0" w:space="0" w:color="auto"/>
        <w:bottom w:val="none" w:sz="0" w:space="0" w:color="auto"/>
        <w:right w:val="none" w:sz="0" w:space="0" w:color="auto"/>
      </w:divBdr>
    </w:div>
    <w:div w:id="1382438013">
      <w:bodyDiv w:val="1"/>
      <w:marLeft w:val="0"/>
      <w:marRight w:val="0"/>
      <w:marTop w:val="0"/>
      <w:marBottom w:val="0"/>
      <w:divBdr>
        <w:top w:val="none" w:sz="0" w:space="0" w:color="auto"/>
        <w:left w:val="none" w:sz="0" w:space="0" w:color="auto"/>
        <w:bottom w:val="none" w:sz="0" w:space="0" w:color="auto"/>
        <w:right w:val="none" w:sz="0" w:space="0" w:color="auto"/>
      </w:divBdr>
    </w:div>
    <w:div w:id="1384983407">
      <w:bodyDiv w:val="1"/>
      <w:marLeft w:val="0"/>
      <w:marRight w:val="0"/>
      <w:marTop w:val="0"/>
      <w:marBottom w:val="0"/>
      <w:divBdr>
        <w:top w:val="none" w:sz="0" w:space="0" w:color="auto"/>
        <w:left w:val="none" w:sz="0" w:space="0" w:color="auto"/>
        <w:bottom w:val="none" w:sz="0" w:space="0" w:color="auto"/>
        <w:right w:val="none" w:sz="0" w:space="0" w:color="auto"/>
      </w:divBdr>
    </w:div>
    <w:div w:id="1386300136">
      <w:bodyDiv w:val="1"/>
      <w:marLeft w:val="0"/>
      <w:marRight w:val="0"/>
      <w:marTop w:val="0"/>
      <w:marBottom w:val="0"/>
      <w:divBdr>
        <w:top w:val="none" w:sz="0" w:space="0" w:color="auto"/>
        <w:left w:val="none" w:sz="0" w:space="0" w:color="auto"/>
        <w:bottom w:val="none" w:sz="0" w:space="0" w:color="auto"/>
        <w:right w:val="none" w:sz="0" w:space="0" w:color="auto"/>
      </w:divBdr>
    </w:div>
    <w:div w:id="1389457555">
      <w:bodyDiv w:val="1"/>
      <w:marLeft w:val="0"/>
      <w:marRight w:val="0"/>
      <w:marTop w:val="0"/>
      <w:marBottom w:val="0"/>
      <w:divBdr>
        <w:top w:val="none" w:sz="0" w:space="0" w:color="auto"/>
        <w:left w:val="none" w:sz="0" w:space="0" w:color="auto"/>
        <w:bottom w:val="none" w:sz="0" w:space="0" w:color="auto"/>
        <w:right w:val="none" w:sz="0" w:space="0" w:color="auto"/>
      </w:divBdr>
    </w:div>
    <w:div w:id="1395930445">
      <w:bodyDiv w:val="1"/>
      <w:marLeft w:val="0"/>
      <w:marRight w:val="0"/>
      <w:marTop w:val="0"/>
      <w:marBottom w:val="0"/>
      <w:divBdr>
        <w:top w:val="none" w:sz="0" w:space="0" w:color="auto"/>
        <w:left w:val="none" w:sz="0" w:space="0" w:color="auto"/>
        <w:bottom w:val="none" w:sz="0" w:space="0" w:color="auto"/>
        <w:right w:val="none" w:sz="0" w:space="0" w:color="auto"/>
      </w:divBdr>
    </w:div>
    <w:div w:id="1406758217">
      <w:bodyDiv w:val="1"/>
      <w:marLeft w:val="0"/>
      <w:marRight w:val="0"/>
      <w:marTop w:val="0"/>
      <w:marBottom w:val="0"/>
      <w:divBdr>
        <w:top w:val="none" w:sz="0" w:space="0" w:color="auto"/>
        <w:left w:val="none" w:sz="0" w:space="0" w:color="auto"/>
        <w:bottom w:val="none" w:sz="0" w:space="0" w:color="auto"/>
        <w:right w:val="none" w:sz="0" w:space="0" w:color="auto"/>
      </w:divBdr>
    </w:div>
    <w:div w:id="1410034161">
      <w:bodyDiv w:val="1"/>
      <w:marLeft w:val="0"/>
      <w:marRight w:val="0"/>
      <w:marTop w:val="0"/>
      <w:marBottom w:val="0"/>
      <w:divBdr>
        <w:top w:val="none" w:sz="0" w:space="0" w:color="auto"/>
        <w:left w:val="none" w:sz="0" w:space="0" w:color="auto"/>
        <w:bottom w:val="none" w:sz="0" w:space="0" w:color="auto"/>
        <w:right w:val="none" w:sz="0" w:space="0" w:color="auto"/>
      </w:divBdr>
    </w:div>
    <w:div w:id="1418139798">
      <w:bodyDiv w:val="1"/>
      <w:marLeft w:val="0"/>
      <w:marRight w:val="0"/>
      <w:marTop w:val="0"/>
      <w:marBottom w:val="0"/>
      <w:divBdr>
        <w:top w:val="none" w:sz="0" w:space="0" w:color="auto"/>
        <w:left w:val="none" w:sz="0" w:space="0" w:color="auto"/>
        <w:bottom w:val="none" w:sz="0" w:space="0" w:color="auto"/>
        <w:right w:val="none" w:sz="0" w:space="0" w:color="auto"/>
      </w:divBdr>
    </w:div>
    <w:div w:id="1420326606">
      <w:bodyDiv w:val="1"/>
      <w:marLeft w:val="0"/>
      <w:marRight w:val="0"/>
      <w:marTop w:val="0"/>
      <w:marBottom w:val="0"/>
      <w:divBdr>
        <w:top w:val="none" w:sz="0" w:space="0" w:color="auto"/>
        <w:left w:val="none" w:sz="0" w:space="0" w:color="auto"/>
        <w:bottom w:val="none" w:sz="0" w:space="0" w:color="auto"/>
        <w:right w:val="none" w:sz="0" w:space="0" w:color="auto"/>
      </w:divBdr>
    </w:div>
    <w:div w:id="1423257380">
      <w:bodyDiv w:val="1"/>
      <w:marLeft w:val="0"/>
      <w:marRight w:val="0"/>
      <w:marTop w:val="0"/>
      <w:marBottom w:val="0"/>
      <w:divBdr>
        <w:top w:val="none" w:sz="0" w:space="0" w:color="auto"/>
        <w:left w:val="none" w:sz="0" w:space="0" w:color="auto"/>
        <w:bottom w:val="none" w:sz="0" w:space="0" w:color="auto"/>
        <w:right w:val="none" w:sz="0" w:space="0" w:color="auto"/>
      </w:divBdr>
    </w:div>
    <w:div w:id="1453984232">
      <w:bodyDiv w:val="1"/>
      <w:marLeft w:val="0"/>
      <w:marRight w:val="0"/>
      <w:marTop w:val="0"/>
      <w:marBottom w:val="0"/>
      <w:divBdr>
        <w:top w:val="none" w:sz="0" w:space="0" w:color="auto"/>
        <w:left w:val="none" w:sz="0" w:space="0" w:color="auto"/>
        <w:bottom w:val="none" w:sz="0" w:space="0" w:color="auto"/>
        <w:right w:val="none" w:sz="0" w:space="0" w:color="auto"/>
      </w:divBdr>
    </w:div>
    <w:div w:id="1457915450">
      <w:bodyDiv w:val="1"/>
      <w:marLeft w:val="0"/>
      <w:marRight w:val="0"/>
      <w:marTop w:val="0"/>
      <w:marBottom w:val="0"/>
      <w:divBdr>
        <w:top w:val="none" w:sz="0" w:space="0" w:color="auto"/>
        <w:left w:val="none" w:sz="0" w:space="0" w:color="auto"/>
        <w:bottom w:val="none" w:sz="0" w:space="0" w:color="auto"/>
        <w:right w:val="none" w:sz="0" w:space="0" w:color="auto"/>
      </w:divBdr>
    </w:div>
    <w:div w:id="1459715032">
      <w:bodyDiv w:val="1"/>
      <w:marLeft w:val="0"/>
      <w:marRight w:val="0"/>
      <w:marTop w:val="0"/>
      <w:marBottom w:val="0"/>
      <w:divBdr>
        <w:top w:val="none" w:sz="0" w:space="0" w:color="auto"/>
        <w:left w:val="none" w:sz="0" w:space="0" w:color="auto"/>
        <w:bottom w:val="none" w:sz="0" w:space="0" w:color="auto"/>
        <w:right w:val="none" w:sz="0" w:space="0" w:color="auto"/>
      </w:divBdr>
      <w:divsChild>
        <w:div w:id="567112034">
          <w:marLeft w:val="-225"/>
          <w:marRight w:val="-225"/>
          <w:marTop w:val="0"/>
          <w:marBottom w:val="0"/>
          <w:divBdr>
            <w:top w:val="none" w:sz="0" w:space="0" w:color="auto"/>
            <w:left w:val="none" w:sz="0" w:space="0" w:color="auto"/>
            <w:bottom w:val="none" w:sz="0" w:space="0" w:color="auto"/>
            <w:right w:val="none" w:sz="0" w:space="0" w:color="auto"/>
          </w:divBdr>
          <w:divsChild>
            <w:div w:id="1754428175">
              <w:marLeft w:val="0"/>
              <w:marRight w:val="0"/>
              <w:marTop w:val="0"/>
              <w:marBottom w:val="0"/>
              <w:divBdr>
                <w:top w:val="none" w:sz="0" w:space="0" w:color="auto"/>
                <w:left w:val="none" w:sz="0" w:space="0" w:color="auto"/>
                <w:bottom w:val="none" w:sz="0" w:space="0" w:color="auto"/>
                <w:right w:val="none" w:sz="0" w:space="0" w:color="auto"/>
              </w:divBdr>
              <w:divsChild>
                <w:div w:id="711266695">
                  <w:marLeft w:val="0"/>
                  <w:marRight w:val="0"/>
                  <w:marTop w:val="0"/>
                  <w:marBottom w:val="0"/>
                  <w:divBdr>
                    <w:top w:val="none" w:sz="0" w:space="0" w:color="auto"/>
                    <w:left w:val="none" w:sz="0" w:space="0" w:color="auto"/>
                    <w:bottom w:val="none" w:sz="0" w:space="0" w:color="auto"/>
                    <w:right w:val="none" w:sz="0" w:space="0" w:color="auto"/>
                  </w:divBdr>
                  <w:divsChild>
                    <w:div w:id="161702369">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1140263617">
          <w:marLeft w:val="-225"/>
          <w:marRight w:val="-225"/>
          <w:marTop w:val="0"/>
          <w:marBottom w:val="0"/>
          <w:divBdr>
            <w:top w:val="none" w:sz="0" w:space="0" w:color="auto"/>
            <w:left w:val="none" w:sz="0" w:space="0" w:color="auto"/>
            <w:bottom w:val="none" w:sz="0" w:space="0" w:color="auto"/>
            <w:right w:val="none" w:sz="0" w:space="0" w:color="auto"/>
          </w:divBdr>
          <w:divsChild>
            <w:div w:id="856970237">
              <w:marLeft w:val="0"/>
              <w:marRight w:val="0"/>
              <w:marTop w:val="0"/>
              <w:marBottom w:val="0"/>
              <w:divBdr>
                <w:top w:val="none" w:sz="0" w:space="0" w:color="auto"/>
                <w:left w:val="none" w:sz="0" w:space="0" w:color="auto"/>
                <w:bottom w:val="none" w:sz="0" w:space="0" w:color="auto"/>
                <w:right w:val="none" w:sz="0" w:space="0" w:color="auto"/>
              </w:divBdr>
              <w:divsChild>
                <w:div w:id="1271549765">
                  <w:marLeft w:val="0"/>
                  <w:marRight w:val="0"/>
                  <w:marTop w:val="0"/>
                  <w:marBottom w:val="0"/>
                  <w:divBdr>
                    <w:top w:val="none" w:sz="0" w:space="0" w:color="auto"/>
                    <w:left w:val="none" w:sz="0" w:space="0" w:color="auto"/>
                    <w:bottom w:val="none" w:sz="0" w:space="0" w:color="auto"/>
                    <w:right w:val="none" w:sz="0" w:space="0" w:color="auto"/>
                  </w:divBdr>
                  <w:divsChild>
                    <w:div w:id="1186402324">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1223103504">
          <w:marLeft w:val="-225"/>
          <w:marRight w:val="-225"/>
          <w:marTop w:val="0"/>
          <w:marBottom w:val="0"/>
          <w:divBdr>
            <w:top w:val="none" w:sz="0" w:space="0" w:color="auto"/>
            <w:left w:val="none" w:sz="0" w:space="0" w:color="auto"/>
            <w:bottom w:val="none" w:sz="0" w:space="0" w:color="auto"/>
            <w:right w:val="none" w:sz="0" w:space="0" w:color="auto"/>
          </w:divBdr>
          <w:divsChild>
            <w:div w:id="833225273">
              <w:marLeft w:val="0"/>
              <w:marRight w:val="0"/>
              <w:marTop w:val="0"/>
              <w:marBottom w:val="0"/>
              <w:divBdr>
                <w:top w:val="none" w:sz="0" w:space="0" w:color="auto"/>
                <w:left w:val="none" w:sz="0" w:space="0" w:color="auto"/>
                <w:bottom w:val="none" w:sz="0" w:space="0" w:color="auto"/>
                <w:right w:val="none" w:sz="0" w:space="0" w:color="auto"/>
              </w:divBdr>
              <w:divsChild>
                <w:div w:id="299464153">
                  <w:marLeft w:val="0"/>
                  <w:marRight w:val="0"/>
                  <w:marTop w:val="0"/>
                  <w:marBottom w:val="0"/>
                  <w:divBdr>
                    <w:top w:val="none" w:sz="0" w:space="0" w:color="auto"/>
                    <w:left w:val="none" w:sz="0" w:space="0" w:color="auto"/>
                    <w:bottom w:val="none" w:sz="0" w:space="0" w:color="auto"/>
                    <w:right w:val="none" w:sz="0" w:space="0" w:color="auto"/>
                  </w:divBdr>
                  <w:divsChild>
                    <w:div w:id="1931769141">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1795907169">
          <w:marLeft w:val="-225"/>
          <w:marRight w:val="-225"/>
          <w:marTop w:val="0"/>
          <w:marBottom w:val="0"/>
          <w:divBdr>
            <w:top w:val="none" w:sz="0" w:space="0" w:color="auto"/>
            <w:left w:val="none" w:sz="0" w:space="0" w:color="auto"/>
            <w:bottom w:val="none" w:sz="0" w:space="0" w:color="auto"/>
            <w:right w:val="none" w:sz="0" w:space="0" w:color="auto"/>
          </w:divBdr>
          <w:divsChild>
            <w:div w:id="1504661149">
              <w:marLeft w:val="0"/>
              <w:marRight w:val="0"/>
              <w:marTop w:val="0"/>
              <w:marBottom w:val="0"/>
              <w:divBdr>
                <w:top w:val="none" w:sz="0" w:space="0" w:color="auto"/>
                <w:left w:val="none" w:sz="0" w:space="0" w:color="auto"/>
                <w:bottom w:val="none" w:sz="0" w:space="0" w:color="auto"/>
                <w:right w:val="none" w:sz="0" w:space="0" w:color="auto"/>
              </w:divBdr>
              <w:divsChild>
                <w:div w:id="810027014">
                  <w:marLeft w:val="0"/>
                  <w:marRight w:val="0"/>
                  <w:marTop w:val="0"/>
                  <w:marBottom w:val="0"/>
                  <w:divBdr>
                    <w:top w:val="none" w:sz="0" w:space="0" w:color="auto"/>
                    <w:left w:val="none" w:sz="0" w:space="0" w:color="auto"/>
                    <w:bottom w:val="none" w:sz="0" w:space="0" w:color="auto"/>
                    <w:right w:val="none" w:sz="0" w:space="0" w:color="auto"/>
                  </w:divBdr>
                  <w:divsChild>
                    <w:div w:id="927420353">
                      <w:marLeft w:val="-225"/>
                      <w:marRight w:val="-225"/>
                      <w:marTop w:val="0"/>
                      <w:marBottom w:val="0"/>
                      <w:divBdr>
                        <w:top w:val="none" w:sz="0" w:space="0" w:color="auto"/>
                        <w:left w:val="none" w:sz="0" w:space="0" w:color="auto"/>
                        <w:bottom w:val="none" w:sz="0" w:space="0" w:color="auto"/>
                        <w:right w:val="none" w:sz="0" w:space="0" w:color="auto"/>
                      </w:divBdr>
                      <w:divsChild>
                        <w:div w:id="986515338">
                          <w:marLeft w:val="0"/>
                          <w:marRight w:val="0"/>
                          <w:marTop w:val="0"/>
                          <w:marBottom w:val="0"/>
                          <w:divBdr>
                            <w:top w:val="dotted" w:sz="6" w:space="8" w:color="C3C3C3"/>
                            <w:left w:val="dotted" w:sz="6" w:space="15" w:color="C3C3C3"/>
                            <w:bottom w:val="dotted" w:sz="6" w:space="8" w:color="C3C3C3"/>
                            <w:right w:val="dotted" w:sz="6" w:space="8" w:color="C3C3C3"/>
                          </w:divBdr>
                        </w:div>
                      </w:divsChild>
                    </w:div>
                  </w:divsChild>
                </w:div>
              </w:divsChild>
            </w:div>
          </w:divsChild>
        </w:div>
      </w:divsChild>
    </w:div>
    <w:div w:id="1461073428">
      <w:bodyDiv w:val="1"/>
      <w:marLeft w:val="0"/>
      <w:marRight w:val="0"/>
      <w:marTop w:val="0"/>
      <w:marBottom w:val="0"/>
      <w:divBdr>
        <w:top w:val="none" w:sz="0" w:space="0" w:color="auto"/>
        <w:left w:val="none" w:sz="0" w:space="0" w:color="auto"/>
        <w:bottom w:val="none" w:sz="0" w:space="0" w:color="auto"/>
        <w:right w:val="none" w:sz="0" w:space="0" w:color="auto"/>
      </w:divBdr>
    </w:div>
    <w:div w:id="1461463195">
      <w:bodyDiv w:val="1"/>
      <w:marLeft w:val="0"/>
      <w:marRight w:val="0"/>
      <w:marTop w:val="0"/>
      <w:marBottom w:val="0"/>
      <w:divBdr>
        <w:top w:val="none" w:sz="0" w:space="0" w:color="auto"/>
        <w:left w:val="none" w:sz="0" w:space="0" w:color="auto"/>
        <w:bottom w:val="none" w:sz="0" w:space="0" w:color="auto"/>
        <w:right w:val="none" w:sz="0" w:space="0" w:color="auto"/>
      </w:divBdr>
    </w:div>
    <w:div w:id="1464234390">
      <w:bodyDiv w:val="1"/>
      <w:marLeft w:val="0"/>
      <w:marRight w:val="0"/>
      <w:marTop w:val="0"/>
      <w:marBottom w:val="0"/>
      <w:divBdr>
        <w:top w:val="none" w:sz="0" w:space="0" w:color="auto"/>
        <w:left w:val="none" w:sz="0" w:space="0" w:color="auto"/>
        <w:bottom w:val="none" w:sz="0" w:space="0" w:color="auto"/>
        <w:right w:val="none" w:sz="0" w:space="0" w:color="auto"/>
      </w:divBdr>
    </w:div>
    <w:div w:id="1471358117">
      <w:bodyDiv w:val="1"/>
      <w:marLeft w:val="0"/>
      <w:marRight w:val="0"/>
      <w:marTop w:val="0"/>
      <w:marBottom w:val="0"/>
      <w:divBdr>
        <w:top w:val="none" w:sz="0" w:space="0" w:color="auto"/>
        <w:left w:val="none" w:sz="0" w:space="0" w:color="auto"/>
        <w:bottom w:val="none" w:sz="0" w:space="0" w:color="auto"/>
        <w:right w:val="none" w:sz="0" w:space="0" w:color="auto"/>
      </w:divBdr>
    </w:div>
    <w:div w:id="1472602374">
      <w:bodyDiv w:val="1"/>
      <w:marLeft w:val="0"/>
      <w:marRight w:val="0"/>
      <w:marTop w:val="0"/>
      <w:marBottom w:val="0"/>
      <w:divBdr>
        <w:top w:val="none" w:sz="0" w:space="0" w:color="auto"/>
        <w:left w:val="none" w:sz="0" w:space="0" w:color="auto"/>
        <w:bottom w:val="none" w:sz="0" w:space="0" w:color="auto"/>
        <w:right w:val="none" w:sz="0" w:space="0" w:color="auto"/>
      </w:divBdr>
    </w:div>
    <w:div w:id="1472670342">
      <w:bodyDiv w:val="1"/>
      <w:marLeft w:val="0"/>
      <w:marRight w:val="0"/>
      <w:marTop w:val="0"/>
      <w:marBottom w:val="0"/>
      <w:divBdr>
        <w:top w:val="none" w:sz="0" w:space="0" w:color="auto"/>
        <w:left w:val="none" w:sz="0" w:space="0" w:color="auto"/>
        <w:bottom w:val="none" w:sz="0" w:space="0" w:color="auto"/>
        <w:right w:val="none" w:sz="0" w:space="0" w:color="auto"/>
      </w:divBdr>
    </w:div>
    <w:div w:id="1480803143">
      <w:bodyDiv w:val="1"/>
      <w:marLeft w:val="0"/>
      <w:marRight w:val="0"/>
      <w:marTop w:val="0"/>
      <w:marBottom w:val="0"/>
      <w:divBdr>
        <w:top w:val="none" w:sz="0" w:space="0" w:color="auto"/>
        <w:left w:val="none" w:sz="0" w:space="0" w:color="auto"/>
        <w:bottom w:val="none" w:sz="0" w:space="0" w:color="auto"/>
        <w:right w:val="none" w:sz="0" w:space="0" w:color="auto"/>
      </w:divBdr>
    </w:div>
    <w:div w:id="1485123538">
      <w:bodyDiv w:val="1"/>
      <w:marLeft w:val="0"/>
      <w:marRight w:val="0"/>
      <w:marTop w:val="0"/>
      <w:marBottom w:val="0"/>
      <w:divBdr>
        <w:top w:val="none" w:sz="0" w:space="0" w:color="auto"/>
        <w:left w:val="none" w:sz="0" w:space="0" w:color="auto"/>
        <w:bottom w:val="none" w:sz="0" w:space="0" w:color="auto"/>
        <w:right w:val="none" w:sz="0" w:space="0" w:color="auto"/>
      </w:divBdr>
    </w:div>
    <w:div w:id="1489128972">
      <w:bodyDiv w:val="1"/>
      <w:marLeft w:val="0"/>
      <w:marRight w:val="0"/>
      <w:marTop w:val="0"/>
      <w:marBottom w:val="0"/>
      <w:divBdr>
        <w:top w:val="none" w:sz="0" w:space="0" w:color="auto"/>
        <w:left w:val="none" w:sz="0" w:space="0" w:color="auto"/>
        <w:bottom w:val="none" w:sz="0" w:space="0" w:color="auto"/>
        <w:right w:val="none" w:sz="0" w:space="0" w:color="auto"/>
      </w:divBdr>
    </w:div>
    <w:div w:id="1489440738">
      <w:bodyDiv w:val="1"/>
      <w:marLeft w:val="0"/>
      <w:marRight w:val="0"/>
      <w:marTop w:val="0"/>
      <w:marBottom w:val="0"/>
      <w:divBdr>
        <w:top w:val="none" w:sz="0" w:space="0" w:color="auto"/>
        <w:left w:val="none" w:sz="0" w:space="0" w:color="auto"/>
        <w:bottom w:val="none" w:sz="0" w:space="0" w:color="auto"/>
        <w:right w:val="none" w:sz="0" w:space="0" w:color="auto"/>
      </w:divBdr>
    </w:div>
    <w:div w:id="1489902611">
      <w:bodyDiv w:val="1"/>
      <w:marLeft w:val="0"/>
      <w:marRight w:val="0"/>
      <w:marTop w:val="0"/>
      <w:marBottom w:val="0"/>
      <w:divBdr>
        <w:top w:val="none" w:sz="0" w:space="0" w:color="auto"/>
        <w:left w:val="none" w:sz="0" w:space="0" w:color="auto"/>
        <w:bottom w:val="none" w:sz="0" w:space="0" w:color="auto"/>
        <w:right w:val="none" w:sz="0" w:space="0" w:color="auto"/>
      </w:divBdr>
    </w:div>
    <w:div w:id="1498494159">
      <w:bodyDiv w:val="1"/>
      <w:marLeft w:val="0"/>
      <w:marRight w:val="0"/>
      <w:marTop w:val="0"/>
      <w:marBottom w:val="0"/>
      <w:divBdr>
        <w:top w:val="none" w:sz="0" w:space="0" w:color="auto"/>
        <w:left w:val="none" w:sz="0" w:space="0" w:color="auto"/>
        <w:bottom w:val="none" w:sz="0" w:space="0" w:color="auto"/>
        <w:right w:val="none" w:sz="0" w:space="0" w:color="auto"/>
      </w:divBdr>
    </w:div>
    <w:div w:id="1507288892">
      <w:bodyDiv w:val="1"/>
      <w:marLeft w:val="0"/>
      <w:marRight w:val="0"/>
      <w:marTop w:val="0"/>
      <w:marBottom w:val="0"/>
      <w:divBdr>
        <w:top w:val="none" w:sz="0" w:space="0" w:color="auto"/>
        <w:left w:val="none" w:sz="0" w:space="0" w:color="auto"/>
        <w:bottom w:val="none" w:sz="0" w:space="0" w:color="auto"/>
        <w:right w:val="none" w:sz="0" w:space="0" w:color="auto"/>
      </w:divBdr>
    </w:div>
    <w:div w:id="1507743250">
      <w:bodyDiv w:val="1"/>
      <w:marLeft w:val="0"/>
      <w:marRight w:val="0"/>
      <w:marTop w:val="0"/>
      <w:marBottom w:val="0"/>
      <w:divBdr>
        <w:top w:val="none" w:sz="0" w:space="0" w:color="auto"/>
        <w:left w:val="none" w:sz="0" w:space="0" w:color="auto"/>
        <w:bottom w:val="none" w:sz="0" w:space="0" w:color="auto"/>
        <w:right w:val="none" w:sz="0" w:space="0" w:color="auto"/>
      </w:divBdr>
    </w:div>
    <w:div w:id="1518613937">
      <w:bodyDiv w:val="1"/>
      <w:marLeft w:val="0"/>
      <w:marRight w:val="0"/>
      <w:marTop w:val="0"/>
      <w:marBottom w:val="0"/>
      <w:divBdr>
        <w:top w:val="none" w:sz="0" w:space="0" w:color="auto"/>
        <w:left w:val="none" w:sz="0" w:space="0" w:color="auto"/>
        <w:bottom w:val="none" w:sz="0" w:space="0" w:color="auto"/>
        <w:right w:val="none" w:sz="0" w:space="0" w:color="auto"/>
      </w:divBdr>
    </w:div>
    <w:div w:id="1518737366">
      <w:bodyDiv w:val="1"/>
      <w:marLeft w:val="0"/>
      <w:marRight w:val="0"/>
      <w:marTop w:val="0"/>
      <w:marBottom w:val="0"/>
      <w:divBdr>
        <w:top w:val="none" w:sz="0" w:space="0" w:color="auto"/>
        <w:left w:val="none" w:sz="0" w:space="0" w:color="auto"/>
        <w:bottom w:val="none" w:sz="0" w:space="0" w:color="auto"/>
        <w:right w:val="none" w:sz="0" w:space="0" w:color="auto"/>
      </w:divBdr>
    </w:div>
    <w:div w:id="1545293715">
      <w:bodyDiv w:val="1"/>
      <w:marLeft w:val="0"/>
      <w:marRight w:val="0"/>
      <w:marTop w:val="0"/>
      <w:marBottom w:val="0"/>
      <w:divBdr>
        <w:top w:val="none" w:sz="0" w:space="0" w:color="auto"/>
        <w:left w:val="none" w:sz="0" w:space="0" w:color="auto"/>
        <w:bottom w:val="none" w:sz="0" w:space="0" w:color="auto"/>
        <w:right w:val="none" w:sz="0" w:space="0" w:color="auto"/>
      </w:divBdr>
    </w:div>
    <w:div w:id="1553420737">
      <w:bodyDiv w:val="1"/>
      <w:marLeft w:val="0"/>
      <w:marRight w:val="0"/>
      <w:marTop w:val="0"/>
      <w:marBottom w:val="0"/>
      <w:divBdr>
        <w:top w:val="none" w:sz="0" w:space="0" w:color="auto"/>
        <w:left w:val="none" w:sz="0" w:space="0" w:color="auto"/>
        <w:bottom w:val="none" w:sz="0" w:space="0" w:color="auto"/>
        <w:right w:val="none" w:sz="0" w:space="0" w:color="auto"/>
      </w:divBdr>
    </w:div>
    <w:div w:id="1557668153">
      <w:bodyDiv w:val="1"/>
      <w:marLeft w:val="0"/>
      <w:marRight w:val="0"/>
      <w:marTop w:val="0"/>
      <w:marBottom w:val="0"/>
      <w:divBdr>
        <w:top w:val="none" w:sz="0" w:space="0" w:color="auto"/>
        <w:left w:val="none" w:sz="0" w:space="0" w:color="auto"/>
        <w:bottom w:val="none" w:sz="0" w:space="0" w:color="auto"/>
        <w:right w:val="none" w:sz="0" w:space="0" w:color="auto"/>
      </w:divBdr>
    </w:div>
    <w:div w:id="1569266141">
      <w:bodyDiv w:val="1"/>
      <w:marLeft w:val="0"/>
      <w:marRight w:val="0"/>
      <w:marTop w:val="0"/>
      <w:marBottom w:val="0"/>
      <w:divBdr>
        <w:top w:val="none" w:sz="0" w:space="0" w:color="auto"/>
        <w:left w:val="none" w:sz="0" w:space="0" w:color="auto"/>
        <w:bottom w:val="none" w:sz="0" w:space="0" w:color="auto"/>
        <w:right w:val="none" w:sz="0" w:space="0" w:color="auto"/>
      </w:divBdr>
      <w:divsChild>
        <w:div w:id="243497731">
          <w:marLeft w:val="-225"/>
          <w:marRight w:val="-225"/>
          <w:marTop w:val="0"/>
          <w:marBottom w:val="0"/>
          <w:divBdr>
            <w:top w:val="none" w:sz="0" w:space="0" w:color="auto"/>
            <w:left w:val="none" w:sz="0" w:space="0" w:color="auto"/>
            <w:bottom w:val="none" w:sz="0" w:space="0" w:color="auto"/>
            <w:right w:val="none" w:sz="0" w:space="0" w:color="auto"/>
          </w:divBdr>
        </w:div>
        <w:div w:id="515001009">
          <w:marLeft w:val="-225"/>
          <w:marRight w:val="-225"/>
          <w:marTop w:val="0"/>
          <w:marBottom w:val="0"/>
          <w:divBdr>
            <w:top w:val="none" w:sz="0" w:space="0" w:color="auto"/>
            <w:left w:val="none" w:sz="0" w:space="0" w:color="auto"/>
            <w:bottom w:val="none" w:sz="0" w:space="0" w:color="auto"/>
            <w:right w:val="none" w:sz="0" w:space="0" w:color="auto"/>
          </w:divBdr>
        </w:div>
        <w:div w:id="1108045580">
          <w:marLeft w:val="-225"/>
          <w:marRight w:val="-225"/>
          <w:marTop w:val="0"/>
          <w:marBottom w:val="0"/>
          <w:divBdr>
            <w:top w:val="none" w:sz="0" w:space="0" w:color="auto"/>
            <w:left w:val="none" w:sz="0" w:space="0" w:color="auto"/>
            <w:bottom w:val="none" w:sz="0" w:space="0" w:color="auto"/>
            <w:right w:val="none" w:sz="0" w:space="0" w:color="auto"/>
          </w:divBdr>
        </w:div>
        <w:div w:id="1237013742">
          <w:marLeft w:val="-225"/>
          <w:marRight w:val="-225"/>
          <w:marTop w:val="0"/>
          <w:marBottom w:val="0"/>
          <w:divBdr>
            <w:top w:val="none" w:sz="0" w:space="0" w:color="auto"/>
            <w:left w:val="none" w:sz="0" w:space="0" w:color="auto"/>
            <w:bottom w:val="none" w:sz="0" w:space="0" w:color="auto"/>
            <w:right w:val="none" w:sz="0" w:space="0" w:color="auto"/>
          </w:divBdr>
        </w:div>
      </w:divsChild>
    </w:div>
    <w:div w:id="1588147685">
      <w:bodyDiv w:val="1"/>
      <w:marLeft w:val="0"/>
      <w:marRight w:val="0"/>
      <w:marTop w:val="0"/>
      <w:marBottom w:val="0"/>
      <w:divBdr>
        <w:top w:val="none" w:sz="0" w:space="0" w:color="auto"/>
        <w:left w:val="none" w:sz="0" w:space="0" w:color="auto"/>
        <w:bottom w:val="none" w:sz="0" w:space="0" w:color="auto"/>
        <w:right w:val="none" w:sz="0" w:space="0" w:color="auto"/>
      </w:divBdr>
    </w:div>
    <w:div w:id="1593514615">
      <w:bodyDiv w:val="1"/>
      <w:marLeft w:val="0"/>
      <w:marRight w:val="0"/>
      <w:marTop w:val="0"/>
      <w:marBottom w:val="0"/>
      <w:divBdr>
        <w:top w:val="none" w:sz="0" w:space="0" w:color="auto"/>
        <w:left w:val="none" w:sz="0" w:space="0" w:color="auto"/>
        <w:bottom w:val="none" w:sz="0" w:space="0" w:color="auto"/>
        <w:right w:val="none" w:sz="0" w:space="0" w:color="auto"/>
      </w:divBdr>
    </w:div>
    <w:div w:id="1594971096">
      <w:bodyDiv w:val="1"/>
      <w:marLeft w:val="0"/>
      <w:marRight w:val="0"/>
      <w:marTop w:val="0"/>
      <w:marBottom w:val="0"/>
      <w:divBdr>
        <w:top w:val="none" w:sz="0" w:space="0" w:color="auto"/>
        <w:left w:val="none" w:sz="0" w:space="0" w:color="auto"/>
        <w:bottom w:val="none" w:sz="0" w:space="0" w:color="auto"/>
        <w:right w:val="none" w:sz="0" w:space="0" w:color="auto"/>
      </w:divBdr>
    </w:div>
    <w:div w:id="1598515761">
      <w:bodyDiv w:val="1"/>
      <w:marLeft w:val="0"/>
      <w:marRight w:val="0"/>
      <w:marTop w:val="0"/>
      <w:marBottom w:val="0"/>
      <w:divBdr>
        <w:top w:val="none" w:sz="0" w:space="0" w:color="auto"/>
        <w:left w:val="none" w:sz="0" w:space="0" w:color="auto"/>
        <w:bottom w:val="none" w:sz="0" w:space="0" w:color="auto"/>
        <w:right w:val="none" w:sz="0" w:space="0" w:color="auto"/>
      </w:divBdr>
    </w:div>
    <w:div w:id="1599828244">
      <w:bodyDiv w:val="1"/>
      <w:marLeft w:val="0"/>
      <w:marRight w:val="0"/>
      <w:marTop w:val="0"/>
      <w:marBottom w:val="0"/>
      <w:divBdr>
        <w:top w:val="none" w:sz="0" w:space="0" w:color="auto"/>
        <w:left w:val="none" w:sz="0" w:space="0" w:color="auto"/>
        <w:bottom w:val="none" w:sz="0" w:space="0" w:color="auto"/>
        <w:right w:val="none" w:sz="0" w:space="0" w:color="auto"/>
      </w:divBdr>
    </w:div>
    <w:div w:id="1607225820">
      <w:bodyDiv w:val="1"/>
      <w:marLeft w:val="0"/>
      <w:marRight w:val="0"/>
      <w:marTop w:val="0"/>
      <w:marBottom w:val="0"/>
      <w:divBdr>
        <w:top w:val="none" w:sz="0" w:space="0" w:color="auto"/>
        <w:left w:val="none" w:sz="0" w:space="0" w:color="auto"/>
        <w:bottom w:val="none" w:sz="0" w:space="0" w:color="auto"/>
        <w:right w:val="none" w:sz="0" w:space="0" w:color="auto"/>
      </w:divBdr>
    </w:div>
    <w:div w:id="1612973839">
      <w:bodyDiv w:val="1"/>
      <w:marLeft w:val="0"/>
      <w:marRight w:val="0"/>
      <w:marTop w:val="0"/>
      <w:marBottom w:val="0"/>
      <w:divBdr>
        <w:top w:val="none" w:sz="0" w:space="0" w:color="auto"/>
        <w:left w:val="none" w:sz="0" w:space="0" w:color="auto"/>
        <w:bottom w:val="none" w:sz="0" w:space="0" w:color="auto"/>
        <w:right w:val="none" w:sz="0" w:space="0" w:color="auto"/>
      </w:divBdr>
      <w:divsChild>
        <w:div w:id="139083215">
          <w:marLeft w:val="-225"/>
          <w:marRight w:val="-225"/>
          <w:marTop w:val="0"/>
          <w:marBottom w:val="0"/>
          <w:divBdr>
            <w:top w:val="none" w:sz="0" w:space="0" w:color="auto"/>
            <w:left w:val="none" w:sz="0" w:space="0" w:color="auto"/>
            <w:bottom w:val="none" w:sz="0" w:space="0" w:color="auto"/>
            <w:right w:val="none" w:sz="0" w:space="0" w:color="auto"/>
          </w:divBdr>
        </w:div>
        <w:div w:id="1265455159">
          <w:marLeft w:val="-225"/>
          <w:marRight w:val="-225"/>
          <w:marTop w:val="0"/>
          <w:marBottom w:val="0"/>
          <w:divBdr>
            <w:top w:val="none" w:sz="0" w:space="0" w:color="auto"/>
            <w:left w:val="none" w:sz="0" w:space="0" w:color="auto"/>
            <w:bottom w:val="none" w:sz="0" w:space="0" w:color="auto"/>
            <w:right w:val="none" w:sz="0" w:space="0" w:color="auto"/>
          </w:divBdr>
        </w:div>
      </w:divsChild>
    </w:div>
    <w:div w:id="1615088019">
      <w:bodyDiv w:val="1"/>
      <w:marLeft w:val="0"/>
      <w:marRight w:val="0"/>
      <w:marTop w:val="0"/>
      <w:marBottom w:val="0"/>
      <w:divBdr>
        <w:top w:val="none" w:sz="0" w:space="0" w:color="auto"/>
        <w:left w:val="none" w:sz="0" w:space="0" w:color="auto"/>
        <w:bottom w:val="none" w:sz="0" w:space="0" w:color="auto"/>
        <w:right w:val="none" w:sz="0" w:space="0" w:color="auto"/>
      </w:divBdr>
    </w:div>
    <w:div w:id="1615936881">
      <w:bodyDiv w:val="1"/>
      <w:marLeft w:val="0"/>
      <w:marRight w:val="0"/>
      <w:marTop w:val="0"/>
      <w:marBottom w:val="0"/>
      <w:divBdr>
        <w:top w:val="none" w:sz="0" w:space="0" w:color="auto"/>
        <w:left w:val="none" w:sz="0" w:space="0" w:color="auto"/>
        <w:bottom w:val="none" w:sz="0" w:space="0" w:color="auto"/>
        <w:right w:val="none" w:sz="0" w:space="0" w:color="auto"/>
      </w:divBdr>
    </w:div>
    <w:div w:id="1636175341">
      <w:bodyDiv w:val="1"/>
      <w:marLeft w:val="0"/>
      <w:marRight w:val="0"/>
      <w:marTop w:val="0"/>
      <w:marBottom w:val="0"/>
      <w:divBdr>
        <w:top w:val="none" w:sz="0" w:space="0" w:color="auto"/>
        <w:left w:val="none" w:sz="0" w:space="0" w:color="auto"/>
        <w:bottom w:val="none" w:sz="0" w:space="0" w:color="auto"/>
        <w:right w:val="none" w:sz="0" w:space="0" w:color="auto"/>
      </w:divBdr>
    </w:div>
    <w:div w:id="1640725137">
      <w:bodyDiv w:val="1"/>
      <w:marLeft w:val="0"/>
      <w:marRight w:val="0"/>
      <w:marTop w:val="0"/>
      <w:marBottom w:val="0"/>
      <w:divBdr>
        <w:top w:val="none" w:sz="0" w:space="0" w:color="auto"/>
        <w:left w:val="none" w:sz="0" w:space="0" w:color="auto"/>
        <w:bottom w:val="none" w:sz="0" w:space="0" w:color="auto"/>
        <w:right w:val="none" w:sz="0" w:space="0" w:color="auto"/>
      </w:divBdr>
    </w:div>
    <w:div w:id="1645967177">
      <w:bodyDiv w:val="1"/>
      <w:marLeft w:val="0"/>
      <w:marRight w:val="0"/>
      <w:marTop w:val="0"/>
      <w:marBottom w:val="0"/>
      <w:divBdr>
        <w:top w:val="none" w:sz="0" w:space="0" w:color="auto"/>
        <w:left w:val="none" w:sz="0" w:space="0" w:color="auto"/>
        <w:bottom w:val="none" w:sz="0" w:space="0" w:color="auto"/>
        <w:right w:val="none" w:sz="0" w:space="0" w:color="auto"/>
      </w:divBdr>
    </w:div>
    <w:div w:id="1647972763">
      <w:bodyDiv w:val="1"/>
      <w:marLeft w:val="0"/>
      <w:marRight w:val="0"/>
      <w:marTop w:val="0"/>
      <w:marBottom w:val="0"/>
      <w:divBdr>
        <w:top w:val="none" w:sz="0" w:space="0" w:color="auto"/>
        <w:left w:val="none" w:sz="0" w:space="0" w:color="auto"/>
        <w:bottom w:val="none" w:sz="0" w:space="0" w:color="auto"/>
        <w:right w:val="none" w:sz="0" w:space="0" w:color="auto"/>
      </w:divBdr>
    </w:div>
    <w:div w:id="1653488720">
      <w:bodyDiv w:val="1"/>
      <w:marLeft w:val="0"/>
      <w:marRight w:val="0"/>
      <w:marTop w:val="0"/>
      <w:marBottom w:val="0"/>
      <w:divBdr>
        <w:top w:val="none" w:sz="0" w:space="0" w:color="auto"/>
        <w:left w:val="none" w:sz="0" w:space="0" w:color="auto"/>
        <w:bottom w:val="none" w:sz="0" w:space="0" w:color="auto"/>
        <w:right w:val="none" w:sz="0" w:space="0" w:color="auto"/>
      </w:divBdr>
    </w:div>
    <w:div w:id="1654523591">
      <w:bodyDiv w:val="1"/>
      <w:marLeft w:val="0"/>
      <w:marRight w:val="0"/>
      <w:marTop w:val="0"/>
      <w:marBottom w:val="0"/>
      <w:divBdr>
        <w:top w:val="none" w:sz="0" w:space="0" w:color="auto"/>
        <w:left w:val="none" w:sz="0" w:space="0" w:color="auto"/>
        <w:bottom w:val="none" w:sz="0" w:space="0" w:color="auto"/>
        <w:right w:val="none" w:sz="0" w:space="0" w:color="auto"/>
      </w:divBdr>
      <w:divsChild>
        <w:div w:id="1788809717">
          <w:marLeft w:val="547"/>
          <w:marRight w:val="0"/>
          <w:marTop w:val="200"/>
          <w:marBottom w:val="0"/>
          <w:divBdr>
            <w:top w:val="none" w:sz="0" w:space="0" w:color="auto"/>
            <w:left w:val="none" w:sz="0" w:space="0" w:color="auto"/>
            <w:bottom w:val="none" w:sz="0" w:space="0" w:color="auto"/>
            <w:right w:val="none" w:sz="0" w:space="0" w:color="auto"/>
          </w:divBdr>
        </w:div>
      </w:divsChild>
    </w:div>
    <w:div w:id="1655063675">
      <w:bodyDiv w:val="1"/>
      <w:marLeft w:val="0"/>
      <w:marRight w:val="0"/>
      <w:marTop w:val="0"/>
      <w:marBottom w:val="0"/>
      <w:divBdr>
        <w:top w:val="none" w:sz="0" w:space="0" w:color="auto"/>
        <w:left w:val="none" w:sz="0" w:space="0" w:color="auto"/>
        <w:bottom w:val="none" w:sz="0" w:space="0" w:color="auto"/>
        <w:right w:val="none" w:sz="0" w:space="0" w:color="auto"/>
      </w:divBdr>
    </w:div>
    <w:div w:id="1659189665">
      <w:bodyDiv w:val="1"/>
      <w:marLeft w:val="0"/>
      <w:marRight w:val="0"/>
      <w:marTop w:val="0"/>
      <w:marBottom w:val="0"/>
      <w:divBdr>
        <w:top w:val="none" w:sz="0" w:space="0" w:color="auto"/>
        <w:left w:val="none" w:sz="0" w:space="0" w:color="auto"/>
        <w:bottom w:val="none" w:sz="0" w:space="0" w:color="auto"/>
        <w:right w:val="none" w:sz="0" w:space="0" w:color="auto"/>
      </w:divBdr>
    </w:div>
    <w:div w:id="1661880868">
      <w:bodyDiv w:val="1"/>
      <w:marLeft w:val="0"/>
      <w:marRight w:val="0"/>
      <w:marTop w:val="0"/>
      <w:marBottom w:val="0"/>
      <w:divBdr>
        <w:top w:val="none" w:sz="0" w:space="0" w:color="auto"/>
        <w:left w:val="none" w:sz="0" w:space="0" w:color="auto"/>
        <w:bottom w:val="none" w:sz="0" w:space="0" w:color="auto"/>
        <w:right w:val="none" w:sz="0" w:space="0" w:color="auto"/>
      </w:divBdr>
    </w:div>
    <w:div w:id="1671061277">
      <w:bodyDiv w:val="1"/>
      <w:marLeft w:val="0"/>
      <w:marRight w:val="0"/>
      <w:marTop w:val="0"/>
      <w:marBottom w:val="0"/>
      <w:divBdr>
        <w:top w:val="none" w:sz="0" w:space="0" w:color="auto"/>
        <w:left w:val="none" w:sz="0" w:space="0" w:color="auto"/>
        <w:bottom w:val="none" w:sz="0" w:space="0" w:color="auto"/>
        <w:right w:val="none" w:sz="0" w:space="0" w:color="auto"/>
      </w:divBdr>
    </w:div>
    <w:div w:id="1672756026">
      <w:bodyDiv w:val="1"/>
      <w:marLeft w:val="0"/>
      <w:marRight w:val="0"/>
      <w:marTop w:val="0"/>
      <w:marBottom w:val="0"/>
      <w:divBdr>
        <w:top w:val="none" w:sz="0" w:space="0" w:color="auto"/>
        <w:left w:val="none" w:sz="0" w:space="0" w:color="auto"/>
        <w:bottom w:val="none" w:sz="0" w:space="0" w:color="auto"/>
        <w:right w:val="none" w:sz="0" w:space="0" w:color="auto"/>
      </w:divBdr>
    </w:div>
    <w:div w:id="1677923974">
      <w:bodyDiv w:val="1"/>
      <w:marLeft w:val="0"/>
      <w:marRight w:val="0"/>
      <w:marTop w:val="0"/>
      <w:marBottom w:val="0"/>
      <w:divBdr>
        <w:top w:val="none" w:sz="0" w:space="0" w:color="auto"/>
        <w:left w:val="none" w:sz="0" w:space="0" w:color="auto"/>
        <w:bottom w:val="none" w:sz="0" w:space="0" w:color="auto"/>
        <w:right w:val="none" w:sz="0" w:space="0" w:color="auto"/>
      </w:divBdr>
    </w:div>
    <w:div w:id="1683631196">
      <w:bodyDiv w:val="1"/>
      <w:marLeft w:val="0"/>
      <w:marRight w:val="0"/>
      <w:marTop w:val="0"/>
      <w:marBottom w:val="0"/>
      <w:divBdr>
        <w:top w:val="none" w:sz="0" w:space="0" w:color="auto"/>
        <w:left w:val="none" w:sz="0" w:space="0" w:color="auto"/>
        <w:bottom w:val="none" w:sz="0" w:space="0" w:color="auto"/>
        <w:right w:val="none" w:sz="0" w:space="0" w:color="auto"/>
      </w:divBdr>
    </w:div>
    <w:div w:id="1685981606">
      <w:bodyDiv w:val="1"/>
      <w:marLeft w:val="0"/>
      <w:marRight w:val="0"/>
      <w:marTop w:val="0"/>
      <w:marBottom w:val="0"/>
      <w:divBdr>
        <w:top w:val="none" w:sz="0" w:space="0" w:color="auto"/>
        <w:left w:val="none" w:sz="0" w:space="0" w:color="auto"/>
        <w:bottom w:val="none" w:sz="0" w:space="0" w:color="auto"/>
        <w:right w:val="none" w:sz="0" w:space="0" w:color="auto"/>
      </w:divBdr>
    </w:div>
    <w:div w:id="1692418312">
      <w:bodyDiv w:val="1"/>
      <w:marLeft w:val="0"/>
      <w:marRight w:val="0"/>
      <w:marTop w:val="0"/>
      <w:marBottom w:val="0"/>
      <w:divBdr>
        <w:top w:val="none" w:sz="0" w:space="0" w:color="auto"/>
        <w:left w:val="none" w:sz="0" w:space="0" w:color="auto"/>
        <w:bottom w:val="none" w:sz="0" w:space="0" w:color="auto"/>
        <w:right w:val="none" w:sz="0" w:space="0" w:color="auto"/>
      </w:divBdr>
    </w:div>
    <w:div w:id="1697727147">
      <w:bodyDiv w:val="1"/>
      <w:marLeft w:val="0"/>
      <w:marRight w:val="0"/>
      <w:marTop w:val="0"/>
      <w:marBottom w:val="0"/>
      <w:divBdr>
        <w:top w:val="none" w:sz="0" w:space="0" w:color="auto"/>
        <w:left w:val="none" w:sz="0" w:space="0" w:color="auto"/>
        <w:bottom w:val="none" w:sz="0" w:space="0" w:color="auto"/>
        <w:right w:val="none" w:sz="0" w:space="0" w:color="auto"/>
      </w:divBdr>
    </w:div>
    <w:div w:id="1708065459">
      <w:bodyDiv w:val="1"/>
      <w:marLeft w:val="0"/>
      <w:marRight w:val="0"/>
      <w:marTop w:val="0"/>
      <w:marBottom w:val="0"/>
      <w:divBdr>
        <w:top w:val="none" w:sz="0" w:space="0" w:color="auto"/>
        <w:left w:val="none" w:sz="0" w:space="0" w:color="auto"/>
        <w:bottom w:val="none" w:sz="0" w:space="0" w:color="auto"/>
        <w:right w:val="none" w:sz="0" w:space="0" w:color="auto"/>
      </w:divBdr>
    </w:div>
    <w:div w:id="1724062420">
      <w:bodyDiv w:val="1"/>
      <w:marLeft w:val="0"/>
      <w:marRight w:val="0"/>
      <w:marTop w:val="0"/>
      <w:marBottom w:val="0"/>
      <w:divBdr>
        <w:top w:val="none" w:sz="0" w:space="0" w:color="auto"/>
        <w:left w:val="none" w:sz="0" w:space="0" w:color="auto"/>
        <w:bottom w:val="none" w:sz="0" w:space="0" w:color="auto"/>
        <w:right w:val="none" w:sz="0" w:space="0" w:color="auto"/>
      </w:divBdr>
    </w:div>
    <w:div w:id="1732848522">
      <w:bodyDiv w:val="1"/>
      <w:marLeft w:val="0"/>
      <w:marRight w:val="0"/>
      <w:marTop w:val="0"/>
      <w:marBottom w:val="0"/>
      <w:divBdr>
        <w:top w:val="none" w:sz="0" w:space="0" w:color="auto"/>
        <w:left w:val="none" w:sz="0" w:space="0" w:color="auto"/>
        <w:bottom w:val="none" w:sz="0" w:space="0" w:color="auto"/>
        <w:right w:val="none" w:sz="0" w:space="0" w:color="auto"/>
      </w:divBdr>
    </w:div>
    <w:div w:id="1738164611">
      <w:bodyDiv w:val="1"/>
      <w:marLeft w:val="0"/>
      <w:marRight w:val="0"/>
      <w:marTop w:val="0"/>
      <w:marBottom w:val="0"/>
      <w:divBdr>
        <w:top w:val="none" w:sz="0" w:space="0" w:color="auto"/>
        <w:left w:val="none" w:sz="0" w:space="0" w:color="auto"/>
        <w:bottom w:val="none" w:sz="0" w:space="0" w:color="auto"/>
        <w:right w:val="none" w:sz="0" w:space="0" w:color="auto"/>
      </w:divBdr>
    </w:div>
    <w:div w:id="1741098769">
      <w:bodyDiv w:val="1"/>
      <w:marLeft w:val="0"/>
      <w:marRight w:val="0"/>
      <w:marTop w:val="0"/>
      <w:marBottom w:val="0"/>
      <w:divBdr>
        <w:top w:val="none" w:sz="0" w:space="0" w:color="auto"/>
        <w:left w:val="none" w:sz="0" w:space="0" w:color="auto"/>
        <w:bottom w:val="none" w:sz="0" w:space="0" w:color="auto"/>
        <w:right w:val="none" w:sz="0" w:space="0" w:color="auto"/>
      </w:divBdr>
    </w:div>
    <w:div w:id="1745910103">
      <w:bodyDiv w:val="1"/>
      <w:marLeft w:val="0"/>
      <w:marRight w:val="0"/>
      <w:marTop w:val="0"/>
      <w:marBottom w:val="0"/>
      <w:divBdr>
        <w:top w:val="none" w:sz="0" w:space="0" w:color="auto"/>
        <w:left w:val="none" w:sz="0" w:space="0" w:color="auto"/>
        <w:bottom w:val="none" w:sz="0" w:space="0" w:color="auto"/>
        <w:right w:val="none" w:sz="0" w:space="0" w:color="auto"/>
      </w:divBdr>
    </w:div>
    <w:div w:id="1755317710">
      <w:bodyDiv w:val="1"/>
      <w:marLeft w:val="0"/>
      <w:marRight w:val="0"/>
      <w:marTop w:val="0"/>
      <w:marBottom w:val="0"/>
      <w:divBdr>
        <w:top w:val="none" w:sz="0" w:space="0" w:color="auto"/>
        <w:left w:val="none" w:sz="0" w:space="0" w:color="auto"/>
        <w:bottom w:val="none" w:sz="0" w:space="0" w:color="auto"/>
        <w:right w:val="none" w:sz="0" w:space="0" w:color="auto"/>
      </w:divBdr>
    </w:div>
    <w:div w:id="1768042953">
      <w:bodyDiv w:val="1"/>
      <w:marLeft w:val="0"/>
      <w:marRight w:val="0"/>
      <w:marTop w:val="0"/>
      <w:marBottom w:val="0"/>
      <w:divBdr>
        <w:top w:val="none" w:sz="0" w:space="0" w:color="auto"/>
        <w:left w:val="none" w:sz="0" w:space="0" w:color="auto"/>
        <w:bottom w:val="none" w:sz="0" w:space="0" w:color="auto"/>
        <w:right w:val="none" w:sz="0" w:space="0" w:color="auto"/>
      </w:divBdr>
    </w:div>
    <w:div w:id="1768117039">
      <w:bodyDiv w:val="1"/>
      <w:marLeft w:val="0"/>
      <w:marRight w:val="0"/>
      <w:marTop w:val="0"/>
      <w:marBottom w:val="0"/>
      <w:divBdr>
        <w:top w:val="none" w:sz="0" w:space="0" w:color="auto"/>
        <w:left w:val="none" w:sz="0" w:space="0" w:color="auto"/>
        <w:bottom w:val="none" w:sz="0" w:space="0" w:color="auto"/>
        <w:right w:val="none" w:sz="0" w:space="0" w:color="auto"/>
      </w:divBdr>
    </w:div>
    <w:div w:id="1770657236">
      <w:bodyDiv w:val="1"/>
      <w:marLeft w:val="0"/>
      <w:marRight w:val="0"/>
      <w:marTop w:val="0"/>
      <w:marBottom w:val="0"/>
      <w:divBdr>
        <w:top w:val="none" w:sz="0" w:space="0" w:color="auto"/>
        <w:left w:val="none" w:sz="0" w:space="0" w:color="auto"/>
        <w:bottom w:val="none" w:sz="0" w:space="0" w:color="auto"/>
        <w:right w:val="none" w:sz="0" w:space="0" w:color="auto"/>
      </w:divBdr>
    </w:div>
    <w:div w:id="1774007611">
      <w:bodyDiv w:val="1"/>
      <w:marLeft w:val="0"/>
      <w:marRight w:val="0"/>
      <w:marTop w:val="0"/>
      <w:marBottom w:val="0"/>
      <w:divBdr>
        <w:top w:val="none" w:sz="0" w:space="0" w:color="auto"/>
        <w:left w:val="none" w:sz="0" w:space="0" w:color="auto"/>
        <w:bottom w:val="none" w:sz="0" w:space="0" w:color="auto"/>
        <w:right w:val="none" w:sz="0" w:space="0" w:color="auto"/>
      </w:divBdr>
    </w:div>
    <w:div w:id="1776247185">
      <w:bodyDiv w:val="1"/>
      <w:marLeft w:val="0"/>
      <w:marRight w:val="0"/>
      <w:marTop w:val="0"/>
      <w:marBottom w:val="0"/>
      <w:divBdr>
        <w:top w:val="none" w:sz="0" w:space="0" w:color="auto"/>
        <w:left w:val="none" w:sz="0" w:space="0" w:color="auto"/>
        <w:bottom w:val="none" w:sz="0" w:space="0" w:color="auto"/>
        <w:right w:val="none" w:sz="0" w:space="0" w:color="auto"/>
      </w:divBdr>
    </w:div>
    <w:div w:id="1776486599">
      <w:bodyDiv w:val="1"/>
      <w:marLeft w:val="0"/>
      <w:marRight w:val="0"/>
      <w:marTop w:val="0"/>
      <w:marBottom w:val="0"/>
      <w:divBdr>
        <w:top w:val="none" w:sz="0" w:space="0" w:color="auto"/>
        <w:left w:val="none" w:sz="0" w:space="0" w:color="auto"/>
        <w:bottom w:val="none" w:sz="0" w:space="0" w:color="auto"/>
        <w:right w:val="none" w:sz="0" w:space="0" w:color="auto"/>
      </w:divBdr>
    </w:div>
    <w:div w:id="1780559782">
      <w:bodyDiv w:val="1"/>
      <w:marLeft w:val="0"/>
      <w:marRight w:val="0"/>
      <w:marTop w:val="0"/>
      <w:marBottom w:val="0"/>
      <w:divBdr>
        <w:top w:val="none" w:sz="0" w:space="0" w:color="auto"/>
        <w:left w:val="none" w:sz="0" w:space="0" w:color="auto"/>
        <w:bottom w:val="none" w:sz="0" w:space="0" w:color="auto"/>
        <w:right w:val="none" w:sz="0" w:space="0" w:color="auto"/>
      </w:divBdr>
    </w:div>
    <w:div w:id="1780635748">
      <w:bodyDiv w:val="1"/>
      <w:marLeft w:val="0"/>
      <w:marRight w:val="0"/>
      <w:marTop w:val="0"/>
      <w:marBottom w:val="0"/>
      <w:divBdr>
        <w:top w:val="none" w:sz="0" w:space="0" w:color="auto"/>
        <w:left w:val="none" w:sz="0" w:space="0" w:color="auto"/>
        <w:bottom w:val="none" w:sz="0" w:space="0" w:color="auto"/>
        <w:right w:val="none" w:sz="0" w:space="0" w:color="auto"/>
      </w:divBdr>
    </w:div>
    <w:div w:id="1782534004">
      <w:bodyDiv w:val="1"/>
      <w:marLeft w:val="0"/>
      <w:marRight w:val="0"/>
      <w:marTop w:val="0"/>
      <w:marBottom w:val="0"/>
      <w:divBdr>
        <w:top w:val="none" w:sz="0" w:space="0" w:color="auto"/>
        <w:left w:val="none" w:sz="0" w:space="0" w:color="auto"/>
        <w:bottom w:val="none" w:sz="0" w:space="0" w:color="auto"/>
        <w:right w:val="none" w:sz="0" w:space="0" w:color="auto"/>
      </w:divBdr>
    </w:div>
    <w:div w:id="1796485176">
      <w:bodyDiv w:val="1"/>
      <w:marLeft w:val="0"/>
      <w:marRight w:val="0"/>
      <w:marTop w:val="0"/>
      <w:marBottom w:val="0"/>
      <w:divBdr>
        <w:top w:val="none" w:sz="0" w:space="0" w:color="auto"/>
        <w:left w:val="none" w:sz="0" w:space="0" w:color="auto"/>
        <w:bottom w:val="none" w:sz="0" w:space="0" w:color="auto"/>
        <w:right w:val="none" w:sz="0" w:space="0" w:color="auto"/>
      </w:divBdr>
    </w:div>
    <w:div w:id="1804034598">
      <w:bodyDiv w:val="1"/>
      <w:marLeft w:val="0"/>
      <w:marRight w:val="0"/>
      <w:marTop w:val="0"/>
      <w:marBottom w:val="0"/>
      <w:divBdr>
        <w:top w:val="none" w:sz="0" w:space="0" w:color="auto"/>
        <w:left w:val="none" w:sz="0" w:space="0" w:color="auto"/>
        <w:bottom w:val="none" w:sz="0" w:space="0" w:color="auto"/>
        <w:right w:val="none" w:sz="0" w:space="0" w:color="auto"/>
      </w:divBdr>
    </w:div>
    <w:div w:id="1804735946">
      <w:bodyDiv w:val="1"/>
      <w:marLeft w:val="0"/>
      <w:marRight w:val="0"/>
      <w:marTop w:val="0"/>
      <w:marBottom w:val="0"/>
      <w:divBdr>
        <w:top w:val="none" w:sz="0" w:space="0" w:color="auto"/>
        <w:left w:val="none" w:sz="0" w:space="0" w:color="auto"/>
        <w:bottom w:val="none" w:sz="0" w:space="0" w:color="auto"/>
        <w:right w:val="none" w:sz="0" w:space="0" w:color="auto"/>
      </w:divBdr>
    </w:div>
    <w:div w:id="1810249193">
      <w:bodyDiv w:val="1"/>
      <w:marLeft w:val="0"/>
      <w:marRight w:val="0"/>
      <w:marTop w:val="0"/>
      <w:marBottom w:val="0"/>
      <w:divBdr>
        <w:top w:val="none" w:sz="0" w:space="0" w:color="auto"/>
        <w:left w:val="none" w:sz="0" w:space="0" w:color="auto"/>
        <w:bottom w:val="none" w:sz="0" w:space="0" w:color="auto"/>
        <w:right w:val="none" w:sz="0" w:space="0" w:color="auto"/>
      </w:divBdr>
    </w:div>
    <w:div w:id="1813524098">
      <w:bodyDiv w:val="1"/>
      <w:marLeft w:val="0"/>
      <w:marRight w:val="0"/>
      <w:marTop w:val="0"/>
      <w:marBottom w:val="0"/>
      <w:divBdr>
        <w:top w:val="none" w:sz="0" w:space="0" w:color="auto"/>
        <w:left w:val="none" w:sz="0" w:space="0" w:color="auto"/>
        <w:bottom w:val="none" w:sz="0" w:space="0" w:color="auto"/>
        <w:right w:val="none" w:sz="0" w:space="0" w:color="auto"/>
      </w:divBdr>
    </w:div>
    <w:div w:id="1821730723">
      <w:bodyDiv w:val="1"/>
      <w:marLeft w:val="0"/>
      <w:marRight w:val="0"/>
      <w:marTop w:val="0"/>
      <w:marBottom w:val="0"/>
      <w:divBdr>
        <w:top w:val="none" w:sz="0" w:space="0" w:color="auto"/>
        <w:left w:val="none" w:sz="0" w:space="0" w:color="auto"/>
        <w:bottom w:val="none" w:sz="0" w:space="0" w:color="auto"/>
        <w:right w:val="none" w:sz="0" w:space="0" w:color="auto"/>
      </w:divBdr>
    </w:div>
    <w:div w:id="1835141195">
      <w:bodyDiv w:val="1"/>
      <w:marLeft w:val="0"/>
      <w:marRight w:val="0"/>
      <w:marTop w:val="0"/>
      <w:marBottom w:val="0"/>
      <w:divBdr>
        <w:top w:val="none" w:sz="0" w:space="0" w:color="auto"/>
        <w:left w:val="none" w:sz="0" w:space="0" w:color="auto"/>
        <w:bottom w:val="none" w:sz="0" w:space="0" w:color="auto"/>
        <w:right w:val="none" w:sz="0" w:space="0" w:color="auto"/>
      </w:divBdr>
    </w:div>
    <w:div w:id="1838107892">
      <w:bodyDiv w:val="1"/>
      <w:marLeft w:val="0"/>
      <w:marRight w:val="0"/>
      <w:marTop w:val="0"/>
      <w:marBottom w:val="0"/>
      <w:divBdr>
        <w:top w:val="none" w:sz="0" w:space="0" w:color="auto"/>
        <w:left w:val="none" w:sz="0" w:space="0" w:color="auto"/>
        <w:bottom w:val="none" w:sz="0" w:space="0" w:color="auto"/>
        <w:right w:val="none" w:sz="0" w:space="0" w:color="auto"/>
      </w:divBdr>
    </w:div>
    <w:div w:id="1839731833">
      <w:bodyDiv w:val="1"/>
      <w:marLeft w:val="0"/>
      <w:marRight w:val="0"/>
      <w:marTop w:val="0"/>
      <w:marBottom w:val="0"/>
      <w:divBdr>
        <w:top w:val="none" w:sz="0" w:space="0" w:color="auto"/>
        <w:left w:val="none" w:sz="0" w:space="0" w:color="auto"/>
        <w:bottom w:val="none" w:sz="0" w:space="0" w:color="auto"/>
        <w:right w:val="none" w:sz="0" w:space="0" w:color="auto"/>
      </w:divBdr>
    </w:div>
    <w:div w:id="1853452454">
      <w:bodyDiv w:val="1"/>
      <w:marLeft w:val="0"/>
      <w:marRight w:val="0"/>
      <w:marTop w:val="0"/>
      <w:marBottom w:val="0"/>
      <w:divBdr>
        <w:top w:val="none" w:sz="0" w:space="0" w:color="auto"/>
        <w:left w:val="none" w:sz="0" w:space="0" w:color="auto"/>
        <w:bottom w:val="none" w:sz="0" w:space="0" w:color="auto"/>
        <w:right w:val="none" w:sz="0" w:space="0" w:color="auto"/>
      </w:divBdr>
    </w:div>
    <w:div w:id="1856995110">
      <w:bodyDiv w:val="1"/>
      <w:marLeft w:val="0"/>
      <w:marRight w:val="0"/>
      <w:marTop w:val="0"/>
      <w:marBottom w:val="0"/>
      <w:divBdr>
        <w:top w:val="none" w:sz="0" w:space="0" w:color="auto"/>
        <w:left w:val="none" w:sz="0" w:space="0" w:color="auto"/>
        <w:bottom w:val="none" w:sz="0" w:space="0" w:color="auto"/>
        <w:right w:val="none" w:sz="0" w:space="0" w:color="auto"/>
      </w:divBdr>
    </w:div>
    <w:div w:id="1861045242">
      <w:bodyDiv w:val="1"/>
      <w:marLeft w:val="0"/>
      <w:marRight w:val="0"/>
      <w:marTop w:val="0"/>
      <w:marBottom w:val="0"/>
      <w:divBdr>
        <w:top w:val="none" w:sz="0" w:space="0" w:color="auto"/>
        <w:left w:val="none" w:sz="0" w:space="0" w:color="auto"/>
        <w:bottom w:val="none" w:sz="0" w:space="0" w:color="auto"/>
        <w:right w:val="none" w:sz="0" w:space="0" w:color="auto"/>
      </w:divBdr>
    </w:div>
    <w:div w:id="1864905485">
      <w:bodyDiv w:val="1"/>
      <w:marLeft w:val="0"/>
      <w:marRight w:val="0"/>
      <w:marTop w:val="0"/>
      <w:marBottom w:val="0"/>
      <w:divBdr>
        <w:top w:val="none" w:sz="0" w:space="0" w:color="auto"/>
        <w:left w:val="none" w:sz="0" w:space="0" w:color="auto"/>
        <w:bottom w:val="none" w:sz="0" w:space="0" w:color="auto"/>
        <w:right w:val="none" w:sz="0" w:space="0" w:color="auto"/>
      </w:divBdr>
    </w:div>
    <w:div w:id="1870801673">
      <w:bodyDiv w:val="1"/>
      <w:marLeft w:val="0"/>
      <w:marRight w:val="0"/>
      <w:marTop w:val="0"/>
      <w:marBottom w:val="0"/>
      <w:divBdr>
        <w:top w:val="none" w:sz="0" w:space="0" w:color="auto"/>
        <w:left w:val="none" w:sz="0" w:space="0" w:color="auto"/>
        <w:bottom w:val="none" w:sz="0" w:space="0" w:color="auto"/>
        <w:right w:val="none" w:sz="0" w:space="0" w:color="auto"/>
      </w:divBdr>
    </w:div>
    <w:div w:id="1871526333">
      <w:bodyDiv w:val="1"/>
      <w:marLeft w:val="0"/>
      <w:marRight w:val="0"/>
      <w:marTop w:val="0"/>
      <w:marBottom w:val="0"/>
      <w:divBdr>
        <w:top w:val="none" w:sz="0" w:space="0" w:color="auto"/>
        <w:left w:val="none" w:sz="0" w:space="0" w:color="auto"/>
        <w:bottom w:val="none" w:sz="0" w:space="0" w:color="auto"/>
        <w:right w:val="none" w:sz="0" w:space="0" w:color="auto"/>
      </w:divBdr>
    </w:div>
    <w:div w:id="1872063754">
      <w:bodyDiv w:val="1"/>
      <w:marLeft w:val="0"/>
      <w:marRight w:val="0"/>
      <w:marTop w:val="0"/>
      <w:marBottom w:val="0"/>
      <w:divBdr>
        <w:top w:val="none" w:sz="0" w:space="0" w:color="auto"/>
        <w:left w:val="none" w:sz="0" w:space="0" w:color="auto"/>
        <w:bottom w:val="none" w:sz="0" w:space="0" w:color="auto"/>
        <w:right w:val="none" w:sz="0" w:space="0" w:color="auto"/>
      </w:divBdr>
    </w:div>
    <w:div w:id="1879395146">
      <w:bodyDiv w:val="1"/>
      <w:marLeft w:val="0"/>
      <w:marRight w:val="0"/>
      <w:marTop w:val="0"/>
      <w:marBottom w:val="0"/>
      <w:divBdr>
        <w:top w:val="none" w:sz="0" w:space="0" w:color="auto"/>
        <w:left w:val="none" w:sz="0" w:space="0" w:color="auto"/>
        <w:bottom w:val="none" w:sz="0" w:space="0" w:color="auto"/>
        <w:right w:val="none" w:sz="0" w:space="0" w:color="auto"/>
      </w:divBdr>
    </w:div>
    <w:div w:id="1892882727">
      <w:bodyDiv w:val="1"/>
      <w:marLeft w:val="0"/>
      <w:marRight w:val="0"/>
      <w:marTop w:val="0"/>
      <w:marBottom w:val="0"/>
      <w:divBdr>
        <w:top w:val="none" w:sz="0" w:space="0" w:color="auto"/>
        <w:left w:val="none" w:sz="0" w:space="0" w:color="auto"/>
        <w:bottom w:val="none" w:sz="0" w:space="0" w:color="auto"/>
        <w:right w:val="none" w:sz="0" w:space="0" w:color="auto"/>
      </w:divBdr>
    </w:div>
    <w:div w:id="1904366537">
      <w:bodyDiv w:val="1"/>
      <w:marLeft w:val="0"/>
      <w:marRight w:val="0"/>
      <w:marTop w:val="0"/>
      <w:marBottom w:val="0"/>
      <w:divBdr>
        <w:top w:val="none" w:sz="0" w:space="0" w:color="auto"/>
        <w:left w:val="none" w:sz="0" w:space="0" w:color="auto"/>
        <w:bottom w:val="none" w:sz="0" w:space="0" w:color="auto"/>
        <w:right w:val="none" w:sz="0" w:space="0" w:color="auto"/>
      </w:divBdr>
    </w:div>
    <w:div w:id="1905795574">
      <w:bodyDiv w:val="1"/>
      <w:marLeft w:val="0"/>
      <w:marRight w:val="0"/>
      <w:marTop w:val="0"/>
      <w:marBottom w:val="0"/>
      <w:divBdr>
        <w:top w:val="none" w:sz="0" w:space="0" w:color="auto"/>
        <w:left w:val="none" w:sz="0" w:space="0" w:color="auto"/>
        <w:bottom w:val="none" w:sz="0" w:space="0" w:color="auto"/>
        <w:right w:val="none" w:sz="0" w:space="0" w:color="auto"/>
      </w:divBdr>
    </w:div>
    <w:div w:id="1912226434">
      <w:bodyDiv w:val="1"/>
      <w:marLeft w:val="0"/>
      <w:marRight w:val="0"/>
      <w:marTop w:val="0"/>
      <w:marBottom w:val="0"/>
      <w:divBdr>
        <w:top w:val="none" w:sz="0" w:space="0" w:color="auto"/>
        <w:left w:val="none" w:sz="0" w:space="0" w:color="auto"/>
        <w:bottom w:val="none" w:sz="0" w:space="0" w:color="auto"/>
        <w:right w:val="none" w:sz="0" w:space="0" w:color="auto"/>
      </w:divBdr>
    </w:div>
    <w:div w:id="1924990915">
      <w:bodyDiv w:val="1"/>
      <w:marLeft w:val="0"/>
      <w:marRight w:val="0"/>
      <w:marTop w:val="0"/>
      <w:marBottom w:val="0"/>
      <w:divBdr>
        <w:top w:val="none" w:sz="0" w:space="0" w:color="auto"/>
        <w:left w:val="none" w:sz="0" w:space="0" w:color="auto"/>
        <w:bottom w:val="none" w:sz="0" w:space="0" w:color="auto"/>
        <w:right w:val="none" w:sz="0" w:space="0" w:color="auto"/>
      </w:divBdr>
    </w:div>
    <w:div w:id="1933582316">
      <w:bodyDiv w:val="1"/>
      <w:marLeft w:val="0"/>
      <w:marRight w:val="0"/>
      <w:marTop w:val="0"/>
      <w:marBottom w:val="0"/>
      <w:divBdr>
        <w:top w:val="none" w:sz="0" w:space="0" w:color="auto"/>
        <w:left w:val="none" w:sz="0" w:space="0" w:color="auto"/>
        <w:bottom w:val="none" w:sz="0" w:space="0" w:color="auto"/>
        <w:right w:val="none" w:sz="0" w:space="0" w:color="auto"/>
      </w:divBdr>
    </w:div>
    <w:div w:id="1937899975">
      <w:bodyDiv w:val="1"/>
      <w:marLeft w:val="0"/>
      <w:marRight w:val="0"/>
      <w:marTop w:val="0"/>
      <w:marBottom w:val="0"/>
      <w:divBdr>
        <w:top w:val="none" w:sz="0" w:space="0" w:color="auto"/>
        <w:left w:val="none" w:sz="0" w:space="0" w:color="auto"/>
        <w:bottom w:val="none" w:sz="0" w:space="0" w:color="auto"/>
        <w:right w:val="none" w:sz="0" w:space="0" w:color="auto"/>
      </w:divBdr>
    </w:div>
    <w:div w:id="1946882037">
      <w:bodyDiv w:val="1"/>
      <w:marLeft w:val="0"/>
      <w:marRight w:val="0"/>
      <w:marTop w:val="0"/>
      <w:marBottom w:val="0"/>
      <w:divBdr>
        <w:top w:val="none" w:sz="0" w:space="0" w:color="auto"/>
        <w:left w:val="none" w:sz="0" w:space="0" w:color="auto"/>
        <w:bottom w:val="none" w:sz="0" w:space="0" w:color="auto"/>
        <w:right w:val="none" w:sz="0" w:space="0" w:color="auto"/>
      </w:divBdr>
    </w:div>
    <w:div w:id="1947224843">
      <w:bodyDiv w:val="1"/>
      <w:marLeft w:val="0"/>
      <w:marRight w:val="0"/>
      <w:marTop w:val="0"/>
      <w:marBottom w:val="0"/>
      <w:divBdr>
        <w:top w:val="none" w:sz="0" w:space="0" w:color="auto"/>
        <w:left w:val="none" w:sz="0" w:space="0" w:color="auto"/>
        <w:bottom w:val="none" w:sz="0" w:space="0" w:color="auto"/>
        <w:right w:val="none" w:sz="0" w:space="0" w:color="auto"/>
      </w:divBdr>
      <w:divsChild>
        <w:div w:id="1029843432">
          <w:marLeft w:val="0"/>
          <w:marRight w:val="0"/>
          <w:marTop w:val="0"/>
          <w:marBottom w:val="0"/>
          <w:divBdr>
            <w:top w:val="none" w:sz="0" w:space="0" w:color="auto"/>
            <w:left w:val="none" w:sz="0" w:space="0" w:color="auto"/>
            <w:bottom w:val="none" w:sz="0" w:space="0" w:color="auto"/>
            <w:right w:val="none" w:sz="0" w:space="0" w:color="auto"/>
          </w:divBdr>
        </w:div>
        <w:div w:id="1135685308">
          <w:marLeft w:val="0"/>
          <w:marRight w:val="0"/>
          <w:marTop w:val="0"/>
          <w:marBottom w:val="0"/>
          <w:divBdr>
            <w:top w:val="none" w:sz="0" w:space="0" w:color="auto"/>
            <w:left w:val="none" w:sz="0" w:space="0" w:color="auto"/>
            <w:bottom w:val="none" w:sz="0" w:space="0" w:color="auto"/>
            <w:right w:val="none" w:sz="0" w:space="0" w:color="auto"/>
          </w:divBdr>
        </w:div>
        <w:div w:id="1767918679">
          <w:marLeft w:val="0"/>
          <w:marRight w:val="0"/>
          <w:marTop w:val="0"/>
          <w:marBottom w:val="0"/>
          <w:divBdr>
            <w:top w:val="none" w:sz="0" w:space="0" w:color="auto"/>
            <w:left w:val="none" w:sz="0" w:space="0" w:color="auto"/>
            <w:bottom w:val="none" w:sz="0" w:space="0" w:color="auto"/>
            <w:right w:val="none" w:sz="0" w:space="0" w:color="auto"/>
          </w:divBdr>
        </w:div>
        <w:div w:id="932663190">
          <w:marLeft w:val="0"/>
          <w:marRight w:val="0"/>
          <w:marTop w:val="0"/>
          <w:marBottom w:val="0"/>
          <w:divBdr>
            <w:top w:val="none" w:sz="0" w:space="0" w:color="auto"/>
            <w:left w:val="none" w:sz="0" w:space="0" w:color="auto"/>
            <w:bottom w:val="none" w:sz="0" w:space="0" w:color="auto"/>
            <w:right w:val="none" w:sz="0" w:space="0" w:color="auto"/>
          </w:divBdr>
        </w:div>
        <w:div w:id="1402167938">
          <w:marLeft w:val="0"/>
          <w:marRight w:val="0"/>
          <w:marTop w:val="0"/>
          <w:marBottom w:val="0"/>
          <w:divBdr>
            <w:top w:val="none" w:sz="0" w:space="0" w:color="auto"/>
            <w:left w:val="none" w:sz="0" w:space="0" w:color="auto"/>
            <w:bottom w:val="none" w:sz="0" w:space="0" w:color="auto"/>
            <w:right w:val="none" w:sz="0" w:space="0" w:color="auto"/>
          </w:divBdr>
        </w:div>
        <w:div w:id="665088091">
          <w:marLeft w:val="0"/>
          <w:marRight w:val="0"/>
          <w:marTop w:val="0"/>
          <w:marBottom w:val="0"/>
          <w:divBdr>
            <w:top w:val="none" w:sz="0" w:space="0" w:color="auto"/>
            <w:left w:val="none" w:sz="0" w:space="0" w:color="auto"/>
            <w:bottom w:val="none" w:sz="0" w:space="0" w:color="auto"/>
            <w:right w:val="none" w:sz="0" w:space="0" w:color="auto"/>
          </w:divBdr>
        </w:div>
        <w:div w:id="1857577477">
          <w:marLeft w:val="0"/>
          <w:marRight w:val="0"/>
          <w:marTop w:val="0"/>
          <w:marBottom w:val="0"/>
          <w:divBdr>
            <w:top w:val="none" w:sz="0" w:space="0" w:color="auto"/>
            <w:left w:val="none" w:sz="0" w:space="0" w:color="auto"/>
            <w:bottom w:val="none" w:sz="0" w:space="0" w:color="auto"/>
            <w:right w:val="none" w:sz="0" w:space="0" w:color="auto"/>
          </w:divBdr>
        </w:div>
      </w:divsChild>
    </w:div>
    <w:div w:id="1948541083">
      <w:bodyDiv w:val="1"/>
      <w:marLeft w:val="0"/>
      <w:marRight w:val="0"/>
      <w:marTop w:val="0"/>
      <w:marBottom w:val="0"/>
      <w:divBdr>
        <w:top w:val="none" w:sz="0" w:space="0" w:color="auto"/>
        <w:left w:val="none" w:sz="0" w:space="0" w:color="auto"/>
        <w:bottom w:val="none" w:sz="0" w:space="0" w:color="auto"/>
        <w:right w:val="none" w:sz="0" w:space="0" w:color="auto"/>
      </w:divBdr>
    </w:div>
    <w:div w:id="1948733045">
      <w:bodyDiv w:val="1"/>
      <w:marLeft w:val="0"/>
      <w:marRight w:val="0"/>
      <w:marTop w:val="0"/>
      <w:marBottom w:val="0"/>
      <w:divBdr>
        <w:top w:val="none" w:sz="0" w:space="0" w:color="auto"/>
        <w:left w:val="none" w:sz="0" w:space="0" w:color="auto"/>
        <w:bottom w:val="none" w:sz="0" w:space="0" w:color="auto"/>
        <w:right w:val="none" w:sz="0" w:space="0" w:color="auto"/>
      </w:divBdr>
    </w:div>
    <w:div w:id="1952005354">
      <w:bodyDiv w:val="1"/>
      <w:marLeft w:val="0"/>
      <w:marRight w:val="0"/>
      <w:marTop w:val="0"/>
      <w:marBottom w:val="0"/>
      <w:divBdr>
        <w:top w:val="none" w:sz="0" w:space="0" w:color="auto"/>
        <w:left w:val="none" w:sz="0" w:space="0" w:color="auto"/>
        <w:bottom w:val="none" w:sz="0" w:space="0" w:color="auto"/>
        <w:right w:val="none" w:sz="0" w:space="0" w:color="auto"/>
      </w:divBdr>
    </w:div>
    <w:div w:id="1954820058">
      <w:bodyDiv w:val="1"/>
      <w:marLeft w:val="0"/>
      <w:marRight w:val="0"/>
      <w:marTop w:val="0"/>
      <w:marBottom w:val="0"/>
      <w:divBdr>
        <w:top w:val="none" w:sz="0" w:space="0" w:color="auto"/>
        <w:left w:val="none" w:sz="0" w:space="0" w:color="auto"/>
        <w:bottom w:val="none" w:sz="0" w:space="0" w:color="auto"/>
        <w:right w:val="none" w:sz="0" w:space="0" w:color="auto"/>
      </w:divBdr>
    </w:div>
    <w:div w:id="1961766642">
      <w:bodyDiv w:val="1"/>
      <w:marLeft w:val="0"/>
      <w:marRight w:val="0"/>
      <w:marTop w:val="0"/>
      <w:marBottom w:val="0"/>
      <w:divBdr>
        <w:top w:val="none" w:sz="0" w:space="0" w:color="auto"/>
        <w:left w:val="none" w:sz="0" w:space="0" w:color="auto"/>
        <w:bottom w:val="none" w:sz="0" w:space="0" w:color="auto"/>
        <w:right w:val="none" w:sz="0" w:space="0" w:color="auto"/>
      </w:divBdr>
    </w:div>
    <w:div w:id="1965962318">
      <w:bodyDiv w:val="1"/>
      <w:marLeft w:val="0"/>
      <w:marRight w:val="0"/>
      <w:marTop w:val="0"/>
      <w:marBottom w:val="0"/>
      <w:divBdr>
        <w:top w:val="none" w:sz="0" w:space="0" w:color="auto"/>
        <w:left w:val="none" w:sz="0" w:space="0" w:color="auto"/>
        <w:bottom w:val="none" w:sz="0" w:space="0" w:color="auto"/>
        <w:right w:val="none" w:sz="0" w:space="0" w:color="auto"/>
      </w:divBdr>
    </w:div>
    <w:div w:id="1968465524">
      <w:bodyDiv w:val="1"/>
      <w:marLeft w:val="0"/>
      <w:marRight w:val="0"/>
      <w:marTop w:val="0"/>
      <w:marBottom w:val="0"/>
      <w:divBdr>
        <w:top w:val="none" w:sz="0" w:space="0" w:color="auto"/>
        <w:left w:val="none" w:sz="0" w:space="0" w:color="auto"/>
        <w:bottom w:val="none" w:sz="0" w:space="0" w:color="auto"/>
        <w:right w:val="none" w:sz="0" w:space="0" w:color="auto"/>
      </w:divBdr>
    </w:div>
    <w:div w:id="1984501110">
      <w:bodyDiv w:val="1"/>
      <w:marLeft w:val="0"/>
      <w:marRight w:val="0"/>
      <w:marTop w:val="0"/>
      <w:marBottom w:val="0"/>
      <w:divBdr>
        <w:top w:val="none" w:sz="0" w:space="0" w:color="auto"/>
        <w:left w:val="none" w:sz="0" w:space="0" w:color="auto"/>
        <w:bottom w:val="none" w:sz="0" w:space="0" w:color="auto"/>
        <w:right w:val="none" w:sz="0" w:space="0" w:color="auto"/>
      </w:divBdr>
    </w:div>
    <w:div w:id="1985235869">
      <w:bodyDiv w:val="1"/>
      <w:marLeft w:val="0"/>
      <w:marRight w:val="0"/>
      <w:marTop w:val="0"/>
      <w:marBottom w:val="0"/>
      <w:divBdr>
        <w:top w:val="none" w:sz="0" w:space="0" w:color="auto"/>
        <w:left w:val="none" w:sz="0" w:space="0" w:color="auto"/>
        <w:bottom w:val="none" w:sz="0" w:space="0" w:color="auto"/>
        <w:right w:val="none" w:sz="0" w:space="0" w:color="auto"/>
      </w:divBdr>
    </w:div>
    <w:div w:id="1991058134">
      <w:bodyDiv w:val="1"/>
      <w:marLeft w:val="0"/>
      <w:marRight w:val="0"/>
      <w:marTop w:val="0"/>
      <w:marBottom w:val="0"/>
      <w:divBdr>
        <w:top w:val="none" w:sz="0" w:space="0" w:color="auto"/>
        <w:left w:val="none" w:sz="0" w:space="0" w:color="auto"/>
        <w:bottom w:val="none" w:sz="0" w:space="0" w:color="auto"/>
        <w:right w:val="none" w:sz="0" w:space="0" w:color="auto"/>
      </w:divBdr>
    </w:div>
    <w:div w:id="1991060157">
      <w:bodyDiv w:val="1"/>
      <w:marLeft w:val="0"/>
      <w:marRight w:val="0"/>
      <w:marTop w:val="0"/>
      <w:marBottom w:val="0"/>
      <w:divBdr>
        <w:top w:val="none" w:sz="0" w:space="0" w:color="auto"/>
        <w:left w:val="none" w:sz="0" w:space="0" w:color="auto"/>
        <w:bottom w:val="none" w:sz="0" w:space="0" w:color="auto"/>
        <w:right w:val="none" w:sz="0" w:space="0" w:color="auto"/>
      </w:divBdr>
    </w:div>
    <w:div w:id="1994093546">
      <w:bodyDiv w:val="1"/>
      <w:marLeft w:val="0"/>
      <w:marRight w:val="0"/>
      <w:marTop w:val="0"/>
      <w:marBottom w:val="0"/>
      <w:divBdr>
        <w:top w:val="none" w:sz="0" w:space="0" w:color="auto"/>
        <w:left w:val="none" w:sz="0" w:space="0" w:color="auto"/>
        <w:bottom w:val="none" w:sz="0" w:space="0" w:color="auto"/>
        <w:right w:val="none" w:sz="0" w:space="0" w:color="auto"/>
      </w:divBdr>
    </w:div>
    <w:div w:id="2000882431">
      <w:bodyDiv w:val="1"/>
      <w:marLeft w:val="0"/>
      <w:marRight w:val="0"/>
      <w:marTop w:val="0"/>
      <w:marBottom w:val="0"/>
      <w:divBdr>
        <w:top w:val="none" w:sz="0" w:space="0" w:color="auto"/>
        <w:left w:val="none" w:sz="0" w:space="0" w:color="auto"/>
        <w:bottom w:val="none" w:sz="0" w:space="0" w:color="auto"/>
        <w:right w:val="none" w:sz="0" w:space="0" w:color="auto"/>
      </w:divBdr>
    </w:div>
    <w:div w:id="2002661492">
      <w:bodyDiv w:val="1"/>
      <w:marLeft w:val="0"/>
      <w:marRight w:val="0"/>
      <w:marTop w:val="0"/>
      <w:marBottom w:val="0"/>
      <w:divBdr>
        <w:top w:val="none" w:sz="0" w:space="0" w:color="auto"/>
        <w:left w:val="none" w:sz="0" w:space="0" w:color="auto"/>
        <w:bottom w:val="none" w:sz="0" w:space="0" w:color="auto"/>
        <w:right w:val="none" w:sz="0" w:space="0" w:color="auto"/>
      </w:divBdr>
    </w:div>
    <w:div w:id="2016495825">
      <w:bodyDiv w:val="1"/>
      <w:marLeft w:val="0"/>
      <w:marRight w:val="0"/>
      <w:marTop w:val="0"/>
      <w:marBottom w:val="0"/>
      <w:divBdr>
        <w:top w:val="none" w:sz="0" w:space="0" w:color="auto"/>
        <w:left w:val="none" w:sz="0" w:space="0" w:color="auto"/>
        <w:bottom w:val="none" w:sz="0" w:space="0" w:color="auto"/>
        <w:right w:val="none" w:sz="0" w:space="0" w:color="auto"/>
      </w:divBdr>
    </w:div>
    <w:div w:id="2019114204">
      <w:bodyDiv w:val="1"/>
      <w:marLeft w:val="0"/>
      <w:marRight w:val="0"/>
      <w:marTop w:val="0"/>
      <w:marBottom w:val="0"/>
      <w:divBdr>
        <w:top w:val="none" w:sz="0" w:space="0" w:color="auto"/>
        <w:left w:val="none" w:sz="0" w:space="0" w:color="auto"/>
        <w:bottom w:val="none" w:sz="0" w:space="0" w:color="auto"/>
        <w:right w:val="none" w:sz="0" w:space="0" w:color="auto"/>
      </w:divBdr>
    </w:div>
    <w:div w:id="2033801112">
      <w:bodyDiv w:val="1"/>
      <w:marLeft w:val="0"/>
      <w:marRight w:val="0"/>
      <w:marTop w:val="0"/>
      <w:marBottom w:val="0"/>
      <w:divBdr>
        <w:top w:val="none" w:sz="0" w:space="0" w:color="auto"/>
        <w:left w:val="none" w:sz="0" w:space="0" w:color="auto"/>
        <w:bottom w:val="none" w:sz="0" w:space="0" w:color="auto"/>
        <w:right w:val="none" w:sz="0" w:space="0" w:color="auto"/>
      </w:divBdr>
    </w:div>
    <w:div w:id="2035691408">
      <w:bodyDiv w:val="1"/>
      <w:marLeft w:val="0"/>
      <w:marRight w:val="0"/>
      <w:marTop w:val="0"/>
      <w:marBottom w:val="0"/>
      <w:divBdr>
        <w:top w:val="none" w:sz="0" w:space="0" w:color="auto"/>
        <w:left w:val="none" w:sz="0" w:space="0" w:color="auto"/>
        <w:bottom w:val="none" w:sz="0" w:space="0" w:color="auto"/>
        <w:right w:val="none" w:sz="0" w:space="0" w:color="auto"/>
      </w:divBdr>
    </w:div>
    <w:div w:id="2038577005">
      <w:bodyDiv w:val="1"/>
      <w:marLeft w:val="0"/>
      <w:marRight w:val="0"/>
      <w:marTop w:val="0"/>
      <w:marBottom w:val="0"/>
      <w:divBdr>
        <w:top w:val="none" w:sz="0" w:space="0" w:color="auto"/>
        <w:left w:val="none" w:sz="0" w:space="0" w:color="auto"/>
        <w:bottom w:val="none" w:sz="0" w:space="0" w:color="auto"/>
        <w:right w:val="none" w:sz="0" w:space="0" w:color="auto"/>
      </w:divBdr>
    </w:div>
    <w:div w:id="2045448155">
      <w:bodyDiv w:val="1"/>
      <w:marLeft w:val="0"/>
      <w:marRight w:val="0"/>
      <w:marTop w:val="0"/>
      <w:marBottom w:val="0"/>
      <w:divBdr>
        <w:top w:val="none" w:sz="0" w:space="0" w:color="auto"/>
        <w:left w:val="none" w:sz="0" w:space="0" w:color="auto"/>
        <w:bottom w:val="none" w:sz="0" w:space="0" w:color="auto"/>
        <w:right w:val="none" w:sz="0" w:space="0" w:color="auto"/>
      </w:divBdr>
    </w:div>
    <w:div w:id="2055960920">
      <w:bodyDiv w:val="1"/>
      <w:marLeft w:val="0"/>
      <w:marRight w:val="0"/>
      <w:marTop w:val="0"/>
      <w:marBottom w:val="0"/>
      <w:divBdr>
        <w:top w:val="none" w:sz="0" w:space="0" w:color="auto"/>
        <w:left w:val="none" w:sz="0" w:space="0" w:color="auto"/>
        <w:bottom w:val="none" w:sz="0" w:space="0" w:color="auto"/>
        <w:right w:val="none" w:sz="0" w:space="0" w:color="auto"/>
      </w:divBdr>
    </w:div>
    <w:div w:id="2058889702">
      <w:bodyDiv w:val="1"/>
      <w:marLeft w:val="0"/>
      <w:marRight w:val="0"/>
      <w:marTop w:val="0"/>
      <w:marBottom w:val="0"/>
      <w:divBdr>
        <w:top w:val="none" w:sz="0" w:space="0" w:color="auto"/>
        <w:left w:val="none" w:sz="0" w:space="0" w:color="auto"/>
        <w:bottom w:val="none" w:sz="0" w:space="0" w:color="auto"/>
        <w:right w:val="none" w:sz="0" w:space="0" w:color="auto"/>
      </w:divBdr>
    </w:div>
    <w:div w:id="2062437171">
      <w:bodyDiv w:val="1"/>
      <w:marLeft w:val="0"/>
      <w:marRight w:val="0"/>
      <w:marTop w:val="0"/>
      <w:marBottom w:val="0"/>
      <w:divBdr>
        <w:top w:val="none" w:sz="0" w:space="0" w:color="auto"/>
        <w:left w:val="none" w:sz="0" w:space="0" w:color="auto"/>
        <w:bottom w:val="none" w:sz="0" w:space="0" w:color="auto"/>
        <w:right w:val="none" w:sz="0" w:space="0" w:color="auto"/>
      </w:divBdr>
    </w:div>
    <w:div w:id="2062747476">
      <w:bodyDiv w:val="1"/>
      <w:marLeft w:val="0"/>
      <w:marRight w:val="0"/>
      <w:marTop w:val="0"/>
      <w:marBottom w:val="0"/>
      <w:divBdr>
        <w:top w:val="none" w:sz="0" w:space="0" w:color="auto"/>
        <w:left w:val="none" w:sz="0" w:space="0" w:color="auto"/>
        <w:bottom w:val="none" w:sz="0" w:space="0" w:color="auto"/>
        <w:right w:val="none" w:sz="0" w:space="0" w:color="auto"/>
      </w:divBdr>
    </w:div>
    <w:div w:id="2064668605">
      <w:bodyDiv w:val="1"/>
      <w:marLeft w:val="0"/>
      <w:marRight w:val="0"/>
      <w:marTop w:val="0"/>
      <w:marBottom w:val="0"/>
      <w:divBdr>
        <w:top w:val="none" w:sz="0" w:space="0" w:color="auto"/>
        <w:left w:val="none" w:sz="0" w:space="0" w:color="auto"/>
        <w:bottom w:val="none" w:sz="0" w:space="0" w:color="auto"/>
        <w:right w:val="none" w:sz="0" w:space="0" w:color="auto"/>
      </w:divBdr>
    </w:div>
    <w:div w:id="2071683508">
      <w:bodyDiv w:val="1"/>
      <w:marLeft w:val="0"/>
      <w:marRight w:val="0"/>
      <w:marTop w:val="0"/>
      <w:marBottom w:val="0"/>
      <w:divBdr>
        <w:top w:val="none" w:sz="0" w:space="0" w:color="auto"/>
        <w:left w:val="none" w:sz="0" w:space="0" w:color="auto"/>
        <w:bottom w:val="none" w:sz="0" w:space="0" w:color="auto"/>
        <w:right w:val="none" w:sz="0" w:space="0" w:color="auto"/>
      </w:divBdr>
    </w:div>
    <w:div w:id="2072341211">
      <w:bodyDiv w:val="1"/>
      <w:marLeft w:val="0"/>
      <w:marRight w:val="0"/>
      <w:marTop w:val="0"/>
      <w:marBottom w:val="0"/>
      <w:divBdr>
        <w:top w:val="none" w:sz="0" w:space="0" w:color="auto"/>
        <w:left w:val="none" w:sz="0" w:space="0" w:color="auto"/>
        <w:bottom w:val="none" w:sz="0" w:space="0" w:color="auto"/>
        <w:right w:val="none" w:sz="0" w:space="0" w:color="auto"/>
      </w:divBdr>
    </w:div>
    <w:div w:id="2075275175">
      <w:bodyDiv w:val="1"/>
      <w:marLeft w:val="0"/>
      <w:marRight w:val="0"/>
      <w:marTop w:val="0"/>
      <w:marBottom w:val="0"/>
      <w:divBdr>
        <w:top w:val="none" w:sz="0" w:space="0" w:color="auto"/>
        <w:left w:val="none" w:sz="0" w:space="0" w:color="auto"/>
        <w:bottom w:val="none" w:sz="0" w:space="0" w:color="auto"/>
        <w:right w:val="none" w:sz="0" w:space="0" w:color="auto"/>
      </w:divBdr>
    </w:div>
    <w:div w:id="2077506179">
      <w:bodyDiv w:val="1"/>
      <w:marLeft w:val="0"/>
      <w:marRight w:val="0"/>
      <w:marTop w:val="0"/>
      <w:marBottom w:val="0"/>
      <w:divBdr>
        <w:top w:val="none" w:sz="0" w:space="0" w:color="auto"/>
        <w:left w:val="none" w:sz="0" w:space="0" w:color="auto"/>
        <w:bottom w:val="none" w:sz="0" w:space="0" w:color="auto"/>
        <w:right w:val="none" w:sz="0" w:space="0" w:color="auto"/>
      </w:divBdr>
    </w:div>
    <w:div w:id="2082558986">
      <w:bodyDiv w:val="1"/>
      <w:marLeft w:val="0"/>
      <w:marRight w:val="0"/>
      <w:marTop w:val="0"/>
      <w:marBottom w:val="0"/>
      <w:divBdr>
        <w:top w:val="none" w:sz="0" w:space="0" w:color="auto"/>
        <w:left w:val="none" w:sz="0" w:space="0" w:color="auto"/>
        <w:bottom w:val="none" w:sz="0" w:space="0" w:color="auto"/>
        <w:right w:val="none" w:sz="0" w:space="0" w:color="auto"/>
      </w:divBdr>
    </w:div>
    <w:div w:id="2082680812">
      <w:bodyDiv w:val="1"/>
      <w:marLeft w:val="0"/>
      <w:marRight w:val="0"/>
      <w:marTop w:val="0"/>
      <w:marBottom w:val="0"/>
      <w:divBdr>
        <w:top w:val="none" w:sz="0" w:space="0" w:color="auto"/>
        <w:left w:val="none" w:sz="0" w:space="0" w:color="auto"/>
        <w:bottom w:val="none" w:sz="0" w:space="0" w:color="auto"/>
        <w:right w:val="none" w:sz="0" w:space="0" w:color="auto"/>
      </w:divBdr>
    </w:div>
    <w:div w:id="2086687860">
      <w:bodyDiv w:val="1"/>
      <w:marLeft w:val="0"/>
      <w:marRight w:val="0"/>
      <w:marTop w:val="0"/>
      <w:marBottom w:val="0"/>
      <w:divBdr>
        <w:top w:val="none" w:sz="0" w:space="0" w:color="auto"/>
        <w:left w:val="none" w:sz="0" w:space="0" w:color="auto"/>
        <w:bottom w:val="none" w:sz="0" w:space="0" w:color="auto"/>
        <w:right w:val="none" w:sz="0" w:space="0" w:color="auto"/>
      </w:divBdr>
    </w:div>
    <w:div w:id="2090342991">
      <w:bodyDiv w:val="1"/>
      <w:marLeft w:val="0"/>
      <w:marRight w:val="0"/>
      <w:marTop w:val="0"/>
      <w:marBottom w:val="0"/>
      <w:divBdr>
        <w:top w:val="none" w:sz="0" w:space="0" w:color="auto"/>
        <w:left w:val="none" w:sz="0" w:space="0" w:color="auto"/>
        <w:bottom w:val="none" w:sz="0" w:space="0" w:color="auto"/>
        <w:right w:val="none" w:sz="0" w:space="0" w:color="auto"/>
      </w:divBdr>
    </w:div>
    <w:div w:id="2091660399">
      <w:bodyDiv w:val="1"/>
      <w:marLeft w:val="0"/>
      <w:marRight w:val="0"/>
      <w:marTop w:val="0"/>
      <w:marBottom w:val="0"/>
      <w:divBdr>
        <w:top w:val="none" w:sz="0" w:space="0" w:color="auto"/>
        <w:left w:val="none" w:sz="0" w:space="0" w:color="auto"/>
        <w:bottom w:val="none" w:sz="0" w:space="0" w:color="auto"/>
        <w:right w:val="none" w:sz="0" w:space="0" w:color="auto"/>
      </w:divBdr>
    </w:div>
    <w:div w:id="2098400714">
      <w:bodyDiv w:val="1"/>
      <w:marLeft w:val="0"/>
      <w:marRight w:val="0"/>
      <w:marTop w:val="0"/>
      <w:marBottom w:val="0"/>
      <w:divBdr>
        <w:top w:val="none" w:sz="0" w:space="0" w:color="auto"/>
        <w:left w:val="none" w:sz="0" w:space="0" w:color="auto"/>
        <w:bottom w:val="none" w:sz="0" w:space="0" w:color="auto"/>
        <w:right w:val="none" w:sz="0" w:space="0" w:color="auto"/>
      </w:divBdr>
    </w:div>
    <w:div w:id="2107073797">
      <w:bodyDiv w:val="1"/>
      <w:marLeft w:val="0"/>
      <w:marRight w:val="0"/>
      <w:marTop w:val="0"/>
      <w:marBottom w:val="0"/>
      <w:divBdr>
        <w:top w:val="none" w:sz="0" w:space="0" w:color="auto"/>
        <w:left w:val="none" w:sz="0" w:space="0" w:color="auto"/>
        <w:bottom w:val="none" w:sz="0" w:space="0" w:color="auto"/>
        <w:right w:val="none" w:sz="0" w:space="0" w:color="auto"/>
      </w:divBdr>
    </w:div>
    <w:div w:id="2110730127">
      <w:bodyDiv w:val="1"/>
      <w:marLeft w:val="0"/>
      <w:marRight w:val="0"/>
      <w:marTop w:val="0"/>
      <w:marBottom w:val="0"/>
      <w:divBdr>
        <w:top w:val="none" w:sz="0" w:space="0" w:color="auto"/>
        <w:left w:val="none" w:sz="0" w:space="0" w:color="auto"/>
        <w:bottom w:val="none" w:sz="0" w:space="0" w:color="auto"/>
        <w:right w:val="none" w:sz="0" w:space="0" w:color="auto"/>
      </w:divBdr>
    </w:div>
    <w:div w:id="2112309606">
      <w:bodyDiv w:val="1"/>
      <w:marLeft w:val="0"/>
      <w:marRight w:val="0"/>
      <w:marTop w:val="0"/>
      <w:marBottom w:val="0"/>
      <w:divBdr>
        <w:top w:val="none" w:sz="0" w:space="0" w:color="auto"/>
        <w:left w:val="none" w:sz="0" w:space="0" w:color="auto"/>
        <w:bottom w:val="none" w:sz="0" w:space="0" w:color="auto"/>
        <w:right w:val="none" w:sz="0" w:space="0" w:color="auto"/>
      </w:divBdr>
    </w:div>
    <w:div w:id="2116124391">
      <w:bodyDiv w:val="1"/>
      <w:marLeft w:val="0"/>
      <w:marRight w:val="0"/>
      <w:marTop w:val="0"/>
      <w:marBottom w:val="0"/>
      <w:divBdr>
        <w:top w:val="none" w:sz="0" w:space="0" w:color="auto"/>
        <w:left w:val="none" w:sz="0" w:space="0" w:color="auto"/>
        <w:bottom w:val="none" w:sz="0" w:space="0" w:color="auto"/>
        <w:right w:val="none" w:sz="0" w:space="0" w:color="auto"/>
      </w:divBdr>
    </w:div>
    <w:div w:id="2119521971">
      <w:bodyDiv w:val="1"/>
      <w:marLeft w:val="0"/>
      <w:marRight w:val="0"/>
      <w:marTop w:val="0"/>
      <w:marBottom w:val="0"/>
      <w:divBdr>
        <w:top w:val="none" w:sz="0" w:space="0" w:color="auto"/>
        <w:left w:val="none" w:sz="0" w:space="0" w:color="auto"/>
        <w:bottom w:val="none" w:sz="0" w:space="0" w:color="auto"/>
        <w:right w:val="none" w:sz="0" w:space="0" w:color="auto"/>
      </w:divBdr>
    </w:div>
    <w:div w:id="2121990457">
      <w:bodyDiv w:val="1"/>
      <w:marLeft w:val="0"/>
      <w:marRight w:val="0"/>
      <w:marTop w:val="0"/>
      <w:marBottom w:val="0"/>
      <w:divBdr>
        <w:top w:val="none" w:sz="0" w:space="0" w:color="auto"/>
        <w:left w:val="none" w:sz="0" w:space="0" w:color="auto"/>
        <w:bottom w:val="none" w:sz="0" w:space="0" w:color="auto"/>
        <w:right w:val="none" w:sz="0" w:space="0" w:color="auto"/>
      </w:divBdr>
    </w:div>
    <w:div w:id="2126609728">
      <w:bodyDiv w:val="1"/>
      <w:marLeft w:val="0"/>
      <w:marRight w:val="0"/>
      <w:marTop w:val="0"/>
      <w:marBottom w:val="0"/>
      <w:divBdr>
        <w:top w:val="none" w:sz="0" w:space="0" w:color="auto"/>
        <w:left w:val="none" w:sz="0" w:space="0" w:color="auto"/>
        <w:bottom w:val="none" w:sz="0" w:space="0" w:color="auto"/>
        <w:right w:val="none" w:sz="0" w:space="0" w:color="auto"/>
      </w:divBdr>
    </w:div>
    <w:div w:id="2142723390">
      <w:bodyDiv w:val="1"/>
      <w:marLeft w:val="0"/>
      <w:marRight w:val="0"/>
      <w:marTop w:val="0"/>
      <w:marBottom w:val="0"/>
      <w:divBdr>
        <w:top w:val="none" w:sz="0" w:space="0" w:color="auto"/>
        <w:left w:val="none" w:sz="0" w:space="0" w:color="auto"/>
        <w:bottom w:val="none" w:sz="0" w:space="0" w:color="auto"/>
        <w:right w:val="none" w:sz="0" w:space="0" w:color="auto"/>
      </w:divBdr>
    </w:div>
    <w:div w:id="2143764539">
      <w:bodyDiv w:val="1"/>
      <w:marLeft w:val="0"/>
      <w:marRight w:val="0"/>
      <w:marTop w:val="0"/>
      <w:marBottom w:val="0"/>
      <w:divBdr>
        <w:top w:val="none" w:sz="0" w:space="0" w:color="auto"/>
        <w:left w:val="none" w:sz="0" w:space="0" w:color="auto"/>
        <w:bottom w:val="none" w:sz="0" w:space="0" w:color="auto"/>
        <w:right w:val="none" w:sz="0" w:space="0" w:color="auto"/>
      </w:divBdr>
    </w:div>
    <w:div w:id="2145731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1.xml"/><Relationship Id="rId18" Type="http://schemas.openxmlformats.org/officeDocument/2006/relationships/image" Target="media/image2.png"/><Relationship Id="rId26" Type="http://schemas.openxmlformats.org/officeDocument/2006/relationships/chart" Target="charts/chart6.xml"/><Relationship Id="rId39" Type="http://schemas.openxmlformats.org/officeDocument/2006/relationships/fontTable" Target="fontTable.xml"/><Relationship Id="rId21" Type="http://schemas.openxmlformats.org/officeDocument/2006/relationships/footer" Target="footer6.xml"/><Relationship Id="rId34" Type="http://schemas.openxmlformats.org/officeDocument/2006/relationships/chart" Target="charts/chart13.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image" Target="media/image1.jpeg"/><Relationship Id="rId25" Type="http://schemas.openxmlformats.org/officeDocument/2006/relationships/chart" Target="charts/chart5.xml"/><Relationship Id="rId33" Type="http://schemas.openxmlformats.org/officeDocument/2006/relationships/chart" Target="charts/chart12.xml"/><Relationship Id="rId38"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footer" Target="footer5.xml"/><Relationship Id="rId20" Type="http://schemas.openxmlformats.org/officeDocument/2006/relationships/hyperlink" Target="mailto:botas.petrol-ibm@hs01.kep.tr" TargetMode="External"/><Relationship Id="rId29" Type="http://schemas.openxmlformats.org/officeDocument/2006/relationships/chart" Target="charts/chart8.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otas.gov.tr/" TargetMode="External"/><Relationship Id="rId24" Type="http://schemas.openxmlformats.org/officeDocument/2006/relationships/chart" Target="charts/chart4.xml"/><Relationship Id="rId32" Type="http://schemas.openxmlformats.org/officeDocument/2006/relationships/chart" Target="charts/chart11.xml"/><Relationship Id="rId37" Type="http://schemas.openxmlformats.org/officeDocument/2006/relationships/chart" Target="charts/chart16.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4.xml"/><Relationship Id="rId23" Type="http://schemas.openxmlformats.org/officeDocument/2006/relationships/chart" Target="charts/chart3.xml"/><Relationship Id="rId28" Type="http://schemas.openxmlformats.org/officeDocument/2006/relationships/chart" Target="charts/chart7.xml"/><Relationship Id="rId36" Type="http://schemas.openxmlformats.org/officeDocument/2006/relationships/chart" Target="charts/chart15.xml"/><Relationship Id="rId10" Type="http://schemas.openxmlformats.org/officeDocument/2006/relationships/footer" Target="footer2.xml"/><Relationship Id="rId19" Type="http://schemas.openxmlformats.org/officeDocument/2006/relationships/image" Target="media/image3.png"/><Relationship Id="rId31" Type="http://schemas.openxmlformats.org/officeDocument/2006/relationships/chart" Target="charts/chart10.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chart" Target="charts/chart2.xml"/><Relationship Id="rId22" Type="http://schemas.openxmlformats.org/officeDocument/2006/relationships/footer" Target="footer7.xml"/><Relationship Id="rId27" Type="http://schemas.openxmlformats.org/officeDocument/2006/relationships/image" Target="media/image4.png"/><Relationship Id="rId30" Type="http://schemas.openxmlformats.org/officeDocument/2006/relationships/chart" Target="charts/chart9.xml"/><Relationship Id="rId35" Type="http://schemas.openxmlformats.org/officeDocument/2006/relationships/chart" Target="charts/chart14.xml"/><Relationship Id="rId8" Type="http://schemas.openxmlformats.org/officeDocument/2006/relationships/endnotes" Target="endnotes.xml"/><Relationship Id="rId3" Type="http://schemas.openxmlformats.org/officeDocument/2006/relationships/numbering" Target="numbering.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ounal\AppData\Local\Microsoft\Windows\INetCache\Content.Outlook\W82H2XQI\2022%20KURUL%20&#304;STAT&#304;ST&#304;K.xlsx" TargetMode="Externa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chartUserShapes" Target="../drawings/drawing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ounal\Desktop\Faaliyet%20Raporu\Kopya%202022%20KURUL%20&#304;STAT&#304;ST&#304;K.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1.xml"/></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2.xml"/></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5.xlsx"/></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Excel_Worksheet6.xlsx"/></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package" Target="../embeddings/Microsoft_Excel_Worksheet7.xlsx"/></Relationships>
</file>

<file path=word/charts/_rels/chart11.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package" Target="../embeddings/Microsoft_Excel_Worksheet8.xlsx"/></Relationships>
</file>

<file path=word/charts/_rels/chart12.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package" Target="../embeddings/Microsoft_Excel_Worksheet9.xlsx"/></Relationships>
</file>

<file path=word/charts/_rels/chart13.xml.rels><?xml version="1.0" encoding="UTF-8" standalone="yes"?>
<Relationships xmlns="http://schemas.openxmlformats.org/package/2006/relationships"><Relationship Id="rId3" Type="http://schemas.openxmlformats.org/officeDocument/2006/relationships/themeOverride" Target="../theme/themeOverride9.xml"/><Relationship Id="rId2" Type="http://schemas.microsoft.com/office/2011/relationships/chartColorStyle" Target="colors11.xml"/><Relationship Id="rId1" Type="http://schemas.microsoft.com/office/2011/relationships/chartStyle" Target="style11.xml"/><Relationship Id="rId4" Type="http://schemas.openxmlformats.org/officeDocument/2006/relationships/package" Target="../embeddings/Microsoft_Excel_Worksheet10.xlsx"/></Relationships>
</file>

<file path=word/charts/_rels/chart14.xml.rels><?xml version="1.0" encoding="UTF-8" standalone="yes"?>
<Relationships xmlns="http://schemas.openxmlformats.org/package/2006/relationships"><Relationship Id="rId3" Type="http://schemas.openxmlformats.org/officeDocument/2006/relationships/themeOverride" Target="../theme/themeOverride10.xml"/><Relationship Id="rId2" Type="http://schemas.microsoft.com/office/2011/relationships/chartColorStyle" Target="colors12.xml"/><Relationship Id="rId1" Type="http://schemas.microsoft.com/office/2011/relationships/chartStyle" Target="style12.xml"/><Relationship Id="rId4" Type="http://schemas.openxmlformats.org/officeDocument/2006/relationships/package" Target="../embeddings/Microsoft_Excel_Worksheet11.xlsx"/></Relationships>
</file>

<file path=word/charts/_rels/chart15.xml.rels><?xml version="1.0" encoding="UTF-8" standalone="yes"?>
<Relationships xmlns="http://schemas.openxmlformats.org/package/2006/relationships"><Relationship Id="rId3" Type="http://schemas.openxmlformats.org/officeDocument/2006/relationships/themeOverride" Target="../theme/themeOverride11.xml"/><Relationship Id="rId2" Type="http://schemas.microsoft.com/office/2011/relationships/chartColorStyle" Target="colors13.xml"/><Relationship Id="rId1" Type="http://schemas.microsoft.com/office/2011/relationships/chartStyle" Target="style13.xml"/><Relationship Id="rId4" Type="http://schemas.openxmlformats.org/officeDocument/2006/relationships/package" Target="../embeddings/Microsoft_Excel_Worksheet12.xlsx"/></Relationships>
</file>

<file path=word/charts/_rels/chart16.xml.rels><?xml version="1.0" encoding="UTF-8" standalone="yes"?>
<Relationships xmlns="http://schemas.openxmlformats.org/package/2006/relationships"><Relationship Id="rId3" Type="http://schemas.openxmlformats.org/officeDocument/2006/relationships/oleObject" Target="file:///C:\Users\mtig\Desktop\sekt&#246;r%20raporu%20ayl&#305;k\y&#305;ll&#305;k\faaliyet\2022%20y&#305;l&#305;%20&#351;ikayet%20grafik%20v-2.xlsx" TargetMode="External"/><Relationship Id="rId2" Type="http://schemas.microsoft.com/office/2011/relationships/chartColorStyle" Target="colors14.xml"/><Relationship Id="rId1" Type="http://schemas.microsoft.com/office/2011/relationships/chartStyle" Target="style1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3779287314486167E-2"/>
          <c:y val="0.14058748431803952"/>
          <c:w val="0.88989483293993299"/>
          <c:h val="0.73415959827273802"/>
        </c:manualLayout>
      </c:layout>
      <c:bar3DChart>
        <c:barDir val="col"/>
        <c:grouping val="clustered"/>
        <c:varyColors val="0"/>
        <c:ser>
          <c:idx val="0"/>
          <c:order val="0"/>
          <c:tx>
            <c:strRef>
              <c:f>'2022 KARARLAR - TABLO'!$B$6:$C$6</c:f>
              <c:strCache>
                <c:ptCount val="2"/>
                <c:pt idx="0">
                  <c:v>2022 YILI DAİRELERE GÖRE ALINAN KURUL KARARLARI</c:v>
                </c:pt>
                <c:pt idx="1">
                  <c:v>Alınan Karar Sayısı</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'2022 KARARLAR - TABLO'!$D$2:$U$5</c:f>
              <c:strCache>
                <c:ptCount val="14"/>
                <c:pt idx="1">
                  <c:v>EPD</c:v>
                </c:pt>
                <c:pt idx="2">
                  <c:v>DDB</c:v>
                </c:pt>
                <c:pt idx="3">
                  <c:v>TDB</c:v>
                </c:pt>
                <c:pt idx="4">
                  <c:v>KDB</c:v>
                </c:pt>
                <c:pt idx="5">
                  <c:v>DPD</c:v>
                </c:pt>
                <c:pt idx="6">
                  <c:v>PPD</c:v>
                </c:pt>
                <c:pt idx="7">
                  <c:v>EDD</c:v>
                </c:pt>
                <c:pt idx="8">
                  <c:v>LPG</c:v>
                </c:pt>
                <c:pt idx="9">
                  <c:v>IKD</c:v>
                </c:pt>
                <c:pt idx="10">
                  <c:v>SGD</c:v>
                </c:pt>
                <c:pt idx="11">
                  <c:v>HDB</c:v>
                </c:pt>
                <c:pt idx="12">
                  <c:v>BİD</c:v>
                </c:pt>
                <c:pt idx="13">
                  <c:v>KHM</c:v>
                </c:pt>
              </c:strCache>
            </c:strRef>
          </c:cat>
          <c:val>
            <c:numRef>
              <c:f>'2022 KARARLAR - TABLO'!$D$6:$Q$6</c:f>
              <c:numCache>
                <c:formatCode>0</c:formatCode>
                <c:ptCount val="14"/>
                <c:pt idx="1">
                  <c:v>1942</c:v>
                </c:pt>
                <c:pt idx="2">
                  <c:v>1093</c:v>
                </c:pt>
                <c:pt idx="3">
                  <c:v>614</c:v>
                </c:pt>
                <c:pt idx="4">
                  <c:v>442</c:v>
                </c:pt>
                <c:pt idx="5">
                  <c:v>213</c:v>
                </c:pt>
                <c:pt idx="6">
                  <c:v>134</c:v>
                </c:pt>
                <c:pt idx="7">
                  <c:v>84</c:v>
                </c:pt>
                <c:pt idx="8">
                  <c:v>38</c:v>
                </c:pt>
                <c:pt idx="9">
                  <c:v>23</c:v>
                </c:pt>
                <c:pt idx="10">
                  <c:v>17</c:v>
                </c:pt>
                <c:pt idx="11">
                  <c:v>2</c:v>
                </c:pt>
                <c:pt idx="12">
                  <c:v>0</c:v>
                </c:pt>
                <c:pt idx="13">
                  <c:v>0</c:v>
                </c:pt>
              </c:numCache>
            </c:numRef>
          </c:val>
          <c:extLst>
            <c:ext xmlns:c16="http://schemas.microsoft.com/office/drawing/2014/chart" uri="{C3380CC4-5D6E-409C-BE32-E72D297353CC}">
              <c16:uniqueId val="{00000000-8C8B-4071-AABA-BDA246C1B461}"/>
            </c:ext>
          </c:extLst>
        </c:ser>
        <c:dLbls>
          <c:showLegendKey val="0"/>
          <c:showVal val="0"/>
          <c:showCatName val="0"/>
          <c:showSerName val="0"/>
          <c:showPercent val="0"/>
          <c:showBubbleSize val="0"/>
        </c:dLbls>
        <c:gapWidth val="150"/>
        <c:shape val="box"/>
        <c:axId val="196588672"/>
        <c:axId val="196590208"/>
        <c:axId val="0"/>
      </c:bar3DChart>
      <c:catAx>
        <c:axId val="196588672"/>
        <c:scaling>
          <c:orientation val="minMax"/>
        </c:scaling>
        <c:delete val="0"/>
        <c:axPos val="b"/>
        <c:numFmt formatCode="General" sourceLinked="0"/>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tr-TR"/>
          </a:p>
        </c:txPr>
        <c:crossAx val="196590208"/>
        <c:crosses val="autoZero"/>
        <c:auto val="1"/>
        <c:lblAlgn val="ctr"/>
        <c:lblOffset val="100"/>
        <c:noMultiLvlLbl val="0"/>
      </c:catAx>
      <c:valAx>
        <c:axId val="196590208"/>
        <c:scaling>
          <c:orientation val="minMax"/>
        </c:scaling>
        <c:delete val="0"/>
        <c:axPos val="l"/>
        <c:majorGridlines>
          <c:spPr>
            <a:ln w="9525" cap="flat" cmpd="sng" algn="ctr">
              <a:solidFill>
                <a:schemeClr val="tx2">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tr-TR"/>
          </a:p>
        </c:txPr>
        <c:crossAx val="196588672"/>
        <c:crosses val="autoZero"/>
        <c:crossBetween val="between"/>
      </c:valAx>
      <c:spPr>
        <a:noFill/>
        <a:ln>
          <a:noFill/>
        </a:ln>
        <a:effectLst/>
      </c:spPr>
    </c:plotArea>
    <c:plotVisOnly val="1"/>
    <c:dispBlanksAs val="gap"/>
    <c:showDLblsOverMax val="0"/>
  </c:chart>
  <c:spPr>
    <a:solidFill>
      <a:srgbClr val="FFC000">
        <a:alpha val="39000"/>
      </a:srgbClr>
    </a:solidFill>
    <a:ln w="9525" cap="flat" cmpd="sng" algn="ctr">
      <a:solidFill>
        <a:schemeClr val="tx2">
          <a:lumMod val="15000"/>
          <a:lumOff val="85000"/>
        </a:schemeClr>
      </a:solidFill>
      <a:round/>
    </a:ln>
    <a:effectLst/>
  </c:spPr>
  <c:txPr>
    <a:bodyPr/>
    <a:lstStyle/>
    <a:p>
      <a:pPr>
        <a:defRPr/>
      </a:pPr>
      <a:endParaRPr lang="tr-TR"/>
    </a:p>
  </c:txPr>
  <c:externalData r:id="rId3">
    <c:autoUpdate val="0"/>
  </c:externalData>
  <c:userShapes r:id="rId4"/>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Sayfa1!$B$1</c:f>
              <c:strCache>
                <c:ptCount val="1"/>
                <c:pt idx="0">
                  <c:v>2018</c:v>
                </c:pt>
              </c:strCache>
            </c:strRef>
          </c:tx>
          <c:spPr>
            <a:solidFill>
              <a:schemeClr val="accent1"/>
            </a:solidFill>
            <a:ln>
              <a:noFill/>
            </a:ln>
            <a:effectLst/>
          </c:spPr>
          <c:invertIfNegative val="0"/>
          <c:cat>
            <c:strRef>
              <c:f>Sayfa1!$A$2:$A$14</c:f>
              <c:strCache>
                <c:ptCount val="13"/>
                <c:pt idx="0">
                  <c:v>KDB</c:v>
                </c:pt>
                <c:pt idx="1">
                  <c:v>DDB</c:v>
                </c:pt>
                <c:pt idx="2">
                  <c:v>EPD</c:v>
                </c:pt>
                <c:pt idx="3">
                  <c:v>TDB</c:v>
                </c:pt>
                <c:pt idx="4">
                  <c:v>PPD</c:v>
                </c:pt>
                <c:pt idx="5">
                  <c:v>DPD</c:v>
                </c:pt>
                <c:pt idx="6">
                  <c:v>LPG</c:v>
                </c:pt>
                <c:pt idx="7">
                  <c:v>İKD</c:v>
                </c:pt>
                <c:pt idx="8">
                  <c:v>SGD</c:v>
                </c:pt>
                <c:pt idx="9">
                  <c:v>EDD</c:v>
                </c:pt>
                <c:pt idx="10">
                  <c:v>HDB</c:v>
                </c:pt>
                <c:pt idx="11">
                  <c:v>BİD</c:v>
                </c:pt>
                <c:pt idx="12">
                  <c:v>KHM</c:v>
                </c:pt>
              </c:strCache>
            </c:strRef>
          </c:cat>
          <c:val>
            <c:numRef>
              <c:f>Sayfa1!$B$2:$B$14</c:f>
              <c:numCache>
                <c:formatCode>#,##0</c:formatCode>
                <c:ptCount val="13"/>
                <c:pt idx="0">
                  <c:v>2100</c:v>
                </c:pt>
                <c:pt idx="1">
                  <c:v>3044</c:v>
                </c:pt>
                <c:pt idx="2">
                  <c:v>2049</c:v>
                </c:pt>
                <c:pt idx="3" formatCode="General">
                  <c:v>546</c:v>
                </c:pt>
                <c:pt idx="4" formatCode="General">
                  <c:v>295</c:v>
                </c:pt>
                <c:pt idx="5" formatCode="General">
                  <c:v>183</c:v>
                </c:pt>
                <c:pt idx="6" formatCode="General">
                  <c:v>86</c:v>
                </c:pt>
                <c:pt idx="7" formatCode="General">
                  <c:v>38</c:v>
                </c:pt>
                <c:pt idx="8" formatCode="General">
                  <c:v>24</c:v>
                </c:pt>
                <c:pt idx="9" formatCode="General">
                  <c:v>0</c:v>
                </c:pt>
                <c:pt idx="10" formatCode="General">
                  <c:v>1</c:v>
                </c:pt>
                <c:pt idx="11" formatCode="General">
                  <c:v>0</c:v>
                </c:pt>
                <c:pt idx="12" formatCode="General">
                  <c:v>0</c:v>
                </c:pt>
              </c:numCache>
            </c:numRef>
          </c:val>
          <c:extLst>
            <c:ext xmlns:c16="http://schemas.microsoft.com/office/drawing/2014/chart" uri="{C3380CC4-5D6E-409C-BE32-E72D297353CC}">
              <c16:uniqueId val="{00000000-37C4-456D-B93F-412A49CF5BB4}"/>
            </c:ext>
          </c:extLst>
        </c:ser>
        <c:ser>
          <c:idx val="1"/>
          <c:order val="1"/>
          <c:tx>
            <c:strRef>
              <c:f>Sayfa1!$C$1</c:f>
              <c:strCache>
                <c:ptCount val="1"/>
                <c:pt idx="0">
                  <c:v>2019</c:v>
                </c:pt>
              </c:strCache>
            </c:strRef>
          </c:tx>
          <c:spPr>
            <a:solidFill>
              <a:schemeClr val="accent2"/>
            </a:solidFill>
            <a:ln>
              <a:noFill/>
            </a:ln>
            <a:effectLst/>
          </c:spPr>
          <c:invertIfNegative val="0"/>
          <c:cat>
            <c:strRef>
              <c:f>Sayfa1!$A$2:$A$14</c:f>
              <c:strCache>
                <c:ptCount val="13"/>
                <c:pt idx="0">
                  <c:v>KDB</c:v>
                </c:pt>
                <c:pt idx="1">
                  <c:v>DDB</c:v>
                </c:pt>
                <c:pt idx="2">
                  <c:v>EPD</c:v>
                </c:pt>
                <c:pt idx="3">
                  <c:v>TDB</c:v>
                </c:pt>
                <c:pt idx="4">
                  <c:v>PPD</c:v>
                </c:pt>
                <c:pt idx="5">
                  <c:v>DPD</c:v>
                </c:pt>
                <c:pt idx="6">
                  <c:v>LPG</c:v>
                </c:pt>
                <c:pt idx="7">
                  <c:v>İKD</c:v>
                </c:pt>
                <c:pt idx="8">
                  <c:v>SGD</c:v>
                </c:pt>
                <c:pt idx="9">
                  <c:v>EDD</c:v>
                </c:pt>
                <c:pt idx="10">
                  <c:v>HDB</c:v>
                </c:pt>
                <c:pt idx="11">
                  <c:v>BİD</c:v>
                </c:pt>
                <c:pt idx="12">
                  <c:v>KHM</c:v>
                </c:pt>
              </c:strCache>
            </c:strRef>
          </c:cat>
          <c:val>
            <c:numRef>
              <c:f>Sayfa1!$C$2:$C$14</c:f>
              <c:numCache>
                <c:formatCode>#,##0</c:formatCode>
                <c:ptCount val="13"/>
                <c:pt idx="0">
                  <c:v>3996</c:v>
                </c:pt>
                <c:pt idx="1">
                  <c:v>2125</c:v>
                </c:pt>
                <c:pt idx="2">
                  <c:v>2211</c:v>
                </c:pt>
                <c:pt idx="3" formatCode="General">
                  <c:v>524</c:v>
                </c:pt>
                <c:pt idx="4" formatCode="General">
                  <c:v>269</c:v>
                </c:pt>
                <c:pt idx="5" formatCode="General">
                  <c:v>160</c:v>
                </c:pt>
                <c:pt idx="6" formatCode="General">
                  <c:v>50</c:v>
                </c:pt>
                <c:pt idx="7" formatCode="General">
                  <c:v>33</c:v>
                </c:pt>
                <c:pt idx="8" formatCode="General">
                  <c:v>26</c:v>
                </c:pt>
                <c:pt idx="9" formatCode="General">
                  <c:v>0</c:v>
                </c:pt>
                <c:pt idx="10" formatCode="General">
                  <c:v>2</c:v>
                </c:pt>
                <c:pt idx="11" formatCode="General">
                  <c:v>1</c:v>
                </c:pt>
                <c:pt idx="12" formatCode="General">
                  <c:v>1</c:v>
                </c:pt>
              </c:numCache>
            </c:numRef>
          </c:val>
          <c:extLst>
            <c:ext xmlns:c16="http://schemas.microsoft.com/office/drawing/2014/chart" uri="{C3380CC4-5D6E-409C-BE32-E72D297353CC}">
              <c16:uniqueId val="{00000001-37C4-456D-B93F-412A49CF5BB4}"/>
            </c:ext>
          </c:extLst>
        </c:ser>
        <c:ser>
          <c:idx val="2"/>
          <c:order val="2"/>
          <c:tx>
            <c:strRef>
              <c:f>Sayfa1!$D$1</c:f>
              <c:strCache>
                <c:ptCount val="1"/>
                <c:pt idx="0">
                  <c:v>2020</c:v>
                </c:pt>
              </c:strCache>
            </c:strRef>
          </c:tx>
          <c:spPr>
            <a:solidFill>
              <a:schemeClr val="accent3"/>
            </a:solidFill>
            <a:ln>
              <a:noFill/>
            </a:ln>
            <a:effectLst/>
          </c:spPr>
          <c:invertIfNegative val="0"/>
          <c:cat>
            <c:strRef>
              <c:f>Sayfa1!$A$2:$A$14</c:f>
              <c:strCache>
                <c:ptCount val="13"/>
                <c:pt idx="0">
                  <c:v>KDB</c:v>
                </c:pt>
                <c:pt idx="1">
                  <c:v>DDB</c:v>
                </c:pt>
                <c:pt idx="2">
                  <c:v>EPD</c:v>
                </c:pt>
                <c:pt idx="3">
                  <c:v>TDB</c:v>
                </c:pt>
                <c:pt idx="4">
                  <c:v>PPD</c:v>
                </c:pt>
                <c:pt idx="5">
                  <c:v>DPD</c:v>
                </c:pt>
                <c:pt idx="6">
                  <c:v>LPG</c:v>
                </c:pt>
                <c:pt idx="7">
                  <c:v>İKD</c:v>
                </c:pt>
                <c:pt idx="8">
                  <c:v>SGD</c:v>
                </c:pt>
                <c:pt idx="9">
                  <c:v>EDD</c:v>
                </c:pt>
                <c:pt idx="10">
                  <c:v>HDB</c:v>
                </c:pt>
                <c:pt idx="11">
                  <c:v>BİD</c:v>
                </c:pt>
                <c:pt idx="12">
                  <c:v>KHM</c:v>
                </c:pt>
              </c:strCache>
            </c:strRef>
          </c:cat>
          <c:val>
            <c:numRef>
              <c:f>Sayfa1!$D$2:$D$14</c:f>
              <c:numCache>
                <c:formatCode>#,##0</c:formatCode>
                <c:ptCount val="13"/>
                <c:pt idx="0">
                  <c:v>4986</c:v>
                </c:pt>
                <c:pt idx="1">
                  <c:v>1748</c:v>
                </c:pt>
                <c:pt idx="2">
                  <c:v>1723</c:v>
                </c:pt>
                <c:pt idx="3" formatCode="General">
                  <c:v>669</c:v>
                </c:pt>
                <c:pt idx="4" formatCode="General">
                  <c:v>225</c:v>
                </c:pt>
                <c:pt idx="5" formatCode="General">
                  <c:v>148</c:v>
                </c:pt>
                <c:pt idx="6" formatCode="General">
                  <c:v>79</c:v>
                </c:pt>
                <c:pt idx="7" formatCode="General">
                  <c:v>15</c:v>
                </c:pt>
                <c:pt idx="8" formatCode="General">
                  <c:v>24</c:v>
                </c:pt>
                <c:pt idx="9" formatCode="General">
                  <c:v>0</c:v>
                </c:pt>
                <c:pt idx="10" formatCode="General">
                  <c:v>0</c:v>
                </c:pt>
                <c:pt idx="11" formatCode="General">
                  <c:v>0</c:v>
                </c:pt>
                <c:pt idx="12" formatCode="General">
                  <c:v>0</c:v>
                </c:pt>
              </c:numCache>
            </c:numRef>
          </c:val>
          <c:extLst>
            <c:ext xmlns:c16="http://schemas.microsoft.com/office/drawing/2014/chart" uri="{C3380CC4-5D6E-409C-BE32-E72D297353CC}">
              <c16:uniqueId val="{00000002-37C4-456D-B93F-412A49CF5BB4}"/>
            </c:ext>
          </c:extLst>
        </c:ser>
        <c:ser>
          <c:idx val="3"/>
          <c:order val="3"/>
          <c:tx>
            <c:strRef>
              <c:f>Sayfa1!$E$1</c:f>
              <c:strCache>
                <c:ptCount val="1"/>
                <c:pt idx="0">
                  <c:v>2021</c:v>
                </c:pt>
              </c:strCache>
            </c:strRef>
          </c:tx>
          <c:spPr>
            <a:solidFill>
              <a:schemeClr val="accent4"/>
            </a:solidFill>
            <a:ln>
              <a:noFill/>
            </a:ln>
            <a:effectLst/>
          </c:spPr>
          <c:invertIfNegative val="0"/>
          <c:cat>
            <c:strRef>
              <c:f>Sayfa1!$A$2:$A$14</c:f>
              <c:strCache>
                <c:ptCount val="13"/>
                <c:pt idx="0">
                  <c:v>KDB</c:v>
                </c:pt>
                <c:pt idx="1">
                  <c:v>DDB</c:v>
                </c:pt>
                <c:pt idx="2">
                  <c:v>EPD</c:v>
                </c:pt>
                <c:pt idx="3">
                  <c:v>TDB</c:v>
                </c:pt>
                <c:pt idx="4">
                  <c:v>PPD</c:v>
                </c:pt>
                <c:pt idx="5">
                  <c:v>DPD</c:v>
                </c:pt>
                <c:pt idx="6">
                  <c:v>LPG</c:v>
                </c:pt>
                <c:pt idx="7">
                  <c:v>İKD</c:v>
                </c:pt>
                <c:pt idx="8">
                  <c:v>SGD</c:v>
                </c:pt>
                <c:pt idx="9">
                  <c:v>EDD</c:v>
                </c:pt>
                <c:pt idx="10">
                  <c:v>HDB</c:v>
                </c:pt>
                <c:pt idx="11">
                  <c:v>BİD</c:v>
                </c:pt>
                <c:pt idx="12">
                  <c:v>KHM</c:v>
                </c:pt>
              </c:strCache>
            </c:strRef>
          </c:cat>
          <c:val>
            <c:numRef>
              <c:f>Sayfa1!$E$2:$E$14</c:f>
              <c:numCache>
                <c:formatCode>#,##0</c:formatCode>
                <c:ptCount val="13"/>
                <c:pt idx="0" formatCode="General">
                  <c:v>284</c:v>
                </c:pt>
                <c:pt idx="1">
                  <c:v>1967</c:v>
                </c:pt>
                <c:pt idx="2">
                  <c:v>1959</c:v>
                </c:pt>
                <c:pt idx="3" formatCode="General">
                  <c:v>475</c:v>
                </c:pt>
                <c:pt idx="4" formatCode="General">
                  <c:v>187</c:v>
                </c:pt>
                <c:pt idx="5" formatCode="General">
                  <c:v>200</c:v>
                </c:pt>
                <c:pt idx="6" formatCode="General">
                  <c:v>77</c:v>
                </c:pt>
                <c:pt idx="7" formatCode="General">
                  <c:v>44</c:v>
                </c:pt>
                <c:pt idx="8" formatCode="General">
                  <c:v>18</c:v>
                </c:pt>
                <c:pt idx="9" formatCode="General">
                  <c:v>0</c:v>
                </c:pt>
                <c:pt idx="10" formatCode="General">
                  <c:v>0</c:v>
                </c:pt>
                <c:pt idx="11" formatCode="General">
                  <c:v>1</c:v>
                </c:pt>
                <c:pt idx="12" formatCode="General">
                  <c:v>0</c:v>
                </c:pt>
              </c:numCache>
            </c:numRef>
          </c:val>
          <c:extLst>
            <c:ext xmlns:c16="http://schemas.microsoft.com/office/drawing/2014/chart" uri="{C3380CC4-5D6E-409C-BE32-E72D297353CC}">
              <c16:uniqueId val="{00000003-37C4-456D-B93F-412A49CF5BB4}"/>
            </c:ext>
          </c:extLst>
        </c:ser>
        <c:ser>
          <c:idx val="4"/>
          <c:order val="4"/>
          <c:tx>
            <c:strRef>
              <c:f>Sayfa1!$F$1</c:f>
              <c:strCache>
                <c:ptCount val="1"/>
                <c:pt idx="0">
                  <c:v>2022</c:v>
                </c:pt>
              </c:strCache>
            </c:strRef>
          </c:tx>
          <c:spPr>
            <a:solidFill>
              <a:schemeClr val="accent5"/>
            </a:solidFill>
            <a:ln>
              <a:noFill/>
            </a:ln>
            <a:effectLst/>
          </c:spPr>
          <c:invertIfNegative val="0"/>
          <c:cat>
            <c:strRef>
              <c:f>Sayfa1!$A$2:$A$14</c:f>
              <c:strCache>
                <c:ptCount val="13"/>
                <c:pt idx="0">
                  <c:v>KDB</c:v>
                </c:pt>
                <c:pt idx="1">
                  <c:v>DDB</c:v>
                </c:pt>
                <c:pt idx="2">
                  <c:v>EPD</c:v>
                </c:pt>
                <c:pt idx="3">
                  <c:v>TDB</c:v>
                </c:pt>
                <c:pt idx="4">
                  <c:v>PPD</c:v>
                </c:pt>
                <c:pt idx="5">
                  <c:v>DPD</c:v>
                </c:pt>
                <c:pt idx="6">
                  <c:v>LPG</c:v>
                </c:pt>
                <c:pt idx="7">
                  <c:v>İKD</c:v>
                </c:pt>
                <c:pt idx="8">
                  <c:v>SGD</c:v>
                </c:pt>
                <c:pt idx="9">
                  <c:v>EDD</c:v>
                </c:pt>
                <c:pt idx="10">
                  <c:v>HDB</c:v>
                </c:pt>
                <c:pt idx="11">
                  <c:v>BİD</c:v>
                </c:pt>
                <c:pt idx="12">
                  <c:v>KHM</c:v>
                </c:pt>
              </c:strCache>
            </c:strRef>
          </c:cat>
          <c:val>
            <c:numRef>
              <c:f>Sayfa1!$F$2:$F$14</c:f>
              <c:numCache>
                <c:formatCode>#,##0</c:formatCode>
                <c:ptCount val="13"/>
                <c:pt idx="0" formatCode="General">
                  <c:v>442</c:v>
                </c:pt>
                <c:pt idx="1">
                  <c:v>1093</c:v>
                </c:pt>
                <c:pt idx="2">
                  <c:v>1942</c:v>
                </c:pt>
                <c:pt idx="3" formatCode="General">
                  <c:v>614</c:v>
                </c:pt>
                <c:pt idx="4" formatCode="General">
                  <c:v>134</c:v>
                </c:pt>
                <c:pt idx="5" formatCode="General">
                  <c:v>213</c:v>
                </c:pt>
                <c:pt idx="6" formatCode="General">
                  <c:v>38</c:v>
                </c:pt>
                <c:pt idx="7" formatCode="General">
                  <c:v>23</c:v>
                </c:pt>
                <c:pt idx="8" formatCode="General">
                  <c:v>17</c:v>
                </c:pt>
                <c:pt idx="9" formatCode="General">
                  <c:v>84</c:v>
                </c:pt>
                <c:pt idx="10" formatCode="General">
                  <c:v>2</c:v>
                </c:pt>
                <c:pt idx="11" formatCode="General">
                  <c:v>0</c:v>
                </c:pt>
                <c:pt idx="12" formatCode="General">
                  <c:v>0</c:v>
                </c:pt>
              </c:numCache>
            </c:numRef>
          </c:val>
          <c:extLst>
            <c:ext xmlns:c16="http://schemas.microsoft.com/office/drawing/2014/chart" uri="{C3380CC4-5D6E-409C-BE32-E72D297353CC}">
              <c16:uniqueId val="{00000004-37C4-456D-B93F-412A49CF5BB4}"/>
            </c:ext>
          </c:extLst>
        </c:ser>
        <c:dLbls>
          <c:showLegendKey val="0"/>
          <c:showVal val="0"/>
          <c:showCatName val="0"/>
          <c:showSerName val="0"/>
          <c:showPercent val="0"/>
          <c:showBubbleSize val="0"/>
        </c:dLbls>
        <c:gapWidth val="219"/>
        <c:overlap val="-27"/>
        <c:axId val="1517439168"/>
        <c:axId val="1653252128"/>
      </c:barChart>
      <c:catAx>
        <c:axId val="151743916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tr-TR" b="1">
                    <a:solidFill>
                      <a:sysClr val="windowText" lastClr="000000"/>
                    </a:solidFill>
                  </a:rPr>
                  <a:t>Hizmet Birimi</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653252128"/>
        <c:crosses val="autoZero"/>
        <c:auto val="1"/>
        <c:lblAlgn val="ctr"/>
        <c:lblOffset val="100"/>
        <c:noMultiLvlLbl val="0"/>
      </c:catAx>
      <c:valAx>
        <c:axId val="16532521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tr-TR" b="1">
                    <a:solidFill>
                      <a:sysClr val="windowText" lastClr="000000"/>
                    </a:solidFill>
                  </a:rPr>
                  <a:t>Kurul Karar Sayısı</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517439168"/>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tr-TR"/>
              <a:t>Kurul Kararı Sayıları</a:t>
            </a:r>
            <a:endParaRPr lang="en-US"/>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tr-TR"/>
        </a:p>
      </c:txPr>
    </c:title>
    <c:autoTitleDeleted val="0"/>
    <c:plotArea>
      <c:layout>
        <c:manualLayout>
          <c:layoutTarget val="inner"/>
          <c:xMode val="edge"/>
          <c:yMode val="edge"/>
          <c:x val="0.26305774278215222"/>
          <c:y val="0.25779808773903262"/>
          <c:w val="0.70721995312083319"/>
          <c:h val="0.66998656417947755"/>
        </c:manualLayout>
      </c:layout>
      <c:barChart>
        <c:barDir val="bar"/>
        <c:grouping val="stacked"/>
        <c:varyColors val="0"/>
        <c:ser>
          <c:idx val="0"/>
          <c:order val="0"/>
          <c:tx>
            <c:strRef>
              <c:f>Sayfa1!$B$1</c:f>
              <c:strCache>
                <c:ptCount val="1"/>
                <c:pt idx="0">
                  <c:v>Seri 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solidFill>
                    <a:latin typeface="+mn-lt"/>
                    <a:ea typeface="+mn-ea"/>
                    <a:cs typeface="+mn-cs"/>
                  </a:defRPr>
                </a:pPr>
                <a:endParaRPr lang="tr-TR"/>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Sayfa1!$A$2:$A$10</c:f>
              <c:strCache>
                <c:ptCount val="9"/>
                <c:pt idx="0">
                  <c:v>İptal Tadil Diğer</c:v>
                </c:pt>
                <c:pt idx="1">
                  <c:v>Kamulaştırma</c:v>
                </c:pt>
                <c:pt idx="2">
                  <c:v>MH+DHTA İrtifak</c:v>
                </c:pt>
                <c:pt idx="3">
                  <c:v>MH+DHTA Kiralama</c:v>
                </c:pt>
                <c:pt idx="4">
                  <c:v>30 uncu Madde</c:v>
                </c:pt>
                <c:pt idx="5">
                  <c:v>Lüzum Kararı</c:v>
                </c:pt>
                <c:pt idx="6">
                  <c:v>Bedelsiz İrtifak</c:v>
                </c:pt>
                <c:pt idx="7">
                  <c:v>Büyükova</c:v>
                </c:pt>
                <c:pt idx="8">
                  <c:v>Acele Kamulaştırma</c:v>
                </c:pt>
              </c:strCache>
            </c:strRef>
          </c:cat>
          <c:val>
            <c:numRef>
              <c:f>Sayfa1!$B$2:$B$10</c:f>
              <c:numCache>
                <c:formatCode>General</c:formatCode>
                <c:ptCount val="9"/>
                <c:pt idx="0">
                  <c:v>51</c:v>
                </c:pt>
                <c:pt idx="1">
                  <c:v>102</c:v>
                </c:pt>
                <c:pt idx="2">
                  <c:v>99</c:v>
                </c:pt>
                <c:pt idx="3">
                  <c:v>32</c:v>
                </c:pt>
                <c:pt idx="4">
                  <c:v>40</c:v>
                </c:pt>
                <c:pt idx="5">
                  <c:v>61</c:v>
                </c:pt>
                <c:pt idx="6">
                  <c:v>9</c:v>
                </c:pt>
                <c:pt idx="7">
                  <c:v>14</c:v>
                </c:pt>
                <c:pt idx="8">
                  <c:v>34</c:v>
                </c:pt>
              </c:numCache>
            </c:numRef>
          </c:val>
          <c:extLst>
            <c:ext xmlns:c16="http://schemas.microsoft.com/office/drawing/2014/chart" uri="{C3380CC4-5D6E-409C-BE32-E72D297353CC}">
              <c16:uniqueId val="{00000000-2C35-44E6-BAA9-E89D7A029F46}"/>
            </c:ext>
          </c:extLst>
        </c:ser>
        <c:dLbls>
          <c:dLblPos val="ctr"/>
          <c:showLegendKey val="0"/>
          <c:showVal val="1"/>
          <c:showCatName val="0"/>
          <c:showSerName val="0"/>
          <c:showPercent val="0"/>
          <c:showBubbleSize val="0"/>
        </c:dLbls>
        <c:gapWidth val="79"/>
        <c:overlap val="100"/>
        <c:axId val="1529525744"/>
        <c:axId val="1566379216"/>
      </c:barChart>
      <c:catAx>
        <c:axId val="15295257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tr-TR"/>
          </a:p>
        </c:txPr>
        <c:crossAx val="1566379216"/>
        <c:crosses val="autoZero"/>
        <c:auto val="1"/>
        <c:lblAlgn val="ctr"/>
        <c:lblOffset val="100"/>
        <c:noMultiLvlLbl val="0"/>
      </c:catAx>
      <c:valAx>
        <c:axId val="1566379216"/>
        <c:scaling>
          <c:orientation val="minMax"/>
        </c:scaling>
        <c:delete val="1"/>
        <c:axPos val="b"/>
        <c:numFmt formatCode="General" sourceLinked="1"/>
        <c:majorTickMark val="none"/>
        <c:minorTickMark val="none"/>
        <c:tickLblPos val="nextTo"/>
        <c:crossAx val="152952574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tr-TR"/>
        </a:p>
      </c:txPr>
    </c:title>
    <c:autoTitleDeleted val="0"/>
    <c:plotArea>
      <c:layout/>
      <c:pieChart>
        <c:varyColors val="1"/>
        <c:ser>
          <c:idx val="0"/>
          <c:order val="0"/>
          <c:tx>
            <c:strRef>
              <c:f>Sayfa1!$B$1</c:f>
              <c:strCache>
                <c:ptCount val="1"/>
                <c:pt idx="0">
                  <c:v>Kurul Kararı Sayısı</c:v>
                </c:pt>
              </c:strCache>
            </c:strRef>
          </c:tx>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2DD7-451B-A183-601138783202}"/>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2DD7-451B-A183-601138783202}"/>
              </c:ext>
            </c:extLst>
          </c:dPt>
          <c:dPt>
            <c:idx val="2"/>
            <c:bubble3D val="0"/>
            <c:spPr>
              <a:solidFill>
                <a:schemeClr val="accent3"/>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2DD7-451B-A183-601138783202}"/>
              </c:ext>
            </c:extLst>
          </c:dPt>
          <c:dPt>
            <c:idx val="3"/>
            <c:bubble3D val="0"/>
            <c:spPr>
              <a:solidFill>
                <a:schemeClr val="accent4"/>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7-2DD7-451B-A183-601138783202}"/>
              </c:ext>
            </c:extLst>
          </c:dPt>
          <c:dPt>
            <c:idx val="4"/>
            <c:bubble3D val="0"/>
            <c:spPr>
              <a:solidFill>
                <a:schemeClr val="accent5"/>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9-2DD7-451B-A183-601138783202}"/>
              </c:ext>
            </c:extLst>
          </c:dPt>
          <c:dPt>
            <c:idx val="5"/>
            <c:bubble3D val="0"/>
            <c:spPr>
              <a:solidFill>
                <a:schemeClr val="accent6"/>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B-2DD7-451B-A183-601138783202}"/>
              </c:ext>
            </c:extLst>
          </c:dPt>
          <c:dLbls>
            <c:dLbl>
              <c:idx val="0"/>
              <c:layout>
                <c:manualLayout>
                  <c:x val="2.3640661938534192E-2"/>
                  <c:y val="-4.8726467331118538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1-2DD7-451B-A183-601138783202}"/>
                </c:ext>
              </c:extLst>
            </c:dLbl>
            <c:dLbl>
              <c:idx val="1"/>
              <c:layout>
                <c:manualLayout>
                  <c:x val="1.6548463356974082E-2"/>
                  <c:y val="-4.4296788482834998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3-2DD7-451B-A183-601138783202}"/>
                </c:ext>
              </c:extLst>
            </c:dLbl>
            <c:dLbl>
              <c:idx val="2"/>
              <c:layout>
                <c:manualLayout>
                  <c:x val="3.5460992907801421E-2"/>
                  <c:y val="-4.4296788482834993E-3"/>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5-2DD7-451B-A183-601138783202}"/>
                </c:ext>
              </c:extLst>
            </c:dLbl>
            <c:dLbl>
              <c:idx val="3"/>
              <c:layout>
                <c:manualLayout>
                  <c:x val="-2.1276595744680937E-2"/>
                  <c:y val="9.3023255813953654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7-2DD7-451B-A183-601138783202}"/>
                </c:ext>
              </c:extLst>
            </c:dLbl>
            <c:dLbl>
              <c:idx val="4"/>
              <c:layout>
                <c:manualLayout>
                  <c:x val="-3.5460992907801421E-2"/>
                  <c:y val="-2.6578073089700997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9-2DD7-451B-A183-601138783202}"/>
                </c:ext>
              </c:extLst>
            </c:dLbl>
            <c:spPr>
              <a:noFill/>
              <a:ln>
                <a:noFill/>
              </a:ln>
              <a:effectLst/>
            </c:spPr>
            <c:dLblPos val="outEnd"/>
            <c:showLegendKey val="0"/>
            <c:showVal val="1"/>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Sayfa1!$A$2:$A$6</c:f>
              <c:strCache>
                <c:ptCount val="5"/>
                <c:pt idx="0">
                  <c:v>Doğal Gaz Dağıtım</c:v>
                </c:pt>
                <c:pt idx="1">
                  <c:v>Doğal Gaz İletim</c:v>
                </c:pt>
                <c:pt idx="2">
                  <c:v>Doğal Gaz Depolama</c:v>
                </c:pt>
                <c:pt idx="3">
                  <c:v>Petrol Tesisleri</c:v>
                </c:pt>
                <c:pt idx="4">
                  <c:v>Elektrik Üretim</c:v>
                </c:pt>
              </c:strCache>
            </c:strRef>
          </c:cat>
          <c:val>
            <c:numRef>
              <c:f>Sayfa1!$B$2:$B$6</c:f>
              <c:numCache>
                <c:formatCode>General</c:formatCode>
                <c:ptCount val="5"/>
                <c:pt idx="0">
                  <c:v>132</c:v>
                </c:pt>
                <c:pt idx="1">
                  <c:v>18</c:v>
                </c:pt>
                <c:pt idx="2">
                  <c:v>6</c:v>
                </c:pt>
                <c:pt idx="3">
                  <c:v>2</c:v>
                </c:pt>
                <c:pt idx="4">
                  <c:v>284</c:v>
                </c:pt>
              </c:numCache>
            </c:numRef>
          </c:val>
          <c:extLst>
            <c:ext xmlns:c16="http://schemas.microsoft.com/office/drawing/2014/chart" uri="{C3380CC4-5D6E-409C-BE32-E72D297353CC}">
              <c16:uniqueId val="{0000000C-2DD7-451B-A183-601138783202}"/>
            </c:ext>
          </c:extLst>
        </c:ser>
        <c:dLbls>
          <c:dLblPos val="outEnd"/>
          <c:showLegendKey val="0"/>
          <c:showVal val="1"/>
          <c:showCatName val="0"/>
          <c:showSerName val="0"/>
          <c:showPercent val="0"/>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27"/>
    </mc:Choice>
    <mc:Fallback>
      <c:style val="27"/>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Sayfa1!$B$1</c:f>
              <c:strCache>
                <c:ptCount val="1"/>
                <c:pt idx="0">
                  <c:v>2020</c:v>
                </c:pt>
              </c:strCache>
            </c:strRef>
          </c:tx>
          <c:invertIfNegative val="0"/>
          <c:cat>
            <c:strRef>
              <c:f>Sayfa1!$A$2:$A$8</c:f>
              <c:strCache>
                <c:ptCount val="7"/>
                <c:pt idx="0">
                  <c:v>Elektrik</c:v>
                </c:pt>
                <c:pt idx="1">
                  <c:v>Doğalgaz</c:v>
                </c:pt>
                <c:pt idx="2">
                  <c:v>Petrol</c:v>
                </c:pt>
                <c:pt idx="3">
                  <c:v>Lpg</c:v>
                </c:pt>
                <c:pt idx="4">
                  <c:v>Kamulaştırma</c:v>
                </c:pt>
                <c:pt idx="5">
                  <c:v>Diğer</c:v>
                </c:pt>
                <c:pt idx="6">
                  <c:v>Toplam</c:v>
                </c:pt>
              </c:strCache>
            </c:strRef>
          </c:cat>
          <c:val>
            <c:numRef>
              <c:f>Sayfa1!$B$2:$B$8</c:f>
              <c:numCache>
                <c:formatCode>General</c:formatCode>
                <c:ptCount val="7"/>
                <c:pt idx="0">
                  <c:v>299</c:v>
                </c:pt>
                <c:pt idx="1">
                  <c:v>15</c:v>
                </c:pt>
                <c:pt idx="2" formatCode="#,##0">
                  <c:v>2400</c:v>
                </c:pt>
                <c:pt idx="3">
                  <c:v>108</c:v>
                </c:pt>
                <c:pt idx="4">
                  <c:v>290</c:v>
                </c:pt>
                <c:pt idx="5">
                  <c:v>13</c:v>
                </c:pt>
                <c:pt idx="6" formatCode="#,##0">
                  <c:v>3125</c:v>
                </c:pt>
              </c:numCache>
            </c:numRef>
          </c:val>
          <c:extLst>
            <c:ext xmlns:c16="http://schemas.microsoft.com/office/drawing/2014/chart" uri="{C3380CC4-5D6E-409C-BE32-E72D297353CC}">
              <c16:uniqueId val="{00000000-F47E-461A-9C55-A51F887D4002}"/>
            </c:ext>
          </c:extLst>
        </c:ser>
        <c:ser>
          <c:idx val="1"/>
          <c:order val="1"/>
          <c:tx>
            <c:strRef>
              <c:f>Sayfa1!$C$1</c:f>
              <c:strCache>
                <c:ptCount val="1"/>
                <c:pt idx="0">
                  <c:v>2021</c:v>
                </c:pt>
              </c:strCache>
            </c:strRef>
          </c:tx>
          <c:spPr>
            <a:solidFill>
              <a:schemeClr val="bg2">
                <a:lumMod val="50000"/>
              </a:schemeClr>
            </a:solidFill>
          </c:spPr>
          <c:invertIfNegative val="0"/>
          <c:cat>
            <c:strRef>
              <c:f>Sayfa1!$A$2:$A$8</c:f>
              <c:strCache>
                <c:ptCount val="7"/>
                <c:pt idx="0">
                  <c:v>Elektrik</c:v>
                </c:pt>
                <c:pt idx="1">
                  <c:v>Doğalgaz</c:v>
                </c:pt>
                <c:pt idx="2">
                  <c:v>Petrol</c:v>
                </c:pt>
                <c:pt idx="3">
                  <c:v>Lpg</c:v>
                </c:pt>
                <c:pt idx="4">
                  <c:v>Kamulaştırma</c:v>
                </c:pt>
                <c:pt idx="5">
                  <c:v>Diğer</c:v>
                </c:pt>
                <c:pt idx="6">
                  <c:v>Toplam</c:v>
                </c:pt>
              </c:strCache>
            </c:strRef>
          </c:cat>
          <c:val>
            <c:numRef>
              <c:f>Sayfa1!$C$2:$C$8</c:f>
              <c:numCache>
                <c:formatCode>General</c:formatCode>
                <c:ptCount val="7"/>
                <c:pt idx="0">
                  <c:v>395</c:v>
                </c:pt>
                <c:pt idx="1">
                  <c:v>24</c:v>
                </c:pt>
                <c:pt idx="2" formatCode="#,##0">
                  <c:v>2293</c:v>
                </c:pt>
                <c:pt idx="3">
                  <c:v>92</c:v>
                </c:pt>
                <c:pt idx="4">
                  <c:v>371</c:v>
                </c:pt>
                <c:pt idx="5">
                  <c:v>18</c:v>
                </c:pt>
                <c:pt idx="6" formatCode="#,##0">
                  <c:v>3193</c:v>
                </c:pt>
              </c:numCache>
            </c:numRef>
          </c:val>
          <c:extLst>
            <c:ext xmlns:c16="http://schemas.microsoft.com/office/drawing/2014/chart" uri="{C3380CC4-5D6E-409C-BE32-E72D297353CC}">
              <c16:uniqueId val="{00000001-F47E-461A-9C55-A51F887D4002}"/>
            </c:ext>
          </c:extLst>
        </c:ser>
        <c:ser>
          <c:idx val="2"/>
          <c:order val="2"/>
          <c:tx>
            <c:strRef>
              <c:f>Sayfa1!$D$1</c:f>
              <c:strCache>
                <c:ptCount val="1"/>
                <c:pt idx="0">
                  <c:v>2022</c:v>
                </c:pt>
              </c:strCache>
            </c:strRef>
          </c:tx>
          <c:spPr>
            <a:solidFill>
              <a:schemeClr val="accent2"/>
            </a:solidFill>
          </c:spPr>
          <c:invertIfNegative val="0"/>
          <c:cat>
            <c:strRef>
              <c:f>Sayfa1!$A$2:$A$8</c:f>
              <c:strCache>
                <c:ptCount val="7"/>
                <c:pt idx="0">
                  <c:v>Elektrik</c:v>
                </c:pt>
                <c:pt idx="1">
                  <c:v>Doğalgaz</c:v>
                </c:pt>
                <c:pt idx="2">
                  <c:v>Petrol</c:v>
                </c:pt>
                <c:pt idx="3">
                  <c:v>Lpg</c:v>
                </c:pt>
                <c:pt idx="4">
                  <c:v>Kamulaştırma</c:v>
                </c:pt>
                <c:pt idx="5">
                  <c:v>Diğer</c:v>
                </c:pt>
                <c:pt idx="6">
                  <c:v>Toplam</c:v>
                </c:pt>
              </c:strCache>
            </c:strRef>
          </c:cat>
          <c:val>
            <c:numRef>
              <c:f>Sayfa1!$D$2:$D$8</c:f>
              <c:numCache>
                <c:formatCode>General</c:formatCode>
                <c:ptCount val="7"/>
                <c:pt idx="0" formatCode="#,##0">
                  <c:v>1329</c:v>
                </c:pt>
                <c:pt idx="1">
                  <c:v>16</c:v>
                </c:pt>
                <c:pt idx="2" formatCode="#,##0">
                  <c:v>2168</c:v>
                </c:pt>
                <c:pt idx="3">
                  <c:v>69</c:v>
                </c:pt>
                <c:pt idx="4">
                  <c:v>340</c:v>
                </c:pt>
                <c:pt idx="5">
                  <c:v>21</c:v>
                </c:pt>
                <c:pt idx="6" formatCode="#,##0">
                  <c:v>3943</c:v>
                </c:pt>
              </c:numCache>
            </c:numRef>
          </c:val>
          <c:extLst>
            <c:ext xmlns:c16="http://schemas.microsoft.com/office/drawing/2014/chart" uri="{C3380CC4-5D6E-409C-BE32-E72D297353CC}">
              <c16:uniqueId val="{00000002-F47E-461A-9C55-A51F887D4002}"/>
            </c:ext>
          </c:extLst>
        </c:ser>
        <c:dLbls>
          <c:showLegendKey val="0"/>
          <c:showVal val="0"/>
          <c:showCatName val="0"/>
          <c:showSerName val="0"/>
          <c:showPercent val="0"/>
          <c:showBubbleSize val="0"/>
        </c:dLbls>
        <c:gapWidth val="150"/>
        <c:axId val="213922560"/>
        <c:axId val="213924096"/>
      </c:barChart>
      <c:catAx>
        <c:axId val="213922560"/>
        <c:scaling>
          <c:orientation val="minMax"/>
        </c:scaling>
        <c:delete val="0"/>
        <c:axPos val="b"/>
        <c:numFmt formatCode="General" sourceLinked="0"/>
        <c:majorTickMark val="none"/>
        <c:minorTickMark val="none"/>
        <c:tickLblPos val="nextTo"/>
        <c:crossAx val="213924096"/>
        <c:crosses val="autoZero"/>
        <c:auto val="1"/>
        <c:lblAlgn val="ctr"/>
        <c:lblOffset val="100"/>
        <c:noMultiLvlLbl val="0"/>
      </c:catAx>
      <c:valAx>
        <c:axId val="213924096"/>
        <c:scaling>
          <c:orientation val="minMax"/>
        </c:scaling>
        <c:delete val="0"/>
        <c:axPos val="l"/>
        <c:majorGridlines/>
        <c:numFmt formatCode="#,##0" sourceLinked="0"/>
        <c:majorTickMark val="none"/>
        <c:minorTickMark val="none"/>
        <c:tickLblPos val="nextTo"/>
        <c:txPr>
          <a:bodyPr/>
          <a:lstStyle/>
          <a:p>
            <a:pPr>
              <a:defRPr sz="1050"/>
            </a:pPr>
            <a:endParaRPr lang="tr-TR"/>
          </a:p>
        </c:txPr>
        <c:crossAx val="213922560"/>
        <c:crosses val="autoZero"/>
        <c:crossBetween val="between"/>
      </c:valAx>
      <c:dTable>
        <c:showHorzBorder val="1"/>
        <c:showVertBorder val="1"/>
        <c:showOutline val="1"/>
        <c:showKeys val="1"/>
        <c:txPr>
          <a:bodyPr/>
          <a:lstStyle/>
          <a:p>
            <a:pPr rtl="0">
              <a:defRPr sz="800"/>
            </a:pPr>
            <a:endParaRPr lang="tr-TR"/>
          </a:p>
        </c:txPr>
      </c:dTable>
      <c:spPr>
        <a:solidFill>
          <a:schemeClr val="accent4">
            <a:lumMod val="20000"/>
            <a:lumOff val="80000"/>
          </a:schemeClr>
        </a:solidFill>
      </c:spPr>
    </c:plotArea>
    <c:plotVisOnly val="1"/>
    <c:dispBlanksAs val="gap"/>
    <c:showDLblsOverMax val="0"/>
  </c:chart>
  <c:txPr>
    <a:bodyPr/>
    <a:lstStyle/>
    <a:p>
      <a:pPr>
        <a:defRPr sz="1800"/>
      </a:pPr>
      <a:endParaRPr lang="tr-TR"/>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10"/>
    </mc:Choice>
    <mc:Fallback>
      <c:style val="10"/>
    </mc:Fallback>
  </mc:AlternateContent>
  <c:clrMapOvr bg1="lt1" tx1="dk1" bg2="lt2" tx2="dk2" accent1="accent1" accent2="accent2" accent3="accent3" accent4="accent4" accent5="accent5" accent6="accent6" hlink="hlink" folHlink="folHlink"/>
  <c:chart>
    <c:autoTitleDeleted val="1"/>
    <c:view3D>
      <c:rotX val="15"/>
      <c:rotY val="20"/>
      <c:rAngAx val="1"/>
    </c:view3D>
    <c:floor>
      <c:thickness val="0"/>
    </c:floor>
    <c:sideWall>
      <c:thickness val="0"/>
      <c:spPr>
        <a:solidFill>
          <a:schemeClr val="accent6">
            <a:lumMod val="20000"/>
            <a:lumOff val="80000"/>
          </a:schemeClr>
        </a:solidFill>
      </c:spPr>
    </c:sideWall>
    <c:backWall>
      <c:thickness val="0"/>
      <c:spPr>
        <a:solidFill>
          <a:schemeClr val="accent6">
            <a:lumMod val="20000"/>
            <a:lumOff val="80000"/>
          </a:schemeClr>
        </a:solidFill>
      </c:spPr>
    </c:backWall>
    <c:plotArea>
      <c:layout>
        <c:manualLayout>
          <c:layoutTarget val="inner"/>
          <c:xMode val="edge"/>
          <c:yMode val="edge"/>
          <c:x val="0.15173276951492173"/>
          <c:y val="5.5435091244662379E-2"/>
          <c:w val="0.83944888833340281"/>
          <c:h val="0.61297028405429899"/>
        </c:manualLayout>
      </c:layout>
      <c:bar3DChart>
        <c:barDir val="col"/>
        <c:grouping val="stacked"/>
        <c:varyColors val="0"/>
        <c:ser>
          <c:idx val="0"/>
          <c:order val="0"/>
          <c:tx>
            <c:strRef>
              <c:f>Sayfa1!$B$1</c:f>
              <c:strCache>
                <c:ptCount val="1"/>
                <c:pt idx="0">
                  <c:v>Lehe Olanlar</c:v>
                </c:pt>
              </c:strCache>
            </c:strRef>
          </c:tx>
          <c:invertIfNegative val="0"/>
          <c:dLbls>
            <c:dLbl>
              <c:idx val="2"/>
              <c:layout>
                <c:manualLayout>
                  <c:x val="-1.8697323603265759E-3"/>
                  <c:y val="1.273993204299556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EA6D-489A-93AD-0AF1514D67FB}"/>
                </c:ext>
              </c:extLst>
            </c:dLbl>
            <c:spPr>
              <a:noFill/>
              <a:ln>
                <a:noFill/>
              </a:ln>
              <a:effectLst/>
            </c:spPr>
            <c:txPr>
              <a:bodyPr wrap="square" lIns="38100" tIns="19050" rIns="38100" bIns="19050" anchor="ctr">
                <a:spAutoFit/>
              </a:bodyPr>
              <a:lstStyle/>
              <a:p>
                <a:pPr>
                  <a:defRPr sz="1000"/>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Sayfa1!$A$2:$A$4</c:f>
              <c:strCache>
                <c:ptCount val="3"/>
                <c:pt idx="0">
                  <c:v>Ceza Davaları</c:v>
                </c:pt>
                <c:pt idx="1">
                  <c:v>İdari Davalar</c:v>
                </c:pt>
                <c:pt idx="2">
                  <c:v>Hukuk Davaları</c:v>
                </c:pt>
              </c:strCache>
            </c:strRef>
          </c:cat>
          <c:val>
            <c:numRef>
              <c:f>Sayfa1!$B$2:$B$4</c:f>
              <c:numCache>
                <c:formatCode>#,##0</c:formatCode>
                <c:ptCount val="3"/>
                <c:pt idx="0">
                  <c:v>9352</c:v>
                </c:pt>
                <c:pt idx="1">
                  <c:v>13693</c:v>
                </c:pt>
                <c:pt idx="2" formatCode="General">
                  <c:v>179</c:v>
                </c:pt>
              </c:numCache>
            </c:numRef>
          </c:val>
          <c:extLst>
            <c:ext xmlns:c16="http://schemas.microsoft.com/office/drawing/2014/chart" uri="{C3380CC4-5D6E-409C-BE32-E72D297353CC}">
              <c16:uniqueId val="{00000001-EA6D-489A-93AD-0AF1514D67FB}"/>
            </c:ext>
          </c:extLst>
        </c:ser>
        <c:ser>
          <c:idx val="1"/>
          <c:order val="1"/>
          <c:tx>
            <c:strRef>
              <c:f>Sayfa1!$C$1</c:f>
              <c:strCache>
                <c:ptCount val="1"/>
                <c:pt idx="0">
                  <c:v>Aleyhe Olanlar</c:v>
                </c:pt>
              </c:strCache>
            </c:strRef>
          </c:tx>
          <c:invertIfNegative val="0"/>
          <c:dLbls>
            <c:dLbl>
              <c:idx val="2"/>
              <c:layout>
                <c:manualLayout>
                  <c:x val="0"/>
                  <c:y val="-5.350771458058137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EA6D-489A-93AD-0AF1514D67FB}"/>
                </c:ext>
              </c:extLst>
            </c:dLbl>
            <c:spPr>
              <a:noFill/>
              <a:ln>
                <a:noFill/>
              </a:ln>
              <a:effectLst/>
            </c:spPr>
            <c:txPr>
              <a:bodyPr wrap="square" lIns="38100" tIns="19050" rIns="38100" bIns="19050" anchor="ctr">
                <a:spAutoFit/>
              </a:bodyPr>
              <a:lstStyle/>
              <a:p>
                <a:pPr>
                  <a:defRPr sz="1000"/>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Sayfa1!$A$2:$A$4</c:f>
              <c:strCache>
                <c:ptCount val="3"/>
                <c:pt idx="0">
                  <c:v>Ceza Davaları</c:v>
                </c:pt>
                <c:pt idx="1">
                  <c:v>İdari Davalar</c:v>
                </c:pt>
                <c:pt idx="2">
                  <c:v>Hukuk Davaları</c:v>
                </c:pt>
              </c:strCache>
            </c:strRef>
          </c:cat>
          <c:val>
            <c:numRef>
              <c:f>Sayfa1!$C$2:$C$4</c:f>
              <c:numCache>
                <c:formatCode>#,##0</c:formatCode>
                <c:ptCount val="3"/>
                <c:pt idx="0">
                  <c:v>1195</c:v>
                </c:pt>
                <c:pt idx="1">
                  <c:v>4941</c:v>
                </c:pt>
                <c:pt idx="2" formatCode="General">
                  <c:v>40</c:v>
                </c:pt>
              </c:numCache>
            </c:numRef>
          </c:val>
          <c:extLst>
            <c:ext xmlns:c16="http://schemas.microsoft.com/office/drawing/2014/chart" uri="{C3380CC4-5D6E-409C-BE32-E72D297353CC}">
              <c16:uniqueId val="{00000003-EA6D-489A-93AD-0AF1514D67FB}"/>
            </c:ext>
          </c:extLst>
        </c:ser>
        <c:dLbls>
          <c:showLegendKey val="0"/>
          <c:showVal val="1"/>
          <c:showCatName val="0"/>
          <c:showSerName val="0"/>
          <c:showPercent val="0"/>
          <c:showBubbleSize val="0"/>
        </c:dLbls>
        <c:gapWidth val="75"/>
        <c:shape val="box"/>
        <c:axId val="257481344"/>
        <c:axId val="257487232"/>
        <c:axId val="0"/>
      </c:bar3DChart>
      <c:catAx>
        <c:axId val="257481344"/>
        <c:scaling>
          <c:orientation val="minMax"/>
        </c:scaling>
        <c:delete val="0"/>
        <c:axPos val="b"/>
        <c:numFmt formatCode="General" sourceLinked="0"/>
        <c:majorTickMark val="none"/>
        <c:minorTickMark val="none"/>
        <c:tickLblPos val="nextTo"/>
        <c:txPr>
          <a:bodyPr/>
          <a:lstStyle/>
          <a:p>
            <a:pPr>
              <a:defRPr sz="1050"/>
            </a:pPr>
            <a:endParaRPr lang="tr-TR"/>
          </a:p>
        </c:txPr>
        <c:crossAx val="257487232"/>
        <c:crosses val="autoZero"/>
        <c:auto val="1"/>
        <c:lblAlgn val="ctr"/>
        <c:lblOffset val="100"/>
        <c:noMultiLvlLbl val="0"/>
      </c:catAx>
      <c:valAx>
        <c:axId val="257487232"/>
        <c:scaling>
          <c:orientation val="minMax"/>
        </c:scaling>
        <c:delete val="0"/>
        <c:axPos val="l"/>
        <c:numFmt formatCode="#,##0" sourceLinked="1"/>
        <c:majorTickMark val="none"/>
        <c:minorTickMark val="none"/>
        <c:tickLblPos val="nextTo"/>
        <c:txPr>
          <a:bodyPr/>
          <a:lstStyle/>
          <a:p>
            <a:pPr>
              <a:defRPr sz="1000"/>
            </a:pPr>
            <a:endParaRPr lang="tr-TR"/>
          </a:p>
        </c:txPr>
        <c:crossAx val="257481344"/>
        <c:crosses val="autoZero"/>
        <c:crossBetween val="between"/>
      </c:valAx>
    </c:plotArea>
    <c:legend>
      <c:legendPos val="b"/>
      <c:overlay val="0"/>
      <c:txPr>
        <a:bodyPr/>
        <a:lstStyle/>
        <a:p>
          <a:pPr>
            <a:defRPr sz="1200"/>
          </a:pPr>
          <a:endParaRPr lang="tr-TR"/>
        </a:p>
      </c:txPr>
    </c:legend>
    <c:plotVisOnly val="1"/>
    <c:dispBlanksAs val="gap"/>
    <c:showDLblsOverMax val="0"/>
  </c:chart>
  <c:txPr>
    <a:bodyPr/>
    <a:lstStyle/>
    <a:p>
      <a:pPr>
        <a:defRPr sz="1800"/>
      </a:pPr>
      <a:endParaRPr lang="tr-TR"/>
    </a:p>
  </c:tx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7.4753937007874013E-2"/>
          <c:y val="7.1724628171478552E-2"/>
          <c:w val="0.88498840769903764"/>
          <c:h val="0.74107575094779821"/>
        </c:manualLayout>
      </c:layout>
      <c:barChart>
        <c:barDir val="col"/>
        <c:grouping val="clustered"/>
        <c:varyColors val="0"/>
        <c:ser>
          <c:idx val="5"/>
          <c:order val="5"/>
          <c:tx>
            <c:strRef>
              <c:f>Sayfa1!$R$7</c:f>
              <c:strCache>
                <c:ptCount val="1"/>
                <c:pt idx="0">
                  <c:v>Toplam</c:v>
                </c:pt>
              </c:strCache>
              <c:extLst xmlns:c15="http://schemas.microsoft.com/office/drawing/2012/chart"/>
            </c:strRef>
          </c:tx>
          <c:spPr>
            <a:solidFill>
              <a:srgbClr val="00B0F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Sayfa1!$S$1:$AD$1</c:f>
              <c:strCache>
                <c:ptCount val="12"/>
                <c:pt idx="0">
                  <c:v>OCAK</c:v>
                </c:pt>
                <c:pt idx="1">
                  <c:v>ŞUBAT</c:v>
                </c:pt>
                <c:pt idx="2">
                  <c:v>MART</c:v>
                </c:pt>
                <c:pt idx="3">
                  <c:v>NİSAN</c:v>
                </c:pt>
                <c:pt idx="4">
                  <c:v>MAYIS</c:v>
                </c:pt>
                <c:pt idx="5">
                  <c:v>HAZİRAN</c:v>
                </c:pt>
                <c:pt idx="6">
                  <c:v>TEMMUZ</c:v>
                </c:pt>
                <c:pt idx="7">
                  <c:v>AĞUSTOS</c:v>
                </c:pt>
                <c:pt idx="8">
                  <c:v>EYLÜL</c:v>
                </c:pt>
                <c:pt idx="9">
                  <c:v>EKİM</c:v>
                </c:pt>
                <c:pt idx="10">
                  <c:v>KASIM</c:v>
                </c:pt>
                <c:pt idx="11">
                  <c:v>ARALIK</c:v>
                </c:pt>
              </c:strCache>
              <c:extLst xmlns:c15="http://schemas.microsoft.com/office/drawing/2012/chart"/>
            </c:strRef>
          </c:cat>
          <c:val>
            <c:numRef>
              <c:f>Sayfa1!$S$7:$AD$7</c:f>
              <c:numCache>
                <c:formatCode>0%</c:formatCode>
                <c:ptCount val="12"/>
                <c:pt idx="0">
                  <c:v>0.12841384318172649</c:v>
                </c:pt>
                <c:pt idx="1">
                  <c:v>8.2976615762509018E-2</c:v>
                </c:pt>
                <c:pt idx="2">
                  <c:v>0.10574677609491751</c:v>
                </c:pt>
                <c:pt idx="3">
                  <c:v>8.6835888999950692E-2</c:v>
                </c:pt>
                <c:pt idx="4">
                  <c:v>8.9848004697466149E-2</c:v>
                </c:pt>
                <c:pt idx="5">
                  <c:v>9.8189592960972488E-2</c:v>
                </c:pt>
                <c:pt idx="6">
                  <c:v>4.4334577922805568E-2</c:v>
                </c:pt>
                <c:pt idx="7">
                  <c:v>6.805947135576583E-2</c:v>
                </c:pt>
                <c:pt idx="8">
                  <c:v>6.4307773678949701E-2</c:v>
                </c:pt>
                <c:pt idx="9">
                  <c:v>5.4361516636112217E-2</c:v>
                </c:pt>
                <c:pt idx="10">
                  <c:v>0.10947157988157724</c:v>
                </c:pt>
                <c:pt idx="11">
                  <c:v>6.7454358827247096E-2</c:v>
                </c:pt>
              </c:numCache>
              <c:extLst xmlns:c15="http://schemas.microsoft.com/office/drawing/2012/chart"/>
            </c:numRef>
          </c:val>
          <c:extLst>
            <c:ext xmlns:c16="http://schemas.microsoft.com/office/drawing/2014/chart" uri="{C3380CC4-5D6E-409C-BE32-E72D297353CC}">
              <c16:uniqueId val="{00000000-A320-4FDF-B029-DF5AF7E17F50}"/>
            </c:ext>
          </c:extLst>
        </c:ser>
        <c:dLbls>
          <c:dLblPos val="outEnd"/>
          <c:showLegendKey val="0"/>
          <c:showVal val="1"/>
          <c:showCatName val="0"/>
          <c:showSerName val="0"/>
          <c:showPercent val="0"/>
          <c:showBubbleSize val="0"/>
        </c:dLbls>
        <c:gapWidth val="219"/>
        <c:overlap val="-27"/>
        <c:axId val="666865775"/>
        <c:axId val="631313743"/>
        <c:extLst>
          <c:ext xmlns:c15="http://schemas.microsoft.com/office/drawing/2012/chart" uri="{02D57815-91ED-43cb-92C2-25804820EDAC}">
            <c15:filteredBarSeries>
              <c15:ser>
                <c:idx val="0"/>
                <c:order val="0"/>
                <c:tx>
                  <c:strRef>
                    <c:extLst>
                      <c:ext uri="{02D57815-91ED-43cb-92C2-25804820EDAC}">
                        <c15:formulaRef>
                          <c15:sqref>Sayfa1!$R$2</c15:sqref>
                        </c15:formulaRef>
                      </c:ext>
                    </c:extLst>
                    <c:strCache>
                      <c:ptCount val="1"/>
                      <c:pt idx="0">
                        <c:v>Elektrik</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c:ext uri="{02D57815-91ED-43cb-92C2-25804820EDAC}">
                        <c15:formulaRef>
                          <c15:sqref>Sayfa1!$S$1:$AD$1</c15:sqref>
                        </c15:formulaRef>
                      </c:ext>
                    </c:extLst>
                    <c:strCache>
                      <c:ptCount val="12"/>
                      <c:pt idx="0">
                        <c:v>OCAK</c:v>
                      </c:pt>
                      <c:pt idx="1">
                        <c:v>ŞUBAT</c:v>
                      </c:pt>
                      <c:pt idx="2">
                        <c:v>MART</c:v>
                      </c:pt>
                      <c:pt idx="3">
                        <c:v>NİSAN</c:v>
                      </c:pt>
                      <c:pt idx="4">
                        <c:v>MAYIS</c:v>
                      </c:pt>
                      <c:pt idx="5">
                        <c:v>HAZİRAN</c:v>
                      </c:pt>
                      <c:pt idx="6">
                        <c:v>TEMMUZ</c:v>
                      </c:pt>
                      <c:pt idx="7">
                        <c:v>AĞUSTOS</c:v>
                      </c:pt>
                      <c:pt idx="8">
                        <c:v>EYLÜL</c:v>
                      </c:pt>
                      <c:pt idx="9">
                        <c:v>EKİM</c:v>
                      </c:pt>
                      <c:pt idx="10">
                        <c:v>KASIM</c:v>
                      </c:pt>
                      <c:pt idx="11">
                        <c:v>ARALIK</c:v>
                      </c:pt>
                    </c:strCache>
                  </c:strRef>
                </c:cat>
                <c:val>
                  <c:numRef>
                    <c:extLst>
                      <c:ext uri="{02D57815-91ED-43cb-92C2-25804820EDAC}">
                        <c15:formulaRef>
                          <c15:sqref>Sayfa1!$S$2:$AD$2</c15:sqref>
                        </c15:formulaRef>
                      </c:ext>
                    </c:extLst>
                    <c:numCache>
                      <c:formatCode>0%</c:formatCode>
                      <c:ptCount val="12"/>
                      <c:pt idx="0">
                        <c:v>0.15199012845662216</c:v>
                      </c:pt>
                      <c:pt idx="1">
                        <c:v>9.6817060051888879E-2</c:v>
                      </c:pt>
                      <c:pt idx="2">
                        <c:v>0.11510472695057901</c:v>
                      </c:pt>
                      <c:pt idx="3">
                        <c:v>9.4836423463899255E-2</c:v>
                      </c:pt>
                      <c:pt idx="4">
                        <c:v>9.1754730114535221E-2</c:v>
                      </c:pt>
                      <c:pt idx="5">
                        <c:v>9.3887236600645449E-2</c:v>
                      </c:pt>
                      <c:pt idx="6">
                        <c:v>4.464342213503765E-2</c:v>
                      </c:pt>
                      <c:pt idx="7">
                        <c:v>6.7809909510852376E-2</c:v>
                      </c:pt>
                      <c:pt idx="8">
                        <c:v>5.8976143770170221E-2</c:v>
                      </c:pt>
                      <c:pt idx="9">
                        <c:v>4.5852053407580841E-2</c:v>
                      </c:pt>
                      <c:pt idx="10">
                        <c:v>8.3857495412263491E-2</c:v>
                      </c:pt>
                      <c:pt idx="11">
                        <c:v>5.4470670125925456E-2</c:v>
                      </c:pt>
                    </c:numCache>
                  </c:numRef>
                </c:val>
                <c:extLst>
                  <c:ext xmlns:c16="http://schemas.microsoft.com/office/drawing/2014/chart" uri="{C3380CC4-5D6E-409C-BE32-E72D297353CC}">
                    <c16:uniqueId val="{00000001-A320-4FDF-B029-DF5AF7E17F50}"/>
                  </c:ext>
                </c:extLst>
              </c15:ser>
            </c15:filteredBarSeries>
            <c15:filteredBarSeries>
              <c15:ser>
                <c:idx val="1"/>
                <c:order val="1"/>
                <c:tx>
                  <c:strRef>
                    <c:extLst xmlns:c15="http://schemas.microsoft.com/office/drawing/2012/chart">
                      <c:ext xmlns:c15="http://schemas.microsoft.com/office/drawing/2012/chart" uri="{02D57815-91ED-43cb-92C2-25804820EDAC}">
                        <c15:formulaRef>
                          <c15:sqref>Sayfa1!$R$3</c15:sqref>
                        </c15:formulaRef>
                      </c:ext>
                    </c:extLst>
                    <c:strCache>
                      <c:ptCount val="1"/>
                      <c:pt idx="0">
                        <c:v>Doğalgaz</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Sayfa1!$S$1:$AD$1</c15:sqref>
                        </c15:formulaRef>
                      </c:ext>
                    </c:extLst>
                    <c:strCache>
                      <c:ptCount val="12"/>
                      <c:pt idx="0">
                        <c:v>OCAK</c:v>
                      </c:pt>
                      <c:pt idx="1">
                        <c:v>ŞUBAT</c:v>
                      </c:pt>
                      <c:pt idx="2">
                        <c:v>MART</c:v>
                      </c:pt>
                      <c:pt idx="3">
                        <c:v>NİSAN</c:v>
                      </c:pt>
                      <c:pt idx="4">
                        <c:v>MAYIS</c:v>
                      </c:pt>
                      <c:pt idx="5">
                        <c:v>HAZİRAN</c:v>
                      </c:pt>
                      <c:pt idx="6">
                        <c:v>TEMMUZ</c:v>
                      </c:pt>
                      <c:pt idx="7">
                        <c:v>AĞUSTOS</c:v>
                      </c:pt>
                      <c:pt idx="8">
                        <c:v>EYLÜL</c:v>
                      </c:pt>
                      <c:pt idx="9">
                        <c:v>EKİM</c:v>
                      </c:pt>
                      <c:pt idx="10">
                        <c:v>KASIM</c:v>
                      </c:pt>
                      <c:pt idx="11">
                        <c:v>ARALIK</c:v>
                      </c:pt>
                    </c:strCache>
                  </c:strRef>
                </c:cat>
                <c:val>
                  <c:numRef>
                    <c:extLst xmlns:c15="http://schemas.microsoft.com/office/drawing/2012/chart">
                      <c:ext xmlns:c15="http://schemas.microsoft.com/office/drawing/2012/chart" uri="{02D57815-91ED-43cb-92C2-25804820EDAC}">
                        <c15:formulaRef>
                          <c15:sqref>Sayfa1!$S$3:$AD$3</c15:sqref>
                        </c15:formulaRef>
                      </c:ext>
                    </c:extLst>
                    <c:numCache>
                      <c:formatCode>0%</c:formatCode>
                      <c:ptCount val="12"/>
                      <c:pt idx="0">
                        <c:v>6.6713513988317444E-2</c:v>
                      </c:pt>
                      <c:pt idx="1">
                        <c:v>3.9768984145109577E-2</c:v>
                      </c:pt>
                      <c:pt idx="2">
                        <c:v>5.4569809829153673E-2</c:v>
                      </c:pt>
                      <c:pt idx="3">
                        <c:v>5.8456673547367034E-2</c:v>
                      </c:pt>
                      <c:pt idx="4">
                        <c:v>7.0336861522245164E-2</c:v>
                      </c:pt>
                      <c:pt idx="5">
                        <c:v>9.9104044973428784E-2</c:v>
                      </c:pt>
                      <c:pt idx="6">
                        <c:v>4.2162589485704248E-2</c:v>
                      </c:pt>
                      <c:pt idx="7">
                        <c:v>7.3345337959506346E-2</c:v>
                      </c:pt>
                      <c:pt idx="8">
                        <c:v>8.8124203961526634E-2</c:v>
                      </c:pt>
                      <c:pt idx="9">
                        <c:v>8.9837059159383378E-2</c:v>
                      </c:pt>
                      <c:pt idx="10">
                        <c:v>0.19482629891519171</c:v>
                      </c:pt>
                      <c:pt idx="11">
                        <c:v>0.12275462251306601</c:v>
                      </c:pt>
                    </c:numCache>
                  </c:numRef>
                </c:val>
                <c:extLst xmlns:c15="http://schemas.microsoft.com/office/drawing/2012/chart">
                  <c:ext xmlns:c16="http://schemas.microsoft.com/office/drawing/2014/chart" uri="{C3380CC4-5D6E-409C-BE32-E72D297353CC}">
                    <c16:uniqueId val="{00000002-A320-4FDF-B029-DF5AF7E17F50}"/>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Sayfa1!$R$4</c15:sqref>
                        </c15:formulaRef>
                      </c:ext>
                    </c:extLst>
                    <c:strCache>
                      <c:ptCount val="1"/>
                      <c:pt idx="0">
                        <c:v>Diğer</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Sayfa1!$S$1:$AD$1</c15:sqref>
                        </c15:formulaRef>
                      </c:ext>
                    </c:extLst>
                    <c:strCache>
                      <c:ptCount val="12"/>
                      <c:pt idx="0">
                        <c:v>OCAK</c:v>
                      </c:pt>
                      <c:pt idx="1">
                        <c:v>ŞUBAT</c:v>
                      </c:pt>
                      <c:pt idx="2">
                        <c:v>MART</c:v>
                      </c:pt>
                      <c:pt idx="3">
                        <c:v>NİSAN</c:v>
                      </c:pt>
                      <c:pt idx="4">
                        <c:v>MAYIS</c:v>
                      </c:pt>
                      <c:pt idx="5">
                        <c:v>HAZİRAN</c:v>
                      </c:pt>
                      <c:pt idx="6">
                        <c:v>TEMMUZ</c:v>
                      </c:pt>
                      <c:pt idx="7">
                        <c:v>AĞUSTOS</c:v>
                      </c:pt>
                      <c:pt idx="8">
                        <c:v>EYLÜL</c:v>
                      </c:pt>
                      <c:pt idx="9">
                        <c:v>EKİM</c:v>
                      </c:pt>
                      <c:pt idx="10">
                        <c:v>KASIM</c:v>
                      </c:pt>
                      <c:pt idx="11">
                        <c:v>ARALIK</c:v>
                      </c:pt>
                    </c:strCache>
                  </c:strRef>
                </c:cat>
                <c:val>
                  <c:numRef>
                    <c:extLst xmlns:c15="http://schemas.microsoft.com/office/drawing/2012/chart">
                      <c:ext xmlns:c15="http://schemas.microsoft.com/office/drawing/2012/chart" uri="{02D57815-91ED-43cb-92C2-25804820EDAC}">
                        <c15:formulaRef>
                          <c15:sqref>Sayfa1!$S$4:$AD$4</c15:sqref>
                        </c15:formulaRef>
                      </c:ext>
                    </c:extLst>
                    <c:numCache>
                      <c:formatCode>0%</c:formatCode>
                      <c:ptCount val="12"/>
                      <c:pt idx="0">
                        <c:v>8.8207196688249653E-2</c:v>
                      </c:pt>
                      <c:pt idx="1">
                        <c:v>7.7911049782401015E-2</c:v>
                      </c:pt>
                      <c:pt idx="2">
                        <c:v>0.12599511729115806</c:v>
                      </c:pt>
                      <c:pt idx="3">
                        <c:v>9.988323957117079E-2</c:v>
                      </c:pt>
                      <c:pt idx="4">
                        <c:v>0.10625199023458232</c:v>
                      </c:pt>
                      <c:pt idx="5">
                        <c:v>9.2983759685808298E-2</c:v>
                      </c:pt>
                      <c:pt idx="6">
                        <c:v>3.2374482539008598E-2</c:v>
                      </c:pt>
                      <c:pt idx="7">
                        <c:v>5.4452818172168557E-2</c:v>
                      </c:pt>
                      <c:pt idx="8">
                        <c:v>4.7022609064855114E-2</c:v>
                      </c:pt>
                      <c:pt idx="9">
                        <c:v>3.6620316314616284E-2</c:v>
                      </c:pt>
                      <c:pt idx="10">
                        <c:v>0.18681668612673813</c:v>
                      </c:pt>
                      <c:pt idx="11">
                        <c:v>5.1480734529243177E-2</c:v>
                      </c:pt>
                    </c:numCache>
                  </c:numRef>
                </c:val>
                <c:extLst xmlns:c15="http://schemas.microsoft.com/office/drawing/2012/chart">
                  <c:ext xmlns:c16="http://schemas.microsoft.com/office/drawing/2014/chart" uri="{C3380CC4-5D6E-409C-BE32-E72D297353CC}">
                    <c16:uniqueId val="{00000003-A320-4FDF-B029-DF5AF7E17F50}"/>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Sayfa1!$R$5</c15:sqref>
                        </c15:formulaRef>
                      </c:ext>
                    </c:extLst>
                    <c:strCache>
                      <c:ptCount val="1"/>
                      <c:pt idx="0">
                        <c:v>Petrol</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Sayfa1!$S$1:$AD$1</c15:sqref>
                        </c15:formulaRef>
                      </c:ext>
                    </c:extLst>
                    <c:strCache>
                      <c:ptCount val="12"/>
                      <c:pt idx="0">
                        <c:v>OCAK</c:v>
                      </c:pt>
                      <c:pt idx="1">
                        <c:v>ŞUBAT</c:v>
                      </c:pt>
                      <c:pt idx="2">
                        <c:v>MART</c:v>
                      </c:pt>
                      <c:pt idx="3">
                        <c:v>NİSAN</c:v>
                      </c:pt>
                      <c:pt idx="4">
                        <c:v>MAYIS</c:v>
                      </c:pt>
                      <c:pt idx="5">
                        <c:v>HAZİRAN</c:v>
                      </c:pt>
                      <c:pt idx="6">
                        <c:v>TEMMUZ</c:v>
                      </c:pt>
                      <c:pt idx="7">
                        <c:v>AĞUSTOS</c:v>
                      </c:pt>
                      <c:pt idx="8">
                        <c:v>EYLÜL</c:v>
                      </c:pt>
                      <c:pt idx="9">
                        <c:v>EKİM</c:v>
                      </c:pt>
                      <c:pt idx="10">
                        <c:v>KASIM</c:v>
                      </c:pt>
                      <c:pt idx="11">
                        <c:v>ARALIK</c:v>
                      </c:pt>
                    </c:strCache>
                  </c:strRef>
                </c:cat>
                <c:val>
                  <c:numRef>
                    <c:extLst xmlns:c15="http://schemas.microsoft.com/office/drawing/2012/chart">
                      <c:ext xmlns:c15="http://schemas.microsoft.com/office/drawing/2012/chart" uri="{02D57815-91ED-43cb-92C2-25804820EDAC}">
                        <c15:formulaRef>
                          <c15:sqref>Sayfa1!$S$5:$AD$5</c15:sqref>
                        </c15:formulaRef>
                      </c:ext>
                    </c:extLst>
                    <c:numCache>
                      <c:formatCode>0%</c:formatCode>
                      <c:ptCount val="12"/>
                      <c:pt idx="0">
                        <c:v>7.3144341051720407E-2</c:v>
                      </c:pt>
                      <c:pt idx="1">
                        <c:v>6.3406189136550536E-2</c:v>
                      </c:pt>
                      <c:pt idx="2">
                        <c:v>0.17485392772127245</c:v>
                      </c:pt>
                      <c:pt idx="3">
                        <c:v>7.6714996753949355E-2</c:v>
                      </c:pt>
                      <c:pt idx="4">
                        <c:v>0.13341268123782732</c:v>
                      </c:pt>
                      <c:pt idx="5">
                        <c:v>0.16803722138065355</c:v>
                      </c:pt>
                      <c:pt idx="6">
                        <c:v>6.0917550313784895E-2</c:v>
                      </c:pt>
                      <c:pt idx="7">
                        <c:v>6.1674962129409219E-2</c:v>
                      </c:pt>
                      <c:pt idx="8">
                        <c:v>5.7238692923609606E-2</c:v>
                      </c:pt>
                      <c:pt idx="9">
                        <c:v>4.4687297121835098E-2</c:v>
                      </c:pt>
                      <c:pt idx="10">
                        <c:v>5.0530188270937026E-2</c:v>
                      </c:pt>
                      <c:pt idx="11">
                        <c:v>3.538195195845055E-2</c:v>
                      </c:pt>
                    </c:numCache>
                  </c:numRef>
                </c:val>
                <c:extLst xmlns:c15="http://schemas.microsoft.com/office/drawing/2012/chart">
                  <c:ext xmlns:c16="http://schemas.microsoft.com/office/drawing/2014/chart" uri="{C3380CC4-5D6E-409C-BE32-E72D297353CC}">
                    <c16:uniqueId val="{00000004-A320-4FDF-B029-DF5AF7E17F50}"/>
                  </c:ext>
                </c:extLst>
              </c15:ser>
            </c15:filteredBarSeries>
            <c15:filteredBarSeries>
              <c15:ser>
                <c:idx val="4"/>
                <c:order val="4"/>
                <c:tx>
                  <c:strRef>
                    <c:extLst xmlns:c15="http://schemas.microsoft.com/office/drawing/2012/chart">
                      <c:ext xmlns:c15="http://schemas.microsoft.com/office/drawing/2012/chart" uri="{02D57815-91ED-43cb-92C2-25804820EDAC}">
                        <c15:formulaRef>
                          <c15:sqref>Sayfa1!$R$6</c15:sqref>
                        </c15:formulaRef>
                      </c:ext>
                    </c:extLst>
                    <c:strCache>
                      <c:ptCount val="1"/>
                      <c:pt idx="0">
                        <c:v>Lpg</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Sayfa1!$S$1:$AD$1</c15:sqref>
                        </c15:formulaRef>
                      </c:ext>
                    </c:extLst>
                    <c:strCache>
                      <c:ptCount val="12"/>
                      <c:pt idx="0">
                        <c:v>OCAK</c:v>
                      </c:pt>
                      <c:pt idx="1">
                        <c:v>ŞUBAT</c:v>
                      </c:pt>
                      <c:pt idx="2">
                        <c:v>MART</c:v>
                      </c:pt>
                      <c:pt idx="3">
                        <c:v>NİSAN</c:v>
                      </c:pt>
                      <c:pt idx="4">
                        <c:v>MAYIS</c:v>
                      </c:pt>
                      <c:pt idx="5">
                        <c:v>HAZİRAN</c:v>
                      </c:pt>
                      <c:pt idx="6">
                        <c:v>TEMMUZ</c:v>
                      </c:pt>
                      <c:pt idx="7">
                        <c:v>AĞUSTOS</c:v>
                      </c:pt>
                      <c:pt idx="8">
                        <c:v>EYLÜL</c:v>
                      </c:pt>
                      <c:pt idx="9">
                        <c:v>EKİM</c:v>
                      </c:pt>
                      <c:pt idx="10">
                        <c:v>KASIM</c:v>
                      </c:pt>
                      <c:pt idx="11">
                        <c:v>ARALIK</c:v>
                      </c:pt>
                    </c:strCache>
                  </c:strRef>
                </c:cat>
                <c:val>
                  <c:numRef>
                    <c:extLst xmlns:c15="http://schemas.microsoft.com/office/drawing/2012/chart">
                      <c:ext xmlns:c15="http://schemas.microsoft.com/office/drawing/2012/chart" uri="{02D57815-91ED-43cb-92C2-25804820EDAC}">
                        <c15:formulaRef>
                          <c15:sqref>Sayfa1!$S$6:$AD$6</c15:sqref>
                        </c15:formulaRef>
                      </c:ext>
                    </c:extLst>
                    <c:numCache>
                      <c:formatCode>0%</c:formatCode>
                      <c:ptCount val="12"/>
                      <c:pt idx="0">
                        <c:v>9.7926267281105997E-2</c:v>
                      </c:pt>
                      <c:pt idx="1">
                        <c:v>9.3317972350230413E-2</c:v>
                      </c:pt>
                      <c:pt idx="2">
                        <c:v>0.1313364055299539</c:v>
                      </c:pt>
                      <c:pt idx="3">
                        <c:v>8.5253456221198162E-2</c:v>
                      </c:pt>
                      <c:pt idx="4">
                        <c:v>0.12442396313364056</c:v>
                      </c:pt>
                      <c:pt idx="5">
                        <c:v>0.14631336405529954</c:v>
                      </c:pt>
                      <c:pt idx="6">
                        <c:v>5.5299539170506916E-2</c:v>
                      </c:pt>
                      <c:pt idx="7">
                        <c:v>5.1843317972350228E-2</c:v>
                      </c:pt>
                      <c:pt idx="8">
                        <c:v>4.8387096774193547E-2</c:v>
                      </c:pt>
                      <c:pt idx="9">
                        <c:v>3.8018433179723504E-2</c:v>
                      </c:pt>
                      <c:pt idx="10">
                        <c:v>8.294930875576037E-2</c:v>
                      </c:pt>
                      <c:pt idx="11">
                        <c:v>4.4930875576036866E-2</c:v>
                      </c:pt>
                    </c:numCache>
                  </c:numRef>
                </c:val>
                <c:extLst xmlns:c15="http://schemas.microsoft.com/office/drawing/2012/chart">
                  <c:ext xmlns:c16="http://schemas.microsoft.com/office/drawing/2014/chart" uri="{C3380CC4-5D6E-409C-BE32-E72D297353CC}">
                    <c16:uniqueId val="{00000005-A320-4FDF-B029-DF5AF7E17F50}"/>
                  </c:ext>
                </c:extLst>
              </c15:ser>
            </c15:filteredBarSeries>
          </c:ext>
        </c:extLst>
      </c:barChart>
      <c:catAx>
        <c:axId val="66686577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631313743"/>
        <c:crosses val="autoZero"/>
        <c:auto val="1"/>
        <c:lblAlgn val="ctr"/>
        <c:lblOffset val="100"/>
        <c:noMultiLvlLbl val="0"/>
      </c:catAx>
      <c:valAx>
        <c:axId val="631313743"/>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66686577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tx>
            <c:strRef>
              <c:f>'Şikayet Kanalları'!$D$3</c:f>
              <c:strCache>
                <c:ptCount val="1"/>
                <c:pt idx="0">
                  <c:v>% Oranı</c:v>
                </c:pt>
              </c:strCache>
            </c:strRef>
          </c:tx>
          <c:explosion val="1"/>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2AA-49AC-8A9F-0BF6906498FB}"/>
              </c:ext>
            </c:extLst>
          </c:dPt>
          <c:dPt>
            <c:idx val="1"/>
            <c:bubble3D val="0"/>
            <c:spPr>
              <a:solidFill>
                <a:schemeClr val="accent6">
                  <a:lumMod val="75000"/>
                </a:schemeClr>
              </a:solidFill>
              <a:ln w="19050">
                <a:solidFill>
                  <a:schemeClr val="lt1"/>
                </a:solidFill>
              </a:ln>
              <a:effectLst/>
            </c:spPr>
            <c:extLst>
              <c:ext xmlns:c16="http://schemas.microsoft.com/office/drawing/2014/chart" uri="{C3380CC4-5D6E-409C-BE32-E72D297353CC}">
                <c16:uniqueId val="{00000003-52AA-49AC-8A9F-0BF6906498FB}"/>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52AA-49AC-8A9F-0BF6906498FB}"/>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52AA-49AC-8A9F-0BF6906498FB}"/>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52AA-49AC-8A9F-0BF6906498FB}"/>
              </c:ext>
            </c:extLst>
          </c:dPt>
          <c:dLbls>
            <c:dLbl>
              <c:idx val="0"/>
              <c:layout>
                <c:manualLayout>
                  <c:x val="-2.3510971786833867E-2"/>
                  <c:y val="1.2224938875305624E-2"/>
                </c:manualLayout>
              </c:layout>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1-52AA-49AC-8A9F-0BF6906498FB}"/>
                </c:ext>
              </c:extLst>
            </c:dLbl>
            <c:dLbl>
              <c:idx val="1"/>
              <c:layout>
                <c:manualLayout>
                  <c:x val="3.9184952978056332E-2"/>
                  <c:y val="-6.9274653626731908E-2"/>
                </c:manualLayout>
              </c:layout>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3-52AA-49AC-8A9F-0BF6906498FB}"/>
                </c:ext>
              </c:extLst>
            </c:dLbl>
            <c:dLbl>
              <c:idx val="2"/>
              <c:layout>
                <c:manualLayout>
                  <c:x val="1.5673981191222475E-2"/>
                  <c:y val="-4.4824775876120694E-2"/>
                </c:manualLayout>
              </c:layout>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5-52AA-49AC-8A9F-0BF6906498FB}"/>
                </c:ext>
              </c:extLst>
            </c:dLbl>
            <c:dLbl>
              <c:idx val="3"/>
              <c:layout>
                <c:manualLayout>
                  <c:x val="7.8369905956112845E-3"/>
                  <c:y val="0.11409942950285248"/>
                </c:manualLayout>
              </c:layout>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7-52AA-49AC-8A9F-0BF6906498FB}"/>
                </c:ext>
              </c:extLst>
            </c:dLbl>
            <c:dLbl>
              <c:idx val="4"/>
              <c:delete val="1"/>
              <c:extLst>
                <c:ext xmlns:c15="http://schemas.microsoft.com/office/drawing/2012/chart" uri="{CE6537A1-D6FC-4f65-9D91-7224C49458BB}"/>
                <c:ext xmlns:c16="http://schemas.microsoft.com/office/drawing/2014/chart" uri="{C3380CC4-5D6E-409C-BE32-E72D297353CC}">
                  <c16:uniqueId val="{00000009-52AA-49AC-8A9F-0BF6906498FB}"/>
                </c:ext>
              </c:extLst>
            </c:dLbl>
            <c:spPr>
              <a:noFill/>
              <a:ln>
                <a:noFill/>
              </a:ln>
              <a:effectLst/>
            </c:spPr>
            <c:txPr>
              <a:bodyPr rot="0" spcFirstLastPara="1" vertOverflow="clip" horzOverflow="clip"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tr-TR"/>
              </a:p>
            </c:txPr>
            <c:dLblPos val="outEnd"/>
            <c:showLegendKey val="0"/>
            <c:showVal val="1"/>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'Şikayet Kanalları'!$B$4:$B$8</c:f>
              <c:strCache>
                <c:ptCount val="5"/>
                <c:pt idx="0">
                  <c:v>Cimer</c:v>
                </c:pt>
                <c:pt idx="1">
                  <c:v>Kurum web sayfası</c:v>
                </c:pt>
                <c:pt idx="2">
                  <c:v>Genel Evrak</c:v>
                </c:pt>
                <c:pt idx="3">
                  <c:v>Etkb</c:v>
                </c:pt>
                <c:pt idx="4">
                  <c:v>Diğer</c:v>
                </c:pt>
              </c:strCache>
            </c:strRef>
          </c:cat>
          <c:val>
            <c:numRef>
              <c:f>'Şikayet Kanalları'!$D$4:$D$8</c:f>
              <c:numCache>
                <c:formatCode>0.0%</c:formatCode>
                <c:ptCount val="5"/>
                <c:pt idx="0">
                  <c:v>0.86995131690377403</c:v>
                </c:pt>
                <c:pt idx="1">
                  <c:v>0.12673217673525194</c:v>
                </c:pt>
                <c:pt idx="2">
                  <c:v>1.722123131803924E-3</c:v>
                </c:pt>
                <c:pt idx="3">
                  <c:v>1.2442812738033846E-3</c:v>
                </c:pt>
                <c:pt idx="4">
                  <c:v>3.5010195536673181E-4</c:v>
                </c:pt>
              </c:numCache>
            </c:numRef>
          </c:val>
          <c:extLst>
            <c:ext xmlns:c16="http://schemas.microsoft.com/office/drawing/2014/chart" uri="{C3380CC4-5D6E-409C-BE32-E72D297353CC}">
              <c16:uniqueId val="{0000000A-52AA-49AC-8A9F-0BF6906498FB}"/>
            </c:ext>
          </c:extLst>
        </c:ser>
        <c:dLbls>
          <c:showLegendKey val="0"/>
          <c:showVal val="0"/>
          <c:showCatName val="0"/>
          <c:showSerName val="0"/>
          <c:showPercent val="0"/>
          <c:showBubbleSize val="0"/>
          <c:showLeaderLines val="1"/>
        </c:dLbls>
        <c:firstSliceAng val="92"/>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tx>
            <c:strRef>
              <c:f>'Şikayetlerin Sektörel Dağılımı'!$D$3</c:f>
              <c:strCache>
                <c:ptCount val="1"/>
                <c:pt idx="0">
                  <c:v>% Oranı</c:v>
                </c:pt>
              </c:strCache>
            </c:strRef>
          </c:tx>
          <c:explosion val="1"/>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87B-4483-B045-FCBB09EE9B2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87B-4483-B045-FCBB09EE9B2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787B-4483-B045-FCBB09EE9B2F}"/>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787B-4483-B045-FCBB09EE9B2F}"/>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787B-4483-B045-FCBB09EE9B2F}"/>
              </c:ext>
            </c:extLst>
          </c:dPt>
          <c:dLbls>
            <c:dLbl>
              <c:idx val="0"/>
              <c:layout>
                <c:manualLayout>
                  <c:x val="-1.666666666666668E-2"/>
                  <c:y val="1.8518518518518604E-2"/>
                </c:manualLayout>
              </c:layout>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1-787B-4483-B045-FCBB09EE9B2F}"/>
                </c:ext>
              </c:extLst>
            </c:dLbl>
            <c:dLbl>
              <c:idx val="1"/>
              <c:layout>
                <c:manualLayout>
                  <c:x val="1.3888888888888888E-2"/>
                  <c:y val="-2.7777777777777776E-2"/>
                </c:manualLayout>
              </c:layout>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3-787B-4483-B045-FCBB09EE9B2F}"/>
                </c:ext>
              </c:extLst>
            </c:dLbl>
            <c:dLbl>
              <c:idx val="2"/>
              <c:layout>
                <c:manualLayout>
                  <c:x val="2.7777777777777776E-2"/>
                  <c:y val="0"/>
                </c:manualLayout>
              </c:layout>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5-787B-4483-B045-FCBB09EE9B2F}"/>
                </c:ext>
              </c:extLst>
            </c:dLbl>
            <c:dLbl>
              <c:idx val="3"/>
              <c:layout>
                <c:manualLayout>
                  <c:x val="2.2222222222222223E-2"/>
                  <c:y val="1.3888888888888888E-2"/>
                </c:manualLayout>
              </c:layout>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7-787B-4483-B045-FCBB09EE9B2F}"/>
                </c:ext>
              </c:extLst>
            </c:dLbl>
            <c:dLbl>
              <c:idx val="4"/>
              <c:layout>
                <c:manualLayout>
                  <c:x val="-2.7777777777778798E-3"/>
                  <c:y val="5.5555555555555552E-2"/>
                </c:manualLayout>
              </c:layout>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9-787B-4483-B045-FCBB09EE9B2F}"/>
                </c:ext>
              </c:extLst>
            </c:dLbl>
            <c:spPr>
              <a:noFill/>
              <a:ln>
                <a:noFill/>
              </a:ln>
              <a:effectLst/>
            </c:spPr>
            <c:txPr>
              <a:bodyPr rot="0" spcFirstLastPara="1" vertOverflow="clip" horzOverflow="clip"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tr-TR"/>
              </a:p>
            </c:txPr>
            <c:dLblPos val="outEnd"/>
            <c:showLegendKey val="0"/>
            <c:showVal val="1"/>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'Şikayetlerin Sektörel Dağılımı'!$B$4:$B$8</c:f>
              <c:strCache>
                <c:ptCount val="5"/>
                <c:pt idx="0">
                  <c:v>Elektrik</c:v>
                </c:pt>
                <c:pt idx="1">
                  <c:v>Doğalgaz</c:v>
                </c:pt>
                <c:pt idx="2">
                  <c:v>Petrol</c:v>
                </c:pt>
                <c:pt idx="3">
                  <c:v>Diğer</c:v>
                </c:pt>
                <c:pt idx="4">
                  <c:v>Lpg</c:v>
                </c:pt>
              </c:strCache>
            </c:strRef>
          </c:cat>
          <c:val>
            <c:numRef>
              <c:f>'Şikayetlerin Sektörel Dağılımı'!$D$4:$D$8</c:f>
              <c:numCache>
                <c:formatCode>0.0%</c:formatCode>
                <c:ptCount val="5"/>
                <c:pt idx="0">
                  <c:v>0.71885866762550443</c:v>
                </c:pt>
                <c:pt idx="1">
                  <c:v>0.19641665917574644</c:v>
                </c:pt>
                <c:pt idx="2">
                  <c:v>4.2523194254543047E-2</c:v>
                </c:pt>
                <c:pt idx="3">
                  <c:v>3.8217886425033237E-2</c:v>
                </c:pt>
                <c:pt idx="4">
                  <c:v>3.9835925191728135E-3</c:v>
                </c:pt>
              </c:numCache>
            </c:numRef>
          </c:val>
          <c:extLst>
            <c:ext xmlns:c16="http://schemas.microsoft.com/office/drawing/2014/chart" uri="{C3380CC4-5D6E-409C-BE32-E72D297353CC}">
              <c16:uniqueId val="{0000000A-787B-4483-B045-FCBB09EE9B2F}"/>
            </c:ext>
          </c:extLst>
        </c:ser>
        <c:dLbls>
          <c:showLegendKey val="0"/>
          <c:showVal val="0"/>
          <c:showCatName val="0"/>
          <c:showSerName val="0"/>
          <c:showPercent val="0"/>
          <c:showBubbleSize val="0"/>
          <c:showLeaderLines val="1"/>
        </c:dLbls>
        <c:firstSliceAng val="122"/>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4">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autoTitleDeleted val="1"/>
    <c:plotArea>
      <c:layout/>
      <c:doughnutChart>
        <c:varyColors val="1"/>
        <c:ser>
          <c:idx val="0"/>
          <c:order val="0"/>
          <c:tx>
            <c:strRef>
              <c:f>'Şikayetlerin Gönderildiği Yer'!$D$3</c:f>
              <c:strCache>
                <c:ptCount val="1"/>
                <c:pt idx="0">
                  <c:v>% Oranı</c:v>
                </c:pt>
              </c:strCache>
            </c:strRef>
          </c:tx>
          <c:explosion val="5"/>
          <c:dPt>
            <c:idx val="0"/>
            <c:bubble3D val="0"/>
            <c:spPr>
              <a:solidFill>
                <a:srgbClr val="FF0000"/>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A4B5-4B49-8996-78C6673C6D86}"/>
              </c:ext>
            </c:extLst>
          </c:dPt>
          <c:dPt>
            <c:idx val="1"/>
            <c:bubble3D val="0"/>
            <c:spPr>
              <a:solidFill>
                <a:srgbClr val="00B0F0"/>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A4B5-4B49-8996-78C6673C6D86}"/>
              </c:ext>
            </c:extLst>
          </c:dPt>
          <c:dPt>
            <c:idx val="2"/>
            <c:bubble3D val="0"/>
            <c:spPr>
              <a:solidFill>
                <a:srgbClr val="FFFF00"/>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A4B5-4B49-8996-78C6673C6D86}"/>
              </c:ext>
            </c:extLst>
          </c:dPt>
          <c:dPt>
            <c:idx val="3"/>
            <c:bubble3D val="0"/>
            <c:spPr>
              <a:solidFill>
                <a:srgbClr val="92D050"/>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A4B5-4B49-8996-78C6673C6D86}"/>
              </c:ext>
            </c:extLst>
          </c:dPt>
          <c:dLbls>
            <c:spPr>
              <a:no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tx1"/>
                    </a:solidFill>
                    <a:latin typeface="+mn-lt"/>
                    <a:ea typeface="+mn-ea"/>
                    <a:cs typeface="+mn-cs"/>
                  </a:defRPr>
                </a:pPr>
                <a:endParaRPr lang="tr-TR"/>
              </a:p>
            </c:txPr>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'Şikayetlerin Gönderildiği Yer'!$B$4:$B$7</c:f>
              <c:strCache>
                <c:ptCount val="4"/>
                <c:pt idx="0">
                  <c:v>Kurum</c:v>
                </c:pt>
                <c:pt idx="1">
                  <c:v>Elektrik Dağıtım</c:v>
                </c:pt>
                <c:pt idx="2">
                  <c:v>Elektrik Perakende</c:v>
                </c:pt>
                <c:pt idx="3">
                  <c:v>Doğalgaz</c:v>
                </c:pt>
              </c:strCache>
            </c:strRef>
          </c:cat>
          <c:val>
            <c:numRef>
              <c:f>'Şikayetlerin Gönderildiği Yer'!$D$4:$D$7</c:f>
              <c:numCache>
                <c:formatCode>0.00%</c:formatCode>
                <c:ptCount val="4"/>
                <c:pt idx="0">
                  <c:v>0.3214361749942044</c:v>
                </c:pt>
                <c:pt idx="1">
                  <c:v>0.36781522186528642</c:v>
                </c:pt>
                <c:pt idx="2">
                  <c:v>0.13659653588308487</c:v>
                </c:pt>
                <c:pt idx="3">
                  <c:v>0.1741520672574243</c:v>
                </c:pt>
              </c:numCache>
            </c:numRef>
          </c:val>
          <c:extLst>
            <c:ext xmlns:c16="http://schemas.microsoft.com/office/drawing/2014/chart" uri="{C3380CC4-5D6E-409C-BE32-E72D297353CC}">
              <c16:uniqueId val="{00000008-A4B5-4B49-8996-78C6673C6D86}"/>
            </c:ext>
          </c:extLst>
        </c:ser>
        <c:dLbls>
          <c:showLegendKey val="0"/>
          <c:showVal val="0"/>
          <c:showCatName val="0"/>
          <c:showSerName val="0"/>
          <c:showPercent val="0"/>
          <c:showBubbleSize val="0"/>
          <c:showLeaderLines val="0"/>
        </c:dLbls>
        <c:firstSliceAng val="263"/>
        <c:holeSize val="54"/>
      </c:doughnut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4">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tx>
            <c:strRef>
              <c:f>Elektrik!$D$3</c:f>
              <c:strCache>
                <c:ptCount val="1"/>
                <c:pt idx="0">
                  <c:v>Yüzde</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900" b="1" i="0" u="none" strike="noStrike" kern="1200" baseline="0">
                    <a:solidFill>
                      <a:schemeClr val="tx1"/>
                    </a:solidFill>
                    <a:latin typeface="+mn-lt"/>
                    <a:ea typeface="+mn-ea"/>
                    <a:cs typeface="+mn-cs"/>
                  </a:defRPr>
                </a:pPr>
                <a:endParaRPr lang="tr-T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Elektrik!$B$4:$B$17</c:f>
              <c:strCache>
                <c:ptCount val="14"/>
                <c:pt idx="0">
                  <c:v>Yüksek Fatura İtirazları</c:v>
                </c:pt>
                <c:pt idx="1">
                  <c:v>Enerji Kesintisi</c:v>
                </c:pt>
                <c:pt idx="2">
                  <c:v>Yatırım/İlk Bağlantı (Şebekeye Fiziki Bağlantı Tesisi)</c:v>
                </c:pt>
                <c:pt idx="3">
                  <c:v>Faturalandırmaya Ait Diğer Unsurlara İtiraz</c:v>
                </c:pt>
                <c:pt idx="4">
                  <c:v>Kaçak Enerji Kullanım Tahakkuku</c:v>
                </c:pt>
                <c:pt idx="5">
                  <c:v>Voltaj Dalgalanması/Değişikliği</c:v>
                </c:pt>
                <c:pt idx="6">
                  <c:v>Enerji Fiyat Artışları</c:v>
                </c:pt>
                <c:pt idx="7">
                  <c:v>Tesis (Hat, Trafo, Direk) Yeri Değişikliği/Kaldırılması</c:v>
                </c:pt>
                <c:pt idx="8">
                  <c:v>Talep</c:v>
                </c:pt>
                <c:pt idx="9">
                  <c:v>Fatura Dönemi/Son Ödeme Tarihi</c:v>
                </c:pt>
                <c:pt idx="10">
                  <c:v>Sayaç Okuma ve Okuma Bildirimi</c:v>
                </c:pt>
                <c:pt idx="11">
                  <c:v>Kaçak Elektrik Kullanım İhbarı</c:v>
                </c:pt>
                <c:pt idx="12">
                  <c:v>Şirket ve Müşteri Hizmetleri Hakkında Şikayetler</c:v>
                </c:pt>
                <c:pt idx="13">
                  <c:v>Diğer</c:v>
                </c:pt>
              </c:strCache>
            </c:strRef>
          </c:cat>
          <c:val>
            <c:numRef>
              <c:f>Elektrik!$D$4:$D$17</c:f>
              <c:numCache>
                <c:formatCode>0.0%</c:formatCode>
                <c:ptCount val="14"/>
                <c:pt idx="0">
                  <c:v>0.24249225038336744</c:v>
                </c:pt>
                <c:pt idx="1">
                  <c:v>0.20297743232659615</c:v>
                </c:pt>
                <c:pt idx="2">
                  <c:v>0.10825112048597171</c:v>
                </c:pt>
                <c:pt idx="3">
                  <c:v>6.1049209242939786E-2</c:v>
                </c:pt>
                <c:pt idx="4">
                  <c:v>4.5740837024410473E-2</c:v>
                </c:pt>
                <c:pt idx="5">
                  <c:v>4.5141928223083654E-2</c:v>
                </c:pt>
                <c:pt idx="6">
                  <c:v>3.2446377918035049E-2</c:v>
                </c:pt>
                <c:pt idx="7">
                  <c:v>2.8708133971291867E-2</c:v>
                </c:pt>
                <c:pt idx="8">
                  <c:v>2.5891288180436085E-2</c:v>
                </c:pt>
                <c:pt idx="9">
                  <c:v>2.2607161896237404E-2</c:v>
                </c:pt>
                <c:pt idx="10">
                  <c:v>2.0830179738454552E-2</c:v>
                </c:pt>
                <c:pt idx="11">
                  <c:v>1.4781858986593658E-2</c:v>
                </c:pt>
                <c:pt idx="12">
                  <c:v>1.2774527289838952E-2</c:v>
                </c:pt>
                <c:pt idx="13">
                  <c:v>0.1363076943327432</c:v>
                </c:pt>
              </c:numCache>
            </c:numRef>
          </c:val>
          <c:extLst>
            <c:ext xmlns:c16="http://schemas.microsoft.com/office/drawing/2014/chart" uri="{C3380CC4-5D6E-409C-BE32-E72D297353CC}">
              <c16:uniqueId val="{00000000-6E2D-4399-A38E-4C907A4751D1}"/>
            </c:ext>
          </c:extLst>
        </c:ser>
        <c:dLbls>
          <c:dLblPos val="outEnd"/>
          <c:showLegendKey val="0"/>
          <c:showVal val="1"/>
          <c:showCatName val="0"/>
          <c:showSerName val="0"/>
          <c:showPercent val="0"/>
          <c:showBubbleSize val="0"/>
        </c:dLbls>
        <c:gapWidth val="182"/>
        <c:axId val="830204431"/>
        <c:axId val="526995215"/>
      </c:barChart>
      <c:catAx>
        <c:axId val="830204431"/>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solidFill>
                <a:latin typeface="+mn-lt"/>
                <a:ea typeface="+mn-ea"/>
                <a:cs typeface="+mn-cs"/>
              </a:defRPr>
            </a:pPr>
            <a:endParaRPr lang="tr-TR"/>
          </a:p>
        </c:txPr>
        <c:crossAx val="526995215"/>
        <c:crosses val="autoZero"/>
        <c:auto val="1"/>
        <c:lblAlgn val="ctr"/>
        <c:lblOffset val="100"/>
        <c:noMultiLvlLbl val="0"/>
      </c:catAx>
      <c:valAx>
        <c:axId val="526995215"/>
        <c:scaling>
          <c:orientation val="minMax"/>
          <c:max val="0.30000000000000004"/>
        </c:scaling>
        <c:delete val="0"/>
        <c:axPos val="b"/>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tr-TR"/>
          </a:p>
        </c:txPr>
        <c:crossAx val="830204431"/>
        <c:crosses val="autoZero"/>
        <c:crossBetween val="between"/>
        <c:majorUnit val="0.1"/>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b="1">
          <a:solidFill>
            <a:schemeClr val="tx1"/>
          </a:solidFill>
        </a:defRPr>
      </a:pPr>
      <a:endParaRPr lang="tr-TR"/>
    </a:p>
  </c:txPr>
  <c:externalData r:id="rId4">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Sayfa1!$R$2</c:f>
              <c:strCache>
                <c:ptCount val="1"/>
                <c:pt idx="0">
                  <c:v>Elektrik</c:v>
                </c:pt>
              </c:strCache>
            </c:strRef>
          </c:tx>
          <c:spPr>
            <a:solidFill>
              <a:schemeClr val="accent1"/>
            </a:solidFill>
            <a:ln>
              <a:noFill/>
            </a:ln>
            <a:effectLst/>
          </c:spPr>
          <c:invertIfNegative val="0"/>
          <c:dLbls>
            <c:dLbl>
              <c:idx val="6"/>
              <c:tx>
                <c:rich>
                  <a:bodyPr/>
                  <a:lstStyle/>
                  <a:p>
                    <a:r>
                      <a:rPr lang="en-US"/>
                      <a:t>5%</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A1D2-4E8F-93CC-207510C8A5BE}"/>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Sayfa1!$S$1:$AD$1</c:f>
              <c:strCache>
                <c:ptCount val="12"/>
                <c:pt idx="0">
                  <c:v>OCAK</c:v>
                </c:pt>
                <c:pt idx="1">
                  <c:v>ŞUBAT</c:v>
                </c:pt>
                <c:pt idx="2">
                  <c:v>MART</c:v>
                </c:pt>
                <c:pt idx="3">
                  <c:v>NİSAN</c:v>
                </c:pt>
                <c:pt idx="4">
                  <c:v>MAYIS</c:v>
                </c:pt>
                <c:pt idx="5">
                  <c:v>HAZİRAN</c:v>
                </c:pt>
                <c:pt idx="6">
                  <c:v>TEMMUZ</c:v>
                </c:pt>
                <c:pt idx="7">
                  <c:v>AĞUSTOS</c:v>
                </c:pt>
                <c:pt idx="8">
                  <c:v>EYLÜL</c:v>
                </c:pt>
                <c:pt idx="9">
                  <c:v>EKİM</c:v>
                </c:pt>
                <c:pt idx="10">
                  <c:v>KASIM</c:v>
                </c:pt>
                <c:pt idx="11">
                  <c:v>ARALIK</c:v>
                </c:pt>
              </c:strCache>
            </c:strRef>
          </c:cat>
          <c:val>
            <c:numRef>
              <c:f>Sayfa1!$S$2:$AD$2</c:f>
              <c:numCache>
                <c:formatCode>0%</c:formatCode>
                <c:ptCount val="12"/>
                <c:pt idx="0">
                  <c:v>0.15199012845662216</c:v>
                </c:pt>
                <c:pt idx="1">
                  <c:v>9.6817060051888879E-2</c:v>
                </c:pt>
                <c:pt idx="2">
                  <c:v>0.11510472695057901</c:v>
                </c:pt>
                <c:pt idx="3">
                  <c:v>9.4836423463899255E-2</c:v>
                </c:pt>
                <c:pt idx="4">
                  <c:v>9.1754730114535221E-2</c:v>
                </c:pt>
                <c:pt idx="5">
                  <c:v>9.3887236600645449E-2</c:v>
                </c:pt>
                <c:pt idx="6">
                  <c:v>4.464342213503765E-2</c:v>
                </c:pt>
                <c:pt idx="7">
                  <c:v>6.7809909510852376E-2</c:v>
                </c:pt>
                <c:pt idx="8">
                  <c:v>5.8976143770170221E-2</c:v>
                </c:pt>
                <c:pt idx="9">
                  <c:v>4.5852053407580841E-2</c:v>
                </c:pt>
                <c:pt idx="10">
                  <c:v>8.3857495412263491E-2</c:v>
                </c:pt>
                <c:pt idx="11">
                  <c:v>5.4470670125925456E-2</c:v>
                </c:pt>
              </c:numCache>
            </c:numRef>
          </c:val>
          <c:extLst>
            <c:ext xmlns:c16="http://schemas.microsoft.com/office/drawing/2014/chart" uri="{C3380CC4-5D6E-409C-BE32-E72D297353CC}">
              <c16:uniqueId val="{00000000-222B-422A-BC13-DBFFC5DC4054}"/>
            </c:ext>
          </c:extLst>
        </c:ser>
        <c:dLbls>
          <c:dLblPos val="outEnd"/>
          <c:showLegendKey val="0"/>
          <c:showVal val="1"/>
          <c:showCatName val="0"/>
          <c:showSerName val="0"/>
          <c:showPercent val="0"/>
          <c:showBubbleSize val="0"/>
        </c:dLbls>
        <c:gapWidth val="219"/>
        <c:overlap val="-27"/>
        <c:axId val="666865775"/>
        <c:axId val="631313743"/>
        <c:extLst>
          <c:ext xmlns:c15="http://schemas.microsoft.com/office/drawing/2012/chart" uri="{02D57815-91ED-43cb-92C2-25804820EDAC}">
            <c15:filteredBarSeries>
              <c15:ser>
                <c:idx val="1"/>
                <c:order val="1"/>
                <c:tx>
                  <c:strRef>
                    <c:extLst>
                      <c:ext uri="{02D57815-91ED-43cb-92C2-25804820EDAC}">
                        <c15:formulaRef>
                          <c15:sqref>Sayfa1!$R$3</c15:sqref>
                        </c15:formulaRef>
                      </c:ext>
                    </c:extLst>
                    <c:strCache>
                      <c:ptCount val="1"/>
                      <c:pt idx="0">
                        <c:v>Doğalgaz</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c:ext uri="{02D57815-91ED-43cb-92C2-25804820EDAC}">
                        <c15:formulaRef>
                          <c15:sqref>Sayfa1!$S$1:$AD$1</c15:sqref>
                        </c15:formulaRef>
                      </c:ext>
                    </c:extLst>
                    <c:strCache>
                      <c:ptCount val="12"/>
                      <c:pt idx="0">
                        <c:v>OCAK</c:v>
                      </c:pt>
                      <c:pt idx="1">
                        <c:v>ŞUBAT</c:v>
                      </c:pt>
                      <c:pt idx="2">
                        <c:v>MART</c:v>
                      </c:pt>
                      <c:pt idx="3">
                        <c:v>NİSAN</c:v>
                      </c:pt>
                      <c:pt idx="4">
                        <c:v>MAYIS</c:v>
                      </c:pt>
                      <c:pt idx="5">
                        <c:v>HAZİRAN</c:v>
                      </c:pt>
                      <c:pt idx="6">
                        <c:v>TEMMUZ</c:v>
                      </c:pt>
                      <c:pt idx="7">
                        <c:v>AĞUSTOS</c:v>
                      </c:pt>
                      <c:pt idx="8">
                        <c:v>EYLÜL</c:v>
                      </c:pt>
                      <c:pt idx="9">
                        <c:v>EKİM</c:v>
                      </c:pt>
                      <c:pt idx="10">
                        <c:v>KASIM</c:v>
                      </c:pt>
                      <c:pt idx="11">
                        <c:v>ARALIK</c:v>
                      </c:pt>
                    </c:strCache>
                  </c:strRef>
                </c:cat>
                <c:val>
                  <c:numRef>
                    <c:extLst>
                      <c:ext uri="{02D57815-91ED-43cb-92C2-25804820EDAC}">
                        <c15:formulaRef>
                          <c15:sqref>Sayfa1!$S$3:$AD$3</c15:sqref>
                        </c15:formulaRef>
                      </c:ext>
                    </c:extLst>
                    <c:numCache>
                      <c:formatCode>0%</c:formatCode>
                      <c:ptCount val="12"/>
                      <c:pt idx="0">
                        <c:v>6.6713513988317444E-2</c:v>
                      </c:pt>
                      <c:pt idx="1">
                        <c:v>3.9768984145109577E-2</c:v>
                      </c:pt>
                      <c:pt idx="2">
                        <c:v>5.4569809829153673E-2</c:v>
                      </c:pt>
                      <c:pt idx="3">
                        <c:v>5.8456673547367034E-2</c:v>
                      </c:pt>
                      <c:pt idx="4">
                        <c:v>7.0336861522245164E-2</c:v>
                      </c:pt>
                      <c:pt idx="5">
                        <c:v>9.9104044973428784E-2</c:v>
                      </c:pt>
                      <c:pt idx="6">
                        <c:v>4.2162589485704248E-2</c:v>
                      </c:pt>
                      <c:pt idx="7">
                        <c:v>7.3345337959506346E-2</c:v>
                      </c:pt>
                      <c:pt idx="8">
                        <c:v>8.8124203961526634E-2</c:v>
                      </c:pt>
                      <c:pt idx="9">
                        <c:v>8.9837059159383378E-2</c:v>
                      </c:pt>
                      <c:pt idx="10">
                        <c:v>0.19482629891519171</c:v>
                      </c:pt>
                      <c:pt idx="11">
                        <c:v>0.12275462251306601</c:v>
                      </c:pt>
                    </c:numCache>
                  </c:numRef>
                </c:val>
                <c:extLst>
                  <c:ext xmlns:c16="http://schemas.microsoft.com/office/drawing/2014/chart" uri="{C3380CC4-5D6E-409C-BE32-E72D297353CC}">
                    <c16:uniqueId val="{00000001-222B-422A-BC13-DBFFC5DC4054}"/>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Sayfa1!$R$4</c15:sqref>
                        </c15:formulaRef>
                      </c:ext>
                    </c:extLst>
                    <c:strCache>
                      <c:ptCount val="1"/>
                      <c:pt idx="0">
                        <c:v>Diğer</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Sayfa1!$S$1:$AD$1</c15:sqref>
                        </c15:formulaRef>
                      </c:ext>
                    </c:extLst>
                    <c:strCache>
                      <c:ptCount val="12"/>
                      <c:pt idx="0">
                        <c:v>OCAK</c:v>
                      </c:pt>
                      <c:pt idx="1">
                        <c:v>ŞUBAT</c:v>
                      </c:pt>
                      <c:pt idx="2">
                        <c:v>MART</c:v>
                      </c:pt>
                      <c:pt idx="3">
                        <c:v>NİSAN</c:v>
                      </c:pt>
                      <c:pt idx="4">
                        <c:v>MAYIS</c:v>
                      </c:pt>
                      <c:pt idx="5">
                        <c:v>HAZİRAN</c:v>
                      </c:pt>
                      <c:pt idx="6">
                        <c:v>TEMMUZ</c:v>
                      </c:pt>
                      <c:pt idx="7">
                        <c:v>AĞUSTOS</c:v>
                      </c:pt>
                      <c:pt idx="8">
                        <c:v>EYLÜL</c:v>
                      </c:pt>
                      <c:pt idx="9">
                        <c:v>EKİM</c:v>
                      </c:pt>
                      <c:pt idx="10">
                        <c:v>KASIM</c:v>
                      </c:pt>
                      <c:pt idx="11">
                        <c:v>ARALIK</c:v>
                      </c:pt>
                    </c:strCache>
                  </c:strRef>
                </c:cat>
                <c:val>
                  <c:numRef>
                    <c:extLst xmlns:c15="http://schemas.microsoft.com/office/drawing/2012/chart">
                      <c:ext xmlns:c15="http://schemas.microsoft.com/office/drawing/2012/chart" uri="{02D57815-91ED-43cb-92C2-25804820EDAC}">
                        <c15:formulaRef>
                          <c15:sqref>Sayfa1!$S$4:$AD$4</c15:sqref>
                        </c15:formulaRef>
                      </c:ext>
                    </c:extLst>
                    <c:numCache>
                      <c:formatCode>0%</c:formatCode>
                      <c:ptCount val="12"/>
                      <c:pt idx="0">
                        <c:v>8.8207196688249653E-2</c:v>
                      </c:pt>
                      <c:pt idx="1">
                        <c:v>7.7911049782401015E-2</c:v>
                      </c:pt>
                      <c:pt idx="2">
                        <c:v>0.12599511729115806</c:v>
                      </c:pt>
                      <c:pt idx="3">
                        <c:v>9.988323957117079E-2</c:v>
                      </c:pt>
                      <c:pt idx="4">
                        <c:v>0.10625199023458232</c:v>
                      </c:pt>
                      <c:pt idx="5">
                        <c:v>9.2983759685808298E-2</c:v>
                      </c:pt>
                      <c:pt idx="6">
                        <c:v>3.2374482539008598E-2</c:v>
                      </c:pt>
                      <c:pt idx="7">
                        <c:v>5.4452818172168557E-2</c:v>
                      </c:pt>
                      <c:pt idx="8">
                        <c:v>4.7022609064855114E-2</c:v>
                      </c:pt>
                      <c:pt idx="9">
                        <c:v>3.6620316314616284E-2</c:v>
                      </c:pt>
                      <c:pt idx="10">
                        <c:v>0.18681668612673813</c:v>
                      </c:pt>
                      <c:pt idx="11">
                        <c:v>5.1480734529243177E-2</c:v>
                      </c:pt>
                    </c:numCache>
                  </c:numRef>
                </c:val>
                <c:extLst xmlns:c15="http://schemas.microsoft.com/office/drawing/2012/chart">
                  <c:ext xmlns:c16="http://schemas.microsoft.com/office/drawing/2014/chart" uri="{C3380CC4-5D6E-409C-BE32-E72D297353CC}">
                    <c16:uniqueId val="{00000002-222B-422A-BC13-DBFFC5DC4054}"/>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Sayfa1!$R$5</c15:sqref>
                        </c15:formulaRef>
                      </c:ext>
                    </c:extLst>
                    <c:strCache>
                      <c:ptCount val="1"/>
                      <c:pt idx="0">
                        <c:v>Petrol</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Sayfa1!$S$1:$AD$1</c15:sqref>
                        </c15:formulaRef>
                      </c:ext>
                    </c:extLst>
                    <c:strCache>
                      <c:ptCount val="12"/>
                      <c:pt idx="0">
                        <c:v>OCAK</c:v>
                      </c:pt>
                      <c:pt idx="1">
                        <c:v>ŞUBAT</c:v>
                      </c:pt>
                      <c:pt idx="2">
                        <c:v>MART</c:v>
                      </c:pt>
                      <c:pt idx="3">
                        <c:v>NİSAN</c:v>
                      </c:pt>
                      <c:pt idx="4">
                        <c:v>MAYIS</c:v>
                      </c:pt>
                      <c:pt idx="5">
                        <c:v>HAZİRAN</c:v>
                      </c:pt>
                      <c:pt idx="6">
                        <c:v>TEMMUZ</c:v>
                      </c:pt>
                      <c:pt idx="7">
                        <c:v>AĞUSTOS</c:v>
                      </c:pt>
                      <c:pt idx="8">
                        <c:v>EYLÜL</c:v>
                      </c:pt>
                      <c:pt idx="9">
                        <c:v>EKİM</c:v>
                      </c:pt>
                      <c:pt idx="10">
                        <c:v>KASIM</c:v>
                      </c:pt>
                      <c:pt idx="11">
                        <c:v>ARALIK</c:v>
                      </c:pt>
                    </c:strCache>
                  </c:strRef>
                </c:cat>
                <c:val>
                  <c:numRef>
                    <c:extLst xmlns:c15="http://schemas.microsoft.com/office/drawing/2012/chart">
                      <c:ext xmlns:c15="http://schemas.microsoft.com/office/drawing/2012/chart" uri="{02D57815-91ED-43cb-92C2-25804820EDAC}">
                        <c15:formulaRef>
                          <c15:sqref>Sayfa1!$S$5:$AD$5</c15:sqref>
                        </c15:formulaRef>
                      </c:ext>
                    </c:extLst>
                    <c:numCache>
                      <c:formatCode>0%</c:formatCode>
                      <c:ptCount val="12"/>
                      <c:pt idx="0">
                        <c:v>7.3144341051720407E-2</c:v>
                      </c:pt>
                      <c:pt idx="1">
                        <c:v>6.3406189136550536E-2</c:v>
                      </c:pt>
                      <c:pt idx="2">
                        <c:v>0.17485392772127245</c:v>
                      </c:pt>
                      <c:pt idx="3">
                        <c:v>7.6714996753949355E-2</c:v>
                      </c:pt>
                      <c:pt idx="4">
                        <c:v>0.13341268123782732</c:v>
                      </c:pt>
                      <c:pt idx="5">
                        <c:v>0.16803722138065355</c:v>
                      </c:pt>
                      <c:pt idx="6">
                        <c:v>6.0917550313784895E-2</c:v>
                      </c:pt>
                      <c:pt idx="7">
                        <c:v>6.1674962129409219E-2</c:v>
                      </c:pt>
                      <c:pt idx="8">
                        <c:v>5.7238692923609606E-2</c:v>
                      </c:pt>
                      <c:pt idx="9">
                        <c:v>4.4687297121835098E-2</c:v>
                      </c:pt>
                      <c:pt idx="10">
                        <c:v>5.0530188270937026E-2</c:v>
                      </c:pt>
                      <c:pt idx="11">
                        <c:v>3.538195195845055E-2</c:v>
                      </c:pt>
                    </c:numCache>
                  </c:numRef>
                </c:val>
                <c:extLst xmlns:c15="http://schemas.microsoft.com/office/drawing/2012/chart">
                  <c:ext xmlns:c16="http://schemas.microsoft.com/office/drawing/2014/chart" uri="{C3380CC4-5D6E-409C-BE32-E72D297353CC}">
                    <c16:uniqueId val="{00000003-222B-422A-BC13-DBFFC5DC4054}"/>
                  </c:ext>
                </c:extLst>
              </c15:ser>
            </c15:filteredBarSeries>
            <c15:filteredBarSeries>
              <c15:ser>
                <c:idx val="4"/>
                <c:order val="4"/>
                <c:tx>
                  <c:strRef>
                    <c:extLst xmlns:c15="http://schemas.microsoft.com/office/drawing/2012/chart">
                      <c:ext xmlns:c15="http://schemas.microsoft.com/office/drawing/2012/chart" uri="{02D57815-91ED-43cb-92C2-25804820EDAC}">
                        <c15:formulaRef>
                          <c15:sqref>Sayfa1!$R$6</c15:sqref>
                        </c15:formulaRef>
                      </c:ext>
                    </c:extLst>
                    <c:strCache>
                      <c:ptCount val="1"/>
                      <c:pt idx="0">
                        <c:v>Lpg</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Sayfa1!$S$1:$AD$1</c15:sqref>
                        </c15:formulaRef>
                      </c:ext>
                    </c:extLst>
                    <c:strCache>
                      <c:ptCount val="12"/>
                      <c:pt idx="0">
                        <c:v>OCAK</c:v>
                      </c:pt>
                      <c:pt idx="1">
                        <c:v>ŞUBAT</c:v>
                      </c:pt>
                      <c:pt idx="2">
                        <c:v>MART</c:v>
                      </c:pt>
                      <c:pt idx="3">
                        <c:v>NİSAN</c:v>
                      </c:pt>
                      <c:pt idx="4">
                        <c:v>MAYIS</c:v>
                      </c:pt>
                      <c:pt idx="5">
                        <c:v>HAZİRAN</c:v>
                      </c:pt>
                      <c:pt idx="6">
                        <c:v>TEMMUZ</c:v>
                      </c:pt>
                      <c:pt idx="7">
                        <c:v>AĞUSTOS</c:v>
                      </c:pt>
                      <c:pt idx="8">
                        <c:v>EYLÜL</c:v>
                      </c:pt>
                      <c:pt idx="9">
                        <c:v>EKİM</c:v>
                      </c:pt>
                      <c:pt idx="10">
                        <c:v>KASIM</c:v>
                      </c:pt>
                      <c:pt idx="11">
                        <c:v>ARALIK</c:v>
                      </c:pt>
                    </c:strCache>
                  </c:strRef>
                </c:cat>
                <c:val>
                  <c:numRef>
                    <c:extLst xmlns:c15="http://schemas.microsoft.com/office/drawing/2012/chart">
                      <c:ext xmlns:c15="http://schemas.microsoft.com/office/drawing/2012/chart" uri="{02D57815-91ED-43cb-92C2-25804820EDAC}">
                        <c15:formulaRef>
                          <c15:sqref>Sayfa1!$S$6:$AD$6</c15:sqref>
                        </c15:formulaRef>
                      </c:ext>
                    </c:extLst>
                    <c:numCache>
                      <c:formatCode>0%</c:formatCode>
                      <c:ptCount val="12"/>
                      <c:pt idx="0">
                        <c:v>9.7926267281105997E-2</c:v>
                      </c:pt>
                      <c:pt idx="1">
                        <c:v>9.3317972350230413E-2</c:v>
                      </c:pt>
                      <c:pt idx="2">
                        <c:v>0.1313364055299539</c:v>
                      </c:pt>
                      <c:pt idx="3">
                        <c:v>8.5253456221198162E-2</c:v>
                      </c:pt>
                      <c:pt idx="4">
                        <c:v>0.12442396313364056</c:v>
                      </c:pt>
                      <c:pt idx="5">
                        <c:v>0.14631336405529954</c:v>
                      </c:pt>
                      <c:pt idx="6">
                        <c:v>5.5299539170506916E-2</c:v>
                      </c:pt>
                      <c:pt idx="7">
                        <c:v>5.1843317972350228E-2</c:v>
                      </c:pt>
                      <c:pt idx="8">
                        <c:v>4.8387096774193547E-2</c:v>
                      </c:pt>
                      <c:pt idx="9">
                        <c:v>3.8018433179723504E-2</c:v>
                      </c:pt>
                      <c:pt idx="10">
                        <c:v>8.294930875576037E-2</c:v>
                      </c:pt>
                      <c:pt idx="11">
                        <c:v>4.4930875576036866E-2</c:v>
                      </c:pt>
                    </c:numCache>
                  </c:numRef>
                </c:val>
                <c:extLst xmlns:c15="http://schemas.microsoft.com/office/drawing/2012/chart">
                  <c:ext xmlns:c16="http://schemas.microsoft.com/office/drawing/2014/chart" uri="{C3380CC4-5D6E-409C-BE32-E72D297353CC}">
                    <c16:uniqueId val="{00000004-222B-422A-BC13-DBFFC5DC4054}"/>
                  </c:ext>
                </c:extLst>
              </c15:ser>
            </c15:filteredBarSeries>
            <c15:filteredBarSeries>
              <c15:ser>
                <c:idx val="5"/>
                <c:order val="5"/>
                <c:tx>
                  <c:strRef>
                    <c:extLst xmlns:c15="http://schemas.microsoft.com/office/drawing/2012/chart">
                      <c:ext xmlns:c15="http://schemas.microsoft.com/office/drawing/2012/chart" uri="{02D57815-91ED-43cb-92C2-25804820EDAC}">
                        <c15:formulaRef>
                          <c15:sqref>Sayfa1!$R$7</c15:sqref>
                        </c15:formulaRef>
                      </c:ext>
                    </c:extLst>
                    <c:strCache>
                      <c:ptCount val="1"/>
                      <c:pt idx="0">
                        <c:v>Toplam</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Sayfa1!$S$1:$AD$1</c15:sqref>
                        </c15:formulaRef>
                      </c:ext>
                    </c:extLst>
                    <c:strCache>
                      <c:ptCount val="12"/>
                      <c:pt idx="0">
                        <c:v>OCAK</c:v>
                      </c:pt>
                      <c:pt idx="1">
                        <c:v>ŞUBAT</c:v>
                      </c:pt>
                      <c:pt idx="2">
                        <c:v>MART</c:v>
                      </c:pt>
                      <c:pt idx="3">
                        <c:v>NİSAN</c:v>
                      </c:pt>
                      <c:pt idx="4">
                        <c:v>MAYIS</c:v>
                      </c:pt>
                      <c:pt idx="5">
                        <c:v>HAZİRAN</c:v>
                      </c:pt>
                      <c:pt idx="6">
                        <c:v>TEMMUZ</c:v>
                      </c:pt>
                      <c:pt idx="7">
                        <c:v>AĞUSTOS</c:v>
                      </c:pt>
                      <c:pt idx="8">
                        <c:v>EYLÜL</c:v>
                      </c:pt>
                      <c:pt idx="9">
                        <c:v>EKİM</c:v>
                      </c:pt>
                      <c:pt idx="10">
                        <c:v>KASIM</c:v>
                      </c:pt>
                      <c:pt idx="11">
                        <c:v>ARALIK</c:v>
                      </c:pt>
                    </c:strCache>
                  </c:strRef>
                </c:cat>
                <c:val>
                  <c:numRef>
                    <c:extLst xmlns:c15="http://schemas.microsoft.com/office/drawing/2012/chart">
                      <c:ext xmlns:c15="http://schemas.microsoft.com/office/drawing/2012/chart" uri="{02D57815-91ED-43cb-92C2-25804820EDAC}">
                        <c15:formulaRef>
                          <c15:sqref>Sayfa1!$S$7:$AD$7</c15:sqref>
                        </c15:formulaRef>
                      </c:ext>
                    </c:extLst>
                    <c:numCache>
                      <c:formatCode>0%</c:formatCode>
                      <c:ptCount val="12"/>
                      <c:pt idx="0">
                        <c:v>0.12841384318172649</c:v>
                      </c:pt>
                      <c:pt idx="1">
                        <c:v>8.2976615762509018E-2</c:v>
                      </c:pt>
                      <c:pt idx="2">
                        <c:v>0.10574677609491751</c:v>
                      </c:pt>
                      <c:pt idx="3">
                        <c:v>8.6835888999950692E-2</c:v>
                      </c:pt>
                      <c:pt idx="4">
                        <c:v>8.9848004697466149E-2</c:v>
                      </c:pt>
                      <c:pt idx="5">
                        <c:v>9.8189592960972488E-2</c:v>
                      </c:pt>
                      <c:pt idx="6">
                        <c:v>4.4334577922805568E-2</c:v>
                      </c:pt>
                      <c:pt idx="7">
                        <c:v>6.805947135576583E-2</c:v>
                      </c:pt>
                      <c:pt idx="8">
                        <c:v>6.4307773678949701E-2</c:v>
                      </c:pt>
                      <c:pt idx="9">
                        <c:v>5.4361516636112217E-2</c:v>
                      </c:pt>
                      <c:pt idx="10">
                        <c:v>0.10947157988157724</c:v>
                      </c:pt>
                      <c:pt idx="11">
                        <c:v>6.7454358827247096E-2</c:v>
                      </c:pt>
                    </c:numCache>
                  </c:numRef>
                </c:val>
                <c:extLst xmlns:c15="http://schemas.microsoft.com/office/drawing/2012/chart">
                  <c:ext xmlns:c16="http://schemas.microsoft.com/office/drawing/2014/chart" uri="{C3380CC4-5D6E-409C-BE32-E72D297353CC}">
                    <c16:uniqueId val="{00000005-222B-422A-BC13-DBFFC5DC4054}"/>
                  </c:ext>
                </c:extLst>
              </c15:ser>
            </c15:filteredBarSeries>
          </c:ext>
        </c:extLst>
      </c:barChart>
      <c:catAx>
        <c:axId val="66686577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631313743"/>
        <c:crosses val="autoZero"/>
        <c:auto val="1"/>
        <c:lblAlgn val="ctr"/>
        <c:lblOffset val="100"/>
        <c:noMultiLvlLbl val="0"/>
      </c:catAx>
      <c:valAx>
        <c:axId val="631313743"/>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66686577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4">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tx>
            <c:strRef>
              <c:f>doğalgaz!$D$3</c:f>
              <c:strCache>
                <c:ptCount val="1"/>
                <c:pt idx="0">
                  <c:v>Yüzde</c:v>
                </c:pt>
              </c:strCache>
            </c:strRef>
          </c:tx>
          <c:spPr>
            <a:solidFill>
              <a:schemeClr val="accent1"/>
            </a:solidFill>
            <a:ln>
              <a:noFill/>
            </a:ln>
            <a:effectLst/>
          </c:spPr>
          <c:invertIfNegative val="0"/>
          <c:dLbls>
            <c:dLbl>
              <c:idx val="8"/>
              <c:tx>
                <c:rich>
                  <a:bodyPr/>
                  <a:lstStyle/>
                  <a:p>
                    <a:r>
                      <a:rPr lang="en-US"/>
                      <a:t>2%</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92A1-4373-8E1A-257CEEF001D3}"/>
                </c:ext>
              </c:extLst>
            </c:dLbl>
            <c:spPr>
              <a:noFill/>
              <a:ln>
                <a:noFill/>
              </a:ln>
              <a:effectLst/>
            </c:spPr>
            <c:txPr>
              <a:bodyPr rot="0" spcFirstLastPara="1" vertOverflow="ellipsis" vert="horz" wrap="square" anchor="ctr" anchorCtr="1"/>
              <a:lstStyle/>
              <a:p>
                <a:pPr>
                  <a:defRPr sz="900" b="1" i="0" u="none" strike="noStrike" kern="1200" baseline="0">
                    <a:solidFill>
                      <a:schemeClr val="tx1"/>
                    </a:solidFill>
                    <a:latin typeface="+mn-lt"/>
                    <a:ea typeface="+mn-ea"/>
                    <a:cs typeface="+mn-cs"/>
                  </a:defRPr>
                </a:pPr>
                <a:endParaRPr lang="tr-T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doğalgaz!$B$4:$B$14</c:f>
              <c:strCache>
                <c:ptCount val="11"/>
                <c:pt idx="0">
                  <c:v>Bağlantı / Servis Hattı</c:v>
                </c:pt>
                <c:pt idx="1">
                  <c:v>Hatalı Faturalandırma</c:v>
                </c:pt>
                <c:pt idx="2">
                  <c:v>Diğer</c:v>
                </c:pt>
                <c:pt idx="3">
                  <c:v>Fatura Kalemleri İtirazı</c:v>
                </c:pt>
                <c:pt idx="4">
                  <c:v>Servis Kutusu</c:v>
                </c:pt>
                <c:pt idx="5">
                  <c:v>Personel/Şirket İletişimi </c:v>
                </c:pt>
                <c:pt idx="6">
                  <c:v>Zamanında Ödenmeyen Borç</c:v>
                </c:pt>
                <c:pt idx="7">
                  <c:v>İç Tesisat Firması İşlemleri</c:v>
                </c:pt>
                <c:pt idx="8">
                  <c:v>Güvence Bedeli Ve İadesi</c:v>
                </c:pt>
                <c:pt idx="9">
                  <c:v>Hizmet Kesintisi</c:v>
                </c:pt>
                <c:pt idx="10">
                  <c:v>Kaçak / Usulsüz Kullanım Tahakkuku</c:v>
                </c:pt>
              </c:strCache>
            </c:strRef>
          </c:cat>
          <c:val>
            <c:numRef>
              <c:f>doğalgaz!$D$4:$D$14</c:f>
              <c:numCache>
                <c:formatCode>0%</c:formatCode>
                <c:ptCount val="11"/>
                <c:pt idx="0">
                  <c:v>0.60899412274785625</c:v>
                </c:pt>
                <c:pt idx="1">
                  <c:v>0.10393583196839773</c:v>
                </c:pt>
                <c:pt idx="2">
                  <c:v>0.14363137103767223</c:v>
                </c:pt>
                <c:pt idx="3">
                  <c:v>2.8808170343963772E-2</c:v>
                </c:pt>
                <c:pt idx="4">
                  <c:v>2.1557953560073225E-2</c:v>
                </c:pt>
                <c:pt idx="5">
                  <c:v>2.1148472877926584E-2</c:v>
                </c:pt>
                <c:pt idx="6">
                  <c:v>1.7559495134406012E-2</c:v>
                </c:pt>
                <c:pt idx="7">
                  <c:v>1.6885056363811542E-2</c:v>
                </c:pt>
                <c:pt idx="8">
                  <c:v>1.4404085171981886E-2</c:v>
                </c:pt>
                <c:pt idx="9">
                  <c:v>1.1754504287503614E-2</c:v>
                </c:pt>
                <c:pt idx="10">
                  <c:v>1.1320936506407168E-2</c:v>
                </c:pt>
              </c:numCache>
            </c:numRef>
          </c:val>
          <c:extLst>
            <c:ext xmlns:c16="http://schemas.microsoft.com/office/drawing/2014/chart" uri="{C3380CC4-5D6E-409C-BE32-E72D297353CC}">
              <c16:uniqueId val="{00000000-EE34-4C11-AC7C-B1D119852EDB}"/>
            </c:ext>
          </c:extLst>
        </c:ser>
        <c:dLbls>
          <c:dLblPos val="outEnd"/>
          <c:showLegendKey val="0"/>
          <c:showVal val="1"/>
          <c:showCatName val="0"/>
          <c:showSerName val="0"/>
          <c:showPercent val="0"/>
          <c:showBubbleSize val="0"/>
        </c:dLbls>
        <c:gapWidth val="182"/>
        <c:axId val="632977007"/>
        <c:axId val="668000383"/>
      </c:barChart>
      <c:catAx>
        <c:axId val="632977007"/>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solidFill>
                <a:latin typeface="+mn-lt"/>
                <a:ea typeface="+mn-ea"/>
                <a:cs typeface="+mn-cs"/>
              </a:defRPr>
            </a:pPr>
            <a:endParaRPr lang="tr-TR"/>
          </a:p>
        </c:txPr>
        <c:crossAx val="668000383"/>
        <c:crosses val="autoZero"/>
        <c:auto val="1"/>
        <c:lblAlgn val="ctr"/>
        <c:lblOffset val="100"/>
        <c:noMultiLvlLbl val="0"/>
      </c:catAx>
      <c:valAx>
        <c:axId val="668000383"/>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tr-TR"/>
          </a:p>
        </c:txPr>
        <c:crossAx val="63297700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b="1">
          <a:solidFill>
            <a:schemeClr val="tx1"/>
          </a:solidFill>
        </a:defRPr>
      </a:pPr>
      <a:endParaRPr lang="tr-TR"/>
    </a:p>
  </c:txPr>
  <c:externalData r:id="rId4">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1"/>
          <c:order val="1"/>
          <c:tx>
            <c:strRef>
              <c:f>Sayfa1!$R$3</c:f>
              <c:strCache>
                <c:ptCount val="1"/>
                <c:pt idx="0">
                  <c:v>Doğalgaz</c:v>
                </c:pt>
              </c:strCache>
              <c:extLst xmlns:c15="http://schemas.microsoft.com/office/drawing/2012/chart"/>
            </c:strRef>
          </c:tx>
          <c:spPr>
            <a:solidFill>
              <a:srgbClr val="92D050"/>
            </a:solidFill>
            <a:ln>
              <a:noFill/>
            </a:ln>
            <a:effectLst/>
          </c:spPr>
          <c:invertIfNegative val="0"/>
          <c:dLbls>
            <c:dLbl>
              <c:idx val="2"/>
              <c:tx>
                <c:rich>
                  <a:bodyPr/>
                  <a:lstStyle/>
                  <a:p>
                    <a:r>
                      <a:rPr lang="en-US"/>
                      <a:t>6%</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3459-41DF-8F0D-181F7C0D870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Sayfa1!$S$1:$AD$1</c:f>
              <c:strCache>
                <c:ptCount val="12"/>
                <c:pt idx="0">
                  <c:v>OCAK</c:v>
                </c:pt>
                <c:pt idx="1">
                  <c:v>ŞUBAT</c:v>
                </c:pt>
                <c:pt idx="2">
                  <c:v>MART</c:v>
                </c:pt>
                <c:pt idx="3">
                  <c:v>NİSAN</c:v>
                </c:pt>
                <c:pt idx="4">
                  <c:v>MAYIS</c:v>
                </c:pt>
                <c:pt idx="5">
                  <c:v>HAZİRAN</c:v>
                </c:pt>
                <c:pt idx="6">
                  <c:v>TEMMUZ</c:v>
                </c:pt>
                <c:pt idx="7">
                  <c:v>AĞUSTOS</c:v>
                </c:pt>
                <c:pt idx="8">
                  <c:v>EYLÜL</c:v>
                </c:pt>
                <c:pt idx="9">
                  <c:v>EKİM</c:v>
                </c:pt>
                <c:pt idx="10">
                  <c:v>KASIM</c:v>
                </c:pt>
                <c:pt idx="11">
                  <c:v>ARALIK</c:v>
                </c:pt>
              </c:strCache>
              <c:extLst xmlns:c15="http://schemas.microsoft.com/office/drawing/2012/chart"/>
            </c:strRef>
          </c:cat>
          <c:val>
            <c:numRef>
              <c:f>Sayfa1!$S$3:$AD$3</c:f>
              <c:numCache>
                <c:formatCode>0%</c:formatCode>
                <c:ptCount val="12"/>
                <c:pt idx="0">
                  <c:v>6.6713513988317444E-2</c:v>
                </c:pt>
                <c:pt idx="1">
                  <c:v>3.9768984145109577E-2</c:v>
                </c:pt>
                <c:pt idx="2">
                  <c:v>5.4569809829153673E-2</c:v>
                </c:pt>
                <c:pt idx="3">
                  <c:v>5.8456673547367034E-2</c:v>
                </c:pt>
                <c:pt idx="4">
                  <c:v>7.0336861522245164E-2</c:v>
                </c:pt>
                <c:pt idx="5">
                  <c:v>9.9104044973428784E-2</c:v>
                </c:pt>
                <c:pt idx="6">
                  <c:v>4.2162589485704248E-2</c:v>
                </c:pt>
                <c:pt idx="7">
                  <c:v>7.3345337959506346E-2</c:v>
                </c:pt>
                <c:pt idx="8">
                  <c:v>8.8124203961526634E-2</c:v>
                </c:pt>
                <c:pt idx="9">
                  <c:v>8.9837059159383378E-2</c:v>
                </c:pt>
                <c:pt idx="10">
                  <c:v>0.19482629891519171</c:v>
                </c:pt>
                <c:pt idx="11">
                  <c:v>0.12275462251306601</c:v>
                </c:pt>
              </c:numCache>
              <c:extLst xmlns:c15="http://schemas.microsoft.com/office/drawing/2012/chart"/>
            </c:numRef>
          </c:val>
          <c:extLst>
            <c:ext xmlns:c16="http://schemas.microsoft.com/office/drawing/2014/chart" uri="{C3380CC4-5D6E-409C-BE32-E72D297353CC}">
              <c16:uniqueId val="{00000000-E9B6-4133-A9D8-803F512302FF}"/>
            </c:ext>
          </c:extLst>
        </c:ser>
        <c:dLbls>
          <c:dLblPos val="outEnd"/>
          <c:showLegendKey val="0"/>
          <c:showVal val="1"/>
          <c:showCatName val="0"/>
          <c:showSerName val="0"/>
          <c:showPercent val="0"/>
          <c:showBubbleSize val="0"/>
        </c:dLbls>
        <c:gapWidth val="219"/>
        <c:overlap val="-27"/>
        <c:axId val="666865775"/>
        <c:axId val="631313743"/>
        <c:extLst>
          <c:ext xmlns:c15="http://schemas.microsoft.com/office/drawing/2012/chart" uri="{02D57815-91ED-43cb-92C2-25804820EDAC}">
            <c15:filteredBarSeries>
              <c15:ser>
                <c:idx val="0"/>
                <c:order val="0"/>
                <c:tx>
                  <c:strRef>
                    <c:extLst>
                      <c:ext uri="{02D57815-91ED-43cb-92C2-25804820EDAC}">
                        <c15:formulaRef>
                          <c15:sqref>Sayfa1!$R$2</c15:sqref>
                        </c15:formulaRef>
                      </c:ext>
                    </c:extLst>
                    <c:strCache>
                      <c:ptCount val="1"/>
                      <c:pt idx="0">
                        <c:v>Elektrik</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c:ext uri="{02D57815-91ED-43cb-92C2-25804820EDAC}">
                        <c15:formulaRef>
                          <c15:sqref>Sayfa1!$S$1:$AD$1</c15:sqref>
                        </c15:formulaRef>
                      </c:ext>
                    </c:extLst>
                    <c:strCache>
                      <c:ptCount val="12"/>
                      <c:pt idx="0">
                        <c:v>OCAK</c:v>
                      </c:pt>
                      <c:pt idx="1">
                        <c:v>ŞUBAT</c:v>
                      </c:pt>
                      <c:pt idx="2">
                        <c:v>MART</c:v>
                      </c:pt>
                      <c:pt idx="3">
                        <c:v>NİSAN</c:v>
                      </c:pt>
                      <c:pt idx="4">
                        <c:v>MAYIS</c:v>
                      </c:pt>
                      <c:pt idx="5">
                        <c:v>HAZİRAN</c:v>
                      </c:pt>
                      <c:pt idx="6">
                        <c:v>TEMMUZ</c:v>
                      </c:pt>
                      <c:pt idx="7">
                        <c:v>AĞUSTOS</c:v>
                      </c:pt>
                      <c:pt idx="8">
                        <c:v>EYLÜL</c:v>
                      </c:pt>
                      <c:pt idx="9">
                        <c:v>EKİM</c:v>
                      </c:pt>
                      <c:pt idx="10">
                        <c:v>KASIM</c:v>
                      </c:pt>
                      <c:pt idx="11">
                        <c:v>ARALIK</c:v>
                      </c:pt>
                    </c:strCache>
                  </c:strRef>
                </c:cat>
                <c:val>
                  <c:numRef>
                    <c:extLst>
                      <c:ext uri="{02D57815-91ED-43cb-92C2-25804820EDAC}">
                        <c15:formulaRef>
                          <c15:sqref>Sayfa1!$S$2:$AD$2</c15:sqref>
                        </c15:formulaRef>
                      </c:ext>
                    </c:extLst>
                    <c:numCache>
                      <c:formatCode>0%</c:formatCode>
                      <c:ptCount val="12"/>
                      <c:pt idx="0">
                        <c:v>0.15199012845662216</c:v>
                      </c:pt>
                      <c:pt idx="1">
                        <c:v>9.6817060051888879E-2</c:v>
                      </c:pt>
                      <c:pt idx="2">
                        <c:v>0.11510472695057901</c:v>
                      </c:pt>
                      <c:pt idx="3">
                        <c:v>9.4836423463899255E-2</c:v>
                      </c:pt>
                      <c:pt idx="4">
                        <c:v>9.1754730114535221E-2</c:v>
                      </c:pt>
                      <c:pt idx="5">
                        <c:v>9.3887236600645449E-2</c:v>
                      </c:pt>
                      <c:pt idx="6">
                        <c:v>4.464342213503765E-2</c:v>
                      </c:pt>
                      <c:pt idx="7">
                        <c:v>6.7809909510852376E-2</c:v>
                      </c:pt>
                      <c:pt idx="8">
                        <c:v>5.8976143770170221E-2</c:v>
                      </c:pt>
                      <c:pt idx="9">
                        <c:v>4.5852053407580841E-2</c:v>
                      </c:pt>
                      <c:pt idx="10">
                        <c:v>8.3857495412263491E-2</c:v>
                      </c:pt>
                      <c:pt idx="11">
                        <c:v>5.4470670125925456E-2</c:v>
                      </c:pt>
                    </c:numCache>
                  </c:numRef>
                </c:val>
                <c:extLst>
                  <c:ext xmlns:c16="http://schemas.microsoft.com/office/drawing/2014/chart" uri="{C3380CC4-5D6E-409C-BE32-E72D297353CC}">
                    <c16:uniqueId val="{00000001-E9B6-4133-A9D8-803F512302FF}"/>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Sayfa1!$R$4</c15:sqref>
                        </c15:formulaRef>
                      </c:ext>
                    </c:extLst>
                    <c:strCache>
                      <c:ptCount val="1"/>
                      <c:pt idx="0">
                        <c:v>Diğer</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Sayfa1!$S$1:$AD$1</c15:sqref>
                        </c15:formulaRef>
                      </c:ext>
                    </c:extLst>
                    <c:strCache>
                      <c:ptCount val="12"/>
                      <c:pt idx="0">
                        <c:v>OCAK</c:v>
                      </c:pt>
                      <c:pt idx="1">
                        <c:v>ŞUBAT</c:v>
                      </c:pt>
                      <c:pt idx="2">
                        <c:v>MART</c:v>
                      </c:pt>
                      <c:pt idx="3">
                        <c:v>NİSAN</c:v>
                      </c:pt>
                      <c:pt idx="4">
                        <c:v>MAYIS</c:v>
                      </c:pt>
                      <c:pt idx="5">
                        <c:v>HAZİRAN</c:v>
                      </c:pt>
                      <c:pt idx="6">
                        <c:v>TEMMUZ</c:v>
                      </c:pt>
                      <c:pt idx="7">
                        <c:v>AĞUSTOS</c:v>
                      </c:pt>
                      <c:pt idx="8">
                        <c:v>EYLÜL</c:v>
                      </c:pt>
                      <c:pt idx="9">
                        <c:v>EKİM</c:v>
                      </c:pt>
                      <c:pt idx="10">
                        <c:v>KASIM</c:v>
                      </c:pt>
                      <c:pt idx="11">
                        <c:v>ARALIK</c:v>
                      </c:pt>
                    </c:strCache>
                  </c:strRef>
                </c:cat>
                <c:val>
                  <c:numRef>
                    <c:extLst xmlns:c15="http://schemas.microsoft.com/office/drawing/2012/chart">
                      <c:ext xmlns:c15="http://schemas.microsoft.com/office/drawing/2012/chart" uri="{02D57815-91ED-43cb-92C2-25804820EDAC}">
                        <c15:formulaRef>
                          <c15:sqref>Sayfa1!$S$4:$AD$4</c15:sqref>
                        </c15:formulaRef>
                      </c:ext>
                    </c:extLst>
                    <c:numCache>
                      <c:formatCode>0%</c:formatCode>
                      <c:ptCount val="12"/>
                      <c:pt idx="0">
                        <c:v>8.8207196688249653E-2</c:v>
                      </c:pt>
                      <c:pt idx="1">
                        <c:v>7.7911049782401015E-2</c:v>
                      </c:pt>
                      <c:pt idx="2">
                        <c:v>0.12599511729115806</c:v>
                      </c:pt>
                      <c:pt idx="3">
                        <c:v>9.988323957117079E-2</c:v>
                      </c:pt>
                      <c:pt idx="4">
                        <c:v>0.10625199023458232</c:v>
                      </c:pt>
                      <c:pt idx="5">
                        <c:v>9.2983759685808298E-2</c:v>
                      </c:pt>
                      <c:pt idx="6">
                        <c:v>3.2374482539008598E-2</c:v>
                      </c:pt>
                      <c:pt idx="7">
                        <c:v>5.4452818172168557E-2</c:v>
                      </c:pt>
                      <c:pt idx="8">
                        <c:v>4.7022609064855114E-2</c:v>
                      </c:pt>
                      <c:pt idx="9">
                        <c:v>3.6620316314616284E-2</c:v>
                      </c:pt>
                      <c:pt idx="10">
                        <c:v>0.18681668612673813</c:v>
                      </c:pt>
                      <c:pt idx="11">
                        <c:v>5.1480734529243177E-2</c:v>
                      </c:pt>
                    </c:numCache>
                  </c:numRef>
                </c:val>
                <c:extLst xmlns:c15="http://schemas.microsoft.com/office/drawing/2012/chart">
                  <c:ext xmlns:c16="http://schemas.microsoft.com/office/drawing/2014/chart" uri="{C3380CC4-5D6E-409C-BE32-E72D297353CC}">
                    <c16:uniqueId val="{00000002-E9B6-4133-A9D8-803F512302FF}"/>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Sayfa1!$R$5</c15:sqref>
                        </c15:formulaRef>
                      </c:ext>
                    </c:extLst>
                    <c:strCache>
                      <c:ptCount val="1"/>
                      <c:pt idx="0">
                        <c:v>Petrol</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Sayfa1!$S$1:$AD$1</c15:sqref>
                        </c15:formulaRef>
                      </c:ext>
                    </c:extLst>
                    <c:strCache>
                      <c:ptCount val="12"/>
                      <c:pt idx="0">
                        <c:v>OCAK</c:v>
                      </c:pt>
                      <c:pt idx="1">
                        <c:v>ŞUBAT</c:v>
                      </c:pt>
                      <c:pt idx="2">
                        <c:v>MART</c:v>
                      </c:pt>
                      <c:pt idx="3">
                        <c:v>NİSAN</c:v>
                      </c:pt>
                      <c:pt idx="4">
                        <c:v>MAYIS</c:v>
                      </c:pt>
                      <c:pt idx="5">
                        <c:v>HAZİRAN</c:v>
                      </c:pt>
                      <c:pt idx="6">
                        <c:v>TEMMUZ</c:v>
                      </c:pt>
                      <c:pt idx="7">
                        <c:v>AĞUSTOS</c:v>
                      </c:pt>
                      <c:pt idx="8">
                        <c:v>EYLÜL</c:v>
                      </c:pt>
                      <c:pt idx="9">
                        <c:v>EKİM</c:v>
                      </c:pt>
                      <c:pt idx="10">
                        <c:v>KASIM</c:v>
                      </c:pt>
                      <c:pt idx="11">
                        <c:v>ARALIK</c:v>
                      </c:pt>
                    </c:strCache>
                  </c:strRef>
                </c:cat>
                <c:val>
                  <c:numRef>
                    <c:extLst xmlns:c15="http://schemas.microsoft.com/office/drawing/2012/chart">
                      <c:ext xmlns:c15="http://schemas.microsoft.com/office/drawing/2012/chart" uri="{02D57815-91ED-43cb-92C2-25804820EDAC}">
                        <c15:formulaRef>
                          <c15:sqref>Sayfa1!$S$5:$AD$5</c15:sqref>
                        </c15:formulaRef>
                      </c:ext>
                    </c:extLst>
                    <c:numCache>
                      <c:formatCode>0%</c:formatCode>
                      <c:ptCount val="12"/>
                      <c:pt idx="0">
                        <c:v>7.3144341051720407E-2</c:v>
                      </c:pt>
                      <c:pt idx="1">
                        <c:v>6.3406189136550536E-2</c:v>
                      </c:pt>
                      <c:pt idx="2">
                        <c:v>0.17485392772127245</c:v>
                      </c:pt>
                      <c:pt idx="3">
                        <c:v>7.6714996753949355E-2</c:v>
                      </c:pt>
                      <c:pt idx="4">
                        <c:v>0.13341268123782732</c:v>
                      </c:pt>
                      <c:pt idx="5">
                        <c:v>0.16803722138065355</c:v>
                      </c:pt>
                      <c:pt idx="6">
                        <c:v>6.0917550313784895E-2</c:v>
                      </c:pt>
                      <c:pt idx="7">
                        <c:v>6.1674962129409219E-2</c:v>
                      </c:pt>
                      <c:pt idx="8">
                        <c:v>5.7238692923609606E-2</c:v>
                      </c:pt>
                      <c:pt idx="9">
                        <c:v>4.4687297121835098E-2</c:v>
                      </c:pt>
                      <c:pt idx="10">
                        <c:v>5.0530188270937026E-2</c:v>
                      </c:pt>
                      <c:pt idx="11">
                        <c:v>3.538195195845055E-2</c:v>
                      </c:pt>
                    </c:numCache>
                  </c:numRef>
                </c:val>
                <c:extLst xmlns:c15="http://schemas.microsoft.com/office/drawing/2012/chart">
                  <c:ext xmlns:c16="http://schemas.microsoft.com/office/drawing/2014/chart" uri="{C3380CC4-5D6E-409C-BE32-E72D297353CC}">
                    <c16:uniqueId val="{00000003-E9B6-4133-A9D8-803F512302FF}"/>
                  </c:ext>
                </c:extLst>
              </c15:ser>
            </c15:filteredBarSeries>
            <c15:filteredBarSeries>
              <c15:ser>
                <c:idx val="4"/>
                <c:order val="4"/>
                <c:tx>
                  <c:strRef>
                    <c:extLst xmlns:c15="http://schemas.microsoft.com/office/drawing/2012/chart">
                      <c:ext xmlns:c15="http://schemas.microsoft.com/office/drawing/2012/chart" uri="{02D57815-91ED-43cb-92C2-25804820EDAC}">
                        <c15:formulaRef>
                          <c15:sqref>Sayfa1!$R$6</c15:sqref>
                        </c15:formulaRef>
                      </c:ext>
                    </c:extLst>
                    <c:strCache>
                      <c:ptCount val="1"/>
                      <c:pt idx="0">
                        <c:v>Lpg</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Sayfa1!$S$1:$AD$1</c15:sqref>
                        </c15:formulaRef>
                      </c:ext>
                    </c:extLst>
                    <c:strCache>
                      <c:ptCount val="12"/>
                      <c:pt idx="0">
                        <c:v>OCAK</c:v>
                      </c:pt>
                      <c:pt idx="1">
                        <c:v>ŞUBAT</c:v>
                      </c:pt>
                      <c:pt idx="2">
                        <c:v>MART</c:v>
                      </c:pt>
                      <c:pt idx="3">
                        <c:v>NİSAN</c:v>
                      </c:pt>
                      <c:pt idx="4">
                        <c:v>MAYIS</c:v>
                      </c:pt>
                      <c:pt idx="5">
                        <c:v>HAZİRAN</c:v>
                      </c:pt>
                      <c:pt idx="6">
                        <c:v>TEMMUZ</c:v>
                      </c:pt>
                      <c:pt idx="7">
                        <c:v>AĞUSTOS</c:v>
                      </c:pt>
                      <c:pt idx="8">
                        <c:v>EYLÜL</c:v>
                      </c:pt>
                      <c:pt idx="9">
                        <c:v>EKİM</c:v>
                      </c:pt>
                      <c:pt idx="10">
                        <c:v>KASIM</c:v>
                      </c:pt>
                      <c:pt idx="11">
                        <c:v>ARALIK</c:v>
                      </c:pt>
                    </c:strCache>
                  </c:strRef>
                </c:cat>
                <c:val>
                  <c:numRef>
                    <c:extLst xmlns:c15="http://schemas.microsoft.com/office/drawing/2012/chart">
                      <c:ext xmlns:c15="http://schemas.microsoft.com/office/drawing/2012/chart" uri="{02D57815-91ED-43cb-92C2-25804820EDAC}">
                        <c15:formulaRef>
                          <c15:sqref>Sayfa1!$S$6:$AD$6</c15:sqref>
                        </c15:formulaRef>
                      </c:ext>
                    </c:extLst>
                    <c:numCache>
                      <c:formatCode>0%</c:formatCode>
                      <c:ptCount val="12"/>
                      <c:pt idx="0">
                        <c:v>9.7926267281105997E-2</c:v>
                      </c:pt>
                      <c:pt idx="1">
                        <c:v>9.3317972350230413E-2</c:v>
                      </c:pt>
                      <c:pt idx="2">
                        <c:v>0.1313364055299539</c:v>
                      </c:pt>
                      <c:pt idx="3">
                        <c:v>8.5253456221198162E-2</c:v>
                      </c:pt>
                      <c:pt idx="4">
                        <c:v>0.12442396313364056</c:v>
                      </c:pt>
                      <c:pt idx="5">
                        <c:v>0.14631336405529954</c:v>
                      </c:pt>
                      <c:pt idx="6">
                        <c:v>5.5299539170506916E-2</c:v>
                      </c:pt>
                      <c:pt idx="7">
                        <c:v>5.1843317972350228E-2</c:v>
                      </c:pt>
                      <c:pt idx="8">
                        <c:v>4.8387096774193547E-2</c:v>
                      </c:pt>
                      <c:pt idx="9">
                        <c:v>3.8018433179723504E-2</c:v>
                      </c:pt>
                      <c:pt idx="10">
                        <c:v>8.294930875576037E-2</c:v>
                      </c:pt>
                      <c:pt idx="11">
                        <c:v>4.4930875576036866E-2</c:v>
                      </c:pt>
                    </c:numCache>
                  </c:numRef>
                </c:val>
                <c:extLst xmlns:c15="http://schemas.microsoft.com/office/drawing/2012/chart">
                  <c:ext xmlns:c16="http://schemas.microsoft.com/office/drawing/2014/chart" uri="{C3380CC4-5D6E-409C-BE32-E72D297353CC}">
                    <c16:uniqueId val="{00000004-E9B6-4133-A9D8-803F512302FF}"/>
                  </c:ext>
                </c:extLst>
              </c15:ser>
            </c15:filteredBarSeries>
            <c15:filteredBarSeries>
              <c15:ser>
                <c:idx val="5"/>
                <c:order val="5"/>
                <c:tx>
                  <c:strRef>
                    <c:extLst xmlns:c15="http://schemas.microsoft.com/office/drawing/2012/chart">
                      <c:ext xmlns:c15="http://schemas.microsoft.com/office/drawing/2012/chart" uri="{02D57815-91ED-43cb-92C2-25804820EDAC}">
                        <c15:formulaRef>
                          <c15:sqref>Sayfa1!$R$7</c15:sqref>
                        </c15:formulaRef>
                      </c:ext>
                    </c:extLst>
                    <c:strCache>
                      <c:ptCount val="1"/>
                      <c:pt idx="0">
                        <c:v>Toplam</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Sayfa1!$S$1:$AD$1</c15:sqref>
                        </c15:formulaRef>
                      </c:ext>
                    </c:extLst>
                    <c:strCache>
                      <c:ptCount val="12"/>
                      <c:pt idx="0">
                        <c:v>OCAK</c:v>
                      </c:pt>
                      <c:pt idx="1">
                        <c:v>ŞUBAT</c:v>
                      </c:pt>
                      <c:pt idx="2">
                        <c:v>MART</c:v>
                      </c:pt>
                      <c:pt idx="3">
                        <c:v>NİSAN</c:v>
                      </c:pt>
                      <c:pt idx="4">
                        <c:v>MAYIS</c:v>
                      </c:pt>
                      <c:pt idx="5">
                        <c:v>HAZİRAN</c:v>
                      </c:pt>
                      <c:pt idx="6">
                        <c:v>TEMMUZ</c:v>
                      </c:pt>
                      <c:pt idx="7">
                        <c:v>AĞUSTOS</c:v>
                      </c:pt>
                      <c:pt idx="8">
                        <c:v>EYLÜL</c:v>
                      </c:pt>
                      <c:pt idx="9">
                        <c:v>EKİM</c:v>
                      </c:pt>
                      <c:pt idx="10">
                        <c:v>KASIM</c:v>
                      </c:pt>
                      <c:pt idx="11">
                        <c:v>ARALIK</c:v>
                      </c:pt>
                    </c:strCache>
                  </c:strRef>
                </c:cat>
                <c:val>
                  <c:numRef>
                    <c:extLst xmlns:c15="http://schemas.microsoft.com/office/drawing/2012/chart">
                      <c:ext xmlns:c15="http://schemas.microsoft.com/office/drawing/2012/chart" uri="{02D57815-91ED-43cb-92C2-25804820EDAC}">
                        <c15:formulaRef>
                          <c15:sqref>Sayfa1!$S$7:$AD$7</c15:sqref>
                        </c15:formulaRef>
                      </c:ext>
                    </c:extLst>
                    <c:numCache>
                      <c:formatCode>0%</c:formatCode>
                      <c:ptCount val="12"/>
                      <c:pt idx="0">
                        <c:v>0.12841384318172649</c:v>
                      </c:pt>
                      <c:pt idx="1">
                        <c:v>8.2976615762509018E-2</c:v>
                      </c:pt>
                      <c:pt idx="2">
                        <c:v>0.10574677609491751</c:v>
                      </c:pt>
                      <c:pt idx="3">
                        <c:v>8.6835888999950692E-2</c:v>
                      </c:pt>
                      <c:pt idx="4">
                        <c:v>8.9848004697466149E-2</c:v>
                      </c:pt>
                      <c:pt idx="5">
                        <c:v>9.8189592960972488E-2</c:v>
                      </c:pt>
                      <c:pt idx="6">
                        <c:v>4.4334577922805568E-2</c:v>
                      </c:pt>
                      <c:pt idx="7">
                        <c:v>6.805947135576583E-2</c:v>
                      </c:pt>
                      <c:pt idx="8">
                        <c:v>6.4307773678949701E-2</c:v>
                      </c:pt>
                      <c:pt idx="9">
                        <c:v>5.4361516636112217E-2</c:v>
                      </c:pt>
                      <c:pt idx="10">
                        <c:v>0.10947157988157724</c:v>
                      </c:pt>
                      <c:pt idx="11">
                        <c:v>6.7454358827247096E-2</c:v>
                      </c:pt>
                    </c:numCache>
                  </c:numRef>
                </c:val>
                <c:extLst xmlns:c15="http://schemas.microsoft.com/office/drawing/2012/chart">
                  <c:ext xmlns:c16="http://schemas.microsoft.com/office/drawing/2014/chart" uri="{C3380CC4-5D6E-409C-BE32-E72D297353CC}">
                    <c16:uniqueId val="{00000005-E9B6-4133-A9D8-803F512302FF}"/>
                  </c:ext>
                </c:extLst>
              </c15:ser>
            </c15:filteredBarSeries>
          </c:ext>
        </c:extLst>
      </c:barChart>
      <c:catAx>
        <c:axId val="66686577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631313743"/>
        <c:crosses val="autoZero"/>
        <c:auto val="1"/>
        <c:lblAlgn val="ctr"/>
        <c:lblOffset val="100"/>
        <c:noMultiLvlLbl val="0"/>
      </c:catAx>
      <c:valAx>
        <c:axId val="631313743"/>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66686577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4">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43709571479444465"/>
          <c:y val="5.4931335830212237E-2"/>
          <c:w val="0.52096686406661474"/>
          <c:h val="0.8292221337501352"/>
        </c:manualLayout>
      </c:layout>
      <c:barChart>
        <c:barDir val="bar"/>
        <c:grouping val="clustered"/>
        <c:varyColors val="0"/>
        <c:ser>
          <c:idx val="0"/>
          <c:order val="0"/>
          <c:tx>
            <c:strRef>
              <c:f>petrol!$D$3</c:f>
              <c:strCache>
                <c:ptCount val="1"/>
                <c:pt idx="0">
                  <c:v>Yüzde</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900" b="1" i="0" u="none" strike="noStrike" kern="1200" baseline="0">
                    <a:solidFill>
                      <a:schemeClr val="tx1"/>
                    </a:solidFill>
                    <a:latin typeface="+mn-lt"/>
                    <a:ea typeface="+mn-ea"/>
                    <a:cs typeface="+mn-cs"/>
                  </a:defRPr>
                </a:pPr>
                <a:endParaRPr lang="tr-T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petrol!$B$4:$B$11</c:f>
              <c:strCache>
                <c:ptCount val="8"/>
                <c:pt idx="0">
                  <c:v>Akaryakıt Fiyatı Ve Fiyat Artışları</c:v>
                </c:pt>
                <c:pt idx="1">
                  <c:v>Diğer</c:v>
                </c:pt>
                <c:pt idx="2">
                  <c:v>Teknik Düzenlemelere Aykırı Akaryakıt</c:v>
                </c:pt>
                <c:pt idx="3">
                  <c:v>Müşteri Hizmetleri Ve Kalite</c:v>
                </c:pt>
                <c:pt idx="4">
                  <c:v>Fiyat Artışlarının Ve Düşüşlerinin Zamanında Uygulanmaması</c:v>
                </c:pt>
                <c:pt idx="5">
                  <c:v>Konu Kurumun Görev Alanında Değil</c:v>
                </c:pt>
                <c:pt idx="6">
                  <c:v>Mevzuat/Öneri</c:v>
                </c:pt>
                <c:pt idx="7">
                  <c:v>Eksik Akaryakıt İkmali</c:v>
                </c:pt>
              </c:strCache>
            </c:strRef>
          </c:cat>
          <c:val>
            <c:numRef>
              <c:f>petrol!$D$4:$D$11</c:f>
              <c:numCache>
                <c:formatCode>0%</c:formatCode>
                <c:ptCount val="8"/>
                <c:pt idx="0">
                  <c:v>0.51737756714060035</c:v>
                </c:pt>
                <c:pt idx="1">
                  <c:v>0.2907921462423832</c:v>
                </c:pt>
                <c:pt idx="2">
                  <c:v>6.0934326337169942E-2</c:v>
                </c:pt>
                <c:pt idx="3">
                  <c:v>4.3443917851500792E-2</c:v>
                </c:pt>
                <c:pt idx="4">
                  <c:v>2.8661701647483637E-2</c:v>
                </c:pt>
                <c:pt idx="5">
                  <c:v>2.4260889189799142E-2</c:v>
                </c:pt>
                <c:pt idx="6">
                  <c:v>1.749040848566915E-2</c:v>
                </c:pt>
                <c:pt idx="7">
                  <c:v>1.7039043105393815E-2</c:v>
                </c:pt>
              </c:numCache>
            </c:numRef>
          </c:val>
          <c:extLst>
            <c:ext xmlns:c16="http://schemas.microsoft.com/office/drawing/2014/chart" uri="{C3380CC4-5D6E-409C-BE32-E72D297353CC}">
              <c16:uniqueId val="{00000000-5CE3-411A-97B8-0F87F43D7D42}"/>
            </c:ext>
          </c:extLst>
        </c:ser>
        <c:dLbls>
          <c:dLblPos val="outEnd"/>
          <c:showLegendKey val="0"/>
          <c:showVal val="1"/>
          <c:showCatName val="0"/>
          <c:showSerName val="0"/>
          <c:showPercent val="0"/>
          <c:showBubbleSize val="0"/>
        </c:dLbls>
        <c:gapWidth val="182"/>
        <c:axId val="817317823"/>
        <c:axId val="628747631"/>
      </c:barChart>
      <c:catAx>
        <c:axId val="81731782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solidFill>
                <a:latin typeface="+mn-lt"/>
                <a:ea typeface="+mn-ea"/>
                <a:cs typeface="+mn-cs"/>
              </a:defRPr>
            </a:pPr>
            <a:endParaRPr lang="tr-TR"/>
          </a:p>
        </c:txPr>
        <c:crossAx val="628747631"/>
        <c:crosses val="autoZero"/>
        <c:auto val="1"/>
        <c:lblAlgn val="ctr"/>
        <c:lblOffset val="100"/>
        <c:noMultiLvlLbl val="0"/>
      </c:catAx>
      <c:valAx>
        <c:axId val="628747631"/>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tr-TR"/>
          </a:p>
        </c:txPr>
        <c:crossAx val="81731782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b="1">
          <a:solidFill>
            <a:schemeClr val="tx1"/>
          </a:solidFill>
        </a:defRPr>
      </a:pPr>
      <a:endParaRPr lang="tr-TR"/>
    </a:p>
  </c:txPr>
  <c:externalData r:id="rId4">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lpg!$D$3</c:f>
              <c:strCache>
                <c:ptCount val="1"/>
                <c:pt idx="0">
                  <c:v>Yüzde</c:v>
                </c:pt>
              </c:strCache>
            </c:strRef>
          </c:tx>
          <c:spPr>
            <a:solidFill>
              <a:schemeClr val="accent1"/>
            </a:solidFill>
            <a:ln>
              <a:noFill/>
            </a:ln>
            <a:effectLst/>
          </c:spPr>
          <c:invertIfNegative val="0"/>
          <c:dLbls>
            <c:dLbl>
              <c:idx val="0"/>
              <c:tx>
                <c:rich>
                  <a:bodyPr/>
                  <a:lstStyle/>
                  <a:p>
                    <a:r>
                      <a:rPr lang="en-US"/>
                      <a:t>35,8%</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B0E9-4508-820F-3A0A7B186E8A}"/>
                </c:ext>
              </c:extLst>
            </c:dLbl>
            <c:spPr>
              <a:noFill/>
              <a:ln>
                <a:noFill/>
              </a:ln>
              <a:effectLst/>
            </c:spPr>
            <c:txPr>
              <a:bodyPr rot="0" spcFirstLastPara="1" vertOverflow="ellipsis" vert="horz" wrap="square" anchor="ctr" anchorCtr="1"/>
              <a:lstStyle/>
              <a:p>
                <a:pPr>
                  <a:defRPr sz="900" b="1" i="0" u="none" strike="noStrike" kern="1200" baseline="0">
                    <a:solidFill>
                      <a:schemeClr val="tx1"/>
                    </a:solidFill>
                    <a:latin typeface="+mn-lt"/>
                    <a:ea typeface="+mn-ea"/>
                    <a:cs typeface="+mn-cs"/>
                  </a:defRPr>
                </a:pPr>
                <a:endParaRPr lang="tr-T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lpg!$B$4:$B$10</c:f>
              <c:strCache>
                <c:ptCount val="7"/>
                <c:pt idx="0">
                  <c:v>Lpg Fiyatı Ve Fiyat Artışları</c:v>
                </c:pt>
                <c:pt idx="1">
                  <c:v>Diğer</c:v>
                </c:pt>
                <c:pt idx="2">
                  <c:v>Teknik Düzenlemelere Aykırı  Lpg</c:v>
                </c:pt>
                <c:pt idx="3">
                  <c:v>Konu Kurumun Görev Alanında Değil</c:v>
                </c:pt>
                <c:pt idx="4">
                  <c:v>Fiyat Artışlarının Ve Düşüşlerinin Zamanında Uygulanmaması</c:v>
                </c:pt>
                <c:pt idx="5">
                  <c:v>Kaçak Lpg İhbarı</c:v>
                </c:pt>
                <c:pt idx="6">
                  <c:v>Müşteri Hizmetleri Ve Kalite</c:v>
                </c:pt>
              </c:strCache>
            </c:strRef>
          </c:cat>
          <c:val>
            <c:numRef>
              <c:f>lpg!$D$4:$D$10</c:f>
              <c:numCache>
                <c:formatCode>0.0%</c:formatCode>
                <c:ptCount val="7"/>
                <c:pt idx="0">
                  <c:v>0.35866983372921613</c:v>
                </c:pt>
                <c:pt idx="1">
                  <c:v>0.27672209026128264</c:v>
                </c:pt>
                <c:pt idx="2">
                  <c:v>0.17102137767220901</c:v>
                </c:pt>
                <c:pt idx="3">
                  <c:v>0.10570071258907364</c:v>
                </c:pt>
                <c:pt idx="4">
                  <c:v>3.6817102137767219E-2</c:v>
                </c:pt>
                <c:pt idx="5">
                  <c:v>2.7315914489311165E-2</c:v>
                </c:pt>
                <c:pt idx="6">
                  <c:v>2.3752969121140142E-2</c:v>
                </c:pt>
              </c:numCache>
            </c:numRef>
          </c:val>
          <c:extLst>
            <c:ext xmlns:c16="http://schemas.microsoft.com/office/drawing/2014/chart" uri="{C3380CC4-5D6E-409C-BE32-E72D297353CC}">
              <c16:uniqueId val="{00000000-76AA-4ADF-BF0E-E710857F0165}"/>
            </c:ext>
          </c:extLst>
        </c:ser>
        <c:dLbls>
          <c:dLblPos val="outEnd"/>
          <c:showLegendKey val="0"/>
          <c:showVal val="1"/>
          <c:showCatName val="0"/>
          <c:showSerName val="0"/>
          <c:showPercent val="0"/>
          <c:showBubbleSize val="0"/>
        </c:dLbls>
        <c:gapWidth val="182"/>
        <c:axId val="817324223"/>
        <c:axId val="755426095"/>
      </c:barChart>
      <c:catAx>
        <c:axId val="81732422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solidFill>
                <a:latin typeface="+mn-lt"/>
                <a:ea typeface="+mn-ea"/>
                <a:cs typeface="+mn-cs"/>
              </a:defRPr>
            </a:pPr>
            <a:endParaRPr lang="tr-TR"/>
          </a:p>
        </c:txPr>
        <c:crossAx val="755426095"/>
        <c:crosses val="autoZero"/>
        <c:auto val="1"/>
        <c:lblAlgn val="ctr"/>
        <c:lblOffset val="100"/>
        <c:noMultiLvlLbl val="0"/>
      </c:catAx>
      <c:valAx>
        <c:axId val="755426095"/>
        <c:scaling>
          <c:orientation val="minMax"/>
        </c:scaling>
        <c:delete val="0"/>
        <c:axPos val="b"/>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tr-TR"/>
          </a:p>
        </c:txPr>
        <c:crossAx val="81732422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b="1">
          <a:solidFill>
            <a:schemeClr val="tx1"/>
          </a:solidFill>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withinLinear" id="14">
  <a:schemeClr val="accent1"/>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0">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98">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0.40797</cdr:x>
      <cdr:y>0.9685</cdr:y>
    </cdr:from>
    <cdr:to>
      <cdr:x>0.83118</cdr:x>
      <cdr:y>0.99475</cdr:y>
    </cdr:to>
    <cdr:sp macro="" textlink="">
      <cdr:nvSpPr>
        <cdr:cNvPr id="2" name="Metin kutusu 1"/>
        <cdr:cNvSpPr txBox="1"/>
      </cdr:nvSpPr>
      <cdr:spPr>
        <a:xfrm xmlns:a="http://schemas.openxmlformats.org/drawingml/2006/main">
          <a:off x="3314700" y="3514726"/>
          <a:ext cx="3438525" cy="9525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tr-TR" sz="1100"/>
        </a:p>
      </cdr:txBody>
    </cdr:sp>
  </cdr:relSizeAnchor>
  <cdr:relSizeAnchor xmlns:cdr="http://schemas.openxmlformats.org/drawingml/2006/chartDrawing">
    <cdr:from>
      <cdr:x>0.37166</cdr:x>
      <cdr:y>0.91762</cdr:y>
    </cdr:from>
    <cdr:to>
      <cdr:x>0.53891</cdr:x>
      <cdr:y>0.97483</cdr:y>
    </cdr:to>
    <cdr:sp macro="" textlink="">
      <cdr:nvSpPr>
        <cdr:cNvPr id="3" name="Metin kutusu 2"/>
        <cdr:cNvSpPr txBox="1"/>
      </cdr:nvSpPr>
      <cdr:spPr>
        <a:xfrm xmlns:a="http://schemas.openxmlformats.org/drawingml/2006/main">
          <a:off x="3048000" y="3819526"/>
          <a:ext cx="1371600" cy="23812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tr-TR" sz="1100"/>
        </a:p>
      </cdr:txBody>
    </cdr:sp>
  </cdr:relSizeAnchor>
  <cdr:relSizeAnchor xmlns:cdr="http://schemas.openxmlformats.org/drawingml/2006/chartDrawing">
    <cdr:from>
      <cdr:x>0.01045</cdr:x>
      <cdr:y>0.24256</cdr:y>
    </cdr:from>
    <cdr:to>
      <cdr:x>0.03949</cdr:x>
      <cdr:y>0.84211</cdr:y>
    </cdr:to>
    <cdr:sp macro="" textlink="">
      <cdr:nvSpPr>
        <cdr:cNvPr id="4" name="Metin kutusu 3"/>
        <cdr:cNvSpPr txBox="1"/>
      </cdr:nvSpPr>
      <cdr:spPr>
        <a:xfrm xmlns:a="http://schemas.openxmlformats.org/drawingml/2006/main">
          <a:off x="85725" y="1009651"/>
          <a:ext cx="238125" cy="249555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tr-TR" sz="1100"/>
        </a:p>
      </cdr:txBody>
    </cdr:sp>
  </cdr:relSizeAnchor>
  <cdr:relSizeAnchor xmlns:cdr="http://schemas.openxmlformats.org/drawingml/2006/chartDrawing">
    <cdr:from>
      <cdr:x>0.00929</cdr:x>
      <cdr:y>0.1167</cdr:y>
    </cdr:from>
    <cdr:to>
      <cdr:x>0.0453</cdr:x>
      <cdr:y>0.87872</cdr:y>
    </cdr:to>
    <cdr:sp macro="" textlink="">
      <cdr:nvSpPr>
        <cdr:cNvPr id="5" name="Metin kutusu 4"/>
        <cdr:cNvSpPr txBox="1"/>
      </cdr:nvSpPr>
      <cdr:spPr>
        <a:xfrm xmlns:a="http://schemas.openxmlformats.org/drawingml/2006/main">
          <a:off x="76200" y="485775"/>
          <a:ext cx="295275" cy="317182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tr-TR" sz="1100"/>
        </a:p>
      </cdr:txBody>
    </cdr:sp>
  </cdr:relSizeAnchor>
</c:userShape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1A10B12-3E94-4CE7-B873-1F08C169B9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237</Pages>
  <Words>92983</Words>
  <Characters>530005</Characters>
  <Application>Microsoft Office Word</Application>
  <DocSecurity>0</DocSecurity>
  <Lines>4416</Lines>
  <Paragraphs>1243</Paragraphs>
  <ScaleCrop>false</ScaleCrop>
  <HeadingPairs>
    <vt:vector size="2" baseType="variant">
      <vt:variant>
        <vt:lpstr>Konu Başlığı</vt:lpstr>
      </vt:variant>
      <vt:variant>
        <vt:i4>1</vt:i4>
      </vt:variant>
    </vt:vector>
  </HeadingPairs>
  <TitlesOfParts>
    <vt:vector size="1" baseType="lpstr">
      <vt:lpstr>ENERJİ PİYASASI DÜZENLEME KURUMU</vt:lpstr>
    </vt:vector>
  </TitlesOfParts>
  <Company>ENERJİ PİYASASI DÜZENLEME KURUMU</Company>
  <LinksUpToDate>false</LinksUpToDate>
  <CharactersWithSpaces>621745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ENERJİ PİYASASI DÜZENLEME KURUMU</dc:title>
  <dc:subject>2022 YILI FAALİYET RAPORU</dc:subject>
  <dc:creator>Serhat KÜÇÜKÇAPRAZ</dc:creator>
  <cp:keywords/>
  <dc:description/>
  <cp:lastModifiedBy>Emre KAYA</cp:lastModifiedBy>
  <cp:revision>2</cp:revision>
  <cp:lastPrinted>2016-03-30T13:56:00Z</cp:lastPrinted>
  <dcterms:created xsi:type="dcterms:W3CDTF">2023-08-24T06:45:00Z</dcterms:created>
  <dcterms:modified xsi:type="dcterms:W3CDTF">2023-08-24T06:45:00Z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-1397484064</vt:i4>
  </property>
</Properties>
</file>